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D22C" w14:textId="1F477F86" w:rsidR="000418DC" w:rsidRDefault="000418DC" w:rsidP="000418DC">
      <w:pPr>
        <w:jc w:val="center"/>
        <w:rPr>
          <w:rFonts w:ascii="Verdana" w:hAnsi="Verdana"/>
          <w:b/>
          <w:bCs/>
          <w:szCs w:val="28"/>
        </w:rPr>
      </w:pPr>
      <w:r>
        <w:rPr>
          <w:rFonts w:ascii="Verdana" w:hAnsi="Verdana"/>
          <w:b/>
          <w:bCs/>
          <w:szCs w:val="28"/>
        </w:rPr>
        <w:t>HCC 20</w:t>
      </w:r>
      <w:r w:rsidR="00C61B7A">
        <w:rPr>
          <w:rFonts w:ascii="Verdana" w:hAnsi="Verdana"/>
          <w:b/>
          <w:bCs/>
          <w:szCs w:val="28"/>
        </w:rPr>
        <w:t>2</w:t>
      </w:r>
      <w:r w:rsidR="0008345F">
        <w:rPr>
          <w:rFonts w:ascii="Verdana" w:hAnsi="Verdana"/>
          <w:b/>
          <w:bCs/>
          <w:szCs w:val="28"/>
        </w:rPr>
        <w:t>4</w:t>
      </w:r>
      <w:r>
        <w:rPr>
          <w:rFonts w:ascii="Verdana" w:hAnsi="Verdana"/>
          <w:b/>
          <w:bCs/>
          <w:szCs w:val="28"/>
        </w:rPr>
        <w:t xml:space="preserve"> based Small Area Population Forecasts</w:t>
      </w:r>
    </w:p>
    <w:p w14:paraId="320BD22D" w14:textId="77777777" w:rsidR="000418DC" w:rsidRDefault="000418DC" w:rsidP="000418DC">
      <w:pPr>
        <w:jc w:val="both"/>
        <w:rPr>
          <w:rFonts w:ascii="Verdana" w:hAnsi="Verdana"/>
          <w:b/>
          <w:bCs/>
        </w:rPr>
      </w:pPr>
    </w:p>
    <w:p w14:paraId="320BD22E" w14:textId="7A44BEED" w:rsidR="000418DC" w:rsidRDefault="000418DC" w:rsidP="000418DC">
      <w:pPr>
        <w:rPr>
          <w:rFonts w:ascii="Verdana" w:hAnsi="Verdana"/>
        </w:rPr>
      </w:pPr>
      <w:r>
        <w:rPr>
          <w:rFonts w:ascii="Verdana" w:hAnsi="Verdana"/>
        </w:rPr>
        <w:t>Hampshire County Council have produced a new set of Small Area Population Forecasts (SAPF) extending to 20</w:t>
      </w:r>
      <w:r w:rsidR="009D7A38">
        <w:rPr>
          <w:rFonts w:ascii="Verdana" w:hAnsi="Verdana"/>
        </w:rPr>
        <w:t>3</w:t>
      </w:r>
      <w:r w:rsidR="0008345F">
        <w:rPr>
          <w:rFonts w:ascii="Verdana" w:hAnsi="Verdana"/>
        </w:rPr>
        <w:t>1</w:t>
      </w:r>
      <w:r>
        <w:rPr>
          <w:rFonts w:ascii="Verdana" w:hAnsi="Verdana"/>
        </w:rPr>
        <w:t>. These replace the 20</w:t>
      </w:r>
      <w:r w:rsidR="00856E86">
        <w:rPr>
          <w:rFonts w:ascii="Verdana" w:hAnsi="Verdana"/>
        </w:rPr>
        <w:t>2</w:t>
      </w:r>
      <w:r w:rsidR="0008345F">
        <w:rPr>
          <w:rFonts w:ascii="Verdana" w:hAnsi="Verdana"/>
        </w:rPr>
        <w:t>2</w:t>
      </w:r>
      <w:r>
        <w:rPr>
          <w:rFonts w:ascii="Verdana" w:hAnsi="Verdana"/>
        </w:rPr>
        <w:t xml:space="preserve"> based forecasts published in </w:t>
      </w:r>
      <w:r w:rsidR="009D7A38">
        <w:rPr>
          <w:rFonts w:ascii="Verdana" w:hAnsi="Verdana"/>
        </w:rPr>
        <w:t>Ma</w:t>
      </w:r>
      <w:r w:rsidR="0008345F">
        <w:rPr>
          <w:rFonts w:ascii="Verdana" w:hAnsi="Verdana"/>
        </w:rPr>
        <w:t>y 2024</w:t>
      </w:r>
      <w:r>
        <w:rPr>
          <w:rFonts w:ascii="Verdana" w:hAnsi="Verdana"/>
        </w:rPr>
        <w:t>.</w:t>
      </w:r>
    </w:p>
    <w:p w14:paraId="320BD22F" w14:textId="77777777" w:rsidR="000418DC" w:rsidRDefault="000418DC" w:rsidP="000418DC">
      <w:pPr>
        <w:rPr>
          <w:rFonts w:ascii="Verdana" w:hAnsi="Verdana"/>
        </w:rPr>
      </w:pPr>
    </w:p>
    <w:p w14:paraId="320BD230" w14:textId="3310AC64" w:rsidR="000418DC" w:rsidRDefault="000418DC" w:rsidP="000418DC">
      <w:pPr>
        <w:rPr>
          <w:rFonts w:ascii="Verdana" w:hAnsi="Verdana"/>
        </w:rPr>
      </w:pPr>
      <w:r>
        <w:rPr>
          <w:rFonts w:ascii="Verdana" w:hAnsi="Verdana"/>
        </w:rPr>
        <w:t>The main features of the 20</w:t>
      </w:r>
      <w:r w:rsidR="00C61B7A">
        <w:rPr>
          <w:rFonts w:ascii="Verdana" w:hAnsi="Verdana"/>
        </w:rPr>
        <w:t>2</w:t>
      </w:r>
      <w:r w:rsidR="0008345F">
        <w:rPr>
          <w:rFonts w:ascii="Verdana" w:hAnsi="Verdana"/>
        </w:rPr>
        <w:t>4</w:t>
      </w:r>
      <w:r>
        <w:rPr>
          <w:rFonts w:ascii="Verdana" w:hAnsi="Verdana"/>
        </w:rPr>
        <w:t xml:space="preserve">-based forecasts are as </w:t>
      </w:r>
      <w:r w:rsidR="009D3167">
        <w:rPr>
          <w:rFonts w:ascii="Verdana" w:hAnsi="Verdana"/>
        </w:rPr>
        <w:t>follows: -</w:t>
      </w:r>
    </w:p>
    <w:p w14:paraId="320BD231" w14:textId="77777777" w:rsidR="000418DC" w:rsidRDefault="000418DC" w:rsidP="000418DC">
      <w:pPr>
        <w:ind w:left="720"/>
        <w:rPr>
          <w:rFonts w:ascii="Verdana" w:hAnsi="Verdana"/>
        </w:rPr>
      </w:pPr>
    </w:p>
    <w:p w14:paraId="320BD232" w14:textId="4FBC7C2A" w:rsidR="000418DC" w:rsidRDefault="000418DC" w:rsidP="000418DC">
      <w:pPr>
        <w:numPr>
          <w:ilvl w:val="0"/>
          <w:numId w:val="1"/>
        </w:numPr>
        <w:rPr>
          <w:rFonts w:ascii="Verdana" w:hAnsi="Verdana"/>
        </w:rPr>
      </w:pPr>
      <w:r>
        <w:rPr>
          <w:rFonts w:ascii="Verdana" w:hAnsi="Verdana"/>
        </w:rPr>
        <w:t>These forecasts are from the Small Area Population Forecasts (SAPF) model. The base is taken as being the 20</w:t>
      </w:r>
      <w:r w:rsidR="0008345F">
        <w:rPr>
          <w:rFonts w:ascii="Verdana" w:hAnsi="Verdana"/>
        </w:rPr>
        <w:t>2</w:t>
      </w:r>
      <w:r>
        <w:rPr>
          <w:rFonts w:ascii="Verdana" w:hAnsi="Verdana"/>
        </w:rPr>
        <w:t>1 Census and they are available at the geographies relating to the</w:t>
      </w:r>
      <w:r w:rsidR="007F3520">
        <w:rPr>
          <w:rFonts w:ascii="Verdana" w:hAnsi="Verdana"/>
        </w:rPr>
        <w:t xml:space="preserve"> </w:t>
      </w:r>
      <w:r>
        <w:rPr>
          <w:rFonts w:ascii="Verdana" w:hAnsi="Verdana"/>
        </w:rPr>
        <w:t>Census.</w:t>
      </w:r>
    </w:p>
    <w:p w14:paraId="320BD233" w14:textId="77777777" w:rsidR="000418DC" w:rsidRDefault="000418DC" w:rsidP="000418DC">
      <w:pPr>
        <w:ind w:left="720"/>
        <w:rPr>
          <w:rFonts w:ascii="Verdana" w:hAnsi="Verdana"/>
        </w:rPr>
      </w:pPr>
    </w:p>
    <w:p w14:paraId="320BD234" w14:textId="42138C93" w:rsidR="000418DC" w:rsidRDefault="000418DC" w:rsidP="000418DC">
      <w:pPr>
        <w:numPr>
          <w:ilvl w:val="0"/>
          <w:numId w:val="1"/>
        </w:numPr>
        <w:rPr>
          <w:rFonts w:ascii="Verdana" w:hAnsi="Verdana"/>
        </w:rPr>
      </w:pPr>
      <w:r>
        <w:rPr>
          <w:rFonts w:ascii="Verdana" w:hAnsi="Verdana"/>
        </w:rPr>
        <w:t>The forecasts commence from April 20</w:t>
      </w:r>
      <w:r w:rsidR="00C61B7A">
        <w:rPr>
          <w:rFonts w:ascii="Verdana" w:hAnsi="Verdana"/>
        </w:rPr>
        <w:t>2</w:t>
      </w:r>
      <w:r w:rsidR="0008345F">
        <w:rPr>
          <w:rFonts w:ascii="Verdana" w:hAnsi="Verdana"/>
        </w:rPr>
        <w:t>4</w:t>
      </w:r>
      <w:r>
        <w:rPr>
          <w:rFonts w:ascii="Verdana" w:hAnsi="Verdana"/>
        </w:rPr>
        <w:t xml:space="preserve"> population estimates rolled forward from the 20</w:t>
      </w:r>
      <w:r w:rsidR="0008345F">
        <w:rPr>
          <w:rFonts w:ascii="Verdana" w:hAnsi="Verdana"/>
        </w:rPr>
        <w:t>2</w:t>
      </w:r>
      <w:r>
        <w:rPr>
          <w:rFonts w:ascii="Verdana" w:hAnsi="Verdana"/>
        </w:rPr>
        <w:t>1 Census.</w:t>
      </w:r>
    </w:p>
    <w:p w14:paraId="320BD235" w14:textId="77777777" w:rsidR="000418DC" w:rsidRDefault="000418DC" w:rsidP="000418DC">
      <w:pPr>
        <w:ind w:left="360"/>
        <w:rPr>
          <w:rFonts w:ascii="Verdana" w:hAnsi="Verdana"/>
        </w:rPr>
      </w:pPr>
    </w:p>
    <w:p w14:paraId="320BD236" w14:textId="2914D60B" w:rsidR="000418DC" w:rsidRDefault="000418DC" w:rsidP="000418DC">
      <w:pPr>
        <w:numPr>
          <w:ilvl w:val="0"/>
          <w:numId w:val="1"/>
        </w:numPr>
        <w:rPr>
          <w:rFonts w:ascii="Verdana" w:hAnsi="Verdana"/>
        </w:rPr>
      </w:pPr>
      <w:r>
        <w:rPr>
          <w:rFonts w:ascii="Verdana" w:hAnsi="Verdana"/>
        </w:rPr>
        <w:t>The 20</w:t>
      </w:r>
      <w:r w:rsidR="0008345F">
        <w:rPr>
          <w:rFonts w:ascii="Verdana" w:hAnsi="Verdana"/>
        </w:rPr>
        <w:t>2</w:t>
      </w:r>
      <w:r>
        <w:rPr>
          <w:rFonts w:ascii="Verdana" w:hAnsi="Verdana"/>
        </w:rPr>
        <w:t>1 base populations, from which the rolled forward estimates commence, are the 20</w:t>
      </w:r>
      <w:r w:rsidR="0008345F">
        <w:rPr>
          <w:rFonts w:ascii="Verdana" w:hAnsi="Verdana"/>
        </w:rPr>
        <w:t>2</w:t>
      </w:r>
      <w:r>
        <w:rPr>
          <w:rFonts w:ascii="Verdana" w:hAnsi="Verdana"/>
        </w:rPr>
        <w:t xml:space="preserve">1 Census populations. </w:t>
      </w:r>
    </w:p>
    <w:p w14:paraId="320BD237" w14:textId="77777777" w:rsidR="000418DC" w:rsidRDefault="000418DC" w:rsidP="000418DC">
      <w:pPr>
        <w:rPr>
          <w:rFonts w:ascii="Verdana" w:hAnsi="Verdana"/>
        </w:rPr>
      </w:pPr>
    </w:p>
    <w:p w14:paraId="320BD238" w14:textId="4313D3C5" w:rsidR="000418DC" w:rsidRPr="00931441" w:rsidRDefault="000418DC" w:rsidP="000418DC">
      <w:pPr>
        <w:numPr>
          <w:ilvl w:val="0"/>
          <w:numId w:val="1"/>
        </w:numPr>
        <w:rPr>
          <w:rFonts w:ascii="Verdana" w:hAnsi="Verdana"/>
          <w:b/>
        </w:rPr>
      </w:pPr>
      <w:r>
        <w:rPr>
          <w:rFonts w:ascii="Verdana" w:hAnsi="Verdana"/>
        </w:rPr>
        <w:t>The 20</w:t>
      </w:r>
      <w:r w:rsidR="00C61B7A">
        <w:rPr>
          <w:rFonts w:ascii="Verdana" w:hAnsi="Verdana"/>
        </w:rPr>
        <w:t>2</w:t>
      </w:r>
      <w:r w:rsidR="0008345F">
        <w:rPr>
          <w:rFonts w:ascii="Verdana" w:hAnsi="Verdana"/>
        </w:rPr>
        <w:t>4</w:t>
      </w:r>
      <w:r>
        <w:rPr>
          <w:rFonts w:ascii="Verdana" w:hAnsi="Verdana"/>
        </w:rPr>
        <w:t xml:space="preserve"> population estimates are rolled forward from 20</w:t>
      </w:r>
      <w:r w:rsidR="0008345F">
        <w:rPr>
          <w:rFonts w:ascii="Verdana" w:hAnsi="Verdana"/>
        </w:rPr>
        <w:t>2</w:t>
      </w:r>
      <w:r>
        <w:rPr>
          <w:rFonts w:ascii="Verdana" w:hAnsi="Verdana"/>
        </w:rPr>
        <w:t xml:space="preserve">1, incorporating known births and deaths and known dwelling completions. The unknown elements are the in and out flows of migrants. The model deals with these as three separate flows - in migrants to the new dwelling completions, and in and out migrants from the existing stock of dwellings. The net effect of these forecast flows is controlled by an assumption that at district level, average household size declines at the same average annual rate as in the previous decade. </w:t>
      </w:r>
      <w:r w:rsidRPr="00A7550A">
        <w:rPr>
          <w:rFonts w:ascii="Verdana" w:hAnsi="Verdana"/>
        </w:rPr>
        <w:t xml:space="preserve">Students and Armed Forces personnel are </w:t>
      </w:r>
      <w:r>
        <w:rPr>
          <w:rFonts w:ascii="Verdana" w:hAnsi="Verdana"/>
        </w:rPr>
        <w:t xml:space="preserve">largely </w:t>
      </w:r>
      <w:r w:rsidRPr="00A7550A">
        <w:rPr>
          <w:rFonts w:ascii="Verdana" w:hAnsi="Verdana"/>
        </w:rPr>
        <w:t>assumed constant throughout the period of the forecasts.</w:t>
      </w:r>
    </w:p>
    <w:p w14:paraId="320BD239" w14:textId="77777777" w:rsidR="000418DC" w:rsidRDefault="000418DC" w:rsidP="000418DC">
      <w:pPr>
        <w:ind w:left="360"/>
        <w:rPr>
          <w:rFonts w:ascii="Verdana" w:hAnsi="Verdana"/>
        </w:rPr>
      </w:pPr>
    </w:p>
    <w:p w14:paraId="320BD23A" w14:textId="42892AD0" w:rsidR="000418DC" w:rsidRDefault="000418DC" w:rsidP="000418DC">
      <w:pPr>
        <w:numPr>
          <w:ilvl w:val="0"/>
          <w:numId w:val="1"/>
        </w:numPr>
        <w:rPr>
          <w:rFonts w:ascii="Verdana" w:hAnsi="Verdana"/>
        </w:rPr>
      </w:pPr>
      <w:r>
        <w:rPr>
          <w:rFonts w:ascii="Verdana" w:hAnsi="Verdana"/>
        </w:rPr>
        <w:t>The forecasts are based on future dwellings supply. The dwelling supply information for the period 20</w:t>
      </w:r>
      <w:r w:rsidR="00C61B7A">
        <w:rPr>
          <w:rFonts w:ascii="Verdana" w:hAnsi="Verdana"/>
        </w:rPr>
        <w:t>2</w:t>
      </w:r>
      <w:r w:rsidR="0008345F">
        <w:rPr>
          <w:rFonts w:ascii="Verdana" w:hAnsi="Verdana"/>
        </w:rPr>
        <w:t>4</w:t>
      </w:r>
      <w:r>
        <w:rPr>
          <w:rFonts w:ascii="Verdana" w:hAnsi="Verdana"/>
        </w:rPr>
        <w:t xml:space="preserve"> to 20</w:t>
      </w:r>
      <w:r w:rsidR="00703694">
        <w:rPr>
          <w:rFonts w:ascii="Verdana" w:hAnsi="Verdana"/>
        </w:rPr>
        <w:t>3</w:t>
      </w:r>
      <w:r w:rsidR="0008345F">
        <w:rPr>
          <w:rFonts w:ascii="Verdana" w:hAnsi="Verdana"/>
        </w:rPr>
        <w:t>1</w:t>
      </w:r>
      <w:r>
        <w:rPr>
          <w:rFonts w:ascii="Verdana" w:hAnsi="Verdana"/>
        </w:rPr>
        <w:t xml:space="preserve"> includes all large and small sites with planning permission, or allocated in local plans as </w:t>
      </w:r>
      <w:proofErr w:type="gramStart"/>
      <w:r>
        <w:rPr>
          <w:rFonts w:ascii="Verdana" w:hAnsi="Verdana"/>
        </w:rPr>
        <w:t>at</w:t>
      </w:r>
      <w:proofErr w:type="gramEnd"/>
      <w:r>
        <w:rPr>
          <w:rFonts w:ascii="Verdana" w:hAnsi="Verdana"/>
        </w:rPr>
        <w:t xml:space="preserve"> April 1st</w:t>
      </w:r>
      <w:proofErr w:type="gramStart"/>
      <w:r>
        <w:rPr>
          <w:rFonts w:ascii="Verdana" w:hAnsi="Verdana"/>
        </w:rPr>
        <w:t xml:space="preserve"> 20</w:t>
      </w:r>
      <w:r w:rsidR="00C61B7A">
        <w:rPr>
          <w:rFonts w:ascii="Verdana" w:hAnsi="Verdana"/>
        </w:rPr>
        <w:t>2</w:t>
      </w:r>
      <w:r w:rsidR="0008345F">
        <w:rPr>
          <w:rFonts w:ascii="Verdana" w:hAnsi="Verdana"/>
        </w:rPr>
        <w:t>4</w:t>
      </w:r>
      <w:proofErr w:type="gramEnd"/>
      <w:r>
        <w:rPr>
          <w:rFonts w:ascii="Verdana" w:hAnsi="Verdana"/>
        </w:rPr>
        <w:t xml:space="preserve">. The assumptions on phasing are agreed with the district councils and unitary authorities. </w:t>
      </w:r>
    </w:p>
    <w:p w14:paraId="320BD23B" w14:textId="77777777" w:rsidR="000418DC" w:rsidRDefault="000418DC" w:rsidP="000418DC">
      <w:pPr>
        <w:rPr>
          <w:rFonts w:ascii="Verdana" w:hAnsi="Verdana"/>
        </w:rPr>
      </w:pPr>
    </w:p>
    <w:p w14:paraId="320BD23C" w14:textId="77777777" w:rsidR="000418DC" w:rsidRDefault="000418DC" w:rsidP="000418DC">
      <w:pPr>
        <w:numPr>
          <w:ilvl w:val="0"/>
          <w:numId w:val="1"/>
        </w:numPr>
        <w:rPr>
          <w:rFonts w:ascii="Verdana" w:hAnsi="Verdana"/>
        </w:rPr>
      </w:pPr>
      <w:r>
        <w:rPr>
          <w:rFonts w:ascii="Verdana" w:hAnsi="Verdana"/>
        </w:rPr>
        <w:t>Additional dwelling information is obtained from district’s Strategic Housing and Land Availability Assessment (SHLAA).</w:t>
      </w:r>
    </w:p>
    <w:p w14:paraId="320BD23D" w14:textId="77777777" w:rsidR="000418DC" w:rsidRDefault="000418DC" w:rsidP="000418DC">
      <w:pPr>
        <w:rPr>
          <w:rFonts w:ascii="Verdana" w:hAnsi="Verdana"/>
        </w:rPr>
      </w:pPr>
    </w:p>
    <w:p w14:paraId="320BD23E" w14:textId="1F643D8A" w:rsidR="000418DC" w:rsidRDefault="000418DC" w:rsidP="000418DC">
      <w:pPr>
        <w:numPr>
          <w:ilvl w:val="0"/>
          <w:numId w:val="1"/>
        </w:numPr>
        <w:rPr>
          <w:rFonts w:ascii="Verdana" w:hAnsi="Verdana"/>
        </w:rPr>
      </w:pPr>
      <w:r>
        <w:rPr>
          <w:rFonts w:ascii="Verdana" w:hAnsi="Verdana" w:cs="Arial"/>
          <w:color w:val="000000"/>
        </w:rPr>
        <w:t xml:space="preserve">The figures are the best </w:t>
      </w:r>
      <w:r w:rsidR="0008345F">
        <w:rPr>
          <w:rFonts w:ascii="Verdana" w:hAnsi="Verdana" w:cs="Arial"/>
          <w:color w:val="000000"/>
        </w:rPr>
        <w:t>predictions</w:t>
      </w:r>
      <w:r>
        <w:rPr>
          <w:rFonts w:ascii="Verdana" w:hAnsi="Verdana" w:cs="Arial"/>
          <w:color w:val="000000"/>
        </w:rPr>
        <w:t xml:space="preserve"> available as at 1/4/20</w:t>
      </w:r>
      <w:r w:rsidR="00C61B7A">
        <w:rPr>
          <w:rFonts w:ascii="Verdana" w:hAnsi="Verdana" w:cs="Arial"/>
          <w:color w:val="000000"/>
        </w:rPr>
        <w:t>2</w:t>
      </w:r>
      <w:r w:rsidR="0008345F">
        <w:rPr>
          <w:rFonts w:ascii="Verdana" w:hAnsi="Verdana" w:cs="Arial"/>
          <w:color w:val="000000"/>
        </w:rPr>
        <w:t>4</w:t>
      </w:r>
      <w:r>
        <w:rPr>
          <w:rFonts w:ascii="Verdana" w:hAnsi="Verdana" w:cs="Arial"/>
          <w:color w:val="000000"/>
        </w:rPr>
        <w:t xml:space="preserve"> on a </w:t>
      </w:r>
      <w:r w:rsidR="00294020">
        <w:rPr>
          <w:rFonts w:ascii="Verdana" w:hAnsi="Verdana" w:cs="Arial"/>
          <w:color w:val="000000"/>
        </w:rPr>
        <w:t>site-by-site</w:t>
      </w:r>
      <w:r>
        <w:rPr>
          <w:rFonts w:ascii="Verdana" w:hAnsi="Verdana" w:cs="Arial"/>
          <w:color w:val="000000"/>
        </w:rPr>
        <w:t xml:space="preserve"> basis taking account of the current market conditions. </w:t>
      </w:r>
    </w:p>
    <w:p w14:paraId="320BD23F" w14:textId="77777777" w:rsidR="000418DC" w:rsidRDefault="000418DC" w:rsidP="000418DC">
      <w:pPr>
        <w:rPr>
          <w:rFonts w:ascii="Verdana" w:hAnsi="Verdana"/>
        </w:rPr>
      </w:pPr>
    </w:p>
    <w:p w14:paraId="320BD240" w14:textId="260A6445" w:rsidR="000418DC" w:rsidRDefault="000418DC" w:rsidP="000418DC">
      <w:pPr>
        <w:numPr>
          <w:ilvl w:val="0"/>
          <w:numId w:val="1"/>
        </w:numPr>
        <w:rPr>
          <w:rFonts w:ascii="Verdana" w:hAnsi="Verdana"/>
        </w:rPr>
      </w:pPr>
      <w:r>
        <w:rPr>
          <w:rFonts w:ascii="Verdana" w:hAnsi="Verdana"/>
        </w:rPr>
        <w:t xml:space="preserve">Fertility and Mortality rates are the </w:t>
      </w:r>
      <w:r w:rsidRPr="00EF2DF3">
        <w:rPr>
          <w:rFonts w:ascii="Verdana" w:hAnsi="Verdana"/>
        </w:rPr>
        <w:t>ONS** 20</w:t>
      </w:r>
      <w:r w:rsidR="00856E86">
        <w:rPr>
          <w:rFonts w:ascii="Verdana" w:hAnsi="Verdana"/>
        </w:rPr>
        <w:t>2</w:t>
      </w:r>
      <w:r w:rsidR="0008345F">
        <w:rPr>
          <w:rFonts w:ascii="Verdana" w:hAnsi="Verdana"/>
        </w:rPr>
        <w:t>2</w:t>
      </w:r>
      <w:r w:rsidRPr="00EF2DF3">
        <w:rPr>
          <w:rFonts w:ascii="Verdana" w:hAnsi="Verdana"/>
        </w:rPr>
        <w:t xml:space="preserve"> based </w:t>
      </w:r>
      <w:r>
        <w:rPr>
          <w:rFonts w:ascii="Verdana" w:hAnsi="Verdana"/>
        </w:rPr>
        <w:t xml:space="preserve">projected rates for England &amp; Wales, adjusted by appropriate </w:t>
      </w:r>
      <w:r w:rsidR="00D3542A">
        <w:rPr>
          <w:rFonts w:ascii="Verdana" w:hAnsi="Verdana"/>
        </w:rPr>
        <w:lastRenderedPageBreak/>
        <w:t>local</w:t>
      </w:r>
      <w:r>
        <w:rPr>
          <w:rFonts w:ascii="Verdana" w:hAnsi="Verdana"/>
        </w:rPr>
        <w:t xml:space="preserve"> level correction factors to reflect local variations from the national average.</w:t>
      </w:r>
    </w:p>
    <w:p w14:paraId="320BD241" w14:textId="77777777" w:rsidR="000418DC" w:rsidRDefault="000418DC" w:rsidP="000418DC">
      <w:pPr>
        <w:rPr>
          <w:rFonts w:ascii="Verdana" w:hAnsi="Verdana"/>
        </w:rPr>
      </w:pPr>
    </w:p>
    <w:p w14:paraId="320BD242" w14:textId="5E7AC3CC" w:rsidR="000418DC" w:rsidRDefault="000418DC" w:rsidP="000418DC">
      <w:pPr>
        <w:numPr>
          <w:ilvl w:val="0"/>
          <w:numId w:val="1"/>
        </w:numPr>
        <w:rPr>
          <w:rFonts w:ascii="Verdana" w:hAnsi="Verdana"/>
        </w:rPr>
      </w:pPr>
      <w:r>
        <w:rPr>
          <w:rFonts w:ascii="Verdana" w:hAnsi="Verdana"/>
        </w:rPr>
        <w:t>In and out Migration propensities have been derived from ONS 20</w:t>
      </w:r>
      <w:r w:rsidR="0008345F">
        <w:rPr>
          <w:rFonts w:ascii="Verdana" w:hAnsi="Verdana"/>
        </w:rPr>
        <w:t>2</w:t>
      </w:r>
      <w:r>
        <w:rPr>
          <w:rFonts w:ascii="Verdana" w:hAnsi="Verdana"/>
        </w:rPr>
        <w:t xml:space="preserve">1 Census migration data  </w:t>
      </w:r>
    </w:p>
    <w:p w14:paraId="320BD243" w14:textId="77777777" w:rsidR="000418DC" w:rsidRDefault="000418DC" w:rsidP="000418DC">
      <w:pPr>
        <w:ind w:left="360"/>
        <w:rPr>
          <w:rFonts w:ascii="Verdana" w:hAnsi="Verdana"/>
        </w:rPr>
      </w:pPr>
    </w:p>
    <w:p w14:paraId="320BD244" w14:textId="6270DFFA" w:rsidR="000418DC" w:rsidRPr="0086047A" w:rsidRDefault="000418DC" w:rsidP="000418DC">
      <w:pPr>
        <w:numPr>
          <w:ilvl w:val="0"/>
          <w:numId w:val="1"/>
        </w:numPr>
        <w:rPr>
          <w:rFonts w:ascii="Verdana" w:hAnsi="Verdana"/>
        </w:rPr>
      </w:pPr>
      <w:r w:rsidRPr="0086047A">
        <w:rPr>
          <w:rFonts w:ascii="Verdana" w:hAnsi="Verdana"/>
        </w:rPr>
        <w:t xml:space="preserve">Household Representative rates are </w:t>
      </w:r>
      <w:r w:rsidR="00C70B20" w:rsidRPr="0086047A">
        <w:rPr>
          <w:rFonts w:ascii="Verdana" w:hAnsi="Verdana"/>
        </w:rPr>
        <w:t>ONS</w:t>
      </w:r>
      <w:r w:rsidRPr="0086047A">
        <w:rPr>
          <w:rFonts w:ascii="Verdana" w:hAnsi="Verdana"/>
        </w:rPr>
        <w:t>** 201</w:t>
      </w:r>
      <w:r w:rsidR="00C61B7A">
        <w:rPr>
          <w:rFonts w:ascii="Verdana" w:hAnsi="Verdana"/>
        </w:rPr>
        <w:t>8</w:t>
      </w:r>
      <w:r w:rsidRPr="0086047A">
        <w:rPr>
          <w:rFonts w:ascii="Verdana" w:hAnsi="Verdana"/>
        </w:rPr>
        <w:t xml:space="preserve"> based. </w:t>
      </w:r>
    </w:p>
    <w:p w14:paraId="320BD245" w14:textId="77777777" w:rsidR="000418DC" w:rsidRPr="00152809" w:rsidRDefault="000418DC" w:rsidP="000418DC">
      <w:pPr>
        <w:rPr>
          <w:rFonts w:ascii="Verdana" w:hAnsi="Verdana"/>
          <w:color w:val="FF0000"/>
        </w:rPr>
      </w:pPr>
    </w:p>
    <w:p w14:paraId="320BD246" w14:textId="3C46D284" w:rsidR="000418DC" w:rsidRDefault="000418DC" w:rsidP="000418DC">
      <w:pPr>
        <w:numPr>
          <w:ilvl w:val="0"/>
          <w:numId w:val="1"/>
        </w:numPr>
        <w:rPr>
          <w:rFonts w:ascii="Verdana" w:hAnsi="Verdana"/>
        </w:rPr>
      </w:pPr>
      <w:r>
        <w:rPr>
          <w:rFonts w:ascii="Verdana" w:hAnsi="Verdana"/>
        </w:rPr>
        <w:t>Vacancy and sharing rates are derived from the 20</w:t>
      </w:r>
      <w:r w:rsidR="0008345F">
        <w:rPr>
          <w:rFonts w:ascii="Verdana" w:hAnsi="Verdana"/>
        </w:rPr>
        <w:t>2</w:t>
      </w:r>
      <w:r>
        <w:rPr>
          <w:rFonts w:ascii="Verdana" w:hAnsi="Verdana"/>
        </w:rPr>
        <w:t>1 Census and assumed constant.  The number of second homes is also assumed constant.</w:t>
      </w:r>
    </w:p>
    <w:p w14:paraId="320BD247" w14:textId="77777777" w:rsidR="000418DC" w:rsidRDefault="000418DC" w:rsidP="000418DC">
      <w:pPr>
        <w:ind w:left="360"/>
        <w:rPr>
          <w:rFonts w:ascii="Verdana" w:hAnsi="Verdana"/>
        </w:rPr>
      </w:pPr>
    </w:p>
    <w:p w14:paraId="320BD248" w14:textId="160139E8" w:rsidR="000418DC" w:rsidRDefault="000418DC" w:rsidP="000418DC">
      <w:pPr>
        <w:numPr>
          <w:ilvl w:val="0"/>
          <w:numId w:val="1"/>
        </w:numPr>
        <w:rPr>
          <w:rFonts w:ascii="Verdana" w:hAnsi="Verdana"/>
        </w:rPr>
      </w:pPr>
      <w:r>
        <w:rPr>
          <w:rFonts w:ascii="Verdana" w:hAnsi="Verdana"/>
        </w:rPr>
        <w:t>The geographical base for the forecasts is the 20</w:t>
      </w:r>
      <w:r w:rsidR="0008345F">
        <w:rPr>
          <w:rFonts w:ascii="Verdana" w:hAnsi="Verdana"/>
        </w:rPr>
        <w:t>2</w:t>
      </w:r>
      <w:r>
        <w:rPr>
          <w:rFonts w:ascii="Verdana" w:hAnsi="Verdana"/>
        </w:rPr>
        <w:t>1 Census Output Areas.</w:t>
      </w:r>
    </w:p>
    <w:p w14:paraId="320BD249" w14:textId="77777777" w:rsidR="000418DC" w:rsidRDefault="000418DC" w:rsidP="000418DC">
      <w:pPr>
        <w:rPr>
          <w:rFonts w:ascii="Verdana" w:hAnsi="Verdana"/>
        </w:rPr>
      </w:pPr>
    </w:p>
    <w:p w14:paraId="320BD24A" w14:textId="77777777" w:rsidR="000418DC" w:rsidRDefault="000418DC" w:rsidP="000418DC">
      <w:pPr>
        <w:numPr>
          <w:ilvl w:val="0"/>
          <w:numId w:val="1"/>
        </w:numPr>
        <w:rPr>
          <w:rFonts w:ascii="Verdana" w:hAnsi="Verdana"/>
        </w:rPr>
      </w:pPr>
      <w:r>
        <w:rPr>
          <w:rFonts w:ascii="Verdana" w:hAnsi="Verdana"/>
        </w:rPr>
        <w:t>Please note the figures might not sum due to rounding.</w:t>
      </w:r>
    </w:p>
    <w:p w14:paraId="320BD24B" w14:textId="77777777" w:rsidR="000418DC" w:rsidRDefault="000418DC" w:rsidP="000418DC">
      <w:pPr>
        <w:rPr>
          <w:rFonts w:ascii="Verdana" w:hAnsi="Verdana"/>
        </w:rPr>
      </w:pPr>
    </w:p>
    <w:p w14:paraId="320BD24C" w14:textId="77777777" w:rsidR="000418DC" w:rsidRDefault="000418DC" w:rsidP="000418DC">
      <w:pPr>
        <w:ind w:left="360"/>
        <w:rPr>
          <w:rFonts w:ascii="Verdana" w:hAnsi="Verdana"/>
        </w:rPr>
      </w:pPr>
    </w:p>
    <w:p w14:paraId="320BD24D" w14:textId="77777777" w:rsidR="000418DC" w:rsidRDefault="000418DC" w:rsidP="000418DC">
      <w:pPr>
        <w:rPr>
          <w:rFonts w:ascii="Verdana" w:hAnsi="Verdana"/>
        </w:rPr>
      </w:pPr>
      <w:r>
        <w:rPr>
          <w:rFonts w:ascii="Verdana" w:hAnsi="Verdana"/>
        </w:rPr>
        <w:t xml:space="preserve">** Office for National Statistics </w:t>
      </w:r>
    </w:p>
    <w:p w14:paraId="2AF6FB0B" w14:textId="60098C11" w:rsidR="00152809" w:rsidRDefault="00152809" w:rsidP="000418DC">
      <w:pPr>
        <w:rPr>
          <w:rFonts w:ascii="Verdana" w:hAnsi="Verdana"/>
        </w:rPr>
      </w:pPr>
    </w:p>
    <w:p w14:paraId="694F556B" w14:textId="238CE3A2" w:rsidR="00152809" w:rsidRDefault="00152809" w:rsidP="000418DC">
      <w:pPr>
        <w:rPr>
          <w:rFonts w:ascii="Verdana" w:hAnsi="Verdana"/>
        </w:rPr>
      </w:pPr>
    </w:p>
    <w:p w14:paraId="320BD24F" w14:textId="77777777" w:rsidR="000418DC" w:rsidRDefault="000418DC" w:rsidP="000418DC">
      <w:pPr>
        <w:rPr>
          <w:rFonts w:ascii="Verdana" w:hAnsi="Verdana"/>
        </w:rPr>
      </w:pPr>
    </w:p>
    <w:p w14:paraId="320BD250" w14:textId="77777777" w:rsidR="000418DC" w:rsidRDefault="000418DC" w:rsidP="000418DC"/>
    <w:p w14:paraId="320BD251" w14:textId="77777777" w:rsidR="000418DC" w:rsidRDefault="000418DC" w:rsidP="000418DC"/>
    <w:sectPr w:rsidR="000418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8D5"/>
    <w:multiLevelType w:val="hybridMultilevel"/>
    <w:tmpl w:val="95D481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5216670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DC"/>
    <w:rsid w:val="00010811"/>
    <w:rsid w:val="00012D24"/>
    <w:rsid w:val="00024348"/>
    <w:rsid w:val="000322D0"/>
    <w:rsid w:val="0003633D"/>
    <w:rsid w:val="000418DC"/>
    <w:rsid w:val="00053850"/>
    <w:rsid w:val="00055D01"/>
    <w:rsid w:val="00055EA9"/>
    <w:rsid w:val="000642E8"/>
    <w:rsid w:val="00071A86"/>
    <w:rsid w:val="00081030"/>
    <w:rsid w:val="0008345F"/>
    <w:rsid w:val="000A5A0F"/>
    <w:rsid w:val="000A7E63"/>
    <w:rsid w:val="000B35F3"/>
    <w:rsid w:val="000C240C"/>
    <w:rsid w:val="000C5F66"/>
    <w:rsid w:val="000D34D7"/>
    <w:rsid w:val="000D704C"/>
    <w:rsid w:val="000E6036"/>
    <w:rsid w:val="000F58FD"/>
    <w:rsid w:val="001133CE"/>
    <w:rsid w:val="00116FD1"/>
    <w:rsid w:val="001239AC"/>
    <w:rsid w:val="00131462"/>
    <w:rsid w:val="001320BC"/>
    <w:rsid w:val="00133C59"/>
    <w:rsid w:val="00135BD4"/>
    <w:rsid w:val="00152809"/>
    <w:rsid w:val="00156119"/>
    <w:rsid w:val="001665A8"/>
    <w:rsid w:val="0018131A"/>
    <w:rsid w:val="001931C7"/>
    <w:rsid w:val="0019557F"/>
    <w:rsid w:val="001A1988"/>
    <w:rsid w:val="001B046F"/>
    <w:rsid w:val="001B6C57"/>
    <w:rsid w:val="001B7DDB"/>
    <w:rsid w:val="001D2232"/>
    <w:rsid w:val="001D4CEF"/>
    <w:rsid w:val="001D5952"/>
    <w:rsid w:val="001D6565"/>
    <w:rsid w:val="001E6026"/>
    <w:rsid w:val="00200C8A"/>
    <w:rsid w:val="0020255D"/>
    <w:rsid w:val="00203616"/>
    <w:rsid w:val="00211CA8"/>
    <w:rsid w:val="00214B40"/>
    <w:rsid w:val="002210CE"/>
    <w:rsid w:val="0022446C"/>
    <w:rsid w:val="00231641"/>
    <w:rsid w:val="002552B7"/>
    <w:rsid w:val="00256CAA"/>
    <w:rsid w:val="00267FBC"/>
    <w:rsid w:val="00271589"/>
    <w:rsid w:val="00294020"/>
    <w:rsid w:val="00296F18"/>
    <w:rsid w:val="002A50DE"/>
    <w:rsid w:val="002B0C9D"/>
    <w:rsid w:val="002B3C10"/>
    <w:rsid w:val="002B594B"/>
    <w:rsid w:val="002C0C58"/>
    <w:rsid w:val="002C3E34"/>
    <w:rsid w:val="002C4E73"/>
    <w:rsid w:val="002D7330"/>
    <w:rsid w:val="002F762E"/>
    <w:rsid w:val="002F7B54"/>
    <w:rsid w:val="00317EEF"/>
    <w:rsid w:val="003412F3"/>
    <w:rsid w:val="003433E7"/>
    <w:rsid w:val="003457A6"/>
    <w:rsid w:val="00355A87"/>
    <w:rsid w:val="003568C7"/>
    <w:rsid w:val="00365D83"/>
    <w:rsid w:val="00366271"/>
    <w:rsid w:val="00366777"/>
    <w:rsid w:val="00367FBF"/>
    <w:rsid w:val="00374F20"/>
    <w:rsid w:val="00375297"/>
    <w:rsid w:val="00383DDB"/>
    <w:rsid w:val="00386FFB"/>
    <w:rsid w:val="003A3110"/>
    <w:rsid w:val="003A33DD"/>
    <w:rsid w:val="003A533F"/>
    <w:rsid w:val="003A5CDA"/>
    <w:rsid w:val="003B133F"/>
    <w:rsid w:val="003B5F2C"/>
    <w:rsid w:val="003C49AB"/>
    <w:rsid w:val="003E4B4A"/>
    <w:rsid w:val="003F7BEC"/>
    <w:rsid w:val="00424B14"/>
    <w:rsid w:val="004262C0"/>
    <w:rsid w:val="00426EC3"/>
    <w:rsid w:val="00427E5D"/>
    <w:rsid w:val="0043121B"/>
    <w:rsid w:val="0044229B"/>
    <w:rsid w:val="00451477"/>
    <w:rsid w:val="00454D2E"/>
    <w:rsid w:val="00467DB2"/>
    <w:rsid w:val="00472357"/>
    <w:rsid w:val="004726BA"/>
    <w:rsid w:val="004821A2"/>
    <w:rsid w:val="0048271E"/>
    <w:rsid w:val="004C189F"/>
    <w:rsid w:val="004C1EA3"/>
    <w:rsid w:val="004C2DFE"/>
    <w:rsid w:val="004E0E05"/>
    <w:rsid w:val="004F6857"/>
    <w:rsid w:val="00500562"/>
    <w:rsid w:val="00503274"/>
    <w:rsid w:val="00503F6E"/>
    <w:rsid w:val="005057E0"/>
    <w:rsid w:val="0050658D"/>
    <w:rsid w:val="00547304"/>
    <w:rsid w:val="00547CC5"/>
    <w:rsid w:val="00554311"/>
    <w:rsid w:val="00556F0E"/>
    <w:rsid w:val="0056319A"/>
    <w:rsid w:val="00575647"/>
    <w:rsid w:val="005768EC"/>
    <w:rsid w:val="005808E1"/>
    <w:rsid w:val="005979C5"/>
    <w:rsid w:val="005A11C9"/>
    <w:rsid w:val="005B04C2"/>
    <w:rsid w:val="005C3849"/>
    <w:rsid w:val="005C7A8C"/>
    <w:rsid w:val="005E2445"/>
    <w:rsid w:val="005E4658"/>
    <w:rsid w:val="0060203C"/>
    <w:rsid w:val="00603904"/>
    <w:rsid w:val="0061001D"/>
    <w:rsid w:val="00615656"/>
    <w:rsid w:val="006222E6"/>
    <w:rsid w:val="006234F9"/>
    <w:rsid w:val="00623C86"/>
    <w:rsid w:val="0062576F"/>
    <w:rsid w:val="00633BB6"/>
    <w:rsid w:val="006455CC"/>
    <w:rsid w:val="00654295"/>
    <w:rsid w:val="00655233"/>
    <w:rsid w:val="0065663E"/>
    <w:rsid w:val="0066043F"/>
    <w:rsid w:val="0066430B"/>
    <w:rsid w:val="00664794"/>
    <w:rsid w:val="00667F5A"/>
    <w:rsid w:val="006742F5"/>
    <w:rsid w:val="00674FE1"/>
    <w:rsid w:val="006801B4"/>
    <w:rsid w:val="00685B68"/>
    <w:rsid w:val="006A360D"/>
    <w:rsid w:val="006A58C8"/>
    <w:rsid w:val="006B487B"/>
    <w:rsid w:val="006B5824"/>
    <w:rsid w:val="006B5BF3"/>
    <w:rsid w:val="006C1EB4"/>
    <w:rsid w:val="006C5FDB"/>
    <w:rsid w:val="006C70EA"/>
    <w:rsid w:val="006D548F"/>
    <w:rsid w:val="006E5410"/>
    <w:rsid w:val="006E5B68"/>
    <w:rsid w:val="006F1110"/>
    <w:rsid w:val="00703694"/>
    <w:rsid w:val="007143F0"/>
    <w:rsid w:val="00722CB5"/>
    <w:rsid w:val="007235C2"/>
    <w:rsid w:val="00731C91"/>
    <w:rsid w:val="00731DD2"/>
    <w:rsid w:val="00734EDE"/>
    <w:rsid w:val="00752E95"/>
    <w:rsid w:val="0075385D"/>
    <w:rsid w:val="00755ED7"/>
    <w:rsid w:val="00764420"/>
    <w:rsid w:val="00766910"/>
    <w:rsid w:val="007910C3"/>
    <w:rsid w:val="0079341B"/>
    <w:rsid w:val="007A613A"/>
    <w:rsid w:val="007A6172"/>
    <w:rsid w:val="007B056D"/>
    <w:rsid w:val="007B29AC"/>
    <w:rsid w:val="007C0F10"/>
    <w:rsid w:val="007D2974"/>
    <w:rsid w:val="007E2B56"/>
    <w:rsid w:val="007F0179"/>
    <w:rsid w:val="007F04A7"/>
    <w:rsid w:val="007F3520"/>
    <w:rsid w:val="008135CE"/>
    <w:rsid w:val="00814945"/>
    <w:rsid w:val="00817D29"/>
    <w:rsid w:val="00826D2E"/>
    <w:rsid w:val="00832313"/>
    <w:rsid w:val="008356BA"/>
    <w:rsid w:val="0083727F"/>
    <w:rsid w:val="008561D6"/>
    <w:rsid w:val="00856E86"/>
    <w:rsid w:val="0086047A"/>
    <w:rsid w:val="008611D9"/>
    <w:rsid w:val="00865B20"/>
    <w:rsid w:val="00871A5B"/>
    <w:rsid w:val="008770ED"/>
    <w:rsid w:val="00882F3A"/>
    <w:rsid w:val="0089154A"/>
    <w:rsid w:val="008B014B"/>
    <w:rsid w:val="008B252C"/>
    <w:rsid w:val="008E0434"/>
    <w:rsid w:val="008E4BAC"/>
    <w:rsid w:val="008F2844"/>
    <w:rsid w:val="00901223"/>
    <w:rsid w:val="00913AC0"/>
    <w:rsid w:val="009201B3"/>
    <w:rsid w:val="0094663C"/>
    <w:rsid w:val="00955A74"/>
    <w:rsid w:val="009732E1"/>
    <w:rsid w:val="00974811"/>
    <w:rsid w:val="00980A6F"/>
    <w:rsid w:val="00982895"/>
    <w:rsid w:val="00986AAB"/>
    <w:rsid w:val="00990EF0"/>
    <w:rsid w:val="009A301D"/>
    <w:rsid w:val="009C550F"/>
    <w:rsid w:val="009D3167"/>
    <w:rsid w:val="009D3BBA"/>
    <w:rsid w:val="009D5D84"/>
    <w:rsid w:val="009D7A38"/>
    <w:rsid w:val="009F6816"/>
    <w:rsid w:val="00A05882"/>
    <w:rsid w:val="00A10FB1"/>
    <w:rsid w:val="00A1464F"/>
    <w:rsid w:val="00A16A30"/>
    <w:rsid w:val="00A56664"/>
    <w:rsid w:val="00A765FD"/>
    <w:rsid w:val="00A93191"/>
    <w:rsid w:val="00AC2C54"/>
    <w:rsid w:val="00AC73E6"/>
    <w:rsid w:val="00AC7CB5"/>
    <w:rsid w:val="00AF4A9F"/>
    <w:rsid w:val="00B168CA"/>
    <w:rsid w:val="00B234E5"/>
    <w:rsid w:val="00B46C0D"/>
    <w:rsid w:val="00B474BA"/>
    <w:rsid w:val="00B5245B"/>
    <w:rsid w:val="00B62CB7"/>
    <w:rsid w:val="00B67048"/>
    <w:rsid w:val="00B7643C"/>
    <w:rsid w:val="00B852B4"/>
    <w:rsid w:val="00B91FA6"/>
    <w:rsid w:val="00B951A6"/>
    <w:rsid w:val="00BB4549"/>
    <w:rsid w:val="00BE117F"/>
    <w:rsid w:val="00BF404D"/>
    <w:rsid w:val="00BF5890"/>
    <w:rsid w:val="00BF7FAC"/>
    <w:rsid w:val="00C011D1"/>
    <w:rsid w:val="00C13F1A"/>
    <w:rsid w:val="00C2466E"/>
    <w:rsid w:val="00C3682F"/>
    <w:rsid w:val="00C42F43"/>
    <w:rsid w:val="00C51CDC"/>
    <w:rsid w:val="00C53BC4"/>
    <w:rsid w:val="00C607A8"/>
    <w:rsid w:val="00C61684"/>
    <w:rsid w:val="00C61B7A"/>
    <w:rsid w:val="00C70B20"/>
    <w:rsid w:val="00C72C8F"/>
    <w:rsid w:val="00C81D97"/>
    <w:rsid w:val="00CA6DF1"/>
    <w:rsid w:val="00CB2C92"/>
    <w:rsid w:val="00CD0AC3"/>
    <w:rsid w:val="00CE5731"/>
    <w:rsid w:val="00D14885"/>
    <w:rsid w:val="00D32CF0"/>
    <w:rsid w:val="00D3542A"/>
    <w:rsid w:val="00D40711"/>
    <w:rsid w:val="00D43A23"/>
    <w:rsid w:val="00D43FFA"/>
    <w:rsid w:val="00D472FF"/>
    <w:rsid w:val="00D47CA3"/>
    <w:rsid w:val="00D52F09"/>
    <w:rsid w:val="00D730E8"/>
    <w:rsid w:val="00D75448"/>
    <w:rsid w:val="00D86434"/>
    <w:rsid w:val="00DC7C5A"/>
    <w:rsid w:val="00DD0A15"/>
    <w:rsid w:val="00DD3917"/>
    <w:rsid w:val="00DE1233"/>
    <w:rsid w:val="00DF13EE"/>
    <w:rsid w:val="00DF4E86"/>
    <w:rsid w:val="00E20CC8"/>
    <w:rsid w:val="00E2403A"/>
    <w:rsid w:val="00E26C06"/>
    <w:rsid w:val="00E31617"/>
    <w:rsid w:val="00E34D01"/>
    <w:rsid w:val="00E5347D"/>
    <w:rsid w:val="00E565F6"/>
    <w:rsid w:val="00E60AA9"/>
    <w:rsid w:val="00E65D73"/>
    <w:rsid w:val="00E77619"/>
    <w:rsid w:val="00E9557F"/>
    <w:rsid w:val="00EA192C"/>
    <w:rsid w:val="00EA52B7"/>
    <w:rsid w:val="00EA74FA"/>
    <w:rsid w:val="00EB36E8"/>
    <w:rsid w:val="00EC365B"/>
    <w:rsid w:val="00EC5CE3"/>
    <w:rsid w:val="00EC6A50"/>
    <w:rsid w:val="00ED164A"/>
    <w:rsid w:val="00ED2D61"/>
    <w:rsid w:val="00ED4D70"/>
    <w:rsid w:val="00ED5FE7"/>
    <w:rsid w:val="00EF02FB"/>
    <w:rsid w:val="00EF2DF3"/>
    <w:rsid w:val="00EF63C4"/>
    <w:rsid w:val="00EF6D7A"/>
    <w:rsid w:val="00F15579"/>
    <w:rsid w:val="00F16C19"/>
    <w:rsid w:val="00F25058"/>
    <w:rsid w:val="00F444E7"/>
    <w:rsid w:val="00F4459B"/>
    <w:rsid w:val="00F55A65"/>
    <w:rsid w:val="00F57729"/>
    <w:rsid w:val="00F57B7E"/>
    <w:rsid w:val="00F746E0"/>
    <w:rsid w:val="00F77432"/>
    <w:rsid w:val="00F82A84"/>
    <w:rsid w:val="00F839CA"/>
    <w:rsid w:val="00F863A5"/>
    <w:rsid w:val="00F92BF2"/>
    <w:rsid w:val="00FA0687"/>
    <w:rsid w:val="00FA3ADE"/>
    <w:rsid w:val="00FB5B88"/>
    <w:rsid w:val="00FB625B"/>
    <w:rsid w:val="00FD4708"/>
    <w:rsid w:val="00FE7D7D"/>
    <w:rsid w:val="00FF3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22C"/>
  <w15:docId w15:val="{46CCC48E-434B-4687-8362-3835F665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D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envnkb</dc:creator>
  <cp:lastModifiedBy>Boyles, Kathryn</cp:lastModifiedBy>
  <cp:revision>2</cp:revision>
  <dcterms:created xsi:type="dcterms:W3CDTF">2025-07-30T10:42:00Z</dcterms:created>
  <dcterms:modified xsi:type="dcterms:W3CDTF">2025-07-30T10:42:00Z</dcterms:modified>
</cp:coreProperties>
</file>