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F0DF" w14:textId="77777777" w:rsidR="00863A0F" w:rsidRDefault="00863A0F" w:rsidP="00E61268">
      <w:pPr>
        <w:pStyle w:val="Documenttitle"/>
        <w:spacing w:after="120" w:line="300" w:lineRule="auto"/>
      </w:pPr>
    </w:p>
    <w:p w14:paraId="4E1B35DC" w14:textId="77777777" w:rsidR="00E61268" w:rsidRDefault="00E61268" w:rsidP="00E61268">
      <w:pPr>
        <w:pStyle w:val="Documenttitle"/>
        <w:spacing w:after="120" w:line="300" w:lineRule="auto"/>
      </w:pPr>
    </w:p>
    <w:p w14:paraId="4F18CAA5" w14:textId="55192D3F" w:rsidR="00A97BC7" w:rsidRPr="00E61268" w:rsidRDefault="00E92D19" w:rsidP="00E61268">
      <w:pPr>
        <w:pStyle w:val="Documenttitle"/>
        <w:spacing w:after="120" w:line="300" w:lineRule="auto"/>
        <w:jc w:val="center"/>
        <w:rPr>
          <w:color w:val="08314C"/>
          <w:sz w:val="72"/>
          <w:szCs w:val="72"/>
        </w:rPr>
      </w:pPr>
      <w:r>
        <w:rPr>
          <w:color w:val="08314C"/>
          <w:sz w:val="72"/>
          <w:szCs w:val="72"/>
        </w:rPr>
        <w:t>2026/27</w:t>
      </w:r>
      <w:r w:rsidR="00A97BC7" w:rsidRPr="00E61268">
        <w:rPr>
          <w:color w:val="08314C"/>
          <w:sz w:val="72"/>
          <w:szCs w:val="72"/>
        </w:rPr>
        <w:t xml:space="preserve"> Budget Share</w:t>
      </w:r>
    </w:p>
    <w:p w14:paraId="052303B9" w14:textId="77777777" w:rsidR="00A97BC7" w:rsidRPr="00E61268" w:rsidRDefault="00A97BC7" w:rsidP="00E61268">
      <w:pPr>
        <w:pStyle w:val="Documenttitle"/>
        <w:spacing w:after="120" w:line="300" w:lineRule="auto"/>
        <w:jc w:val="center"/>
        <w:rPr>
          <w:color w:val="08314C"/>
          <w:sz w:val="72"/>
          <w:szCs w:val="72"/>
        </w:rPr>
      </w:pPr>
    </w:p>
    <w:p w14:paraId="2B527346" w14:textId="77777777" w:rsidR="00A97BC7" w:rsidRPr="00E61268" w:rsidRDefault="00A97BC7" w:rsidP="00E61268">
      <w:pPr>
        <w:pStyle w:val="Documenttitle"/>
        <w:spacing w:after="120" w:line="300" w:lineRule="auto"/>
        <w:jc w:val="center"/>
        <w:rPr>
          <w:color w:val="08314C"/>
          <w:sz w:val="72"/>
          <w:szCs w:val="72"/>
        </w:rPr>
      </w:pPr>
      <w:r w:rsidRPr="00E61268">
        <w:rPr>
          <w:color w:val="08314C"/>
          <w:sz w:val="72"/>
          <w:szCs w:val="72"/>
        </w:rPr>
        <w:t>Guidance Notes</w:t>
      </w:r>
    </w:p>
    <w:p w14:paraId="151D1E92" w14:textId="77777777" w:rsidR="00A97BC7" w:rsidRPr="00E61268" w:rsidRDefault="00A97BC7" w:rsidP="00E61268">
      <w:pPr>
        <w:pStyle w:val="Documenttitle"/>
        <w:spacing w:after="120" w:line="300" w:lineRule="auto"/>
        <w:jc w:val="center"/>
        <w:rPr>
          <w:color w:val="08314C"/>
          <w:sz w:val="72"/>
          <w:szCs w:val="72"/>
        </w:rPr>
      </w:pPr>
    </w:p>
    <w:p w14:paraId="6C861B02" w14:textId="192A8E39" w:rsidR="0000701F" w:rsidRPr="00E61268" w:rsidRDefault="00A97BC7" w:rsidP="00E61268">
      <w:pPr>
        <w:pStyle w:val="Documenttitle"/>
        <w:spacing w:after="120" w:line="300" w:lineRule="auto"/>
        <w:jc w:val="center"/>
        <w:rPr>
          <w:color w:val="08314C"/>
          <w:sz w:val="72"/>
          <w:szCs w:val="72"/>
        </w:rPr>
      </w:pPr>
      <w:r w:rsidRPr="00E61268">
        <w:rPr>
          <w:color w:val="08314C"/>
          <w:sz w:val="72"/>
          <w:szCs w:val="72"/>
        </w:rPr>
        <w:t>Special Schools</w:t>
      </w:r>
    </w:p>
    <w:p w14:paraId="181C3914" w14:textId="77777777" w:rsidR="00E61268" w:rsidRDefault="00E61268" w:rsidP="00E61268">
      <w:pPr>
        <w:spacing w:after="120" w:line="300" w:lineRule="auto"/>
      </w:pPr>
    </w:p>
    <w:p w14:paraId="11893E8D" w14:textId="77777777" w:rsidR="00E61268" w:rsidRDefault="00E61268" w:rsidP="00E61268">
      <w:pPr>
        <w:spacing w:after="120" w:line="300" w:lineRule="auto"/>
      </w:pPr>
    </w:p>
    <w:p w14:paraId="540FC69B" w14:textId="77777777" w:rsidR="00E61268" w:rsidRDefault="00E61268" w:rsidP="00E61268">
      <w:pPr>
        <w:spacing w:after="120" w:line="300" w:lineRule="auto"/>
      </w:pPr>
    </w:p>
    <w:p w14:paraId="32DE5028" w14:textId="77777777" w:rsidR="00E61268" w:rsidRDefault="00E61268" w:rsidP="00E61268">
      <w:pPr>
        <w:spacing w:after="120" w:line="300" w:lineRule="auto"/>
      </w:pPr>
    </w:p>
    <w:p w14:paraId="7E331B18" w14:textId="77777777" w:rsidR="00E61268" w:rsidRDefault="00E61268" w:rsidP="00E61268">
      <w:pPr>
        <w:spacing w:after="120" w:line="300" w:lineRule="auto"/>
      </w:pPr>
    </w:p>
    <w:p w14:paraId="5D3E15D3" w14:textId="77777777" w:rsidR="00E61268" w:rsidRDefault="00E61268" w:rsidP="00E61268">
      <w:pPr>
        <w:spacing w:after="120" w:line="300" w:lineRule="auto"/>
      </w:pPr>
    </w:p>
    <w:p w14:paraId="4C145466" w14:textId="77777777" w:rsidR="00E61268" w:rsidRDefault="00E61268" w:rsidP="00E61268">
      <w:pPr>
        <w:spacing w:after="120" w:line="300" w:lineRule="auto"/>
      </w:pPr>
    </w:p>
    <w:p w14:paraId="0005D9D4" w14:textId="77777777" w:rsidR="00E61268" w:rsidRDefault="00E61268" w:rsidP="00E61268">
      <w:pPr>
        <w:spacing w:after="120" w:line="300" w:lineRule="auto"/>
      </w:pPr>
    </w:p>
    <w:p w14:paraId="4EC464E4" w14:textId="77777777" w:rsidR="00E61268" w:rsidRDefault="00E61268" w:rsidP="00E61268">
      <w:pPr>
        <w:spacing w:after="120" w:line="300" w:lineRule="auto"/>
      </w:pPr>
    </w:p>
    <w:p w14:paraId="6FC702C0" w14:textId="64392360" w:rsidR="0000701F" w:rsidRDefault="008218F0" w:rsidP="00E61268">
      <w:pPr>
        <w:spacing w:after="120" w:line="300" w:lineRule="auto"/>
        <w:rPr>
          <w:noProof/>
          <w:color w:val="FFFFFF" w:themeColor="background1"/>
          <w:sz w:val="96"/>
          <w:szCs w:val="96"/>
        </w:rPr>
      </w:pPr>
      <w:r w:rsidRPr="008218F0">
        <w:rPr>
          <w:noProof/>
          <w:color w:val="08314C"/>
        </w:rPr>
        <w:drawing>
          <wp:anchor distT="0" distB="0" distL="114300" distR="114300" simplePos="0" relativeHeight="251658240" behindDoc="1" locked="0" layoutInCell="1" allowOverlap="1" wp14:anchorId="6D389348" wp14:editId="2E772BD1">
            <wp:simplePos x="0" y="0"/>
            <wp:positionH relativeFrom="column">
              <wp:posOffset>-914400</wp:posOffset>
            </wp:positionH>
            <wp:positionV relativeFrom="page">
              <wp:posOffset>9639300</wp:posOffset>
            </wp:positionV>
            <wp:extent cx="7548880" cy="10471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8880" cy="1047115"/>
                    </a:xfrm>
                    <a:prstGeom prst="rect">
                      <a:avLst/>
                    </a:prstGeom>
                  </pic:spPr>
                </pic:pic>
              </a:graphicData>
            </a:graphic>
            <wp14:sizeRelH relativeFrom="page">
              <wp14:pctWidth>0</wp14:pctWidth>
            </wp14:sizeRelH>
            <wp14:sizeRelV relativeFrom="page">
              <wp14:pctHeight>0</wp14:pctHeight>
            </wp14:sizeRelV>
          </wp:anchor>
        </w:drawing>
      </w:r>
      <w:r w:rsidR="00E61268">
        <w:t>February 202</w:t>
      </w:r>
      <w:r w:rsidR="00E92D19">
        <w:t>6</w:t>
      </w:r>
      <w:r w:rsidR="0000701F">
        <w:br w:type="page"/>
      </w:r>
    </w:p>
    <w:p w14:paraId="58F2156C" w14:textId="22AE17C5" w:rsidR="00655C8C" w:rsidRPr="005657D0" w:rsidRDefault="00863A0F" w:rsidP="005657D0">
      <w:pPr>
        <w:pStyle w:val="Contentsh1"/>
        <w:spacing w:after="120" w:line="300" w:lineRule="auto"/>
        <w:rPr>
          <w:sz w:val="40"/>
          <w:szCs w:val="40"/>
        </w:rPr>
      </w:pPr>
      <w:r w:rsidRPr="005657D0">
        <w:rPr>
          <w:sz w:val="40"/>
          <w:szCs w:val="40"/>
        </w:rPr>
        <w:lastRenderedPageBreak/>
        <w:t>Contents</w:t>
      </w:r>
    </w:p>
    <w:p w14:paraId="3C734C0E" w14:textId="393A9D48"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General Information</w:t>
      </w:r>
      <w:r w:rsidRPr="009A7E96">
        <w:rPr>
          <w:noProof/>
          <w:webHidden/>
        </w:rPr>
        <w:tab/>
        <w:t>3</w:t>
      </w:r>
    </w:p>
    <w:p w14:paraId="2E397DFE" w14:textId="7BFBE166"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 xml:space="preserve">Changes for </w:t>
      </w:r>
      <w:r w:rsidR="00E92D19">
        <w:rPr>
          <w:rStyle w:val="Hyperlink"/>
          <w:noProof/>
          <w:color w:val="auto"/>
          <w:u w:val="none"/>
        </w:rPr>
        <w:t>2026/27</w:t>
      </w:r>
      <w:r w:rsidRPr="009A7E96">
        <w:rPr>
          <w:noProof/>
          <w:webHidden/>
        </w:rPr>
        <w:tab/>
        <w:t>4</w:t>
      </w:r>
    </w:p>
    <w:p w14:paraId="6EA348FF" w14:textId="73DDDBD6"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Allocation of Special School Funding</w:t>
      </w:r>
      <w:r w:rsidRPr="009A7E96">
        <w:rPr>
          <w:noProof/>
          <w:webHidden/>
        </w:rPr>
        <w:tab/>
        <w:t>5</w:t>
      </w:r>
    </w:p>
    <w:p w14:paraId="093442AB" w14:textId="51228301"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Contacts for Queries</w:t>
      </w:r>
      <w:r w:rsidRPr="009A7E96">
        <w:rPr>
          <w:noProof/>
          <w:webHidden/>
        </w:rPr>
        <w:tab/>
        <w:t>6</w:t>
      </w:r>
    </w:p>
    <w:p w14:paraId="34EE607B" w14:textId="0038B7B1"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Budget Share and Indicative Top-up Funding</w:t>
      </w:r>
      <w:r w:rsidRPr="009A7E96">
        <w:rPr>
          <w:noProof/>
          <w:webHidden/>
        </w:rPr>
        <w:tab/>
        <w:t>7</w:t>
      </w:r>
    </w:p>
    <w:p w14:paraId="37F817AA" w14:textId="223C62FF"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Place Funding</w:t>
      </w:r>
      <w:r w:rsidRPr="009A7E96">
        <w:rPr>
          <w:noProof/>
          <w:webHidden/>
        </w:rPr>
        <w:tab/>
        <w:t>7</w:t>
      </w:r>
    </w:p>
    <w:p w14:paraId="43B0AB73" w14:textId="09AB95DB" w:rsidR="00F539B8" w:rsidRPr="009A7E96" w:rsidRDefault="00F539B8" w:rsidP="00F539B8">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1) Agreed Place Number (APN)</w:t>
      </w:r>
      <w:r w:rsidRPr="009A7E96">
        <w:rPr>
          <w:noProof/>
          <w:webHidden/>
        </w:rPr>
        <w:tab/>
        <w:t>7</w:t>
      </w:r>
    </w:p>
    <w:p w14:paraId="6BAE3AAF" w14:textId="378DB241" w:rsidR="00F539B8" w:rsidRPr="009A7E96" w:rsidRDefault="00F539B8" w:rsidP="00F539B8">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2) Residential Funding</w:t>
      </w:r>
      <w:r w:rsidRPr="009A7E96">
        <w:rPr>
          <w:noProof/>
          <w:webHidden/>
        </w:rPr>
        <w:tab/>
        <w:t>7</w:t>
      </w:r>
    </w:p>
    <w:p w14:paraId="160E3899" w14:textId="33814DA7" w:rsidR="00F539B8" w:rsidRPr="009A7E96" w:rsidRDefault="00F539B8" w:rsidP="00F539B8">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3) Central Provision Funded by Maintained Schools</w:t>
      </w:r>
      <w:r w:rsidRPr="009A7E96">
        <w:rPr>
          <w:noProof/>
          <w:webHidden/>
        </w:rPr>
        <w:tab/>
        <w:t>7</w:t>
      </w:r>
    </w:p>
    <w:p w14:paraId="3A9E0426" w14:textId="46D53263" w:rsidR="00F539B8" w:rsidRPr="009A7E96" w:rsidRDefault="00F539B8" w:rsidP="00F539B8">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 xml:space="preserve">4) </w:t>
      </w:r>
      <w:r w:rsidR="00B83A94">
        <w:rPr>
          <w:rStyle w:val="Hyperlink"/>
          <w:noProof/>
          <w:color w:val="auto"/>
          <w:u w:val="none"/>
        </w:rPr>
        <w:t>Legacy Funding</w:t>
      </w:r>
      <w:r w:rsidRPr="009A7E96">
        <w:rPr>
          <w:noProof/>
          <w:webHidden/>
        </w:rPr>
        <w:tab/>
      </w:r>
      <w:r w:rsidR="003255AD">
        <w:rPr>
          <w:noProof/>
          <w:webHidden/>
        </w:rPr>
        <w:t>8</w:t>
      </w:r>
    </w:p>
    <w:p w14:paraId="5AA36478" w14:textId="0B0F838C"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Top-up Funding</w:t>
      </w:r>
      <w:r w:rsidRPr="009A7E96">
        <w:rPr>
          <w:noProof/>
          <w:webHidden/>
        </w:rPr>
        <w:tab/>
        <w:t>9</w:t>
      </w:r>
    </w:p>
    <w:p w14:paraId="49522EE7" w14:textId="5FC773AA" w:rsidR="00F539B8" w:rsidRPr="009A7E96" w:rsidRDefault="00B83A94" w:rsidP="00F539B8">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Pr>
          <w:rStyle w:val="Hyperlink"/>
          <w:noProof/>
          <w:color w:val="auto"/>
          <w:u w:val="none"/>
        </w:rPr>
        <w:t>5</w:t>
      </w:r>
      <w:r w:rsidR="00F539B8" w:rsidRPr="009A7E96">
        <w:rPr>
          <w:rStyle w:val="Hyperlink"/>
          <w:noProof/>
          <w:color w:val="auto"/>
          <w:u w:val="none"/>
        </w:rPr>
        <w:t xml:space="preserve">) Pupil Specific Funding </w:t>
      </w:r>
      <w:r w:rsidR="00F81167">
        <w:rPr>
          <w:rStyle w:val="Hyperlink"/>
          <w:noProof/>
          <w:color w:val="auto"/>
          <w:u w:val="none"/>
        </w:rPr>
        <w:t>–</w:t>
      </w:r>
      <w:r w:rsidR="00F539B8" w:rsidRPr="009A7E96">
        <w:rPr>
          <w:rStyle w:val="Hyperlink"/>
          <w:noProof/>
          <w:color w:val="auto"/>
          <w:u w:val="none"/>
        </w:rPr>
        <w:t xml:space="preserve"> </w:t>
      </w:r>
      <w:r w:rsidR="00F81167">
        <w:rPr>
          <w:rStyle w:val="Hyperlink"/>
          <w:noProof/>
          <w:color w:val="auto"/>
          <w:u w:val="none"/>
        </w:rPr>
        <w:t>Special Bands</w:t>
      </w:r>
      <w:r w:rsidR="00F539B8" w:rsidRPr="009A7E96">
        <w:rPr>
          <w:noProof/>
          <w:webHidden/>
        </w:rPr>
        <w:tab/>
        <w:t>10</w:t>
      </w:r>
    </w:p>
    <w:p w14:paraId="16D33A0C" w14:textId="6988E9C0" w:rsidR="00F539B8" w:rsidRPr="009A7E96" w:rsidRDefault="00B83A94" w:rsidP="00F539B8">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Pr>
          <w:rStyle w:val="Hyperlink"/>
          <w:noProof/>
          <w:color w:val="auto"/>
          <w:u w:val="none"/>
        </w:rPr>
        <w:t>6</w:t>
      </w:r>
      <w:r w:rsidR="00F539B8" w:rsidRPr="009A7E96">
        <w:rPr>
          <w:rStyle w:val="Hyperlink"/>
          <w:noProof/>
          <w:color w:val="auto"/>
          <w:u w:val="none"/>
        </w:rPr>
        <w:t>) Split Site Funding</w:t>
      </w:r>
      <w:r w:rsidR="00F539B8" w:rsidRPr="009A7E96">
        <w:rPr>
          <w:noProof/>
          <w:webHidden/>
        </w:rPr>
        <w:tab/>
        <w:t>10</w:t>
      </w:r>
    </w:p>
    <w:p w14:paraId="4066A1B8" w14:textId="72BB8B59" w:rsidR="00F539B8" w:rsidRDefault="00B83A94" w:rsidP="00F539B8">
      <w:pPr>
        <w:pStyle w:val="TOC2"/>
        <w:tabs>
          <w:tab w:val="left" w:pos="880"/>
          <w:tab w:val="right" w:leader="dot" w:pos="9016"/>
        </w:tabs>
        <w:spacing w:after="120" w:line="300" w:lineRule="auto"/>
        <w:rPr>
          <w:noProof/>
          <w:webHidden/>
        </w:rPr>
      </w:pPr>
      <w:r>
        <w:rPr>
          <w:rStyle w:val="Hyperlink"/>
          <w:noProof/>
          <w:color w:val="auto"/>
          <w:u w:val="none"/>
        </w:rPr>
        <w:t>7</w:t>
      </w:r>
      <w:r w:rsidR="00F539B8" w:rsidRPr="009A7E96">
        <w:rPr>
          <w:rStyle w:val="Hyperlink"/>
          <w:noProof/>
          <w:color w:val="auto"/>
          <w:u w:val="none"/>
        </w:rPr>
        <w:t>)</w:t>
      </w:r>
      <w:r w:rsidR="00F539B8" w:rsidRPr="009A7E96">
        <w:rPr>
          <w:rFonts w:asciiTheme="minorHAnsi" w:eastAsiaTheme="minorEastAsia" w:hAnsiTheme="minorHAnsi" w:cstheme="minorBidi"/>
          <w:noProof/>
          <w:sz w:val="22"/>
          <w:szCs w:val="22"/>
          <w:lang w:eastAsia="en-GB"/>
        </w:rPr>
        <w:t xml:space="preserve"> </w:t>
      </w:r>
      <w:r w:rsidR="00F539B8" w:rsidRPr="009A7E96">
        <w:rPr>
          <w:rStyle w:val="Hyperlink"/>
          <w:noProof/>
          <w:color w:val="auto"/>
          <w:u w:val="none"/>
        </w:rPr>
        <w:t>Minimum Funding Guarantee (MFG)</w:t>
      </w:r>
      <w:r w:rsidR="00F539B8" w:rsidRPr="009A7E96">
        <w:rPr>
          <w:noProof/>
          <w:webHidden/>
        </w:rPr>
        <w:tab/>
        <w:t>11</w:t>
      </w:r>
    </w:p>
    <w:p w14:paraId="3C56F4FF" w14:textId="3F351897"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Additional Information</w:t>
      </w:r>
      <w:r w:rsidRPr="009A7E96">
        <w:rPr>
          <w:noProof/>
          <w:webHidden/>
        </w:rPr>
        <w:tab/>
        <w:t>1</w:t>
      </w:r>
      <w:r w:rsidR="00F81167">
        <w:rPr>
          <w:noProof/>
          <w:webHidden/>
        </w:rPr>
        <w:t>2</w:t>
      </w:r>
    </w:p>
    <w:p w14:paraId="6F01BCB7" w14:textId="1CC015A9" w:rsidR="00F539B8" w:rsidRPr="009A7E96" w:rsidRDefault="00B83A94" w:rsidP="00F539B8">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Pr>
          <w:rStyle w:val="Hyperlink"/>
          <w:noProof/>
          <w:color w:val="auto"/>
          <w:u w:val="none"/>
        </w:rPr>
        <w:t>8</w:t>
      </w:r>
      <w:r w:rsidR="00F539B8" w:rsidRPr="009A7E96">
        <w:rPr>
          <w:rStyle w:val="Hyperlink"/>
          <w:noProof/>
          <w:color w:val="auto"/>
          <w:u w:val="none"/>
        </w:rPr>
        <w:t>) Top-up Funding for Pupils from Other Local Authorities (OLAs)</w:t>
      </w:r>
      <w:r w:rsidR="00F539B8" w:rsidRPr="009A7E96">
        <w:rPr>
          <w:noProof/>
          <w:webHidden/>
        </w:rPr>
        <w:tab/>
        <w:t>1</w:t>
      </w:r>
      <w:r w:rsidR="00F81167">
        <w:rPr>
          <w:noProof/>
          <w:webHidden/>
        </w:rPr>
        <w:t>2</w:t>
      </w:r>
    </w:p>
    <w:p w14:paraId="30B1AFC4" w14:textId="2A4806C8" w:rsidR="00F539B8" w:rsidRPr="009A7E96" w:rsidRDefault="00B83A94" w:rsidP="00F539B8">
      <w:pPr>
        <w:pStyle w:val="TOC2"/>
        <w:tabs>
          <w:tab w:val="right" w:leader="dot" w:pos="9016"/>
        </w:tabs>
        <w:spacing w:after="120" w:line="300" w:lineRule="auto"/>
        <w:rPr>
          <w:rFonts w:asciiTheme="minorHAnsi" w:eastAsiaTheme="minorEastAsia" w:hAnsiTheme="minorHAnsi" w:cstheme="minorBidi"/>
          <w:noProof/>
          <w:sz w:val="22"/>
          <w:szCs w:val="22"/>
          <w:lang w:eastAsia="en-GB"/>
        </w:rPr>
      </w:pPr>
      <w:r>
        <w:rPr>
          <w:rStyle w:val="Hyperlink"/>
          <w:noProof/>
          <w:color w:val="auto"/>
          <w:u w:val="none"/>
        </w:rPr>
        <w:t>9</w:t>
      </w:r>
      <w:r w:rsidR="00F539B8" w:rsidRPr="009A7E96">
        <w:rPr>
          <w:rStyle w:val="Hyperlink"/>
          <w:noProof/>
          <w:color w:val="auto"/>
          <w:u w:val="none"/>
        </w:rPr>
        <w:t>) Over Occupancy Funding</w:t>
      </w:r>
      <w:r w:rsidR="00F539B8" w:rsidRPr="009A7E96">
        <w:rPr>
          <w:noProof/>
          <w:webHidden/>
        </w:rPr>
        <w:tab/>
        <w:t>1</w:t>
      </w:r>
      <w:r w:rsidR="004D522B">
        <w:rPr>
          <w:noProof/>
          <w:webHidden/>
        </w:rPr>
        <w:t>2</w:t>
      </w:r>
    </w:p>
    <w:p w14:paraId="2BB0D2A3" w14:textId="3BB847CE" w:rsidR="00F539B8" w:rsidRPr="009A7E96"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 xml:space="preserve">Appendix 1 – Table of Values for Special Schools </w:t>
      </w:r>
      <w:r w:rsidR="00E92D19">
        <w:rPr>
          <w:rStyle w:val="Hyperlink"/>
          <w:noProof/>
          <w:color w:val="auto"/>
          <w:u w:val="none"/>
        </w:rPr>
        <w:t>2026/27</w:t>
      </w:r>
      <w:r w:rsidRPr="009A7E96">
        <w:rPr>
          <w:noProof/>
          <w:webHidden/>
        </w:rPr>
        <w:tab/>
        <w:t>1</w:t>
      </w:r>
      <w:r w:rsidR="00F81167">
        <w:rPr>
          <w:noProof/>
          <w:webHidden/>
        </w:rPr>
        <w:t>4</w:t>
      </w:r>
    </w:p>
    <w:p w14:paraId="2996BE8F" w14:textId="5DAD5576" w:rsidR="00AA2FAD" w:rsidRDefault="00F539B8" w:rsidP="00F539B8">
      <w:pPr>
        <w:pStyle w:val="TOC1"/>
        <w:tabs>
          <w:tab w:val="right" w:leader="dot" w:pos="9016"/>
        </w:tabs>
        <w:spacing w:after="120" w:line="300" w:lineRule="auto"/>
        <w:rPr>
          <w:rFonts w:asciiTheme="minorHAnsi" w:eastAsiaTheme="minorEastAsia" w:hAnsiTheme="minorHAnsi" w:cstheme="minorBidi"/>
          <w:noProof/>
          <w:sz w:val="22"/>
          <w:szCs w:val="22"/>
          <w:lang w:eastAsia="en-GB"/>
        </w:rPr>
      </w:pPr>
      <w:r w:rsidRPr="009A7E96">
        <w:rPr>
          <w:rStyle w:val="Hyperlink"/>
          <w:noProof/>
          <w:color w:val="auto"/>
          <w:u w:val="none"/>
        </w:rPr>
        <w:t xml:space="preserve">Appendix 2 – MFG Example for Special Schools </w:t>
      </w:r>
      <w:r w:rsidR="00E92D19">
        <w:rPr>
          <w:rStyle w:val="Hyperlink"/>
          <w:noProof/>
          <w:color w:val="auto"/>
          <w:u w:val="none"/>
        </w:rPr>
        <w:t>2026/27</w:t>
      </w:r>
      <w:r>
        <w:rPr>
          <w:noProof/>
          <w:webHidden/>
        </w:rPr>
        <w:tab/>
        <w:t>1</w:t>
      </w:r>
      <w:r w:rsidR="00F81167">
        <w:rPr>
          <w:noProof/>
          <w:webHidden/>
        </w:rPr>
        <w:t>5</w:t>
      </w:r>
    </w:p>
    <w:p w14:paraId="3B74FBC2" w14:textId="50CF3BEC" w:rsidR="00A97BC7" w:rsidRPr="000C42E9" w:rsidRDefault="002F2A47" w:rsidP="00E61268">
      <w:pPr>
        <w:spacing w:after="120" w:line="300" w:lineRule="auto"/>
        <w:rPr>
          <w:b/>
          <w:bCs/>
        </w:rPr>
      </w:pPr>
      <w:r>
        <w:br w:type="page"/>
      </w:r>
    </w:p>
    <w:p w14:paraId="1D258D8D" w14:textId="746CD513" w:rsidR="00A97BC7" w:rsidRPr="00E61268" w:rsidRDefault="00A97BC7" w:rsidP="00E61268">
      <w:pPr>
        <w:pStyle w:val="h1"/>
        <w:spacing w:after="120" w:line="300" w:lineRule="auto"/>
        <w:rPr>
          <w:sz w:val="40"/>
          <w:szCs w:val="40"/>
        </w:rPr>
      </w:pPr>
      <w:bookmarkStart w:id="0" w:name="_Toc157696906"/>
      <w:r w:rsidRPr="13367097">
        <w:rPr>
          <w:sz w:val="40"/>
          <w:szCs w:val="40"/>
        </w:rPr>
        <w:lastRenderedPageBreak/>
        <w:t>General Information</w:t>
      </w:r>
      <w:bookmarkEnd w:id="0"/>
    </w:p>
    <w:p w14:paraId="44B424DA" w14:textId="77777777" w:rsidR="00A97BC7" w:rsidRPr="004C0B3D" w:rsidRDefault="00A97BC7" w:rsidP="00E61268">
      <w:pPr>
        <w:spacing w:after="120" w:line="300" w:lineRule="auto"/>
      </w:pPr>
      <w:r w:rsidRPr="004C0B3D">
        <w:t xml:space="preserve">Special schools </w:t>
      </w:r>
      <w:proofErr w:type="gramStart"/>
      <w:r w:rsidRPr="004C0B3D">
        <w:t>are funded</w:t>
      </w:r>
      <w:proofErr w:type="gramEnd"/>
      <w:r w:rsidRPr="004C0B3D">
        <w:t xml:space="preserve"> on a “place plus” basis, in accordance with Department for Education (DfE) requirements. The principles of this approach are that special schools will receive place funding and top-up funding. Place funding is the funding that pupils attract for their core education and basic programmes and funding to meet additional support costs up to a specific threshold. Top-up funding is the element that </w:t>
      </w:r>
      <w:proofErr w:type="gramStart"/>
      <w:r w:rsidRPr="004C0B3D">
        <w:t>is required</w:t>
      </w:r>
      <w:proofErr w:type="gramEnd"/>
      <w:r w:rsidRPr="004C0B3D">
        <w:t xml:space="preserve"> over and above place funding, to enable a pupil with high needs to participate in education and learning. The place funding </w:t>
      </w:r>
      <w:proofErr w:type="gramStart"/>
      <w:r w:rsidRPr="004C0B3D">
        <w:t>is fixed</w:t>
      </w:r>
      <w:proofErr w:type="gramEnd"/>
      <w:r w:rsidRPr="004C0B3D">
        <w:t xml:space="preserve"> for each financial year and continues at £10,000 per agreed place.</w:t>
      </w:r>
    </w:p>
    <w:p w14:paraId="4DF695BD" w14:textId="77777777" w:rsidR="00A97BC7" w:rsidRDefault="00A97BC7" w:rsidP="00E61268">
      <w:pPr>
        <w:spacing w:after="120" w:line="300" w:lineRule="auto"/>
      </w:pPr>
      <w:r>
        <w:t>T</w:t>
      </w:r>
      <w:r w:rsidRPr="008E1AD1">
        <w:t xml:space="preserve">op-up funding follows pupils in real time, so it can fluctuate throughout the financial year </w:t>
      </w:r>
      <w:r>
        <w:t>at</w:t>
      </w:r>
      <w:r w:rsidRPr="008E1AD1">
        <w:t xml:space="preserve"> a school level.</w:t>
      </w:r>
      <w:r>
        <w:t xml:space="preserve"> It </w:t>
      </w:r>
      <w:r w:rsidRPr="008E1AD1">
        <w:t>is</w:t>
      </w:r>
      <w:r>
        <w:t xml:space="preserve"> </w:t>
      </w:r>
      <w:r w:rsidRPr="008E1AD1">
        <w:t>dependent on the number and need type of pupils in the school at any time. Therefore, the top-up element of this budget share is indicative only and will change depending on the actual number of pupils and the</w:t>
      </w:r>
      <w:r>
        <w:t xml:space="preserve"> special education needs</w:t>
      </w:r>
      <w:r w:rsidRPr="008E1AD1">
        <w:t xml:space="preserve"> of the actual pupils</w:t>
      </w:r>
      <w:r>
        <w:t xml:space="preserve"> attending </w:t>
      </w:r>
      <w:r w:rsidRPr="008E1AD1">
        <w:t>the school.</w:t>
      </w:r>
    </w:p>
    <w:p w14:paraId="07DB45A3" w14:textId="77777777" w:rsidR="00A97BC7" w:rsidRPr="003E1296" w:rsidRDefault="00A97BC7" w:rsidP="00E61268">
      <w:pPr>
        <w:spacing w:after="120" w:line="300" w:lineRule="auto"/>
        <w:rPr>
          <w:spacing w:val="1"/>
        </w:rPr>
      </w:pPr>
      <w:r w:rsidRPr="003E1296">
        <w:rPr>
          <w:spacing w:val="1"/>
        </w:rPr>
        <w:t xml:space="preserve">The DfE </w:t>
      </w:r>
      <w:r>
        <w:rPr>
          <w:spacing w:val="1"/>
        </w:rPr>
        <w:t>is</w:t>
      </w:r>
      <w:r w:rsidRPr="003E1296">
        <w:rPr>
          <w:spacing w:val="1"/>
        </w:rPr>
        <w:t xml:space="preserve"> not prescriptive about the approa</w:t>
      </w:r>
      <w:r>
        <w:rPr>
          <w:spacing w:val="1"/>
        </w:rPr>
        <w:t xml:space="preserve">ch or the values to </w:t>
      </w:r>
      <w:proofErr w:type="gramStart"/>
      <w:r>
        <w:rPr>
          <w:spacing w:val="1"/>
        </w:rPr>
        <w:t>be used</w:t>
      </w:r>
      <w:proofErr w:type="gramEnd"/>
      <w:r>
        <w:rPr>
          <w:spacing w:val="1"/>
        </w:rPr>
        <w:t xml:space="preserve"> for </w:t>
      </w:r>
      <w:r w:rsidRPr="003E1296">
        <w:rPr>
          <w:spacing w:val="1"/>
        </w:rPr>
        <w:t xml:space="preserve">top-up funding. </w:t>
      </w:r>
      <w:r>
        <w:rPr>
          <w:spacing w:val="1"/>
        </w:rPr>
        <w:t>However, t</w:t>
      </w:r>
      <w:r w:rsidRPr="003E1296">
        <w:rPr>
          <w:spacing w:val="1"/>
        </w:rPr>
        <w:t>he</w:t>
      </w:r>
      <w:r>
        <w:rPr>
          <w:spacing w:val="1"/>
        </w:rPr>
        <w:t xml:space="preserve"> DfE does state</w:t>
      </w:r>
      <w:r w:rsidRPr="003E1296">
        <w:rPr>
          <w:spacing w:val="1"/>
        </w:rPr>
        <w:t xml:space="preserve"> that the top-</w:t>
      </w:r>
      <w:r>
        <w:rPr>
          <w:spacing w:val="1"/>
        </w:rPr>
        <w:t xml:space="preserve">up funding paid to </w:t>
      </w:r>
      <w:r w:rsidRPr="003E1296">
        <w:rPr>
          <w:spacing w:val="1"/>
        </w:rPr>
        <w:t xml:space="preserve">a </w:t>
      </w:r>
      <w:r>
        <w:rPr>
          <w:spacing w:val="1"/>
        </w:rPr>
        <w:t>special school</w:t>
      </w:r>
      <w:r w:rsidRPr="003E1296">
        <w:rPr>
          <w:spacing w:val="1"/>
        </w:rPr>
        <w:t xml:space="preserve"> should relate to the period that the pupil is at the </w:t>
      </w:r>
      <w:r>
        <w:rPr>
          <w:spacing w:val="1"/>
        </w:rPr>
        <w:t>school</w:t>
      </w:r>
      <w:r w:rsidRPr="003E1296">
        <w:rPr>
          <w:spacing w:val="1"/>
        </w:rPr>
        <w:t xml:space="preserve">. The DfE </w:t>
      </w:r>
      <w:r>
        <w:rPr>
          <w:spacing w:val="1"/>
        </w:rPr>
        <w:t xml:space="preserve">does </w:t>
      </w:r>
      <w:r w:rsidRPr="003E1296">
        <w:rPr>
          <w:spacing w:val="1"/>
        </w:rPr>
        <w:t>not pr</w:t>
      </w:r>
      <w:r>
        <w:rPr>
          <w:spacing w:val="1"/>
        </w:rPr>
        <w:t>e</w:t>
      </w:r>
      <w:r w:rsidRPr="003E1296">
        <w:rPr>
          <w:spacing w:val="1"/>
        </w:rPr>
        <w:t>scri</w:t>
      </w:r>
      <w:r>
        <w:rPr>
          <w:spacing w:val="1"/>
        </w:rPr>
        <w:t>be</w:t>
      </w:r>
      <w:r w:rsidRPr="003E1296">
        <w:rPr>
          <w:spacing w:val="1"/>
        </w:rPr>
        <w:t xml:space="preserve"> whether this is calculated on a daily, weekly, monthly or longer basis, however local authorities should</w:t>
      </w:r>
      <w:r>
        <w:rPr>
          <w:spacing w:val="1"/>
        </w:rPr>
        <w:t xml:space="preserve"> </w:t>
      </w:r>
      <w:r w:rsidRPr="003E1296">
        <w:rPr>
          <w:spacing w:val="1"/>
        </w:rPr>
        <w:t xml:space="preserve">avoid arrangements that </w:t>
      </w:r>
      <w:r>
        <w:rPr>
          <w:spacing w:val="1"/>
        </w:rPr>
        <w:t>result in</w:t>
      </w:r>
      <w:r w:rsidRPr="003E1296">
        <w:rPr>
          <w:spacing w:val="1"/>
        </w:rPr>
        <w:t xml:space="preserve"> double funding when a pupil or student has moved from one </w:t>
      </w:r>
      <w:r>
        <w:rPr>
          <w:spacing w:val="1"/>
        </w:rPr>
        <w:t>school</w:t>
      </w:r>
      <w:r w:rsidRPr="003E1296">
        <w:rPr>
          <w:spacing w:val="1"/>
        </w:rPr>
        <w:t xml:space="preserve"> to </w:t>
      </w:r>
      <w:r>
        <w:rPr>
          <w:spacing w:val="1"/>
        </w:rPr>
        <w:t>another</w:t>
      </w:r>
      <w:r w:rsidRPr="003E1296">
        <w:rPr>
          <w:spacing w:val="1"/>
        </w:rPr>
        <w:t>, so should not enter into agreements with institutions that commit top-up funding for long periods after the pupil has left.</w:t>
      </w:r>
    </w:p>
    <w:p w14:paraId="020B26C1" w14:textId="77777777" w:rsidR="00A97BC7" w:rsidRDefault="00A97BC7" w:rsidP="00E61268">
      <w:pPr>
        <w:spacing w:after="120" w:line="300" w:lineRule="auto"/>
      </w:pPr>
      <w:r w:rsidRPr="008E1AD1">
        <w:t xml:space="preserve">Top-up funding will </w:t>
      </w:r>
      <w:proofErr w:type="gramStart"/>
      <w:r w:rsidRPr="008E1AD1">
        <w:t>be paid</w:t>
      </w:r>
      <w:proofErr w:type="gramEnd"/>
      <w:r w:rsidRPr="008E1AD1">
        <w:t xml:space="preserve"> for the period of attendance; this is irrespective of whether the pupil </w:t>
      </w:r>
      <w:proofErr w:type="gramStart"/>
      <w:r w:rsidRPr="008E1AD1">
        <w:t>is recorded</w:t>
      </w:r>
      <w:proofErr w:type="gramEnd"/>
      <w:r w:rsidRPr="008E1AD1">
        <w:t xml:space="preserve"> on the roll of the school. Therefore, if a pupil leaves the school during the middle of a term, top-up funding will cease from the leaving date. Similarly, should a pupil arrive at a school during the middle of a term, top-up funding will commence from the first day of attendance.</w:t>
      </w:r>
    </w:p>
    <w:p w14:paraId="3D4CA943" w14:textId="77777777" w:rsidR="00E61268" w:rsidRDefault="00E61268" w:rsidP="00E61268">
      <w:pPr>
        <w:spacing w:after="120" w:line="300" w:lineRule="auto"/>
      </w:pPr>
    </w:p>
    <w:p w14:paraId="2724330D" w14:textId="77777777" w:rsidR="00E61268" w:rsidRDefault="00E61268" w:rsidP="00E61268">
      <w:pPr>
        <w:spacing w:after="120" w:line="300" w:lineRule="auto"/>
      </w:pPr>
    </w:p>
    <w:p w14:paraId="21D54465" w14:textId="77777777" w:rsidR="00E61268" w:rsidRDefault="00E61268" w:rsidP="00E61268">
      <w:pPr>
        <w:spacing w:after="120" w:line="300" w:lineRule="auto"/>
      </w:pPr>
    </w:p>
    <w:p w14:paraId="5815A8B6" w14:textId="77777777" w:rsidR="00E61268" w:rsidRDefault="00E61268" w:rsidP="00E61268">
      <w:pPr>
        <w:spacing w:after="120" w:line="300" w:lineRule="auto"/>
      </w:pPr>
    </w:p>
    <w:p w14:paraId="6CD4C340" w14:textId="77777777" w:rsidR="00E61268" w:rsidRDefault="00E61268" w:rsidP="00E61268">
      <w:pPr>
        <w:spacing w:after="120" w:line="300" w:lineRule="auto"/>
      </w:pPr>
    </w:p>
    <w:p w14:paraId="4CFE3523" w14:textId="77777777" w:rsidR="00E61268" w:rsidRDefault="00E61268" w:rsidP="00E61268">
      <w:pPr>
        <w:spacing w:after="120" w:line="300" w:lineRule="auto"/>
      </w:pPr>
    </w:p>
    <w:p w14:paraId="4BD80FF0" w14:textId="7DBCD8BC" w:rsidR="00E61268" w:rsidRDefault="00E61268" w:rsidP="00E61268">
      <w:pPr>
        <w:spacing w:after="120" w:line="300" w:lineRule="auto"/>
      </w:pPr>
    </w:p>
    <w:p w14:paraId="615ABFD4" w14:textId="77777777" w:rsidR="00E61268" w:rsidRPr="008E1AD1" w:rsidRDefault="00E61268" w:rsidP="00E61268">
      <w:pPr>
        <w:spacing w:after="120" w:line="300" w:lineRule="auto"/>
      </w:pPr>
    </w:p>
    <w:p w14:paraId="27B2F046" w14:textId="704793E5" w:rsidR="00A97BC7" w:rsidRPr="00E61268" w:rsidRDefault="00A97BC7" w:rsidP="00E61268">
      <w:pPr>
        <w:pStyle w:val="h1"/>
        <w:spacing w:after="120" w:line="300" w:lineRule="auto"/>
        <w:rPr>
          <w:sz w:val="40"/>
          <w:szCs w:val="40"/>
        </w:rPr>
      </w:pPr>
      <w:bookmarkStart w:id="1" w:name="_Toc157696907"/>
      <w:r w:rsidRPr="00E61268">
        <w:rPr>
          <w:sz w:val="40"/>
          <w:szCs w:val="40"/>
        </w:rPr>
        <w:lastRenderedPageBreak/>
        <w:t xml:space="preserve">Changes for </w:t>
      </w:r>
      <w:r w:rsidR="00E92D19">
        <w:rPr>
          <w:sz w:val="40"/>
          <w:szCs w:val="40"/>
        </w:rPr>
        <w:t>2026/27</w:t>
      </w:r>
      <w:bookmarkEnd w:id="1"/>
    </w:p>
    <w:p w14:paraId="4DE5737C" w14:textId="1500C8A1" w:rsidR="00A97BC7" w:rsidRPr="004C0B3D" w:rsidRDefault="00A97BC7" w:rsidP="00E61268">
      <w:pPr>
        <w:pStyle w:val="ListParagraph"/>
        <w:numPr>
          <w:ilvl w:val="0"/>
          <w:numId w:val="5"/>
        </w:numPr>
        <w:spacing w:after="120" w:line="300" w:lineRule="auto"/>
        <w:ind w:left="714" w:hanging="357"/>
        <w:contextualSpacing w:val="0"/>
      </w:pPr>
      <w:r w:rsidRPr="004C0B3D">
        <w:t>Central provision funded by maintained schools</w:t>
      </w:r>
      <w:r w:rsidR="00E22649">
        <w:t>.</w:t>
      </w:r>
      <w:r w:rsidRPr="004C0B3D">
        <w:t xml:space="preserve"> The rate for </w:t>
      </w:r>
      <w:r w:rsidR="00E92D19">
        <w:t>2026/27</w:t>
      </w:r>
      <w:r w:rsidRPr="004C0B3D">
        <w:t xml:space="preserve"> is £</w:t>
      </w:r>
      <w:r w:rsidR="0047666B">
        <w:t>58.</w:t>
      </w:r>
      <w:r w:rsidR="00267116">
        <w:t>57</w:t>
      </w:r>
      <w:r w:rsidRPr="004C0B3D">
        <w:t xml:space="preserve"> per place, an increase of £</w:t>
      </w:r>
      <w:r w:rsidR="0047666B">
        <w:t>6</w:t>
      </w:r>
      <w:r w:rsidR="00482C43">
        <w:t>.</w:t>
      </w:r>
      <w:r w:rsidR="00267116">
        <w:t>81</w:t>
      </w:r>
      <w:r w:rsidRPr="004C0B3D">
        <w:t>.</w:t>
      </w:r>
    </w:p>
    <w:p w14:paraId="1038980D" w14:textId="5A160A57" w:rsidR="00AF02D7" w:rsidRDefault="00A97BC7" w:rsidP="00E61268">
      <w:pPr>
        <w:pStyle w:val="ListParagraph"/>
        <w:numPr>
          <w:ilvl w:val="0"/>
          <w:numId w:val="5"/>
        </w:numPr>
        <w:spacing w:after="120" w:line="300" w:lineRule="auto"/>
        <w:ind w:left="714" w:hanging="357"/>
        <w:contextualSpacing w:val="0"/>
      </w:pPr>
      <w:r w:rsidRPr="004C0B3D">
        <w:t xml:space="preserve">An amount in respect of </w:t>
      </w:r>
      <w:r w:rsidR="00CC5D98">
        <w:t xml:space="preserve">2025/26 </w:t>
      </w:r>
      <w:r w:rsidR="00F8146C">
        <w:t>Core Schools Budget Grants (</w:t>
      </w:r>
      <w:r w:rsidR="00CC5D98">
        <w:t>CSBG</w:t>
      </w:r>
      <w:r w:rsidR="00F8146C">
        <w:t xml:space="preserve">) and other funding </w:t>
      </w:r>
      <w:r w:rsidR="000A71C7" w:rsidRPr="004C0B3D">
        <w:t xml:space="preserve">has </w:t>
      </w:r>
      <w:proofErr w:type="gramStart"/>
      <w:r w:rsidR="000A71C7" w:rsidRPr="004C0B3D">
        <w:t>been included</w:t>
      </w:r>
      <w:proofErr w:type="gramEnd"/>
      <w:r w:rsidR="000A71C7" w:rsidRPr="004C0B3D">
        <w:t xml:space="preserve"> in the budget shares</w:t>
      </w:r>
      <w:r w:rsidR="00A26EB1">
        <w:t xml:space="preserve"> and is known as </w:t>
      </w:r>
      <w:r w:rsidR="009F21BA" w:rsidRPr="009F21BA">
        <w:rPr>
          <w:b/>
          <w:bCs/>
        </w:rPr>
        <w:t>l</w:t>
      </w:r>
      <w:r w:rsidR="00A26EB1" w:rsidRPr="009F21BA">
        <w:rPr>
          <w:b/>
          <w:bCs/>
        </w:rPr>
        <w:t xml:space="preserve">egacy </w:t>
      </w:r>
      <w:r w:rsidR="009F21BA" w:rsidRPr="009F21BA">
        <w:rPr>
          <w:b/>
          <w:bCs/>
        </w:rPr>
        <w:t>f</w:t>
      </w:r>
      <w:r w:rsidR="00A26EB1" w:rsidRPr="009F21BA">
        <w:rPr>
          <w:b/>
          <w:bCs/>
        </w:rPr>
        <w:t>unding</w:t>
      </w:r>
      <w:r w:rsidR="000A71C7" w:rsidRPr="004C0B3D">
        <w:t xml:space="preserve">. </w:t>
      </w:r>
      <w:r w:rsidR="00F8146C">
        <w:t xml:space="preserve"> </w:t>
      </w:r>
      <w:r w:rsidR="00AF02D7" w:rsidRPr="004C0B3D">
        <w:t>Th</w:t>
      </w:r>
      <w:r w:rsidR="00AF02D7">
        <w:t>is</w:t>
      </w:r>
      <w:r w:rsidR="00AF02D7" w:rsidRPr="004C0B3D">
        <w:t xml:space="preserve"> amount will </w:t>
      </w:r>
      <w:proofErr w:type="gramStart"/>
      <w:r w:rsidR="00AF02D7" w:rsidRPr="004C0B3D">
        <w:t>be shown</w:t>
      </w:r>
      <w:proofErr w:type="gramEnd"/>
      <w:r w:rsidR="00AF02D7" w:rsidRPr="004C0B3D">
        <w:t xml:space="preserve"> separately and paid at the start of the year as a one-off amount as opposed to as part of the top-up rate.</w:t>
      </w:r>
      <w:r w:rsidR="00AF02D7">
        <w:t xml:space="preserve"> </w:t>
      </w:r>
    </w:p>
    <w:p w14:paraId="768C3AD4" w14:textId="2197C7DC" w:rsidR="00A97BC7" w:rsidRPr="004C0B3D" w:rsidRDefault="00602106" w:rsidP="00E61268">
      <w:pPr>
        <w:pStyle w:val="ListParagraph"/>
        <w:numPr>
          <w:ilvl w:val="0"/>
          <w:numId w:val="5"/>
        </w:numPr>
        <w:spacing w:after="120" w:line="300" w:lineRule="auto"/>
        <w:ind w:left="714" w:hanging="357"/>
        <w:contextualSpacing w:val="0"/>
      </w:pPr>
      <w:r>
        <w:t xml:space="preserve">Legacy </w:t>
      </w:r>
      <w:r w:rsidR="009F21BA">
        <w:t>f</w:t>
      </w:r>
      <w:r>
        <w:t>unding</w:t>
      </w:r>
      <w:r w:rsidR="001A5CAF">
        <w:t xml:space="preserve"> rolls in funding previously shown separately </w:t>
      </w:r>
      <w:r w:rsidR="00C016B6">
        <w:t>on the budget share</w:t>
      </w:r>
      <w:r w:rsidR="008B327C">
        <w:t xml:space="preserve">, </w:t>
      </w:r>
      <w:r>
        <w:t xml:space="preserve">previously </w:t>
      </w:r>
      <w:r w:rsidR="008B327C">
        <w:t>described as</w:t>
      </w:r>
      <w:r w:rsidR="00702311">
        <w:t xml:space="preserve"> </w:t>
      </w:r>
      <w:r w:rsidR="00A97BC7" w:rsidRPr="004C0B3D">
        <w:t>Teachers’ Pay Grant (TPG)</w:t>
      </w:r>
      <w:r w:rsidR="00702311">
        <w:t xml:space="preserve">, </w:t>
      </w:r>
      <w:r w:rsidR="00A97BC7" w:rsidRPr="004C0B3D">
        <w:t>Teachers’ Pension Employer Contribution Grant (TPECG</w:t>
      </w:r>
      <w:proofErr w:type="gramStart"/>
      <w:r w:rsidR="00A97BC7" w:rsidRPr="004C0B3D">
        <w:t>)</w:t>
      </w:r>
      <w:proofErr w:type="gramEnd"/>
      <w:r w:rsidR="00A97BC7" w:rsidRPr="004C0B3D">
        <w:t xml:space="preserve"> </w:t>
      </w:r>
      <w:r w:rsidR="00702311">
        <w:t>and High Needs Additional Funding</w:t>
      </w:r>
      <w:r w:rsidR="004F7697">
        <w:t xml:space="preserve"> (HNAF)</w:t>
      </w:r>
      <w:r w:rsidR="008B327C">
        <w:t>.</w:t>
      </w:r>
      <w:r w:rsidR="003F625A">
        <w:t xml:space="preserve"> </w:t>
      </w:r>
    </w:p>
    <w:p w14:paraId="7F37BFE2" w14:textId="2D6F71BA" w:rsidR="00A97BC7" w:rsidRDefault="00A97BC7" w:rsidP="00E61268">
      <w:pPr>
        <w:pStyle w:val="ListParagraph"/>
        <w:numPr>
          <w:ilvl w:val="0"/>
          <w:numId w:val="5"/>
        </w:numPr>
        <w:spacing w:after="120" w:line="300" w:lineRule="auto"/>
        <w:ind w:left="714" w:hanging="357"/>
        <w:contextualSpacing w:val="0"/>
      </w:pPr>
      <w:r w:rsidRPr="004C0B3D">
        <w:t xml:space="preserve">The Minimum Funding Guarantee (MFG) has been </w:t>
      </w:r>
      <w:r>
        <w:t>set at 0</w:t>
      </w:r>
      <w:r w:rsidRPr="004C0B3D">
        <w:t xml:space="preserve">% for the </w:t>
      </w:r>
      <w:r w:rsidR="00E92D19">
        <w:t>2026/27</w:t>
      </w:r>
      <w:r w:rsidRPr="004C0B3D">
        <w:t xml:space="preserve"> financial year, compared to </w:t>
      </w:r>
      <w:r w:rsidR="007A6819">
        <w:t>2025/26</w:t>
      </w:r>
      <w:r w:rsidRPr="004C0B3D">
        <w:t xml:space="preserve"> levels. The </w:t>
      </w:r>
      <w:r w:rsidR="00EC3044">
        <w:t>legacy</w:t>
      </w:r>
      <w:r w:rsidRPr="004C0B3D">
        <w:t xml:space="preserve"> funding allocations referred to above must </w:t>
      </w:r>
      <w:proofErr w:type="gramStart"/>
      <w:r w:rsidRPr="004C0B3D">
        <w:t>be excluded</w:t>
      </w:r>
      <w:proofErr w:type="gramEnd"/>
      <w:r w:rsidRPr="004C0B3D">
        <w:t xml:space="preserve"> from the MFG calculations, so that schools receive both the </w:t>
      </w:r>
      <w:r>
        <w:t>0</w:t>
      </w:r>
      <w:r w:rsidRPr="004C0B3D">
        <w:t>% MFG</w:t>
      </w:r>
      <w:r w:rsidR="009D73A0">
        <w:t xml:space="preserve"> and </w:t>
      </w:r>
      <w:r w:rsidR="009F21BA">
        <w:t>l</w:t>
      </w:r>
      <w:r w:rsidR="009D73A0">
        <w:t xml:space="preserve">egacy </w:t>
      </w:r>
      <w:r w:rsidR="009F21BA">
        <w:t>f</w:t>
      </w:r>
      <w:r w:rsidR="009D73A0">
        <w:t>unding</w:t>
      </w:r>
      <w:r w:rsidRPr="004C0B3D">
        <w:t>.</w:t>
      </w:r>
    </w:p>
    <w:p w14:paraId="18C94E7E" w14:textId="0170FDF8" w:rsidR="00A97BC7" w:rsidRDefault="00A97BC7" w:rsidP="00E61268">
      <w:pPr>
        <w:pStyle w:val="ListParagraph"/>
        <w:numPr>
          <w:ilvl w:val="0"/>
          <w:numId w:val="5"/>
        </w:numPr>
        <w:spacing w:after="120" w:line="300" w:lineRule="auto"/>
        <w:ind w:left="714" w:hanging="357"/>
        <w:contextualSpacing w:val="0"/>
      </w:pPr>
      <w:r w:rsidRPr="004C0B3D">
        <w:t xml:space="preserve">Following the increase in funding of the High Needs Block of the Dedicated Schools Grant (DSG), top-up rates have </w:t>
      </w:r>
      <w:proofErr w:type="gramStart"/>
      <w:r w:rsidRPr="004C0B3D">
        <w:t>been increased</w:t>
      </w:r>
      <w:proofErr w:type="gramEnd"/>
      <w:r w:rsidRPr="004C0B3D">
        <w:t xml:space="preserve"> by </w:t>
      </w:r>
      <w:r w:rsidR="004E3A32">
        <w:t>2.</w:t>
      </w:r>
      <w:r w:rsidR="009D73A0">
        <w:t>1</w:t>
      </w:r>
      <w:r w:rsidRPr="004C0B3D">
        <w:t xml:space="preserve">%, plus </w:t>
      </w:r>
      <w:r w:rsidR="004E3A32">
        <w:t>2.</w:t>
      </w:r>
      <w:r w:rsidR="009D73A0">
        <w:t>1</w:t>
      </w:r>
      <w:r w:rsidRPr="004C0B3D">
        <w:t>% of the place funding (a further £</w:t>
      </w:r>
      <w:r w:rsidR="004E3A32">
        <w:t>2</w:t>
      </w:r>
      <w:r w:rsidR="009D73A0">
        <w:t>1</w:t>
      </w:r>
      <w:r>
        <w:t>0</w:t>
      </w:r>
      <w:r w:rsidRPr="004C0B3D">
        <w:t>).</w:t>
      </w:r>
    </w:p>
    <w:p w14:paraId="060FCEA3" w14:textId="6CBECC3F" w:rsidR="009831D1" w:rsidRDefault="009831D1" w:rsidP="00E61268">
      <w:pPr>
        <w:pStyle w:val="ListParagraph"/>
        <w:numPr>
          <w:ilvl w:val="0"/>
          <w:numId w:val="5"/>
        </w:numPr>
        <w:spacing w:after="120" w:line="300" w:lineRule="auto"/>
        <w:ind w:left="714" w:hanging="357"/>
        <w:contextualSpacing w:val="0"/>
      </w:pPr>
      <w:r w:rsidRPr="00A12B20">
        <w:t xml:space="preserve">Change of </w:t>
      </w:r>
      <w:r w:rsidR="00B07745" w:rsidRPr="00A12B20">
        <w:t>GL code for post-</w:t>
      </w:r>
      <w:proofErr w:type="gramStart"/>
      <w:r w:rsidR="00B07745" w:rsidRPr="00A12B20">
        <w:t>16</w:t>
      </w:r>
      <w:proofErr w:type="gramEnd"/>
      <w:r w:rsidR="00B07745" w:rsidRPr="00A12B20">
        <w:t xml:space="preserve"> places to </w:t>
      </w:r>
      <w:r w:rsidR="00EB7183" w:rsidRPr="00A12B20">
        <w:t>7679, CFR</w:t>
      </w:r>
      <w:r w:rsidR="00CD1522">
        <w:t xml:space="preserve"> code</w:t>
      </w:r>
      <w:r w:rsidR="00EB7183" w:rsidRPr="00A12B20">
        <w:t xml:space="preserve"> I</w:t>
      </w:r>
      <w:r w:rsidR="00910700" w:rsidRPr="00A12B20">
        <w:t>02</w:t>
      </w:r>
      <w:r w:rsidR="00EB7183" w:rsidRPr="00A12B20">
        <w:t>.</w:t>
      </w:r>
    </w:p>
    <w:p w14:paraId="071C7FEE" w14:textId="306E12E2" w:rsidR="00DC2DAA" w:rsidRPr="00A12B20" w:rsidRDefault="00DC2DAA" w:rsidP="00DC2DAA">
      <w:pPr>
        <w:pStyle w:val="ListParagraph"/>
        <w:numPr>
          <w:ilvl w:val="0"/>
          <w:numId w:val="5"/>
        </w:numPr>
        <w:spacing w:after="120" w:line="300" w:lineRule="auto"/>
        <w:ind w:left="714" w:hanging="357"/>
        <w:contextualSpacing w:val="0"/>
      </w:pPr>
      <w:r w:rsidRPr="00A12B20">
        <w:t xml:space="preserve">Change of GL code for </w:t>
      </w:r>
      <w:r w:rsidR="009F21BA">
        <w:t>l</w:t>
      </w:r>
      <w:r>
        <w:t>egacy funding</w:t>
      </w:r>
      <w:r w:rsidRPr="00A12B20">
        <w:t xml:space="preserve"> to 76</w:t>
      </w:r>
      <w:r w:rsidR="00543C90">
        <w:t>97</w:t>
      </w:r>
      <w:r w:rsidRPr="00A12B20">
        <w:t xml:space="preserve">, CFR </w:t>
      </w:r>
      <w:r w:rsidR="00CD1522">
        <w:t xml:space="preserve">code </w:t>
      </w:r>
      <w:r w:rsidRPr="00A12B20">
        <w:t>I0</w:t>
      </w:r>
      <w:r w:rsidR="00543C90">
        <w:t>1</w:t>
      </w:r>
      <w:r w:rsidRPr="00A12B20">
        <w:t>.</w:t>
      </w:r>
    </w:p>
    <w:p w14:paraId="45993A3F" w14:textId="5B40C5B5" w:rsidR="00EB7183" w:rsidRPr="00A12B20" w:rsidRDefault="00EB7183" w:rsidP="00E61268">
      <w:pPr>
        <w:pStyle w:val="ListParagraph"/>
        <w:numPr>
          <w:ilvl w:val="0"/>
          <w:numId w:val="5"/>
        </w:numPr>
        <w:spacing w:after="120" w:line="300" w:lineRule="auto"/>
        <w:ind w:left="714" w:hanging="357"/>
        <w:contextualSpacing w:val="0"/>
      </w:pPr>
      <w:r w:rsidRPr="00A12B20">
        <w:t>Change of GL code for</w:t>
      </w:r>
      <w:r w:rsidR="00454F4A" w:rsidRPr="00A12B20">
        <w:t xml:space="preserve"> outreach to </w:t>
      </w:r>
      <w:r w:rsidR="006D4D2B" w:rsidRPr="00A12B20">
        <w:t>7556</w:t>
      </w:r>
      <w:r w:rsidR="00454F4A" w:rsidRPr="00A12B20">
        <w:t xml:space="preserve">, CFR </w:t>
      </w:r>
      <w:r w:rsidR="00CD1522">
        <w:t xml:space="preserve">code </w:t>
      </w:r>
      <w:r w:rsidR="00454F4A" w:rsidRPr="00A12B20">
        <w:t>I</w:t>
      </w:r>
      <w:r w:rsidR="00763DAF" w:rsidRPr="00A12B20">
        <w:t>08b</w:t>
      </w:r>
      <w:r w:rsidR="00454F4A" w:rsidRPr="00A12B20">
        <w:t>.</w:t>
      </w:r>
    </w:p>
    <w:p w14:paraId="5CA57626" w14:textId="6E63CF2C" w:rsidR="00D11A97" w:rsidRDefault="00D11A97" w:rsidP="00E61268">
      <w:pPr>
        <w:pStyle w:val="ListParagraph"/>
        <w:numPr>
          <w:ilvl w:val="0"/>
          <w:numId w:val="5"/>
        </w:numPr>
        <w:spacing w:after="120" w:line="300" w:lineRule="auto"/>
        <w:ind w:left="714" w:hanging="357"/>
        <w:contextualSpacing w:val="0"/>
      </w:pPr>
      <w:r>
        <w:t xml:space="preserve">Some </w:t>
      </w:r>
      <w:r w:rsidR="00913331">
        <w:t xml:space="preserve">more minor </w:t>
      </w:r>
      <w:r>
        <w:t>clarifications</w:t>
      </w:r>
      <w:r w:rsidR="003255AD">
        <w:t xml:space="preserve">, </w:t>
      </w:r>
      <w:proofErr w:type="gramStart"/>
      <w:r w:rsidR="003255AD">
        <w:t>revisions</w:t>
      </w:r>
      <w:proofErr w:type="gramEnd"/>
      <w:r>
        <w:t xml:space="preserve"> and </w:t>
      </w:r>
      <w:r w:rsidR="00913331">
        <w:t>simplifications throughout</w:t>
      </w:r>
      <w:r w:rsidR="008E1744">
        <w:t>.</w:t>
      </w:r>
    </w:p>
    <w:p w14:paraId="2646EDA4" w14:textId="77777777" w:rsidR="00E61268" w:rsidRDefault="00E61268" w:rsidP="00E61268">
      <w:pPr>
        <w:spacing w:after="120" w:line="300" w:lineRule="auto"/>
      </w:pPr>
    </w:p>
    <w:p w14:paraId="6B5FB252" w14:textId="77777777" w:rsidR="00E61268" w:rsidRPr="004C0B3D" w:rsidRDefault="00E61268" w:rsidP="00E61268">
      <w:pPr>
        <w:spacing w:after="120" w:line="300" w:lineRule="auto"/>
      </w:pPr>
    </w:p>
    <w:p w14:paraId="4493D44A" w14:textId="77777777" w:rsidR="00A37292" w:rsidRDefault="00A37292" w:rsidP="00E61268">
      <w:pPr>
        <w:pStyle w:val="h1"/>
        <w:spacing w:after="120" w:line="300" w:lineRule="auto"/>
        <w:rPr>
          <w:sz w:val="40"/>
          <w:szCs w:val="40"/>
        </w:rPr>
      </w:pPr>
      <w:bookmarkStart w:id="2" w:name="allocations"/>
      <w:bookmarkStart w:id="3" w:name="_Toc157696908"/>
      <w:bookmarkStart w:id="4" w:name="OLE_LINK4"/>
      <w:bookmarkStart w:id="5" w:name="OLE_LINK8"/>
      <w:bookmarkEnd w:id="2"/>
    </w:p>
    <w:p w14:paraId="324AA599" w14:textId="77777777" w:rsidR="009A2D76" w:rsidRDefault="009A2D76">
      <w:pPr>
        <w:spacing w:after="160" w:line="259" w:lineRule="auto"/>
        <w:rPr>
          <w:b/>
          <w:bCs/>
          <w:sz w:val="40"/>
          <w:szCs w:val="40"/>
        </w:rPr>
      </w:pPr>
      <w:r>
        <w:rPr>
          <w:sz w:val="40"/>
          <w:szCs w:val="40"/>
        </w:rPr>
        <w:br w:type="page"/>
      </w:r>
    </w:p>
    <w:p w14:paraId="47EB702A" w14:textId="5E926C1E" w:rsidR="00A97BC7" w:rsidRPr="00E61268" w:rsidRDefault="00A97BC7" w:rsidP="00E61268">
      <w:pPr>
        <w:pStyle w:val="h1"/>
        <w:spacing w:after="120" w:line="300" w:lineRule="auto"/>
        <w:rPr>
          <w:sz w:val="40"/>
          <w:szCs w:val="40"/>
        </w:rPr>
      </w:pPr>
      <w:r w:rsidRPr="00E61268">
        <w:rPr>
          <w:sz w:val="40"/>
          <w:szCs w:val="40"/>
        </w:rPr>
        <w:lastRenderedPageBreak/>
        <w:t>Allocation of Special School Funding</w:t>
      </w:r>
      <w:bookmarkEnd w:id="3"/>
    </w:p>
    <w:p w14:paraId="2E3ACD28" w14:textId="77777777" w:rsidR="00A97BC7" w:rsidRPr="00E61268" w:rsidRDefault="00A97BC7" w:rsidP="00E61268">
      <w:pPr>
        <w:spacing w:after="120" w:line="300" w:lineRule="auto"/>
        <w:rPr>
          <w:u w:val="single"/>
        </w:rPr>
      </w:pPr>
      <w:r w:rsidRPr="00E61268">
        <w:rPr>
          <w:u w:val="single"/>
        </w:rPr>
        <w:t>Place Funding</w:t>
      </w:r>
    </w:p>
    <w:p w14:paraId="20DD3F77" w14:textId="7B9C65AA" w:rsidR="00A97BC7" w:rsidRDefault="00A97BC7" w:rsidP="00E61268">
      <w:pPr>
        <w:spacing w:after="120" w:line="300" w:lineRule="auto"/>
      </w:pPr>
      <w:r>
        <w:t xml:space="preserve">The place funding for maintained schools will be allocated at the start of the financial year and will </w:t>
      </w:r>
      <w:proofErr w:type="gramStart"/>
      <w:r>
        <w:t>be clearly labelled</w:t>
      </w:r>
      <w:proofErr w:type="gramEnd"/>
      <w:r>
        <w:t xml:space="preserve"> “Special School Place Funding </w:t>
      </w:r>
      <w:r w:rsidR="001F4D91">
        <w:t xml:space="preserve">- </w:t>
      </w:r>
      <w:r w:rsidR="00E92D19">
        <w:t>2026/27</w:t>
      </w:r>
      <w:r>
        <w:t>”.</w:t>
      </w:r>
      <w:r w:rsidRPr="004C0FDA">
        <w:t xml:space="preserve"> </w:t>
      </w:r>
      <w:r w:rsidR="00D36810">
        <w:t>Special a</w:t>
      </w:r>
      <w:r>
        <w:t xml:space="preserve">cademy </w:t>
      </w:r>
      <w:r w:rsidR="0005596B">
        <w:t>and special free</w:t>
      </w:r>
      <w:r>
        <w:t xml:space="preserve"> schools receive their place funding from the ESFA as part of their General Annual Grant (GAG) high needs allocation.</w:t>
      </w:r>
    </w:p>
    <w:p w14:paraId="62D87A17" w14:textId="34B6F4AF" w:rsidR="00A97BC7" w:rsidRDefault="00A97BC7" w:rsidP="00E61268">
      <w:pPr>
        <w:spacing w:after="120" w:line="300" w:lineRule="auto"/>
      </w:pPr>
      <w:r>
        <w:t xml:space="preserve">Any additional funding (residential places, </w:t>
      </w:r>
      <w:r w:rsidR="00A12B20">
        <w:t>Legacy</w:t>
      </w:r>
      <w:r>
        <w:t xml:space="preserve"> Funding) will also be allocated at the start of the </w:t>
      </w:r>
      <w:r w:rsidR="00E346FC">
        <w:t xml:space="preserve">financial </w:t>
      </w:r>
      <w:r>
        <w:t>year</w:t>
      </w:r>
      <w:r w:rsidR="00E346FC">
        <w:t xml:space="preserve"> by the Authority, including for </w:t>
      </w:r>
      <w:r w:rsidR="005B219C">
        <w:t xml:space="preserve">special academies and </w:t>
      </w:r>
      <w:r w:rsidR="0005596B">
        <w:t xml:space="preserve">special </w:t>
      </w:r>
      <w:r w:rsidR="005B219C">
        <w:t>free schools</w:t>
      </w:r>
      <w:r>
        <w:t>.</w:t>
      </w:r>
    </w:p>
    <w:p w14:paraId="25D0B799" w14:textId="2B10DE72" w:rsidR="00A97BC7" w:rsidRDefault="00A97BC7" w:rsidP="00E61268">
      <w:pPr>
        <w:spacing w:after="120" w:line="300" w:lineRule="auto"/>
      </w:pPr>
      <w:r>
        <w:t xml:space="preserve">The allocations for place funding </w:t>
      </w:r>
      <w:bookmarkEnd w:id="4"/>
      <w:bookmarkEnd w:id="5"/>
      <w:r>
        <w:t xml:space="preserve">will </w:t>
      </w:r>
      <w:proofErr w:type="gramStart"/>
      <w:r>
        <w:t>be made</w:t>
      </w:r>
      <w:proofErr w:type="gramEnd"/>
      <w:r>
        <w:t xml:space="preserve"> to GL code 7696 (CFR code I01)</w:t>
      </w:r>
      <w:r w:rsidR="002E4E31">
        <w:t xml:space="preserve"> for pre-</w:t>
      </w:r>
      <w:proofErr w:type="gramStart"/>
      <w:r w:rsidR="002E4E31">
        <w:t>16</w:t>
      </w:r>
      <w:proofErr w:type="gramEnd"/>
      <w:r w:rsidR="002E4E31">
        <w:t xml:space="preserve"> places</w:t>
      </w:r>
      <w:r w:rsidR="00440928">
        <w:t xml:space="preserve"> and </w:t>
      </w:r>
      <w:r w:rsidR="002E4E31">
        <w:t>7679 (CFR code I02) for post-</w:t>
      </w:r>
      <w:proofErr w:type="gramStart"/>
      <w:r w:rsidR="002E4E31">
        <w:t>16</w:t>
      </w:r>
      <w:proofErr w:type="gramEnd"/>
      <w:r w:rsidR="002E4E31">
        <w:t xml:space="preserve"> places</w:t>
      </w:r>
      <w:r>
        <w:t xml:space="preserve">. </w:t>
      </w:r>
      <w:r w:rsidR="00027E66">
        <w:t>Legacy Funding</w:t>
      </w:r>
      <w:r w:rsidRPr="0011582F">
        <w:t xml:space="preserve"> </w:t>
      </w:r>
      <w:r>
        <w:t xml:space="preserve">will </w:t>
      </w:r>
      <w:proofErr w:type="gramStart"/>
      <w:r>
        <w:t>be made</w:t>
      </w:r>
      <w:proofErr w:type="gramEnd"/>
      <w:r>
        <w:t xml:space="preserve"> to GL code 769</w:t>
      </w:r>
      <w:r w:rsidR="00B243A7">
        <w:t>7</w:t>
      </w:r>
      <w:r>
        <w:t xml:space="preserve"> (CFR code I0</w:t>
      </w:r>
      <w:r w:rsidR="00B243A7">
        <w:t>1</w:t>
      </w:r>
      <w:r>
        <w:t>)</w:t>
      </w:r>
      <w:r w:rsidR="0005596B">
        <w:t xml:space="preserve"> for maintained </w:t>
      </w:r>
      <w:r w:rsidR="00FA0C20">
        <w:t>schools</w:t>
      </w:r>
      <w:r>
        <w:t>.</w:t>
      </w:r>
    </w:p>
    <w:p w14:paraId="532029FE" w14:textId="77777777" w:rsidR="00A97BC7" w:rsidRPr="00E61268" w:rsidRDefault="00A97BC7" w:rsidP="00E61268">
      <w:pPr>
        <w:spacing w:after="120" w:line="300" w:lineRule="auto"/>
        <w:rPr>
          <w:u w:val="single"/>
        </w:rPr>
      </w:pPr>
      <w:bookmarkStart w:id="6" w:name="ESG"/>
      <w:r w:rsidRPr="00E61268">
        <w:rPr>
          <w:u w:val="single"/>
        </w:rPr>
        <w:t>Central Provision Funded by Maintained Schools</w:t>
      </w:r>
    </w:p>
    <w:p w14:paraId="13F7E512" w14:textId="77777777" w:rsidR="00A97BC7" w:rsidRDefault="00A97BC7" w:rsidP="00E61268">
      <w:pPr>
        <w:spacing w:after="120" w:line="300" w:lineRule="auto"/>
      </w:pPr>
      <w:bookmarkStart w:id="7" w:name="OLE_LINK21"/>
      <w:bookmarkStart w:id="8" w:name="OLE_LINK22"/>
      <w:bookmarkEnd w:id="6"/>
      <w:r w:rsidRPr="00AF1369">
        <w:t xml:space="preserve">The Education Services Grant </w:t>
      </w:r>
      <w:r>
        <w:t xml:space="preserve">(ESG) </w:t>
      </w:r>
      <w:r w:rsidRPr="00AF1369">
        <w:t xml:space="preserve">was previously an un-ringfenced grant paid to the local authority to enable it to carry out its statutory functions for all schools. </w:t>
      </w:r>
    </w:p>
    <w:p w14:paraId="281B9751" w14:textId="77777777" w:rsidR="00A97BC7" w:rsidRDefault="00A97BC7" w:rsidP="00E61268">
      <w:pPr>
        <w:spacing w:after="120" w:line="300" w:lineRule="auto"/>
      </w:pPr>
      <w:r>
        <w:t xml:space="preserve">The retained element of ESG now forms part of the Central School Services Block to fund statutory services for all schools (including academies). The general element, which funded statutory services for maintained schools, has </w:t>
      </w:r>
      <w:proofErr w:type="gramStart"/>
      <w:r>
        <w:t>been cut</w:t>
      </w:r>
      <w:proofErr w:type="gramEnd"/>
      <w:r>
        <w:t xml:space="preserve"> by the DfE, however local authorities are able to top-slice maintained school budget shares to enable them to continue to provide (and fund) statutory functions.</w:t>
      </w:r>
    </w:p>
    <w:p w14:paraId="4588C59C" w14:textId="77777777" w:rsidR="00A97BC7" w:rsidRDefault="00A97BC7" w:rsidP="00E61268">
      <w:pPr>
        <w:spacing w:after="120" w:line="300" w:lineRule="auto"/>
      </w:pPr>
      <w:r w:rsidRPr="00AF1369">
        <w:t xml:space="preserve">The local authority has sought to identify only core statutory activities which are </w:t>
      </w:r>
      <w:proofErr w:type="gramStart"/>
      <w:r w:rsidRPr="00AF1369">
        <w:t>being delivered</w:t>
      </w:r>
      <w:proofErr w:type="gramEnd"/>
      <w:r w:rsidRPr="00AF1369">
        <w:t xml:space="preserve"> by services </w:t>
      </w:r>
      <w:r>
        <w:t xml:space="preserve">and these </w:t>
      </w:r>
      <w:r w:rsidRPr="00AF1369">
        <w:t>have been subject to extensive challenge to ensure efficiency.</w:t>
      </w:r>
    </w:p>
    <w:p w14:paraId="2B11BA94" w14:textId="3427B3D1" w:rsidR="00A97BC7" w:rsidRPr="00BD5EA9" w:rsidRDefault="00A97BC7" w:rsidP="00E61268">
      <w:pPr>
        <w:spacing w:after="120" w:line="300" w:lineRule="auto"/>
      </w:pPr>
      <w:r w:rsidRPr="00AF1369">
        <w:t xml:space="preserve">In </w:t>
      </w:r>
      <w:r w:rsidR="00E92D19">
        <w:t>2026/27</w:t>
      </w:r>
      <w:r w:rsidRPr="00AF1369">
        <w:t>, the top-slice will be £</w:t>
      </w:r>
      <w:r w:rsidR="00543C90">
        <w:t>58.</w:t>
      </w:r>
      <w:r w:rsidR="00267116">
        <w:t>57</w:t>
      </w:r>
      <w:r w:rsidRPr="00AF1369">
        <w:t xml:space="preserve"> per p</w:t>
      </w:r>
      <w:r>
        <w:t>lace</w:t>
      </w:r>
      <w:r w:rsidRPr="00AF1369">
        <w:t xml:space="preserve">. </w:t>
      </w:r>
      <w:r w:rsidRPr="00084D63">
        <w:t>This per p</w:t>
      </w:r>
      <w:r>
        <w:t>lace</w:t>
      </w:r>
      <w:r w:rsidRPr="00084D63">
        <w:t xml:space="preserve"> amount has </w:t>
      </w:r>
      <w:proofErr w:type="gramStart"/>
      <w:r w:rsidRPr="00084D63">
        <w:t>been applied</w:t>
      </w:r>
      <w:proofErr w:type="gramEnd"/>
      <w:r w:rsidRPr="00084D63">
        <w:t xml:space="preserve"> consistently across maintained mainstream schools, special </w:t>
      </w:r>
      <w:proofErr w:type="gramStart"/>
      <w:r w:rsidRPr="00084D63">
        <w:t>schools</w:t>
      </w:r>
      <w:proofErr w:type="gramEnd"/>
      <w:r w:rsidRPr="00084D63">
        <w:t xml:space="preserve"> and education centres. </w:t>
      </w:r>
    </w:p>
    <w:p w14:paraId="622F8F7D" w14:textId="77777777" w:rsidR="00A97BC7" w:rsidRDefault="00A97BC7" w:rsidP="00E61268">
      <w:pPr>
        <w:spacing w:after="120" w:line="300" w:lineRule="auto"/>
        <w:rPr>
          <w:spacing w:val="1"/>
        </w:rPr>
      </w:pPr>
      <w:r>
        <w:rPr>
          <w:spacing w:val="1"/>
        </w:rPr>
        <w:t>T</w:t>
      </w:r>
      <w:r w:rsidRPr="00BC4053">
        <w:rPr>
          <w:spacing w:val="1"/>
        </w:rPr>
        <w:t xml:space="preserve">o comply with the Consistent Financial Reporting (CFR) standards, the gross budget share (before the </w:t>
      </w:r>
      <w:r w:rsidRPr="00BA4404">
        <w:rPr>
          <w:spacing w:val="1"/>
        </w:rPr>
        <w:t>Central Provision Funded by Maintained Schools</w:t>
      </w:r>
      <w:r w:rsidRPr="00BC4053">
        <w:rPr>
          <w:spacing w:val="1"/>
        </w:rPr>
        <w:t xml:space="preserve"> </w:t>
      </w:r>
      <w:r>
        <w:rPr>
          <w:spacing w:val="1"/>
        </w:rPr>
        <w:t>deduction</w:t>
      </w:r>
      <w:r w:rsidRPr="00BC4053">
        <w:rPr>
          <w:spacing w:val="1"/>
        </w:rPr>
        <w:t xml:space="preserve">) will </w:t>
      </w:r>
      <w:proofErr w:type="gramStart"/>
      <w:r w:rsidRPr="00BC4053">
        <w:rPr>
          <w:spacing w:val="1"/>
        </w:rPr>
        <w:t>be credited</w:t>
      </w:r>
      <w:proofErr w:type="gramEnd"/>
      <w:r w:rsidRPr="00BC4053">
        <w:rPr>
          <w:spacing w:val="1"/>
        </w:rPr>
        <w:t xml:space="preserve"> to the </w:t>
      </w:r>
      <w:r>
        <w:rPr>
          <w:spacing w:val="1"/>
        </w:rPr>
        <w:t>special school</w:t>
      </w:r>
      <w:r w:rsidRPr="00BC4053">
        <w:rPr>
          <w:spacing w:val="1"/>
        </w:rPr>
        <w:t xml:space="preserve">’s </w:t>
      </w:r>
      <w:proofErr w:type="gramStart"/>
      <w:r w:rsidRPr="00BC4053">
        <w:rPr>
          <w:spacing w:val="1"/>
        </w:rPr>
        <w:t>0</w:t>
      </w:r>
      <w:proofErr w:type="gramEnd"/>
      <w:r w:rsidRPr="00BC4053">
        <w:rPr>
          <w:spacing w:val="1"/>
        </w:rPr>
        <w:t xml:space="preserve"> cost centre on GL code 7696. The </w:t>
      </w:r>
      <w:r w:rsidRPr="00BA4404">
        <w:rPr>
          <w:spacing w:val="1"/>
        </w:rPr>
        <w:t>Central Provision Funded by Maintained Schools</w:t>
      </w:r>
      <w:r w:rsidRPr="00BC4053">
        <w:rPr>
          <w:spacing w:val="1"/>
        </w:rPr>
        <w:t xml:space="preserve"> charge will then </w:t>
      </w:r>
      <w:proofErr w:type="gramStart"/>
      <w:r w:rsidRPr="00BC4053">
        <w:rPr>
          <w:spacing w:val="1"/>
        </w:rPr>
        <w:t>be debited</w:t>
      </w:r>
      <w:proofErr w:type="gramEnd"/>
      <w:r w:rsidRPr="00BC4053">
        <w:rPr>
          <w:spacing w:val="1"/>
        </w:rPr>
        <w:t xml:space="preserve"> from the same GL code, 7696 (CFR code I01).</w:t>
      </w:r>
    </w:p>
    <w:p w14:paraId="1481BBEA" w14:textId="77777777" w:rsidR="00CA0DCB" w:rsidRDefault="00CA0DCB" w:rsidP="00E61268">
      <w:pPr>
        <w:spacing w:after="120" w:line="300" w:lineRule="auto"/>
        <w:rPr>
          <w:spacing w:val="1"/>
        </w:rPr>
      </w:pPr>
    </w:p>
    <w:p w14:paraId="7CB9BF79" w14:textId="77777777" w:rsidR="00CA0DCB" w:rsidRDefault="00CA0DCB" w:rsidP="00E61268">
      <w:pPr>
        <w:spacing w:after="120" w:line="300" w:lineRule="auto"/>
        <w:rPr>
          <w:spacing w:val="1"/>
        </w:rPr>
      </w:pPr>
    </w:p>
    <w:p w14:paraId="46EC1CDF" w14:textId="77777777" w:rsidR="00CA0DCB" w:rsidRDefault="00CA0DCB" w:rsidP="00E61268">
      <w:pPr>
        <w:spacing w:after="120" w:line="300" w:lineRule="auto"/>
        <w:rPr>
          <w:spacing w:val="1"/>
        </w:rPr>
      </w:pPr>
    </w:p>
    <w:p w14:paraId="2A422ADE" w14:textId="77777777" w:rsidR="00CA0DCB" w:rsidRPr="004B13BA" w:rsidRDefault="00CA0DCB" w:rsidP="00E61268">
      <w:pPr>
        <w:spacing w:after="120" w:line="300" w:lineRule="auto"/>
        <w:rPr>
          <w:spacing w:val="1"/>
        </w:rPr>
      </w:pPr>
    </w:p>
    <w:bookmarkEnd w:id="7"/>
    <w:bookmarkEnd w:id="8"/>
    <w:p w14:paraId="108D55D0" w14:textId="77777777" w:rsidR="00A97BC7" w:rsidRPr="00E61268" w:rsidRDefault="00A97BC7" w:rsidP="00E61268">
      <w:pPr>
        <w:spacing w:after="120" w:line="300" w:lineRule="auto"/>
        <w:rPr>
          <w:u w:val="single"/>
        </w:rPr>
      </w:pPr>
      <w:r w:rsidRPr="00E61268">
        <w:rPr>
          <w:u w:val="single"/>
        </w:rPr>
        <w:lastRenderedPageBreak/>
        <w:t>Top-up Funding</w:t>
      </w:r>
    </w:p>
    <w:p w14:paraId="1921BEFE" w14:textId="77777777" w:rsidR="00A97BC7" w:rsidRDefault="00A97BC7" w:rsidP="00E61268">
      <w:pPr>
        <w:spacing w:after="120" w:line="300" w:lineRule="auto"/>
      </w:pPr>
      <w:r>
        <w:t xml:space="preserve">Top-up funding follows the pupil; therefore, it is necessary to allocate it on a termly basis in arrears. The allocation will </w:t>
      </w:r>
      <w:proofErr w:type="gramStart"/>
      <w:r>
        <w:t>be clearly labelled</w:t>
      </w:r>
      <w:proofErr w:type="gramEnd"/>
      <w:r>
        <w:t xml:space="preserve"> “Top-up funding – </w:t>
      </w:r>
      <w:r w:rsidRPr="003C2675">
        <w:rPr>
          <w:i/>
        </w:rPr>
        <w:t>summer</w:t>
      </w:r>
      <w:r>
        <w:rPr>
          <w:i/>
        </w:rPr>
        <w:t xml:space="preserve"> </w:t>
      </w:r>
      <w:r w:rsidRPr="003C2675">
        <w:rPr>
          <w:i/>
        </w:rPr>
        <w:t>/ autumn</w:t>
      </w:r>
      <w:r>
        <w:rPr>
          <w:i/>
        </w:rPr>
        <w:t xml:space="preserve"> / spring </w:t>
      </w:r>
      <w:r w:rsidRPr="003568B9">
        <w:rPr>
          <w:iCs/>
        </w:rPr>
        <w:t>term</w:t>
      </w:r>
      <w:proofErr w:type="gramStart"/>
      <w:r>
        <w:t>”.</w:t>
      </w:r>
      <w:proofErr w:type="gramEnd"/>
    </w:p>
    <w:p w14:paraId="3EA8D31E" w14:textId="77777777" w:rsidR="00A97BC7" w:rsidRDefault="00A97BC7" w:rsidP="00E61268">
      <w:pPr>
        <w:spacing w:after="120" w:line="300" w:lineRule="auto"/>
      </w:pPr>
      <w:r>
        <w:t xml:space="preserve">The allocations for top-up funding will </w:t>
      </w:r>
      <w:proofErr w:type="gramStart"/>
      <w:r>
        <w:t>be made</w:t>
      </w:r>
      <w:proofErr w:type="gramEnd"/>
      <w:r>
        <w:t xml:space="preserve"> to GL code 7691 (CFR code I03).</w:t>
      </w:r>
    </w:p>
    <w:p w14:paraId="6DB7EC41" w14:textId="1276B416" w:rsidR="00A97BC7" w:rsidRDefault="00A97BC7" w:rsidP="00E61268">
      <w:pPr>
        <w:spacing w:after="120" w:line="300" w:lineRule="auto"/>
      </w:pPr>
      <w:r>
        <w:t xml:space="preserve">It is very important for special schools to check the data on the termly top-up statement which </w:t>
      </w:r>
      <w:proofErr w:type="gramStart"/>
      <w:r>
        <w:t>is sent</w:t>
      </w:r>
      <w:proofErr w:type="gramEnd"/>
      <w:r>
        <w:t xml:space="preserve"> to them. If there are any inaccuracies in the data </w:t>
      </w:r>
      <w:proofErr w:type="gramStart"/>
      <w:r>
        <w:t>being used</w:t>
      </w:r>
      <w:proofErr w:type="gramEnd"/>
      <w:r>
        <w:t xml:space="preserve">, the SEN </w:t>
      </w:r>
      <w:r w:rsidR="0053369A">
        <w:t>Business Support</w:t>
      </w:r>
      <w:r>
        <w:t xml:space="preserve"> Team must </w:t>
      </w:r>
      <w:proofErr w:type="gramStart"/>
      <w:r>
        <w:t>be alerted</w:t>
      </w:r>
      <w:proofErr w:type="gramEnd"/>
      <w:r>
        <w:t xml:space="preserve">, as it will have a direct impact on the amount of top-up funding that is allocated to the school. If a change to the data </w:t>
      </w:r>
      <w:proofErr w:type="gramStart"/>
      <w:r>
        <w:t>is discovered</w:t>
      </w:r>
      <w:proofErr w:type="gramEnd"/>
      <w:r>
        <w:t xml:space="preserve"> after the funding has been allocated, then an adjustment will </w:t>
      </w:r>
      <w:proofErr w:type="gramStart"/>
      <w:r>
        <w:t>be made</w:t>
      </w:r>
      <w:proofErr w:type="gramEnd"/>
      <w:r>
        <w:t xml:space="preserve"> to the allocation at the end of the spring term (or ad-hoc if the adjustment relates to the prior financial year). </w:t>
      </w:r>
    </w:p>
    <w:p w14:paraId="43EF68F5" w14:textId="77777777" w:rsidR="00A97BC7" w:rsidRDefault="00A97BC7" w:rsidP="00E61268">
      <w:pPr>
        <w:spacing w:after="120" w:line="300" w:lineRule="auto"/>
      </w:pPr>
      <w:r>
        <w:t xml:space="preserve">The allocation for any adjustments to top-up funding will </w:t>
      </w:r>
      <w:proofErr w:type="gramStart"/>
      <w:r>
        <w:t>be clearly labelled</w:t>
      </w:r>
      <w:proofErr w:type="gramEnd"/>
      <w:r>
        <w:t xml:space="preserve"> “Top-up funding –</w:t>
      </w:r>
      <w:r w:rsidRPr="000C34F5">
        <w:rPr>
          <w:i/>
        </w:rPr>
        <w:t xml:space="preserve"> summer</w:t>
      </w:r>
      <w:r>
        <w:rPr>
          <w:i/>
        </w:rPr>
        <w:t xml:space="preserve"> </w:t>
      </w:r>
      <w:r w:rsidRPr="000C34F5">
        <w:rPr>
          <w:i/>
        </w:rPr>
        <w:t xml:space="preserve">/ autumn </w:t>
      </w:r>
      <w:r>
        <w:rPr>
          <w:i/>
        </w:rPr>
        <w:t xml:space="preserve">/ spring </w:t>
      </w:r>
      <w:r w:rsidRPr="000B5079">
        <w:rPr>
          <w:iCs/>
        </w:rPr>
        <w:t>term</w:t>
      </w:r>
      <w:r>
        <w:t xml:space="preserve"> adjustment</w:t>
      </w:r>
      <w:proofErr w:type="gramStart"/>
      <w:r>
        <w:t>”.</w:t>
      </w:r>
      <w:proofErr w:type="gramEnd"/>
    </w:p>
    <w:p w14:paraId="529A55D8" w14:textId="77777777" w:rsidR="00A97BC7" w:rsidRDefault="00A97BC7" w:rsidP="00E61268">
      <w:pPr>
        <w:spacing w:after="120" w:line="300" w:lineRule="auto"/>
      </w:pPr>
      <w:r>
        <w:t xml:space="preserve">Any adjustments to top-up funding will also </w:t>
      </w:r>
      <w:proofErr w:type="gramStart"/>
      <w:r>
        <w:t>be made</w:t>
      </w:r>
      <w:proofErr w:type="gramEnd"/>
      <w:r>
        <w:t xml:space="preserve"> to GL code 7691.</w:t>
      </w:r>
    </w:p>
    <w:p w14:paraId="05DC2D51" w14:textId="77777777" w:rsidR="00A97BC7" w:rsidRPr="00E61268" w:rsidRDefault="00A97BC7" w:rsidP="00E61268">
      <w:pPr>
        <w:spacing w:after="120" w:line="300" w:lineRule="auto"/>
        <w:rPr>
          <w:u w:val="single"/>
        </w:rPr>
      </w:pPr>
      <w:r w:rsidRPr="00E61268">
        <w:rPr>
          <w:u w:val="single"/>
        </w:rPr>
        <w:t>Other High Needs Allocations</w:t>
      </w:r>
    </w:p>
    <w:p w14:paraId="6AC33AD7" w14:textId="77777777" w:rsidR="00A97BC7" w:rsidRDefault="00A97BC7" w:rsidP="00E61268">
      <w:pPr>
        <w:spacing w:after="120" w:line="300" w:lineRule="auto"/>
      </w:pPr>
      <w:r>
        <w:t xml:space="preserve">It is important to note that top-up funding for special schools must not be confused with other High Needs funding which is also allocated to GL code 7691. </w:t>
      </w:r>
    </w:p>
    <w:p w14:paraId="5EB52FB5" w14:textId="77777777" w:rsidR="00A97BC7" w:rsidRDefault="00A97BC7" w:rsidP="00E61268">
      <w:pPr>
        <w:spacing w:after="120" w:line="300" w:lineRule="auto"/>
        <w:rPr>
          <w:spacing w:val="1"/>
        </w:rPr>
      </w:pPr>
      <w:r>
        <w:rPr>
          <w:spacing w:val="1"/>
        </w:rPr>
        <w:t xml:space="preserve">Other High Needs allocations for pupils with Education Health and Care Plans (EHCPs) will </w:t>
      </w:r>
      <w:proofErr w:type="gramStart"/>
      <w:r>
        <w:rPr>
          <w:spacing w:val="1"/>
        </w:rPr>
        <w:t>be clearly labelled</w:t>
      </w:r>
      <w:proofErr w:type="gramEnd"/>
      <w:r>
        <w:rPr>
          <w:spacing w:val="1"/>
        </w:rPr>
        <w:t xml:space="preserve">. </w:t>
      </w:r>
      <w:bookmarkStart w:id="9" w:name="contacts"/>
      <w:bookmarkStart w:id="10" w:name="rescontact"/>
      <w:bookmarkEnd w:id="9"/>
      <w:bookmarkEnd w:id="10"/>
    </w:p>
    <w:p w14:paraId="67F41848" w14:textId="77777777" w:rsidR="00A97BC7" w:rsidRPr="000F19CA" w:rsidRDefault="00A97BC7" w:rsidP="000F19CA">
      <w:pPr>
        <w:spacing w:after="120" w:line="300" w:lineRule="auto"/>
        <w:rPr>
          <w:spacing w:val="1"/>
        </w:rPr>
      </w:pPr>
    </w:p>
    <w:p w14:paraId="1A5460B8" w14:textId="77777777" w:rsidR="00A97BC7" w:rsidRPr="00E61268" w:rsidRDefault="00A97BC7" w:rsidP="00E61268">
      <w:pPr>
        <w:pStyle w:val="h1"/>
        <w:spacing w:after="120" w:line="300" w:lineRule="auto"/>
        <w:rPr>
          <w:sz w:val="40"/>
          <w:szCs w:val="40"/>
        </w:rPr>
      </w:pPr>
      <w:bookmarkStart w:id="11" w:name="_Toc157696909"/>
      <w:r w:rsidRPr="00E61268">
        <w:rPr>
          <w:sz w:val="40"/>
          <w:szCs w:val="40"/>
        </w:rPr>
        <w:t>Contacts for Queries</w:t>
      </w:r>
      <w:bookmarkEnd w:id="11"/>
    </w:p>
    <w:p w14:paraId="320F2F2A" w14:textId="12EDFFE5" w:rsidR="00A97BC7" w:rsidRDefault="00A97BC7" w:rsidP="00E61268">
      <w:pPr>
        <w:spacing w:after="120" w:line="300" w:lineRule="auto"/>
      </w:pPr>
      <w:r w:rsidRPr="0065788A">
        <w:rPr>
          <w:bCs/>
          <w:u w:val="single"/>
        </w:rPr>
        <w:t>Agreed Place Numbers (APN)</w:t>
      </w:r>
      <w:r>
        <w:t xml:space="preserve"> – </w:t>
      </w:r>
      <w:r w:rsidR="009D67D4" w:rsidRPr="009D67D4">
        <w:t xml:space="preserve">For queries regarding increasing/decreasing your APN, changing or adding a designation please contact </w:t>
      </w:r>
      <w:hyperlink r:id="rId12" w:history="1">
        <w:r w:rsidR="009D67D4" w:rsidRPr="009D67D4">
          <w:rPr>
            <w:rStyle w:val="Hyperlink"/>
          </w:rPr>
          <w:t>SENDcommissioning@hants.gov.uk</w:t>
        </w:r>
      </w:hyperlink>
      <w:r w:rsidR="0082559A">
        <w:t>.</w:t>
      </w:r>
    </w:p>
    <w:p w14:paraId="0B911A34" w14:textId="1CDA828F" w:rsidR="00A97BC7" w:rsidRPr="00457913" w:rsidRDefault="00A97BC7" w:rsidP="00E61268">
      <w:pPr>
        <w:spacing w:after="120" w:line="300" w:lineRule="auto"/>
        <w:rPr>
          <w:bCs/>
        </w:rPr>
      </w:pPr>
      <w:r w:rsidRPr="00E61268">
        <w:rPr>
          <w:u w:val="single"/>
        </w:rPr>
        <w:t>Place Funding Allocations</w:t>
      </w:r>
      <w:r w:rsidRPr="00A97BC7">
        <w:t xml:space="preserve"> – For queries regarding place funding allocations please contact </w:t>
      </w:r>
      <w:hyperlink r:id="rId13" w:history="1">
        <w:r w:rsidR="0082559A" w:rsidRPr="0082559A">
          <w:rPr>
            <w:rStyle w:val="Hyperlink"/>
            <w:bCs/>
          </w:rPr>
          <w:t>school.fund@hants.gov.uk</w:t>
        </w:r>
      </w:hyperlink>
      <w:r w:rsidR="0082559A">
        <w:rPr>
          <w:bCs/>
        </w:rPr>
        <w:t>.</w:t>
      </w:r>
    </w:p>
    <w:p w14:paraId="65AA8973" w14:textId="793264CA" w:rsidR="00E412A7" w:rsidRDefault="00ED2D0D" w:rsidP="00E61268">
      <w:pPr>
        <w:spacing w:after="120" w:line="300" w:lineRule="auto"/>
        <w:rPr>
          <w:u w:val="single"/>
        </w:rPr>
      </w:pPr>
      <w:r>
        <w:rPr>
          <w:u w:val="single"/>
        </w:rPr>
        <w:t xml:space="preserve">Special School </w:t>
      </w:r>
      <w:r w:rsidR="00AE4C4E">
        <w:rPr>
          <w:u w:val="single"/>
        </w:rPr>
        <w:t>Band</w:t>
      </w:r>
      <w:r>
        <w:rPr>
          <w:u w:val="single"/>
        </w:rPr>
        <w:t xml:space="preserve"> </w:t>
      </w:r>
      <w:r w:rsidR="0038761F">
        <w:rPr>
          <w:u w:val="single"/>
        </w:rPr>
        <w:t>Queries</w:t>
      </w:r>
      <w:r w:rsidR="00F97483" w:rsidRPr="00E412A7">
        <w:t xml:space="preserve"> – For queries regarding </w:t>
      </w:r>
      <w:r w:rsidR="00A14183" w:rsidRPr="00E412A7">
        <w:t xml:space="preserve">changes to </w:t>
      </w:r>
      <w:r w:rsidR="0073218D">
        <w:t xml:space="preserve">agreed </w:t>
      </w:r>
      <w:r w:rsidR="00AE4C4E">
        <w:t>bands</w:t>
      </w:r>
      <w:r w:rsidR="00571E8B">
        <w:t>/funding</w:t>
      </w:r>
      <w:r w:rsidR="00A14183" w:rsidRPr="00E412A7">
        <w:t xml:space="preserve"> </w:t>
      </w:r>
      <w:r w:rsidR="00603FA0">
        <w:t xml:space="preserve">for pupils </w:t>
      </w:r>
      <w:r w:rsidR="00A14183" w:rsidRPr="00E412A7">
        <w:t>please contact y</w:t>
      </w:r>
      <w:r w:rsidR="00E412A7" w:rsidRPr="00E412A7">
        <w:t>our allocated EHC</w:t>
      </w:r>
      <w:r w:rsidR="00567A88">
        <w:t xml:space="preserve"> </w:t>
      </w:r>
      <w:r w:rsidR="00B74321">
        <w:t>Coordinator</w:t>
      </w:r>
      <w:r w:rsidR="00E412A7" w:rsidRPr="00E412A7">
        <w:t>.</w:t>
      </w:r>
    </w:p>
    <w:p w14:paraId="58A6FC5B" w14:textId="3DAF6374" w:rsidR="00A97BC7" w:rsidRDefault="00A97BC7" w:rsidP="00E61268">
      <w:pPr>
        <w:spacing w:after="120" w:line="300" w:lineRule="auto"/>
      </w:pPr>
      <w:r w:rsidRPr="00E61268">
        <w:rPr>
          <w:u w:val="single"/>
        </w:rPr>
        <w:t>Top-up Funding Allocations</w:t>
      </w:r>
      <w:r w:rsidRPr="00A97BC7">
        <w:t xml:space="preserve"> – For queries regarding </w:t>
      </w:r>
      <w:r w:rsidR="0073218D">
        <w:t xml:space="preserve">the processing of </w:t>
      </w:r>
      <w:r w:rsidRPr="00A97BC7">
        <w:t>top-up funding allocation</w:t>
      </w:r>
      <w:r w:rsidR="00A01829">
        <w:t>s</w:t>
      </w:r>
      <w:r w:rsidR="00603FA0">
        <w:t xml:space="preserve"> </w:t>
      </w:r>
      <w:r w:rsidRPr="00A97BC7">
        <w:t xml:space="preserve">please contact </w:t>
      </w:r>
      <w:hyperlink r:id="rId14" w:history="1">
        <w:r w:rsidR="00306A50" w:rsidRPr="00406A86">
          <w:rPr>
            <w:rStyle w:val="Hyperlink"/>
          </w:rPr>
          <w:t>sen.manualpayments@hants.gov.uk</w:t>
        </w:r>
      </w:hyperlink>
      <w:r w:rsidR="0082559A">
        <w:t>.</w:t>
      </w:r>
      <w:r w:rsidR="00306A50">
        <w:t xml:space="preserve"> </w:t>
      </w:r>
    </w:p>
    <w:p w14:paraId="6E3979D8" w14:textId="692A13B1" w:rsidR="004B5A9D" w:rsidRPr="00457913" w:rsidRDefault="00506B9A" w:rsidP="004B5A9D">
      <w:pPr>
        <w:spacing w:after="120" w:line="300" w:lineRule="auto"/>
        <w:rPr>
          <w:bCs/>
        </w:rPr>
      </w:pPr>
      <w:r>
        <w:rPr>
          <w:u w:val="single"/>
        </w:rPr>
        <w:t xml:space="preserve">Legacy </w:t>
      </w:r>
      <w:r w:rsidR="00534D5D">
        <w:rPr>
          <w:u w:val="single"/>
        </w:rPr>
        <w:t>F</w:t>
      </w:r>
      <w:r>
        <w:rPr>
          <w:u w:val="single"/>
        </w:rPr>
        <w:t>unding or</w:t>
      </w:r>
      <w:r w:rsidR="000B4EE5">
        <w:rPr>
          <w:u w:val="single"/>
        </w:rPr>
        <w:t xml:space="preserve"> </w:t>
      </w:r>
      <w:r w:rsidR="00534D5D">
        <w:rPr>
          <w:u w:val="single"/>
        </w:rPr>
        <w:t>G</w:t>
      </w:r>
      <w:r w:rsidR="000B4EE5">
        <w:rPr>
          <w:u w:val="single"/>
        </w:rPr>
        <w:t xml:space="preserve">rant </w:t>
      </w:r>
      <w:r w:rsidR="00534D5D">
        <w:rPr>
          <w:u w:val="single"/>
        </w:rPr>
        <w:t>F</w:t>
      </w:r>
      <w:r w:rsidR="000B4EE5">
        <w:rPr>
          <w:u w:val="single"/>
        </w:rPr>
        <w:t>unding</w:t>
      </w:r>
      <w:r w:rsidR="000D43A4">
        <w:t xml:space="preserve"> – For queries re</w:t>
      </w:r>
      <w:r w:rsidR="004B5A9D">
        <w:t>garding</w:t>
      </w:r>
      <w:r w:rsidR="00534D5D">
        <w:t xml:space="preserve"> </w:t>
      </w:r>
      <w:r w:rsidR="004B5A9D">
        <w:t xml:space="preserve">these funding </w:t>
      </w:r>
      <w:r w:rsidR="004B5A9D" w:rsidRPr="00A97BC7">
        <w:t xml:space="preserve">allocations please contact </w:t>
      </w:r>
      <w:hyperlink r:id="rId15" w:history="1">
        <w:r w:rsidR="0082559A" w:rsidRPr="0082559A">
          <w:rPr>
            <w:rStyle w:val="Hyperlink"/>
            <w:bCs/>
          </w:rPr>
          <w:t>school.fund@hants.gov.uk</w:t>
        </w:r>
      </w:hyperlink>
      <w:r w:rsidR="0082559A">
        <w:t>.</w:t>
      </w:r>
    </w:p>
    <w:p w14:paraId="21FB4EEA" w14:textId="2E04449D" w:rsidR="00127D8D" w:rsidRDefault="00127D8D" w:rsidP="00E61268">
      <w:pPr>
        <w:spacing w:after="120" w:line="300" w:lineRule="auto"/>
      </w:pPr>
    </w:p>
    <w:p w14:paraId="020C0F33" w14:textId="77777777" w:rsidR="00A97BC7" w:rsidRPr="00E61268" w:rsidRDefault="00A97BC7" w:rsidP="00E61268">
      <w:pPr>
        <w:pStyle w:val="h1"/>
        <w:spacing w:after="120" w:line="300" w:lineRule="auto"/>
        <w:rPr>
          <w:sz w:val="40"/>
          <w:szCs w:val="40"/>
        </w:rPr>
      </w:pPr>
      <w:bookmarkStart w:id="12" w:name="_Toc157696910"/>
      <w:r w:rsidRPr="00E61268">
        <w:rPr>
          <w:sz w:val="40"/>
          <w:szCs w:val="40"/>
        </w:rPr>
        <w:lastRenderedPageBreak/>
        <w:t>Budget Share and Indicative Top-up Funding</w:t>
      </w:r>
      <w:bookmarkEnd w:id="12"/>
    </w:p>
    <w:p w14:paraId="23AFC576" w14:textId="77777777" w:rsidR="00A97BC7" w:rsidRDefault="00A97BC7" w:rsidP="00E61268">
      <w:pPr>
        <w:spacing w:after="120" w:line="300" w:lineRule="auto"/>
      </w:pPr>
      <w:r>
        <w:t xml:space="preserve">At the end of </w:t>
      </w:r>
      <w:r w:rsidRPr="005147D9">
        <w:t>February</w:t>
      </w:r>
      <w:r>
        <w:t xml:space="preserve">, each maintained school is issued with a budget share for the forthcoming year. This budget share </w:t>
      </w:r>
      <w:proofErr w:type="gramStart"/>
      <w:r>
        <w:t>is broken</w:t>
      </w:r>
      <w:proofErr w:type="gramEnd"/>
      <w:r>
        <w:t xml:space="preserve"> down into two sections. The first is for the place funding plus any other fixed funding and </w:t>
      </w:r>
      <w:proofErr w:type="gramStart"/>
      <w:r>
        <w:t>is not adjusted</w:t>
      </w:r>
      <w:proofErr w:type="gramEnd"/>
      <w:r>
        <w:t xml:space="preserve"> during the year. The second is for the indicative top-up funding and is subject to change throughout the year, depending on the pupils attending the school.</w:t>
      </w:r>
    </w:p>
    <w:p w14:paraId="2937009C" w14:textId="77777777" w:rsidR="00A97BC7" w:rsidRDefault="00A97BC7" w:rsidP="00E61268">
      <w:pPr>
        <w:spacing w:after="120" w:line="300" w:lineRule="auto"/>
      </w:pPr>
    </w:p>
    <w:p w14:paraId="3E1F28C1" w14:textId="77777777" w:rsidR="00A97BC7" w:rsidRPr="00E61268" w:rsidRDefault="00A97BC7" w:rsidP="00E61268">
      <w:pPr>
        <w:pStyle w:val="h1"/>
        <w:spacing w:after="120" w:line="300" w:lineRule="auto"/>
        <w:rPr>
          <w:sz w:val="40"/>
          <w:szCs w:val="40"/>
        </w:rPr>
      </w:pPr>
      <w:bookmarkStart w:id="13" w:name="_Toc157696911"/>
      <w:r w:rsidRPr="00E61268">
        <w:rPr>
          <w:sz w:val="40"/>
          <w:szCs w:val="40"/>
        </w:rPr>
        <w:t>Place Funding</w:t>
      </w:r>
      <w:bookmarkEnd w:id="13"/>
    </w:p>
    <w:p w14:paraId="4C6B43E9" w14:textId="698F9169" w:rsidR="00A97BC7" w:rsidRPr="00E61268" w:rsidRDefault="00A97BC7" w:rsidP="00E61268">
      <w:pPr>
        <w:pStyle w:val="h2"/>
        <w:spacing w:after="120" w:line="300" w:lineRule="auto"/>
        <w:rPr>
          <w:sz w:val="32"/>
          <w:szCs w:val="32"/>
        </w:rPr>
      </w:pPr>
      <w:bookmarkStart w:id="14" w:name="_Toc157696912"/>
      <w:r w:rsidRPr="00E61268">
        <w:rPr>
          <w:sz w:val="32"/>
          <w:szCs w:val="32"/>
        </w:rPr>
        <w:t xml:space="preserve">1) </w:t>
      </w:r>
      <w:bookmarkStart w:id="15" w:name="apn"/>
      <w:bookmarkEnd w:id="15"/>
      <w:r w:rsidRPr="00E61268">
        <w:rPr>
          <w:sz w:val="32"/>
          <w:szCs w:val="32"/>
        </w:rPr>
        <w:t>Agreed Place Number (APN)</w:t>
      </w:r>
      <w:bookmarkEnd w:id="14"/>
    </w:p>
    <w:p w14:paraId="4A192CA4" w14:textId="062D1F3E" w:rsidR="00A97BC7" w:rsidRDefault="00A97BC7" w:rsidP="00E61268">
      <w:pPr>
        <w:spacing w:after="120" w:line="300" w:lineRule="auto"/>
      </w:pPr>
      <w:r>
        <w:t xml:space="preserve">The APN for academic year </w:t>
      </w:r>
      <w:r w:rsidR="00E92D19">
        <w:t>2026/27</w:t>
      </w:r>
      <w:r>
        <w:t xml:space="preserve"> for each school has been set by the local authority to reflect commissioning activity, in accordance with DfE guidance.</w:t>
      </w:r>
    </w:p>
    <w:p w14:paraId="42D2781A" w14:textId="77777777" w:rsidR="00A97BC7" w:rsidRDefault="00A97BC7" w:rsidP="00E61268">
      <w:pPr>
        <w:spacing w:after="120" w:line="300" w:lineRule="auto"/>
      </w:pPr>
      <w:r>
        <w:t xml:space="preserve">The budget share will reflect the financial year APN, which </w:t>
      </w:r>
      <w:proofErr w:type="gramStart"/>
      <w:r>
        <w:t>is calculated</w:t>
      </w:r>
      <w:proofErr w:type="gramEnd"/>
      <w:r>
        <w:t xml:space="preserve"> as follows:</w:t>
      </w:r>
    </w:p>
    <w:p w14:paraId="1F566633" w14:textId="04C38A2D" w:rsidR="00A97BC7" w:rsidRDefault="00A97BC7" w:rsidP="00E61268">
      <w:pPr>
        <w:spacing w:after="120" w:line="300" w:lineRule="auto"/>
      </w:pPr>
      <w:r>
        <w:t>Pre-</w:t>
      </w:r>
      <w:proofErr w:type="gramStart"/>
      <w:r>
        <w:t>16</w:t>
      </w:r>
      <w:proofErr w:type="gramEnd"/>
      <w:r>
        <w:t xml:space="preserve"> places </w:t>
      </w:r>
      <w:r w:rsidR="00D070BB">
        <w:t>–</w:t>
      </w:r>
      <w:r>
        <w:t xml:space="preserve"> </w:t>
      </w:r>
      <w:r w:rsidR="00D070BB">
        <w:t xml:space="preserve">five-twelfths (5/12) </w:t>
      </w:r>
      <w:r w:rsidR="001C0E23">
        <w:t xml:space="preserve">of the </w:t>
      </w:r>
      <w:r w:rsidR="0080229E">
        <w:t>2025/26</w:t>
      </w:r>
      <w:r w:rsidRPr="00B05FA7">
        <w:t xml:space="preserve"> academic year APN and </w:t>
      </w:r>
      <w:r w:rsidR="001C0E23">
        <w:t>seven-twelfths (</w:t>
      </w:r>
      <w:r w:rsidRPr="00B05FA7">
        <w:t>7/12</w:t>
      </w:r>
      <w:r w:rsidR="001C0E23">
        <w:t xml:space="preserve">) of the </w:t>
      </w:r>
      <w:r w:rsidR="00E92D19">
        <w:t>2026/27</w:t>
      </w:r>
      <w:r w:rsidRPr="00B05FA7">
        <w:t xml:space="preserve"> academic year APN</w:t>
      </w:r>
    </w:p>
    <w:p w14:paraId="509B6374" w14:textId="62D9696E" w:rsidR="00A97BC7" w:rsidRDefault="00A97BC7" w:rsidP="00E61268">
      <w:pPr>
        <w:spacing w:after="120" w:line="300" w:lineRule="auto"/>
      </w:pPr>
      <w:r w:rsidRPr="00B05FA7">
        <w:t>Post-</w:t>
      </w:r>
      <w:proofErr w:type="gramStart"/>
      <w:r w:rsidRPr="00B05FA7">
        <w:t>16</w:t>
      </w:r>
      <w:proofErr w:type="gramEnd"/>
      <w:r w:rsidRPr="00B05FA7">
        <w:t xml:space="preserve"> places</w:t>
      </w:r>
      <w:r>
        <w:t xml:space="preserve"> </w:t>
      </w:r>
      <w:r w:rsidR="001C0E23">
        <w:t>–</w:t>
      </w:r>
      <w:r>
        <w:t xml:space="preserve"> </w:t>
      </w:r>
      <w:r w:rsidR="001C0E23">
        <w:t>four-twelfths (</w:t>
      </w:r>
      <w:r>
        <w:t>4</w:t>
      </w:r>
      <w:r w:rsidRPr="00B05FA7">
        <w:t>/12</w:t>
      </w:r>
      <w:r w:rsidR="001C0E23">
        <w:t>) of the</w:t>
      </w:r>
      <w:r w:rsidRPr="00B05FA7">
        <w:t xml:space="preserve"> </w:t>
      </w:r>
      <w:r w:rsidR="0080229E">
        <w:t>2025/26</w:t>
      </w:r>
      <w:r w:rsidRPr="00B05FA7">
        <w:t xml:space="preserve"> academic year APN and </w:t>
      </w:r>
      <w:r w:rsidR="001C0E23">
        <w:t>eight-twel</w:t>
      </w:r>
      <w:r w:rsidR="00477596">
        <w:t>fths (</w:t>
      </w:r>
      <w:r>
        <w:t>8</w:t>
      </w:r>
      <w:r w:rsidRPr="00B05FA7">
        <w:t>/12</w:t>
      </w:r>
      <w:r w:rsidR="00477596">
        <w:t>) of the</w:t>
      </w:r>
      <w:r w:rsidRPr="00B05FA7">
        <w:t xml:space="preserve"> </w:t>
      </w:r>
      <w:r w:rsidR="00E92D19">
        <w:t>2026/27</w:t>
      </w:r>
      <w:r w:rsidRPr="00B05FA7">
        <w:t xml:space="preserve"> academic year APN</w:t>
      </w:r>
    </w:p>
    <w:p w14:paraId="36BE7D1D" w14:textId="77777777" w:rsidR="003255AD" w:rsidRDefault="003255AD" w:rsidP="00E61268">
      <w:pPr>
        <w:pStyle w:val="h2"/>
        <w:spacing w:after="120" w:line="300" w:lineRule="auto"/>
        <w:rPr>
          <w:sz w:val="32"/>
          <w:szCs w:val="32"/>
        </w:rPr>
      </w:pPr>
      <w:bookmarkStart w:id="16" w:name="_Toc157696913"/>
    </w:p>
    <w:p w14:paraId="74434A6E" w14:textId="212F82ED" w:rsidR="00A97BC7" w:rsidRPr="00E61268" w:rsidRDefault="00A97BC7" w:rsidP="00E61268">
      <w:pPr>
        <w:pStyle w:val="h2"/>
        <w:spacing w:after="120" w:line="300" w:lineRule="auto"/>
        <w:rPr>
          <w:sz w:val="32"/>
          <w:szCs w:val="32"/>
        </w:rPr>
      </w:pPr>
      <w:r w:rsidRPr="00E61268">
        <w:rPr>
          <w:sz w:val="32"/>
          <w:szCs w:val="32"/>
        </w:rPr>
        <w:t xml:space="preserve">2) </w:t>
      </w:r>
      <w:bookmarkStart w:id="17" w:name="additional"/>
      <w:bookmarkEnd w:id="17"/>
      <w:r w:rsidRPr="00E61268">
        <w:rPr>
          <w:sz w:val="32"/>
          <w:szCs w:val="32"/>
        </w:rPr>
        <w:t>Residential Funding</w:t>
      </w:r>
      <w:bookmarkEnd w:id="16"/>
    </w:p>
    <w:p w14:paraId="548B5060" w14:textId="70F5328A" w:rsidR="00A97BC7" w:rsidRDefault="00A97BC7" w:rsidP="00E61268">
      <w:pPr>
        <w:spacing w:after="120" w:line="300" w:lineRule="auto"/>
      </w:pPr>
      <w:r w:rsidRPr="00F156B6">
        <w:t xml:space="preserve">The budget share shows the number of residential beds that have </w:t>
      </w:r>
      <w:proofErr w:type="gramStart"/>
      <w:r w:rsidRPr="00F156B6">
        <w:t>been commissioned</w:t>
      </w:r>
      <w:proofErr w:type="gramEnd"/>
      <w:r w:rsidRPr="00F156B6">
        <w:t xml:space="preserve"> specifically for the residential units at Wolverdene and Lakeside</w:t>
      </w:r>
      <w:r w:rsidR="00F12ABC">
        <w:t xml:space="preserve"> schools</w:t>
      </w:r>
      <w:r w:rsidRPr="00F156B6">
        <w:t>.</w:t>
      </w:r>
    </w:p>
    <w:p w14:paraId="5D3DF374" w14:textId="77777777" w:rsidR="003255AD" w:rsidRDefault="003255AD" w:rsidP="00E61268">
      <w:pPr>
        <w:pStyle w:val="h2"/>
        <w:spacing w:after="120" w:line="300" w:lineRule="auto"/>
        <w:rPr>
          <w:sz w:val="32"/>
          <w:szCs w:val="32"/>
        </w:rPr>
      </w:pPr>
      <w:bookmarkStart w:id="18" w:name="_Toc157696914"/>
    </w:p>
    <w:p w14:paraId="7F975ACC" w14:textId="44D29228" w:rsidR="00A97BC7" w:rsidRPr="00E61268" w:rsidRDefault="00A97BC7" w:rsidP="00E61268">
      <w:pPr>
        <w:pStyle w:val="h2"/>
        <w:spacing w:after="120" w:line="300" w:lineRule="auto"/>
        <w:rPr>
          <w:sz w:val="32"/>
          <w:szCs w:val="32"/>
        </w:rPr>
      </w:pPr>
      <w:r w:rsidRPr="00E61268">
        <w:rPr>
          <w:sz w:val="32"/>
          <w:szCs w:val="32"/>
        </w:rPr>
        <w:t>3) Central Provision Funded by Maintained Schools</w:t>
      </w:r>
      <w:bookmarkEnd w:id="18"/>
    </w:p>
    <w:p w14:paraId="6C8341D6" w14:textId="77777777" w:rsidR="00A97BC7" w:rsidRDefault="00A97BC7" w:rsidP="00E61268">
      <w:pPr>
        <w:spacing w:after="120" w:line="300" w:lineRule="auto"/>
      </w:pPr>
      <w:r>
        <w:t>This is the top-slice from maintained school budgets to fund local authority statutory functions, following the cut to the Education Services Grant by the DfE from September 2017. It is a fixed deduction per agreed place.</w:t>
      </w:r>
    </w:p>
    <w:p w14:paraId="3222BB89" w14:textId="77777777" w:rsidR="003255AD" w:rsidRDefault="003255AD" w:rsidP="00E61268">
      <w:pPr>
        <w:pStyle w:val="h2"/>
        <w:spacing w:after="120" w:line="300" w:lineRule="auto"/>
        <w:rPr>
          <w:sz w:val="32"/>
          <w:szCs w:val="32"/>
        </w:rPr>
      </w:pPr>
      <w:bookmarkStart w:id="19" w:name="_Toc157696915"/>
    </w:p>
    <w:p w14:paraId="708E2763" w14:textId="77777777" w:rsidR="003255AD" w:rsidRDefault="003255AD" w:rsidP="00E61268">
      <w:pPr>
        <w:pStyle w:val="h2"/>
        <w:spacing w:after="120" w:line="300" w:lineRule="auto"/>
        <w:rPr>
          <w:sz w:val="32"/>
          <w:szCs w:val="32"/>
        </w:rPr>
      </w:pPr>
    </w:p>
    <w:p w14:paraId="7CA456AE" w14:textId="77777777" w:rsidR="003255AD" w:rsidRDefault="003255AD" w:rsidP="00E61268">
      <w:pPr>
        <w:pStyle w:val="h2"/>
        <w:spacing w:after="120" w:line="300" w:lineRule="auto"/>
        <w:rPr>
          <w:sz w:val="32"/>
          <w:szCs w:val="32"/>
        </w:rPr>
      </w:pPr>
    </w:p>
    <w:p w14:paraId="03818BF5" w14:textId="77777777" w:rsidR="00B82045" w:rsidRDefault="00B82045" w:rsidP="00E61268">
      <w:pPr>
        <w:pStyle w:val="h2"/>
        <w:spacing w:after="120" w:line="300" w:lineRule="auto"/>
        <w:rPr>
          <w:sz w:val="32"/>
          <w:szCs w:val="32"/>
        </w:rPr>
      </w:pPr>
    </w:p>
    <w:p w14:paraId="0281A728" w14:textId="04E7C0E2" w:rsidR="00A97BC7" w:rsidRPr="00B82045" w:rsidRDefault="00A97BC7" w:rsidP="00B82045">
      <w:pPr>
        <w:pStyle w:val="h2"/>
        <w:spacing w:after="120" w:line="300" w:lineRule="auto"/>
        <w:rPr>
          <w:sz w:val="32"/>
          <w:szCs w:val="32"/>
        </w:rPr>
      </w:pPr>
      <w:r w:rsidRPr="00B82045">
        <w:rPr>
          <w:sz w:val="32"/>
          <w:szCs w:val="32"/>
        </w:rPr>
        <w:lastRenderedPageBreak/>
        <w:t xml:space="preserve">4) </w:t>
      </w:r>
      <w:bookmarkEnd w:id="19"/>
      <w:r w:rsidR="00E278B9" w:rsidRPr="00B82045">
        <w:rPr>
          <w:sz w:val="32"/>
          <w:szCs w:val="32"/>
        </w:rPr>
        <w:t>Legacy Funding</w:t>
      </w:r>
    </w:p>
    <w:p w14:paraId="0CB91B91" w14:textId="6142C6A1" w:rsidR="00A35AB8" w:rsidRPr="00B82045" w:rsidRDefault="00875616" w:rsidP="00B82045">
      <w:pPr>
        <w:spacing w:after="120" w:line="300" w:lineRule="auto"/>
      </w:pPr>
      <w:r w:rsidRPr="00B82045">
        <w:t xml:space="preserve">As per </w:t>
      </w:r>
      <w:r w:rsidR="002743F7" w:rsidRPr="00B82045">
        <w:t xml:space="preserve">Annex </w:t>
      </w:r>
      <w:r w:rsidR="006B6411" w:rsidRPr="00B82045">
        <w:t>4</w:t>
      </w:r>
      <w:r w:rsidR="002743F7" w:rsidRPr="00B82045">
        <w:t xml:space="preserve"> of the High Needs Operational Guide for 2026/27, a</w:t>
      </w:r>
      <w:r w:rsidR="00A97BC7" w:rsidRPr="00B82045">
        <w:t xml:space="preserve">n amount has been included </w:t>
      </w:r>
      <w:r w:rsidR="003725B7">
        <w:t xml:space="preserve">in </w:t>
      </w:r>
      <w:r w:rsidR="00A97BC7" w:rsidRPr="00B82045">
        <w:t xml:space="preserve">the budget share in respect of </w:t>
      </w:r>
      <w:r w:rsidR="00522D2C" w:rsidRPr="00B82045">
        <w:t xml:space="preserve">the 2025/26 </w:t>
      </w:r>
      <w:r w:rsidR="009E1FA7" w:rsidRPr="00B82045">
        <w:t>Core Schools Budget Grant (CSBG)</w:t>
      </w:r>
      <w:r w:rsidR="00F74C8F" w:rsidRPr="00B82045">
        <w:t>,</w:t>
      </w:r>
      <w:r w:rsidR="0087241F" w:rsidRPr="00B82045">
        <w:t xml:space="preserve"> the historic teachers’ pay and pensions funding</w:t>
      </w:r>
      <w:r w:rsidR="003E4275" w:rsidRPr="00B82045">
        <w:t xml:space="preserve"> (TPG &amp; TPECG)</w:t>
      </w:r>
      <w:r w:rsidR="0087241F" w:rsidRPr="00B82045">
        <w:t>, and other additional funding that local authorities were required to pass on to schools following the 2022 autumn statement</w:t>
      </w:r>
      <w:r w:rsidR="003E4275" w:rsidRPr="00B82045">
        <w:t xml:space="preserve"> (HNAF)</w:t>
      </w:r>
      <w:r w:rsidR="00FB7512" w:rsidRPr="00B82045">
        <w:t xml:space="preserve">. </w:t>
      </w:r>
      <w:r w:rsidR="00D34685" w:rsidRPr="00B82045">
        <w:t xml:space="preserve">The method for calculating this </w:t>
      </w:r>
      <w:r w:rsidR="0070604B" w:rsidRPr="00B82045">
        <w:t xml:space="preserve">has </w:t>
      </w:r>
      <w:proofErr w:type="gramStart"/>
      <w:r w:rsidR="0070604B" w:rsidRPr="00B82045">
        <w:t>been prescribed</w:t>
      </w:r>
      <w:proofErr w:type="gramEnd"/>
      <w:r w:rsidR="0070604B" w:rsidRPr="00B82045">
        <w:t xml:space="preserve"> by the DfE</w:t>
      </w:r>
      <w:r w:rsidR="0029220A" w:rsidRPr="00B82045">
        <w:t>, as set out in the example below</w:t>
      </w:r>
      <w:r w:rsidR="003E2E01" w:rsidRPr="00B82045">
        <w:t xml:space="preserve">, which maintains the individual funding amounts per place funded in </w:t>
      </w:r>
      <w:r w:rsidR="009F79F4" w:rsidRPr="00B82045">
        <w:t>2025/26 to derive a</w:t>
      </w:r>
      <w:r w:rsidR="00655DAF" w:rsidRPr="00B82045">
        <w:t xml:space="preserve"> total amount per place. This </w:t>
      </w:r>
      <w:proofErr w:type="gramStart"/>
      <w:r w:rsidR="00655DAF" w:rsidRPr="00B82045">
        <w:t>is then applied</w:t>
      </w:r>
      <w:proofErr w:type="gramEnd"/>
      <w:r w:rsidR="00655DAF" w:rsidRPr="00B82045">
        <w:t xml:space="preserve"> to the 2026/27 APN.</w:t>
      </w:r>
      <w:r w:rsidR="00FE1ACF" w:rsidRPr="00B82045">
        <w:t xml:space="preserve"> </w:t>
      </w:r>
    </w:p>
    <w:p w14:paraId="76BFB46E" w14:textId="439129F9" w:rsidR="00655DAF" w:rsidRPr="00B82045" w:rsidRDefault="00FE1ACF" w:rsidP="00B82045">
      <w:pPr>
        <w:spacing w:after="120" w:line="300" w:lineRule="auto"/>
      </w:pPr>
      <w:r w:rsidRPr="00B82045">
        <w:t>The example below is for a</w:t>
      </w:r>
      <w:r w:rsidR="008E0F63" w:rsidRPr="00B82045">
        <w:t xml:space="preserve"> special school with </w:t>
      </w:r>
      <w:proofErr w:type="gramStart"/>
      <w:r w:rsidR="008E0F63" w:rsidRPr="00B82045">
        <w:t>100</w:t>
      </w:r>
      <w:proofErr w:type="gramEnd"/>
      <w:r w:rsidR="008E0F63" w:rsidRPr="00B82045">
        <w:t xml:space="preserve"> places in </w:t>
      </w:r>
      <w:r w:rsidR="001B1E8F">
        <w:t xml:space="preserve">the </w:t>
      </w:r>
      <w:r w:rsidR="008E0F63" w:rsidRPr="00B82045">
        <w:t>2024/25 and 2025/26 academic years</w:t>
      </w:r>
      <w:r w:rsidR="000B71B2" w:rsidRPr="00B82045">
        <w:t xml:space="preserve">, increasing to 112 places in </w:t>
      </w:r>
      <w:r w:rsidR="001B1E8F">
        <w:t xml:space="preserve">the </w:t>
      </w:r>
      <w:r w:rsidR="000B71B2" w:rsidRPr="00B82045">
        <w:t xml:space="preserve">2026/27 academic year. This gives an APN of </w:t>
      </w:r>
      <w:r w:rsidR="00693320" w:rsidRPr="00B82045">
        <w:t xml:space="preserve">100 in </w:t>
      </w:r>
      <w:r w:rsidR="001B1E8F">
        <w:t xml:space="preserve">the </w:t>
      </w:r>
      <w:r w:rsidR="00693320" w:rsidRPr="00B82045">
        <w:t xml:space="preserve">2025/26 </w:t>
      </w:r>
      <w:r w:rsidR="004D3ADF" w:rsidRPr="00B82045">
        <w:t>financial year</w:t>
      </w:r>
      <w:r w:rsidR="00693320" w:rsidRPr="00B82045">
        <w:t xml:space="preserve"> and 107 in </w:t>
      </w:r>
      <w:r w:rsidR="001B1E8F">
        <w:t xml:space="preserve">the </w:t>
      </w:r>
      <w:r w:rsidR="00693320" w:rsidRPr="00B82045">
        <w:t xml:space="preserve">2026/27 </w:t>
      </w:r>
      <w:r w:rsidR="00457ED9" w:rsidRPr="00B82045">
        <w:t>financial</w:t>
      </w:r>
      <w:r w:rsidR="004D3ADF" w:rsidRPr="00B82045">
        <w:t xml:space="preserve"> year (see page 7</w:t>
      </w:r>
      <w:r w:rsidR="00457ED9" w:rsidRPr="00B82045">
        <w:t xml:space="preserve"> for details).</w:t>
      </w:r>
    </w:p>
    <w:tbl>
      <w:tblPr>
        <w:tblStyle w:val="TableGrid"/>
        <w:tblW w:w="0" w:type="auto"/>
        <w:tblLook w:val="04A0" w:firstRow="1" w:lastRow="0" w:firstColumn="1" w:lastColumn="0" w:noHBand="0" w:noVBand="1"/>
      </w:tblPr>
      <w:tblGrid>
        <w:gridCol w:w="1232"/>
        <w:gridCol w:w="1754"/>
        <w:gridCol w:w="1551"/>
        <w:gridCol w:w="1377"/>
        <w:gridCol w:w="1551"/>
        <w:gridCol w:w="1551"/>
      </w:tblGrid>
      <w:tr w:rsidR="000C4709" w:rsidRPr="00B82045" w14:paraId="501AEA18" w14:textId="77777777" w:rsidTr="0025074B">
        <w:trPr>
          <w:trHeight w:val="557"/>
        </w:trPr>
        <w:tc>
          <w:tcPr>
            <w:tcW w:w="1251" w:type="dxa"/>
            <w:tcBorders>
              <w:bottom w:val="single" w:sz="12" w:space="0" w:color="auto"/>
            </w:tcBorders>
          </w:tcPr>
          <w:p w14:paraId="6272194B" w14:textId="77777777" w:rsidR="008C1326" w:rsidRPr="00B82045" w:rsidRDefault="008C1326" w:rsidP="00B82045">
            <w:pPr>
              <w:spacing w:after="120" w:line="300" w:lineRule="auto"/>
              <w:rPr>
                <w:b/>
                <w:bCs/>
              </w:rPr>
            </w:pPr>
          </w:p>
        </w:tc>
        <w:tc>
          <w:tcPr>
            <w:tcW w:w="1832" w:type="dxa"/>
            <w:tcBorders>
              <w:bottom w:val="single" w:sz="12" w:space="0" w:color="auto"/>
            </w:tcBorders>
          </w:tcPr>
          <w:p w14:paraId="3DD969A0" w14:textId="05C63DEF" w:rsidR="008C1326" w:rsidRPr="00B82045" w:rsidRDefault="0099350E" w:rsidP="00B82045">
            <w:pPr>
              <w:spacing w:after="120" w:line="300" w:lineRule="auto"/>
              <w:rPr>
                <w:b/>
                <w:bCs/>
              </w:rPr>
            </w:pPr>
            <w:r>
              <w:rPr>
                <w:b/>
                <w:bCs/>
              </w:rPr>
              <w:t>E</w:t>
            </w:r>
            <w:r w:rsidR="00B07FAC">
              <w:rPr>
                <w:b/>
                <w:bCs/>
              </w:rPr>
              <w:t>l</w:t>
            </w:r>
            <w:r>
              <w:rPr>
                <w:b/>
                <w:bCs/>
              </w:rPr>
              <w:t>ement</w:t>
            </w:r>
          </w:p>
        </w:tc>
        <w:tc>
          <w:tcPr>
            <w:tcW w:w="1551" w:type="dxa"/>
            <w:tcBorders>
              <w:bottom w:val="single" w:sz="12" w:space="0" w:color="auto"/>
            </w:tcBorders>
          </w:tcPr>
          <w:p w14:paraId="4E4138AC" w14:textId="4D4DD461" w:rsidR="008C1326" w:rsidRPr="00B82045" w:rsidRDefault="008C1326" w:rsidP="00B82045">
            <w:pPr>
              <w:spacing w:after="120" w:line="300" w:lineRule="auto"/>
              <w:jc w:val="center"/>
              <w:rPr>
                <w:b/>
                <w:bCs/>
              </w:rPr>
            </w:pPr>
            <w:r w:rsidRPr="00B82045">
              <w:rPr>
                <w:b/>
                <w:bCs/>
              </w:rPr>
              <w:t>2025/26 FY</w:t>
            </w:r>
          </w:p>
        </w:tc>
        <w:tc>
          <w:tcPr>
            <w:tcW w:w="1280" w:type="dxa"/>
            <w:tcBorders>
              <w:bottom w:val="single" w:sz="12" w:space="0" w:color="auto"/>
            </w:tcBorders>
          </w:tcPr>
          <w:p w14:paraId="372803F0" w14:textId="33B76420" w:rsidR="008C1326" w:rsidRPr="00B82045" w:rsidRDefault="008C1326" w:rsidP="00B82045">
            <w:pPr>
              <w:spacing w:after="120" w:line="300" w:lineRule="auto"/>
              <w:jc w:val="center"/>
              <w:rPr>
                <w:b/>
                <w:bCs/>
              </w:rPr>
            </w:pPr>
            <w:r w:rsidRPr="00B82045">
              <w:rPr>
                <w:b/>
                <w:bCs/>
              </w:rPr>
              <w:t>Multiplier</w:t>
            </w:r>
            <w:r w:rsidR="00D31418">
              <w:rPr>
                <w:b/>
                <w:bCs/>
              </w:rPr>
              <w:t>*</w:t>
            </w:r>
          </w:p>
        </w:tc>
        <w:tc>
          <w:tcPr>
            <w:tcW w:w="1551" w:type="dxa"/>
            <w:tcBorders>
              <w:bottom w:val="single" w:sz="12" w:space="0" w:color="auto"/>
            </w:tcBorders>
          </w:tcPr>
          <w:p w14:paraId="5E54541C" w14:textId="0D28AC28" w:rsidR="008C1326" w:rsidRPr="00B82045" w:rsidRDefault="008C1326" w:rsidP="00B82045">
            <w:pPr>
              <w:spacing w:after="120" w:line="300" w:lineRule="auto"/>
              <w:jc w:val="center"/>
              <w:rPr>
                <w:b/>
                <w:bCs/>
              </w:rPr>
            </w:pPr>
            <w:r w:rsidRPr="00B82045">
              <w:rPr>
                <w:b/>
                <w:bCs/>
              </w:rPr>
              <w:t xml:space="preserve">2025/26 FY </w:t>
            </w:r>
            <w:r w:rsidRPr="002B19B8">
              <w:rPr>
                <w:sz w:val="20"/>
                <w:szCs w:val="20"/>
              </w:rPr>
              <w:t>after multiplier</w:t>
            </w:r>
          </w:p>
        </w:tc>
        <w:tc>
          <w:tcPr>
            <w:tcW w:w="1551" w:type="dxa"/>
            <w:tcBorders>
              <w:bottom w:val="single" w:sz="12" w:space="0" w:color="auto"/>
            </w:tcBorders>
          </w:tcPr>
          <w:p w14:paraId="152BE5C8" w14:textId="6ECBD4A1" w:rsidR="008C1326" w:rsidRPr="00B82045" w:rsidRDefault="00E74337" w:rsidP="00B82045">
            <w:pPr>
              <w:spacing w:after="120" w:line="300" w:lineRule="auto"/>
              <w:jc w:val="center"/>
              <w:rPr>
                <w:b/>
                <w:bCs/>
              </w:rPr>
            </w:pPr>
            <w:r w:rsidRPr="00B82045">
              <w:rPr>
                <w:b/>
                <w:bCs/>
              </w:rPr>
              <w:t>2026/27 FY</w:t>
            </w:r>
          </w:p>
        </w:tc>
      </w:tr>
      <w:tr w:rsidR="000C4709" w:rsidRPr="00B82045" w14:paraId="1CD6DC4C" w14:textId="77777777" w:rsidTr="0025074B">
        <w:tc>
          <w:tcPr>
            <w:tcW w:w="1251" w:type="dxa"/>
            <w:tcBorders>
              <w:top w:val="single" w:sz="12" w:space="0" w:color="auto"/>
            </w:tcBorders>
          </w:tcPr>
          <w:p w14:paraId="33937CA7" w14:textId="119D168E" w:rsidR="008C1326" w:rsidRPr="00B82045" w:rsidRDefault="008C1326" w:rsidP="00B82045">
            <w:pPr>
              <w:spacing w:after="120" w:line="300" w:lineRule="auto"/>
            </w:pPr>
            <w:r w:rsidRPr="00B82045">
              <w:t>APN</w:t>
            </w:r>
          </w:p>
        </w:tc>
        <w:tc>
          <w:tcPr>
            <w:tcW w:w="1832" w:type="dxa"/>
            <w:tcBorders>
              <w:top w:val="single" w:sz="12" w:space="0" w:color="auto"/>
            </w:tcBorders>
          </w:tcPr>
          <w:p w14:paraId="45271C92" w14:textId="77777777" w:rsidR="008C1326" w:rsidRPr="00B82045" w:rsidRDefault="008C1326" w:rsidP="00B82045">
            <w:pPr>
              <w:spacing w:after="120" w:line="300" w:lineRule="auto"/>
            </w:pPr>
          </w:p>
        </w:tc>
        <w:tc>
          <w:tcPr>
            <w:tcW w:w="1551" w:type="dxa"/>
            <w:tcBorders>
              <w:top w:val="single" w:sz="12" w:space="0" w:color="auto"/>
            </w:tcBorders>
          </w:tcPr>
          <w:p w14:paraId="3C21D5A8" w14:textId="399285E3" w:rsidR="008C1326" w:rsidRPr="00B82045" w:rsidRDefault="008C1326" w:rsidP="00B82045">
            <w:pPr>
              <w:spacing w:after="120" w:line="300" w:lineRule="auto"/>
              <w:jc w:val="center"/>
            </w:pPr>
            <w:r w:rsidRPr="00B82045">
              <w:t>100</w:t>
            </w:r>
          </w:p>
        </w:tc>
        <w:tc>
          <w:tcPr>
            <w:tcW w:w="1280" w:type="dxa"/>
            <w:tcBorders>
              <w:top w:val="single" w:sz="12" w:space="0" w:color="auto"/>
            </w:tcBorders>
          </w:tcPr>
          <w:p w14:paraId="790E5057" w14:textId="77777777" w:rsidR="008C1326" w:rsidRPr="00B82045" w:rsidRDefault="008C1326" w:rsidP="00B82045">
            <w:pPr>
              <w:spacing w:after="120" w:line="300" w:lineRule="auto"/>
              <w:jc w:val="center"/>
            </w:pPr>
          </w:p>
        </w:tc>
        <w:tc>
          <w:tcPr>
            <w:tcW w:w="1551" w:type="dxa"/>
            <w:tcBorders>
              <w:top w:val="single" w:sz="12" w:space="0" w:color="auto"/>
            </w:tcBorders>
          </w:tcPr>
          <w:p w14:paraId="4C12BCEA" w14:textId="77777777" w:rsidR="008C1326" w:rsidRPr="00B82045" w:rsidRDefault="008C1326" w:rsidP="00B82045">
            <w:pPr>
              <w:spacing w:after="120" w:line="300" w:lineRule="auto"/>
              <w:jc w:val="center"/>
            </w:pPr>
          </w:p>
        </w:tc>
        <w:tc>
          <w:tcPr>
            <w:tcW w:w="1551" w:type="dxa"/>
            <w:tcBorders>
              <w:top w:val="single" w:sz="12" w:space="0" w:color="auto"/>
            </w:tcBorders>
          </w:tcPr>
          <w:p w14:paraId="352D104B" w14:textId="350EFE5D" w:rsidR="008C1326" w:rsidRPr="00B82045" w:rsidRDefault="00E74337" w:rsidP="00B82045">
            <w:pPr>
              <w:spacing w:after="120" w:line="300" w:lineRule="auto"/>
              <w:jc w:val="center"/>
            </w:pPr>
            <w:r w:rsidRPr="00B82045">
              <w:t>107</w:t>
            </w:r>
          </w:p>
        </w:tc>
      </w:tr>
      <w:tr w:rsidR="000C4709" w:rsidRPr="00B82045" w14:paraId="3DBBB3AE" w14:textId="77777777" w:rsidTr="000C4709">
        <w:tc>
          <w:tcPr>
            <w:tcW w:w="1251" w:type="dxa"/>
            <w:vMerge w:val="restart"/>
          </w:tcPr>
          <w:p w14:paraId="79CE1B49" w14:textId="5168E024" w:rsidR="000C4709" w:rsidRPr="00B82045" w:rsidRDefault="000C4709" w:rsidP="00B82045">
            <w:pPr>
              <w:spacing w:after="120" w:line="300" w:lineRule="auto"/>
            </w:pPr>
            <w:r w:rsidRPr="00B82045">
              <w:t>CSBG 2025/26</w:t>
            </w:r>
          </w:p>
        </w:tc>
        <w:tc>
          <w:tcPr>
            <w:tcW w:w="1832" w:type="dxa"/>
          </w:tcPr>
          <w:p w14:paraId="4107FD21" w14:textId="1888D76B" w:rsidR="000C4709" w:rsidRPr="00B82045" w:rsidRDefault="000C4709" w:rsidP="00B82045">
            <w:pPr>
              <w:spacing w:after="120" w:line="300" w:lineRule="auto"/>
              <w:rPr>
                <w:sz w:val="20"/>
                <w:szCs w:val="20"/>
              </w:rPr>
            </w:pPr>
            <w:r w:rsidRPr="00B82045">
              <w:rPr>
                <w:sz w:val="20"/>
                <w:szCs w:val="20"/>
              </w:rPr>
              <w:t>Staff pay</w:t>
            </w:r>
          </w:p>
        </w:tc>
        <w:tc>
          <w:tcPr>
            <w:tcW w:w="1551" w:type="dxa"/>
          </w:tcPr>
          <w:p w14:paraId="72F9AAE4" w14:textId="4F81A59B" w:rsidR="000C4709" w:rsidRPr="00B82045" w:rsidRDefault="000C4709" w:rsidP="00B82045">
            <w:pPr>
              <w:spacing w:after="120" w:line="300" w:lineRule="auto"/>
              <w:jc w:val="right"/>
            </w:pPr>
            <w:r w:rsidRPr="00B82045">
              <w:t>£35,333.69</w:t>
            </w:r>
          </w:p>
        </w:tc>
        <w:tc>
          <w:tcPr>
            <w:tcW w:w="1280" w:type="dxa"/>
          </w:tcPr>
          <w:p w14:paraId="6F1DD1E7" w14:textId="196430F8" w:rsidR="000C4709" w:rsidRPr="00B82045" w:rsidRDefault="000C4709" w:rsidP="00B82045">
            <w:pPr>
              <w:spacing w:after="120" w:line="300" w:lineRule="auto"/>
              <w:jc w:val="center"/>
            </w:pPr>
            <w:r w:rsidRPr="00B82045">
              <w:t>147%</w:t>
            </w:r>
          </w:p>
        </w:tc>
        <w:tc>
          <w:tcPr>
            <w:tcW w:w="1551" w:type="dxa"/>
          </w:tcPr>
          <w:p w14:paraId="35593E56" w14:textId="0F6E2EEB" w:rsidR="000C4709" w:rsidRPr="00B82045" w:rsidRDefault="000C4709" w:rsidP="00B82045">
            <w:pPr>
              <w:spacing w:after="120" w:line="300" w:lineRule="auto"/>
              <w:jc w:val="right"/>
            </w:pPr>
            <w:r w:rsidRPr="00B82045">
              <w:t>£51,940.52</w:t>
            </w:r>
          </w:p>
        </w:tc>
        <w:tc>
          <w:tcPr>
            <w:tcW w:w="1551" w:type="dxa"/>
          </w:tcPr>
          <w:p w14:paraId="660A8C78" w14:textId="26CD844D" w:rsidR="000C4709" w:rsidRPr="00B82045" w:rsidRDefault="000C4709" w:rsidP="00B82045">
            <w:pPr>
              <w:spacing w:after="120" w:line="300" w:lineRule="auto"/>
            </w:pPr>
          </w:p>
        </w:tc>
      </w:tr>
      <w:tr w:rsidR="000C4709" w:rsidRPr="00B82045" w14:paraId="1EDA93F7" w14:textId="77777777" w:rsidTr="000C4709">
        <w:tc>
          <w:tcPr>
            <w:tcW w:w="1251" w:type="dxa"/>
            <w:vMerge/>
          </w:tcPr>
          <w:p w14:paraId="64E8FD1D" w14:textId="77777777" w:rsidR="000C4709" w:rsidRPr="00B82045" w:rsidRDefault="000C4709" w:rsidP="00B82045">
            <w:pPr>
              <w:spacing w:after="120" w:line="300" w:lineRule="auto"/>
            </w:pPr>
          </w:p>
        </w:tc>
        <w:tc>
          <w:tcPr>
            <w:tcW w:w="1832" w:type="dxa"/>
          </w:tcPr>
          <w:p w14:paraId="14FEEB06" w14:textId="6FB493ED" w:rsidR="000C4709" w:rsidRPr="00B82045" w:rsidRDefault="000C4709" w:rsidP="00B82045">
            <w:pPr>
              <w:spacing w:after="120" w:line="300" w:lineRule="auto"/>
              <w:rPr>
                <w:sz w:val="20"/>
                <w:szCs w:val="20"/>
              </w:rPr>
            </w:pPr>
            <w:r w:rsidRPr="00B82045">
              <w:rPr>
                <w:sz w:val="20"/>
                <w:szCs w:val="20"/>
              </w:rPr>
              <w:t>NIC increase</w:t>
            </w:r>
          </w:p>
        </w:tc>
        <w:tc>
          <w:tcPr>
            <w:tcW w:w="1551" w:type="dxa"/>
          </w:tcPr>
          <w:p w14:paraId="594338BF" w14:textId="39C04B58" w:rsidR="000C4709" w:rsidRPr="00B82045" w:rsidRDefault="000C4709" w:rsidP="00B82045">
            <w:pPr>
              <w:spacing w:after="120" w:line="300" w:lineRule="auto"/>
              <w:jc w:val="right"/>
            </w:pPr>
            <w:r w:rsidRPr="00B82045">
              <w:t>£49,837.76</w:t>
            </w:r>
          </w:p>
        </w:tc>
        <w:tc>
          <w:tcPr>
            <w:tcW w:w="1280" w:type="dxa"/>
          </w:tcPr>
          <w:p w14:paraId="02E4D0DB" w14:textId="78168A86" w:rsidR="000C4709" w:rsidRPr="00B82045" w:rsidRDefault="000C4709" w:rsidP="00B82045">
            <w:pPr>
              <w:spacing w:after="120" w:line="300" w:lineRule="auto"/>
              <w:jc w:val="center"/>
            </w:pPr>
            <w:r w:rsidRPr="00B82045">
              <w:t>100%</w:t>
            </w:r>
          </w:p>
        </w:tc>
        <w:tc>
          <w:tcPr>
            <w:tcW w:w="1551" w:type="dxa"/>
          </w:tcPr>
          <w:p w14:paraId="34FBA60E" w14:textId="1D3795F9" w:rsidR="000C4709" w:rsidRPr="00B82045" w:rsidRDefault="000C4709" w:rsidP="00B82045">
            <w:pPr>
              <w:spacing w:after="120" w:line="300" w:lineRule="auto"/>
              <w:jc w:val="right"/>
            </w:pPr>
            <w:r w:rsidRPr="00B82045">
              <w:t>£49,837.76</w:t>
            </w:r>
          </w:p>
        </w:tc>
        <w:tc>
          <w:tcPr>
            <w:tcW w:w="1551" w:type="dxa"/>
          </w:tcPr>
          <w:p w14:paraId="1F2D1064" w14:textId="6C9BEDB8" w:rsidR="000C4709" w:rsidRPr="00B82045" w:rsidRDefault="000C4709" w:rsidP="00B82045">
            <w:pPr>
              <w:spacing w:after="120" w:line="300" w:lineRule="auto"/>
            </w:pPr>
          </w:p>
        </w:tc>
      </w:tr>
      <w:tr w:rsidR="000C4709" w:rsidRPr="00B82045" w14:paraId="15DA22D5" w14:textId="77777777" w:rsidTr="000C4709">
        <w:tc>
          <w:tcPr>
            <w:tcW w:w="1251" w:type="dxa"/>
            <w:vMerge/>
          </w:tcPr>
          <w:p w14:paraId="426B27B9" w14:textId="77777777" w:rsidR="000C4709" w:rsidRPr="00B82045" w:rsidRDefault="000C4709" w:rsidP="00B82045">
            <w:pPr>
              <w:spacing w:after="120" w:line="300" w:lineRule="auto"/>
            </w:pPr>
          </w:p>
        </w:tc>
        <w:tc>
          <w:tcPr>
            <w:tcW w:w="1832" w:type="dxa"/>
          </w:tcPr>
          <w:p w14:paraId="6E74B361" w14:textId="60F80238" w:rsidR="000C4709" w:rsidRPr="00B82045" w:rsidRDefault="000C4709" w:rsidP="00B82045">
            <w:pPr>
              <w:spacing w:after="120" w:line="300" w:lineRule="auto"/>
              <w:rPr>
                <w:sz w:val="20"/>
                <w:szCs w:val="20"/>
              </w:rPr>
            </w:pPr>
            <w:r w:rsidRPr="00B82045">
              <w:rPr>
                <w:sz w:val="20"/>
                <w:szCs w:val="20"/>
              </w:rPr>
              <w:t>2024/25 grants</w:t>
            </w:r>
          </w:p>
        </w:tc>
        <w:tc>
          <w:tcPr>
            <w:tcW w:w="1551" w:type="dxa"/>
          </w:tcPr>
          <w:p w14:paraId="23DFB881" w14:textId="43C5D57D" w:rsidR="000C4709" w:rsidRPr="00B82045" w:rsidRDefault="000C4709" w:rsidP="00B82045">
            <w:pPr>
              <w:spacing w:after="120" w:line="300" w:lineRule="auto"/>
              <w:jc w:val="right"/>
            </w:pPr>
            <w:r w:rsidRPr="00B82045">
              <w:t>£206,384.55</w:t>
            </w:r>
          </w:p>
        </w:tc>
        <w:tc>
          <w:tcPr>
            <w:tcW w:w="1280" w:type="dxa"/>
          </w:tcPr>
          <w:p w14:paraId="58B5ED9A" w14:textId="186B9C2F" w:rsidR="000C4709" w:rsidRPr="00B82045" w:rsidRDefault="000C4709" w:rsidP="00B82045">
            <w:pPr>
              <w:spacing w:after="120" w:line="300" w:lineRule="auto"/>
              <w:jc w:val="center"/>
            </w:pPr>
            <w:r w:rsidRPr="00B82045">
              <w:t>100%</w:t>
            </w:r>
          </w:p>
        </w:tc>
        <w:tc>
          <w:tcPr>
            <w:tcW w:w="1551" w:type="dxa"/>
          </w:tcPr>
          <w:p w14:paraId="3C8D9B2E" w14:textId="78813ACF" w:rsidR="000C4709" w:rsidRPr="00B82045" w:rsidRDefault="000C4709" w:rsidP="00B82045">
            <w:pPr>
              <w:spacing w:after="120" w:line="300" w:lineRule="auto"/>
              <w:jc w:val="right"/>
            </w:pPr>
            <w:r w:rsidRPr="00B82045">
              <w:t>£206,384.55</w:t>
            </w:r>
          </w:p>
        </w:tc>
        <w:tc>
          <w:tcPr>
            <w:tcW w:w="1551" w:type="dxa"/>
          </w:tcPr>
          <w:p w14:paraId="56690463" w14:textId="41D25181" w:rsidR="000C4709" w:rsidRPr="00B82045" w:rsidRDefault="000C4709" w:rsidP="00B82045">
            <w:pPr>
              <w:spacing w:after="120" w:line="300" w:lineRule="auto"/>
            </w:pPr>
          </w:p>
        </w:tc>
      </w:tr>
      <w:tr w:rsidR="000C4709" w:rsidRPr="00B82045" w14:paraId="6BBB008E" w14:textId="77777777" w:rsidTr="000C4709">
        <w:tc>
          <w:tcPr>
            <w:tcW w:w="1251" w:type="dxa"/>
            <w:vMerge w:val="restart"/>
          </w:tcPr>
          <w:p w14:paraId="7F972C00" w14:textId="2033A104" w:rsidR="000C4709" w:rsidRPr="00B82045" w:rsidRDefault="000C4709" w:rsidP="00B82045">
            <w:pPr>
              <w:spacing w:after="120" w:line="300" w:lineRule="auto"/>
            </w:pPr>
            <w:r w:rsidRPr="00B82045">
              <w:t>Budget Share 2025/26</w:t>
            </w:r>
          </w:p>
        </w:tc>
        <w:tc>
          <w:tcPr>
            <w:tcW w:w="1832" w:type="dxa"/>
          </w:tcPr>
          <w:p w14:paraId="657FEC17" w14:textId="257A079F" w:rsidR="000C4709" w:rsidRPr="00B82045" w:rsidRDefault="000C4709" w:rsidP="00B82045">
            <w:pPr>
              <w:spacing w:after="120" w:line="300" w:lineRule="auto"/>
              <w:rPr>
                <w:sz w:val="20"/>
                <w:szCs w:val="20"/>
              </w:rPr>
            </w:pPr>
            <w:r w:rsidRPr="00B82045">
              <w:rPr>
                <w:sz w:val="20"/>
                <w:szCs w:val="20"/>
              </w:rPr>
              <w:t>TPG</w:t>
            </w:r>
          </w:p>
        </w:tc>
        <w:tc>
          <w:tcPr>
            <w:tcW w:w="1551" w:type="dxa"/>
          </w:tcPr>
          <w:p w14:paraId="7791245D" w14:textId="727FD389" w:rsidR="000C4709" w:rsidRPr="00B82045" w:rsidRDefault="000C4709" w:rsidP="00B82045">
            <w:pPr>
              <w:spacing w:after="120" w:line="300" w:lineRule="auto"/>
              <w:jc w:val="right"/>
            </w:pPr>
            <w:r w:rsidRPr="00B82045">
              <w:t>£16,513.70</w:t>
            </w:r>
          </w:p>
        </w:tc>
        <w:tc>
          <w:tcPr>
            <w:tcW w:w="1280" w:type="dxa"/>
          </w:tcPr>
          <w:p w14:paraId="162D0736" w14:textId="50BC7BBF" w:rsidR="000C4709" w:rsidRPr="00B82045" w:rsidRDefault="000C4709" w:rsidP="00B82045">
            <w:pPr>
              <w:spacing w:after="120" w:line="300" w:lineRule="auto"/>
              <w:jc w:val="center"/>
            </w:pPr>
            <w:r w:rsidRPr="00B82045">
              <w:t>100%</w:t>
            </w:r>
          </w:p>
        </w:tc>
        <w:tc>
          <w:tcPr>
            <w:tcW w:w="1551" w:type="dxa"/>
          </w:tcPr>
          <w:p w14:paraId="0BAFF512" w14:textId="10BA10BC" w:rsidR="000C4709" w:rsidRPr="00B82045" w:rsidRDefault="000C4709" w:rsidP="00B82045">
            <w:pPr>
              <w:spacing w:after="120" w:line="300" w:lineRule="auto"/>
              <w:jc w:val="right"/>
            </w:pPr>
            <w:r w:rsidRPr="00B82045">
              <w:t>£16,513.70</w:t>
            </w:r>
          </w:p>
        </w:tc>
        <w:tc>
          <w:tcPr>
            <w:tcW w:w="1551" w:type="dxa"/>
          </w:tcPr>
          <w:p w14:paraId="587A6D2B" w14:textId="54DBB4B2" w:rsidR="000C4709" w:rsidRPr="00B82045" w:rsidRDefault="000C4709" w:rsidP="00B82045">
            <w:pPr>
              <w:spacing w:after="120" w:line="300" w:lineRule="auto"/>
            </w:pPr>
          </w:p>
        </w:tc>
      </w:tr>
      <w:tr w:rsidR="000C4709" w:rsidRPr="00B82045" w14:paraId="0EFD69C5" w14:textId="77777777" w:rsidTr="000C4709">
        <w:tc>
          <w:tcPr>
            <w:tcW w:w="1251" w:type="dxa"/>
            <w:vMerge/>
          </w:tcPr>
          <w:p w14:paraId="4B808E24" w14:textId="77777777" w:rsidR="000C4709" w:rsidRPr="00B82045" w:rsidRDefault="000C4709" w:rsidP="00B82045">
            <w:pPr>
              <w:spacing w:after="120" w:line="300" w:lineRule="auto"/>
            </w:pPr>
          </w:p>
        </w:tc>
        <w:tc>
          <w:tcPr>
            <w:tcW w:w="1832" w:type="dxa"/>
          </w:tcPr>
          <w:p w14:paraId="1DD9C75C" w14:textId="55831A1B" w:rsidR="000C4709" w:rsidRPr="00B82045" w:rsidRDefault="000C4709" w:rsidP="00B82045">
            <w:pPr>
              <w:spacing w:after="120" w:line="300" w:lineRule="auto"/>
              <w:rPr>
                <w:sz w:val="20"/>
                <w:szCs w:val="20"/>
              </w:rPr>
            </w:pPr>
            <w:r w:rsidRPr="00B82045">
              <w:rPr>
                <w:sz w:val="20"/>
                <w:szCs w:val="20"/>
              </w:rPr>
              <w:t>TPECG</w:t>
            </w:r>
          </w:p>
        </w:tc>
        <w:tc>
          <w:tcPr>
            <w:tcW w:w="1551" w:type="dxa"/>
          </w:tcPr>
          <w:p w14:paraId="46C1C473" w14:textId="43F62B06" w:rsidR="000C4709" w:rsidRPr="00B82045" w:rsidRDefault="000C4709" w:rsidP="00B82045">
            <w:pPr>
              <w:spacing w:after="120" w:line="300" w:lineRule="auto"/>
              <w:jc w:val="right"/>
            </w:pPr>
            <w:r w:rsidRPr="00B82045">
              <w:t>£33,103.39</w:t>
            </w:r>
          </w:p>
        </w:tc>
        <w:tc>
          <w:tcPr>
            <w:tcW w:w="1280" w:type="dxa"/>
          </w:tcPr>
          <w:p w14:paraId="129A5A2E" w14:textId="69E42560" w:rsidR="000C4709" w:rsidRPr="00B82045" w:rsidRDefault="000C4709" w:rsidP="00B82045">
            <w:pPr>
              <w:spacing w:after="120" w:line="300" w:lineRule="auto"/>
              <w:jc w:val="center"/>
            </w:pPr>
            <w:r w:rsidRPr="00B82045">
              <w:t>100%</w:t>
            </w:r>
          </w:p>
        </w:tc>
        <w:tc>
          <w:tcPr>
            <w:tcW w:w="1551" w:type="dxa"/>
          </w:tcPr>
          <w:p w14:paraId="418907C9" w14:textId="4D20C7C0" w:rsidR="000C4709" w:rsidRPr="00B82045" w:rsidRDefault="000C4709" w:rsidP="00B82045">
            <w:pPr>
              <w:spacing w:after="120" w:line="300" w:lineRule="auto"/>
              <w:jc w:val="right"/>
            </w:pPr>
            <w:r w:rsidRPr="00B82045">
              <w:t>£33,103.39</w:t>
            </w:r>
          </w:p>
        </w:tc>
        <w:tc>
          <w:tcPr>
            <w:tcW w:w="1551" w:type="dxa"/>
          </w:tcPr>
          <w:p w14:paraId="4682477D" w14:textId="252CC4DD" w:rsidR="000C4709" w:rsidRPr="00B82045" w:rsidRDefault="000C4709" w:rsidP="00B82045">
            <w:pPr>
              <w:spacing w:after="120" w:line="300" w:lineRule="auto"/>
            </w:pPr>
          </w:p>
        </w:tc>
      </w:tr>
      <w:tr w:rsidR="000C4709" w:rsidRPr="00B82045" w14:paraId="0B791391" w14:textId="77777777" w:rsidTr="0025074B">
        <w:tc>
          <w:tcPr>
            <w:tcW w:w="1251" w:type="dxa"/>
            <w:vMerge/>
            <w:tcBorders>
              <w:bottom w:val="single" w:sz="4" w:space="0" w:color="auto"/>
            </w:tcBorders>
          </w:tcPr>
          <w:p w14:paraId="687859C5" w14:textId="77777777" w:rsidR="000C4709" w:rsidRPr="00B82045" w:rsidRDefault="000C4709" w:rsidP="00B82045">
            <w:pPr>
              <w:spacing w:after="120" w:line="300" w:lineRule="auto"/>
            </w:pPr>
          </w:p>
        </w:tc>
        <w:tc>
          <w:tcPr>
            <w:tcW w:w="1832" w:type="dxa"/>
            <w:tcBorders>
              <w:bottom w:val="single" w:sz="4" w:space="0" w:color="auto"/>
            </w:tcBorders>
          </w:tcPr>
          <w:p w14:paraId="6C18CAF5" w14:textId="218D5241" w:rsidR="000C4709" w:rsidRPr="00B82045" w:rsidRDefault="000C4709" w:rsidP="00B82045">
            <w:pPr>
              <w:spacing w:after="120" w:line="300" w:lineRule="auto"/>
              <w:rPr>
                <w:sz w:val="20"/>
                <w:szCs w:val="20"/>
              </w:rPr>
            </w:pPr>
            <w:r w:rsidRPr="00B82045">
              <w:rPr>
                <w:sz w:val="20"/>
                <w:szCs w:val="20"/>
              </w:rPr>
              <w:t>HNAF</w:t>
            </w:r>
          </w:p>
        </w:tc>
        <w:tc>
          <w:tcPr>
            <w:tcW w:w="1551" w:type="dxa"/>
            <w:tcBorders>
              <w:bottom w:val="single" w:sz="4" w:space="0" w:color="auto"/>
            </w:tcBorders>
          </w:tcPr>
          <w:p w14:paraId="0E2F0488" w14:textId="243EB101" w:rsidR="000C4709" w:rsidRPr="00B82045" w:rsidRDefault="000C4709" w:rsidP="00B82045">
            <w:pPr>
              <w:spacing w:after="120" w:line="300" w:lineRule="auto"/>
              <w:jc w:val="right"/>
            </w:pPr>
            <w:r w:rsidRPr="00B82045">
              <w:t>£53,139.00</w:t>
            </w:r>
          </w:p>
        </w:tc>
        <w:tc>
          <w:tcPr>
            <w:tcW w:w="1280" w:type="dxa"/>
            <w:tcBorders>
              <w:bottom w:val="single" w:sz="4" w:space="0" w:color="auto"/>
            </w:tcBorders>
          </w:tcPr>
          <w:p w14:paraId="3CCD7BB2" w14:textId="707ACFA7" w:rsidR="000C4709" w:rsidRPr="00B82045" w:rsidRDefault="000C4709" w:rsidP="00B82045">
            <w:pPr>
              <w:spacing w:after="120" w:line="300" w:lineRule="auto"/>
              <w:jc w:val="center"/>
            </w:pPr>
            <w:r w:rsidRPr="00B82045">
              <w:t>100%</w:t>
            </w:r>
          </w:p>
        </w:tc>
        <w:tc>
          <w:tcPr>
            <w:tcW w:w="1551" w:type="dxa"/>
            <w:tcBorders>
              <w:bottom w:val="single" w:sz="4" w:space="0" w:color="auto"/>
            </w:tcBorders>
          </w:tcPr>
          <w:p w14:paraId="575A2EDC" w14:textId="7D9BE737" w:rsidR="000C4709" w:rsidRPr="00B82045" w:rsidRDefault="000C4709" w:rsidP="00B82045">
            <w:pPr>
              <w:spacing w:after="120" w:line="300" w:lineRule="auto"/>
              <w:jc w:val="right"/>
            </w:pPr>
            <w:r w:rsidRPr="00B82045">
              <w:t>£53,139.00</w:t>
            </w:r>
          </w:p>
        </w:tc>
        <w:tc>
          <w:tcPr>
            <w:tcW w:w="1551" w:type="dxa"/>
            <w:tcBorders>
              <w:bottom w:val="single" w:sz="4" w:space="0" w:color="auto"/>
            </w:tcBorders>
          </w:tcPr>
          <w:p w14:paraId="320F2E89" w14:textId="672025E2" w:rsidR="000C4709" w:rsidRPr="00B82045" w:rsidRDefault="000C4709" w:rsidP="00B82045">
            <w:pPr>
              <w:spacing w:after="120" w:line="300" w:lineRule="auto"/>
            </w:pPr>
          </w:p>
        </w:tc>
      </w:tr>
      <w:tr w:rsidR="00457ED9" w:rsidRPr="00B82045" w14:paraId="41B6644C" w14:textId="77777777" w:rsidTr="0025074B">
        <w:tc>
          <w:tcPr>
            <w:tcW w:w="5914" w:type="dxa"/>
            <w:gridSpan w:val="4"/>
            <w:tcBorders>
              <w:bottom w:val="single" w:sz="12" w:space="0" w:color="auto"/>
            </w:tcBorders>
          </w:tcPr>
          <w:p w14:paraId="1D321F6A" w14:textId="015FAA0C" w:rsidR="00457ED9" w:rsidRPr="00B82045" w:rsidRDefault="00457ED9" w:rsidP="00B82045">
            <w:pPr>
              <w:spacing w:after="120" w:line="300" w:lineRule="auto"/>
            </w:pPr>
            <w:r w:rsidRPr="00B82045">
              <w:t>Total 2025/26 FY funding after multiplier</w:t>
            </w:r>
          </w:p>
        </w:tc>
        <w:tc>
          <w:tcPr>
            <w:tcW w:w="1551" w:type="dxa"/>
            <w:tcBorders>
              <w:bottom w:val="single" w:sz="12" w:space="0" w:color="auto"/>
            </w:tcBorders>
          </w:tcPr>
          <w:p w14:paraId="71AB289A" w14:textId="7473FC19" w:rsidR="00457ED9" w:rsidRPr="00B82045" w:rsidRDefault="00457ED9" w:rsidP="00B82045">
            <w:pPr>
              <w:spacing w:after="120" w:line="300" w:lineRule="auto"/>
              <w:jc w:val="right"/>
            </w:pPr>
            <w:r w:rsidRPr="00B82045">
              <w:fldChar w:fldCharType="begin"/>
            </w:r>
            <w:r w:rsidRPr="00B82045">
              <w:instrText xml:space="preserve"> =SUM(ABOVE) </w:instrText>
            </w:r>
            <w:r w:rsidRPr="00B82045">
              <w:fldChar w:fldCharType="separate"/>
            </w:r>
            <w:r w:rsidRPr="00B82045">
              <w:rPr>
                <w:noProof/>
              </w:rPr>
              <w:t>£410,918.92</w:t>
            </w:r>
            <w:r w:rsidRPr="00B82045">
              <w:fldChar w:fldCharType="end"/>
            </w:r>
          </w:p>
        </w:tc>
        <w:tc>
          <w:tcPr>
            <w:tcW w:w="1551" w:type="dxa"/>
            <w:tcBorders>
              <w:bottom w:val="single" w:sz="12" w:space="0" w:color="auto"/>
            </w:tcBorders>
          </w:tcPr>
          <w:p w14:paraId="26EBDE28" w14:textId="0A1C1054" w:rsidR="00457ED9" w:rsidRPr="00B82045" w:rsidRDefault="00457ED9" w:rsidP="00B82045">
            <w:pPr>
              <w:spacing w:after="120" w:line="300" w:lineRule="auto"/>
            </w:pPr>
          </w:p>
        </w:tc>
      </w:tr>
      <w:tr w:rsidR="00457ED9" w:rsidRPr="00B82045" w14:paraId="47AA8842" w14:textId="77777777" w:rsidTr="0025074B">
        <w:trPr>
          <w:trHeight w:val="688"/>
        </w:trPr>
        <w:tc>
          <w:tcPr>
            <w:tcW w:w="5914" w:type="dxa"/>
            <w:gridSpan w:val="4"/>
            <w:tcBorders>
              <w:top w:val="single" w:sz="12" w:space="0" w:color="auto"/>
            </w:tcBorders>
          </w:tcPr>
          <w:p w14:paraId="707C559D" w14:textId="77777777" w:rsidR="00457ED9" w:rsidRPr="00B82045" w:rsidRDefault="00457ED9" w:rsidP="00B82045">
            <w:pPr>
              <w:spacing w:after="120" w:line="300" w:lineRule="auto"/>
            </w:pPr>
            <w:r w:rsidRPr="00B82045">
              <w:t>Total 2025/26 FY funding after multiplier, per place</w:t>
            </w:r>
          </w:p>
          <w:p w14:paraId="736EE0A0" w14:textId="57A2654D" w:rsidR="0022679A" w:rsidRPr="00B82045" w:rsidRDefault="0022679A" w:rsidP="00615837">
            <w:pPr>
              <w:spacing w:after="120" w:line="300" w:lineRule="auto"/>
              <w:jc w:val="right"/>
              <w:rPr>
                <w:sz w:val="20"/>
                <w:szCs w:val="20"/>
              </w:rPr>
            </w:pPr>
            <w:r w:rsidRPr="00B82045">
              <w:rPr>
                <w:sz w:val="20"/>
                <w:szCs w:val="20"/>
              </w:rPr>
              <w:t>(£410,918.92 / 100)</w:t>
            </w:r>
          </w:p>
        </w:tc>
        <w:tc>
          <w:tcPr>
            <w:tcW w:w="1551" w:type="dxa"/>
            <w:tcBorders>
              <w:top w:val="single" w:sz="12" w:space="0" w:color="auto"/>
            </w:tcBorders>
          </w:tcPr>
          <w:p w14:paraId="7FAC6171" w14:textId="524E6F71" w:rsidR="00457ED9" w:rsidRPr="00B82045" w:rsidRDefault="00457ED9" w:rsidP="00B82045">
            <w:pPr>
              <w:spacing w:after="120" w:line="300" w:lineRule="auto"/>
              <w:jc w:val="right"/>
            </w:pPr>
            <w:r w:rsidRPr="00B82045">
              <w:t>£4,109.19</w:t>
            </w:r>
          </w:p>
        </w:tc>
        <w:tc>
          <w:tcPr>
            <w:tcW w:w="1551" w:type="dxa"/>
            <w:tcBorders>
              <w:top w:val="single" w:sz="12" w:space="0" w:color="auto"/>
            </w:tcBorders>
          </w:tcPr>
          <w:p w14:paraId="13232E0E" w14:textId="77777777" w:rsidR="00457ED9" w:rsidRPr="00B82045" w:rsidRDefault="00457ED9" w:rsidP="00B82045">
            <w:pPr>
              <w:spacing w:after="120" w:line="300" w:lineRule="auto"/>
            </w:pPr>
          </w:p>
        </w:tc>
      </w:tr>
      <w:tr w:rsidR="00E21F2C" w:rsidRPr="00B82045" w14:paraId="416CFCEF" w14:textId="77777777" w:rsidTr="00E21F2C">
        <w:tc>
          <w:tcPr>
            <w:tcW w:w="7465" w:type="dxa"/>
            <w:gridSpan w:val="5"/>
          </w:tcPr>
          <w:p w14:paraId="4E042FE9" w14:textId="25646ACD" w:rsidR="0022679A" w:rsidRPr="00B82045" w:rsidRDefault="00E21F2C" w:rsidP="00B82045">
            <w:pPr>
              <w:spacing w:after="120" w:line="300" w:lineRule="auto"/>
              <w:rPr>
                <w:b/>
                <w:bCs/>
              </w:rPr>
            </w:pPr>
            <w:r w:rsidRPr="00B82045">
              <w:rPr>
                <w:b/>
                <w:bCs/>
              </w:rPr>
              <w:t>Total 2026/27 FY funding</w:t>
            </w:r>
            <w:r w:rsidR="00D4650C" w:rsidRPr="00B82045">
              <w:rPr>
                <w:b/>
                <w:bCs/>
              </w:rPr>
              <w:t xml:space="preserve">                    </w:t>
            </w:r>
            <w:r w:rsidR="000C4709" w:rsidRPr="00B82045">
              <w:rPr>
                <w:sz w:val="20"/>
                <w:szCs w:val="20"/>
              </w:rPr>
              <w:t>(£4,109.19 * 107)</w:t>
            </w:r>
          </w:p>
        </w:tc>
        <w:tc>
          <w:tcPr>
            <w:tcW w:w="1551" w:type="dxa"/>
          </w:tcPr>
          <w:p w14:paraId="16687C15" w14:textId="269BCA8A" w:rsidR="00E21F2C" w:rsidRPr="00B82045" w:rsidRDefault="00E21F2C" w:rsidP="00B82045">
            <w:pPr>
              <w:spacing w:after="120" w:line="300" w:lineRule="auto"/>
              <w:rPr>
                <w:b/>
                <w:bCs/>
              </w:rPr>
            </w:pPr>
            <w:r w:rsidRPr="00B82045">
              <w:rPr>
                <w:b/>
                <w:bCs/>
              </w:rPr>
              <w:t>£439,683.24</w:t>
            </w:r>
          </w:p>
        </w:tc>
      </w:tr>
    </w:tbl>
    <w:p w14:paraId="6E9BFE83" w14:textId="79047061" w:rsidR="00893F2F" w:rsidRPr="000C1B64" w:rsidRDefault="00893F2F" w:rsidP="00E90CE9">
      <w:pPr>
        <w:spacing w:before="120" w:after="240" w:line="300" w:lineRule="auto"/>
        <w:rPr>
          <w:sz w:val="20"/>
          <w:szCs w:val="20"/>
        </w:rPr>
      </w:pPr>
      <w:r w:rsidRPr="000C1B64">
        <w:rPr>
          <w:sz w:val="20"/>
          <w:szCs w:val="20"/>
        </w:rPr>
        <w:t>*DfE</w:t>
      </w:r>
      <w:r w:rsidR="00613E1F" w:rsidRPr="000C1B64">
        <w:rPr>
          <w:sz w:val="20"/>
          <w:szCs w:val="20"/>
        </w:rPr>
        <w:t xml:space="preserve"> stipulate a percentage</w:t>
      </w:r>
      <w:r w:rsidR="000C1B64" w:rsidRPr="000C1B64">
        <w:rPr>
          <w:sz w:val="20"/>
          <w:szCs w:val="20"/>
        </w:rPr>
        <w:t xml:space="preserve"> </w:t>
      </w:r>
      <w:r w:rsidR="00613E1F" w:rsidRPr="000C1B64">
        <w:rPr>
          <w:sz w:val="20"/>
          <w:szCs w:val="20"/>
        </w:rPr>
        <w:t>increase of 4</w:t>
      </w:r>
      <w:r w:rsidR="00C44134" w:rsidRPr="000C1B64">
        <w:rPr>
          <w:sz w:val="20"/>
          <w:szCs w:val="20"/>
        </w:rPr>
        <w:t xml:space="preserve">7% must be applied to the staff pay element on the basis the CSBG </w:t>
      </w:r>
      <w:r w:rsidR="000C1B64" w:rsidRPr="000C1B64">
        <w:rPr>
          <w:sz w:val="20"/>
          <w:szCs w:val="20"/>
        </w:rPr>
        <w:t>supported settings with 12 months of the 2025 support staff pay award costs in 2025 to 2026 (as this pay award took effect from April 2025) and 7 months of the 2025 teachers pay award (as this pay award took effect from September 2025).</w:t>
      </w:r>
      <w:r w:rsidR="001B6471">
        <w:rPr>
          <w:sz w:val="20"/>
          <w:szCs w:val="20"/>
        </w:rPr>
        <w:t xml:space="preserve"> Please see </w:t>
      </w:r>
      <w:hyperlink r:id="rId16" w:anchor="annex-4" w:history="1">
        <w:r w:rsidR="001B6471" w:rsidRPr="001B6471">
          <w:rPr>
            <w:rStyle w:val="Hyperlink"/>
            <w:sz w:val="20"/>
            <w:szCs w:val="20"/>
          </w:rPr>
          <w:t>High needs funding: 2026 to 2027 operational guide - GOV.UK</w:t>
        </w:r>
      </w:hyperlink>
      <w:r w:rsidR="00486DC9">
        <w:rPr>
          <w:sz w:val="20"/>
          <w:szCs w:val="20"/>
        </w:rPr>
        <w:t>, Annex 4, section 16.1 for more information.</w:t>
      </w:r>
    </w:p>
    <w:p w14:paraId="61FF0890" w14:textId="2876BE7F" w:rsidR="009F09F1" w:rsidRPr="00B82045" w:rsidRDefault="003D1E37" w:rsidP="00B82045">
      <w:pPr>
        <w:spacing w:after="120" w:line="300" w:lineRule="auto"/>
      </w:pPr>
      <w:r w:rsidRPr="00B82045">
        <w:t xml:space="preserve">This funding </w:t>
      </w:r>
      <w:proofErr w:type="gramStart"/>
      <w:r w:rsidRPr="00B82045">
        <w:t>is excluded</w:t>
      </w:r>
      <w:proofErr w:type="gramEnd"/>
      <w:r w:rsidRPr="00B82045">
        <w:t xml:space="preserve"> from the </w:t>
      </w:r>
      <w:r w:rsidR="00AC0058" w:rsidRPr="00B82045">
        <w:t>Minimum Funding Guarantee (MFG).</w:t>
      </w:r>
    </w:p>
    <w:p w14:paraId="64F89144" w14:textId="096CB5D8" w:rsidR="00A666F6" w:rsidRPr="00B82045" w:rsidRDefault="0029220A" w:rsidP="00B82045">
      <w:pPr>
        <w:spacing w:after="120" w:line="300" w:lineRule="auto"/>
      </w:pPr>
      <w:r w:rsidRPr="00B82045">
        <w:t>Legacy</w:t>
      </w:r>
      <w:r w:rsidR="008E5725" w:rsidRPr="00B82045">
        <w:t xml:space="preserve"> funding will be allocated at the start of the financial year to GL code 769</w:t>
      </w:r>
      <w:r w:rsidR="007D663C" w:rsidRPr="00B82045">
        <w:t>7</w:t>
      </w:r>
      <w:r w:rsidR="008E5725" w:rsidRPr="00B82045">
        <w:t xml:space="preserve"> (CFR code I0</w:t>
      </w:r>
      <w:r w:rsidR="007D663C" w:rsidRPr="00B82045">
        <w:t>1</w:t>
      </w:r>
      <w:r w:rsidR="008E5725" w:rsidRPr="00B82045">
        <w:t>)</w:t>
      </w:r>
      <w:r w:rsidR="00A506C3" w:rsidRPr="00B82045">
        <w:rPr>
          <w:spacing w:val="1"/>
        </w:rPr>
        <w:t>.</w:t>
      </w:r>
    </w:p>
    <w:p w14:paraId="60ECEDC6" w14:textId="1C4B26E1" w:rsidR="00A97BC7" w:rsidRPr="00E61268" w:rsidRDefault="00A97BC7" w:rsidP="00E61268">
      <w:pPr>
        <w:pStyle w:val="h1"/>
        <w:spacing w:after="120" w:line="300" w:lineRule="auto"/>
        <w:rPr>
          <w:sz w:val="40"/>
          <w:szCs w:val="40"/>
        </w:rPr>
      </w:pPr>
      <w:bookmarkStart w:id="20" w:name="_Toc157696917"/>
      <w:r w:rsidRPr="00E61268">
        <w:rPr>
          <w:sz w:val="40"/>
          <w:szCs w:val="40"/>
        </w:rPr>
        <w:lastRenderedPageBreak/>
        <w:t>Top-up Funding</w:t>
      </w:r>
      <w:bookmarkEnd w:id="20"/>
    </w:p>
    <w:p w14:paraId="7C6AA8E1" w14:textId="77777777" w:rsidR="00A97BC7" w:rsidRPr="00CA0DCB" w:rsidRDefault="00A97BC7" w:rsidP="00E61268">
      <w:pPr>
        <w:pStyle w:val="h3"/>
        <w:spacing w:after="120" w:line="300" w:lineRule="auto"/>
        <w:rPr>
          <w:sz w:val="24"/>
          <w:szCs w:val="24"/>
          <w:u w:val="none"/>
        </w:rPr>
      </w:pPr>
      <w:r w:rsidRPr="00CA0DCB">
        <w:rPr>
          <w:sz w:val="24"/>
          <w:szCs w:val="24"/>
          <w:u w:val="none"/>
        </w:rPr>
        <w:t>General Points</w:t>
      </w:r>
    </w:p>
    <w:p w14:paraId="22DDCBC8" w14:textId="545592D3" w:rsidR="00A97BC7" w:rsidRDefault="00A97BC7" w:rsidP="00E61268">
      <w:pPr>
        <w:spacing w:after="120" w:line="300" w:lineRule="auto"/>
      </w:pPr>
      <w:r>
        <w:t>Top-up</w:t>
      </w:r>
      <w:r w:rsidRPr="008F28ED">
        <w:t xml:space="preserve"> funding follows the pupil in real time</w:t>
      </w:r>
      <w:r>
        <w:t>. T</w:t>
      </w:r>
      <w:r w:rsidRPr="008F28ED">
        <w:t>he figures used in the budget</w:t>
      </w:r>
      <w:r>
        <w:t xml:space="preserve"> share</w:t>
      </w:r>
      <w:r w:rsidRPr="008F28ED">
        <w:t xml:space="preserve"> are </w:t>
      </w:r>
      <w:r w:rsidRPr="004D5C37">
        <w:rPr>
          <w:b/>
          <w:u w:val="single"/>
        </w:rPr>
        <w:t>indicative only</w:t>
      </w:r>
      <w:r w:rsidRPr="008F28ED">
        <w:t xml:space="preserve"> and are subject to change throughout the year.</w:t>
      </w:r>
    </w:p>
    <w:p w14:paraId="31DF7DDE" w14:textId="5CB985F9" w:rsidR="00A97BC7" w:rsidRPr="00A54A21" w:rsidRDefault="00A97BC7" w:rsidP="00E61268">
      <w:pPr>
        <w:spacing w:after="120" w:line="300" w:lineRule="auto"/>
      </w:pPr>
      <w:r>
        <w:t>The i</w:t>
      </w:r>
      <w:r w:rsidRPr="00A54A21">
        <w:t xml:space="preserve">ndicative top-up funding </w:t>
      </w:r>
      <w:proofErr w:type="gramStart"/>
      <w:r w:rsidRPr="00A54A21">
        <w:t>is calculated</w:t>
      </w:r>
      <w:proofErr w:type="gramEnd"/>
      <w:r w:rsidRPr="00A54A21">
        <w:t xml:space="preserve"> at the start of the year and is an estimate. It </w:t>
      </w:r>
      <w:proofErr w:type="gramStart"/>
      <w:r w:rsidRPr="00A54A21">
        <w:t>is calculated</w:t>
      </w:r>
      <w:proofErr w:type="gramEnd"/>
      <w:r w:rsidRPr="00A54A21">
        <w:t xml:space="preserve"> based on the school maintaining the same numbers on roll as the APN, for the duration of the year.</w:t>
      </w:r>
    </w:p>
    <w:p w14:paraId="65EC68B1" w14:textId="77777777" w:rsidR="00A97BC7" w:rsidRDefault="00A97BC7" w:rsidP="00E61268">
      <w:pPr>
        <w:spacing w:after="120" w:line="300" w:lineRule="auto"/>
      </w:pPr>
      <w:r w:rsidRPr="00A54A21">
        <w:t xml:space="preserve">If the actual number </w:t>
      </w:r>
      <w:r>
        <w:t>attending</w:t>
      </w:r>
      <w:r w:rsidRPr="00A54A21">
        <w:t xml:space="preserve"> is lower than the APN, the funding is likely to be lower. </w:t>
      </w:r>
      <w:r>
        <w:t>Conversely</w:t>
      </w:r>
      <w:r w:rsidRPr="00A54A21">
        <w:t xml:space="preserve">, if the number </w:t>
      </w:r>
      <w:r>
        <w:t>attending</w:t>
      </w:r>
      <w:r w:rsidRPr="00A54A21">
        <w:t xml:space="preserve"> is higher than the APN, the funding is likely to be higher. If the pupil</w:t>
      </w:r>
      <w:r>
        <w:t>s’</w:t>
      </w:r>
      <w:r w:rsidRPr="00A54A21">
        <w:t xml:space="preserve"> needs are greater than those detailed on the indicative budget, then the funding is likely to be higher</w:t>
      </w:r>
      <w:r>
        <w:t>. Conversely, if the pupils’ needs are lower, then the funding is likely to be lower.</w:t>
      </w:r>
    </w:p>
    <w:p w14:paraId="39792D3C" w14:textId="5EF817DE" w:rsidR="00A97BC7" w:rsidRPr="00A54A21" w:rsidRDefault="00A97BC7" w:rsidP="00E61268">
      <w:pPr>
        <w:spacing w:after="120" w:line="300" w:lineRule="auto"/>
      </w:pPr>
      <w:r w:rsidRPr="00A54A21">
        <w:t xml:space="preserve">The pupil characteristics for </w:t>
      </w:r>
      <w:r w:rsidR="00E92D19">
        <w:t>2026/27</w:t>
      </w:r>
      <w:r w:rsidRPr="00A54A21">
        <w:t xml:space="preserve"> </w:t>
      </w:r>
      <w:proofErr w:type="gramStart"/>
      <w:r w:rsidRPr="00A54A21">
        <w:t>are calculated</w:t>
      </w:r>
      <w:proofErr w:type="gramEnd"/>
      <w:r w:rsidRPr="00A54A21">
        <w:t xml:space="preserve"> based on the profile of the school during the autumn term 20</w:t>
      </w:r>
      <w:r>
        <w:t>2</w:t>
      </w:r>
      <w:r w:rsidR="00071407">
        <w:t>5</w:t>
      </w:r>
      <w:r w:rsidR="00753650">
        <w:t xml:space="preserve">. </w:t>
      </w:r>
      <w:r w:rsidRPr="00A54A21">
        <w:t xml:space="preserve">For example, if there were </w:t>
      </w:r>
      <w:r w:rsidR="00753650">
        <w:t>8</w:t>
      </w:r>
      <w:r w:rsidRPr="00A54A21">
        <w:t>0 pupils at the school during the autumn term 20</w:t>
      </w:r>
      <w:r>
        <w:t>2</w:t>
      </w:r>
      <w:r w:rsidR="00071407">
        <w:t>5</w:t>
      </w:r>
      <w:r w:rsidRPr="00A54A21">
        <w:t xml:space="preserve"> and </w:t>
      </w:r>
      <w:r w:rsidR="00753650">
        <w:t>6</w:t>
      </w:r>
      <w:r w:rsidRPr="00A54A21">
        <w:t xml:space="preserve">0 of these pupils were </w:t>
      </w:r>
      <w:r w:rsidR="00753650">
        <w:t xml:space="preserve">on special </w:t>
      </w:r>
      <w:r>
        <w:t xml:space="preserve">school </w:t>
      </w:r>
      <w:r w:rsidR="009B0A2D">
        <w:t>band</w:t>
      </w:r>
      <w:r>
        <w:t xml:space="preserve"> S2</w:t>
      </w:r>
      <w:r w:rsidRPr="00A54A21">
        <w:t xml:space="preserve"> (</w:t>
      </w:r>
      <w:r w:rsidR="000A1C30">
        <w:t>6</w:t>
      </w:r>
      <w:r w:rsidRPr="00A54A21">
        <w:t xml:space="preserve">0 / </w:t>
      </w:r>
      <w:r w:rsidR="000A1C30">
        <w:t>8</w:t>
      </w:r>
      <w:r w:rsidRPr="00A54A21">
        <w:t xml:space="preserve">0 = 0.75), then this proportion </w:t>
      </w:r>
      <w:proofErr w:type="gramStart"/>
      <w:r w:rsidRPr="00A54A21">
        <w:t>is applied</w:t>
      </w:r>
      <w:proofErr w:type="gramEnd"/>
      <w:r w:rsidRPr="00A54A21">
        <w:t xml:space="preserve"> to the APN in </w:t>
      </w:r>
      <w:r w:rsidR="00E92D19">
        <w:t>2026/27</w:t>
      </w:r>
      <w:r w:rsidRPr="00A54A21">
        <w:t xml:space="preserve"> when calculating the indicative budget. Therefore, if the </w:t>
      </w:r>
      <w:r w:rsidR="00E92D19">
        <w:t>2026/27</w:t>
      </w:r>
      <w:r w:rsidRPr="00A54A21">
        <w:t xml:space="preserve"> APN is</w:t>
      </w:r>
      <w:r w:rsidR="000A1C30">
        <w:t xml:space="preserve"> </w:t>
      </w:r>
      <w:proofErr w:type="gramStart"/>
      <w:r w:rsidR="000A1C30">
        <w:t>10</w:t>
      </w:r>
      <w:r w:rsidRPr="00A54A21">
        <w:t>0</w:t>
      </w:r>
      <w:proofErr w:type="gramEnd"/>
      <w:r w:rsidRPr="00A54A21">
        <w:t xml:space="preserve">, the number of </w:t>
      </w:r>
      <w:r w:rsidR="005E1696">
        <w:t>band</w:t>
      </w:r>
      <w:r w:rsidRPr="00A54A21">
        <w:t xml:space="preserve"> </w:t>
      </w:r>
      <w:r>
        <w:t>S2</w:t>
      </w:r>
      <w:r w:rsidRPr="00A54A21">
        <w:t xml:space="preserve"> pupils used in the indicative budget will be </w:t>
      </w:r>
      <w:r w:rsidR="000A1C30">
        <w:t>75</w:t>
      </w:r>
      <w:r w:rsidRPr="00A54A21">
        <w:t xml:space="preserve"> (</w:t>
      </w:r>
      <w:r w:rsidR="000A1C30">
        <w:t>100</w:t>
      </w:r>
      <w:r w:rsidRPr="00A54A21">
        <w:t xml:space="preserve"> x 0.75).</w:t>
      </w:r>
    </w:p>
    <w:p w14:paraId="78C935F4" w14:textId="16CC65B3" w:rsidR="00A97BC7" w:rsidRDefault="00A97BC7" w:rsidP="00E61268">
      <w:pPr>
        <w:spacing w:after="120" w:line="300" w:lineRule="auto"/>
        <w:rPr>
          <w:bCs/>
        </w:rPr>
      </w:pPr>
      <w:r w:rsidRPr="00A54A21">
        <w:t xml:space="preserve">Schools should use the indicative top-up funding for budgeting purposes only and will need to be prepared to adjust this throughout the year should the number and level of needs of the pupils change. At the end of each term, and included with the top-up statement, schools will </w:t>
      </w:r>
      <w:proofErr w:type="gramStart"/>
      <w:r w:rsidRPr="00A54A21">
        <w:t>be provided</w:t>
      </w:r>
      <w:proofErr w:type="gramEnd"/>
      <w:r w:rsidRPr="00A54A21">
        <w:t xml:space="preserve"> with an </w:t>
      </w:r>
      <w:r w:rsidR="00AD7559" w:rsidRPr="00A54A21">
        <w:t>up-to-date</w:t>
      </w:r>
      <w:r w:rsidRPr="00A54A21">
        <w:t xml:space="preserve"> forecast projection that will </w:t>
      </w:r>
      <w:r>
        <w:t xml:space="preserve">be </w:t>
      </w:r>
      <w:r w:rsidRPr="00A54A21">
        <w:t>based on the current profile of the school.</w:t>
      </w:r>
      <w:r w:rsidRPr="008F28ED">
        <w:t xml:space="preserve"> </w:t>
      </w:r>
    </w:p>
    <w:p w14:paraId="5A27C5B4" w14:textId="1620EE52" w:rsidR="00A97BC7" w:rsidRDefault="005C5006" w:rsidP="00E61268">
      <w:pPr>
        <w:spacing w:after="120" w:line="300" w:lineRule="auto"/>
      </w:pPr>
      <w:r>
        <w:t>Towards</w:t>
      </w:r>
      <w:r w:rsidR="00A97BC7">
        <w:t xml:space="preserve"> the end of each term the SEN </w:t>
      </w:r>
      <w:r w:rsidR="005E5386">
        <w:t>Business Support</w:t>
      </w:r>
      <w:r w:rsidR="00A97BC7">
        <w:t xml:space="preserve"> Team will email a statement to each school showing all the pupils who have attended the school during the term. The statement will also detail the </w:t>
      </w:r>
      <w:r w:rsidR="005E1696">
        <w:t>band</w:t>
      </w:r>
      <w:r w:rsidR="00A97BC7">
        <w:t xml:space="preserve"> for each pupil. It is extremely important for schools to check this data as it will have a direct impact on the top-up funding received. </w:t>
      </w:r>
    </w:p>
    <w:p w14:paraId="42D8722B" w14:textId="77777777" w:rsidR="00A97BC7" w:rsidRDefault="00A97BC7" w:rsidP="00E61268">
      <w:pPr>
        <w:spacing w:after="120" w:line="300" w:lineRule="auto"/>
      </w:pPr>
      <w:r>
        <w:t xml:space="preserve">The pupil characteristics </w:t>
      </w:r>
      <w:proofErr w:type="gramStart"/>
      <w:r>
        <w:t>are stored</w:t>
      </w:r>
      <w:proofErr w:type="gramEnd"/>
      <w:r>
        <w:t xml:space="preserve"> in the County Council’s database, known as Capita ONE. SEN Officers are responsible for maintaining this database with correct and up-to-date information. </w:t>
      </w:r>
    </w:p>
    <w:p w14:paraId="04A0A50E" w14:textId="77777777" w:rsidR="00A97BC7" w:rsidRDefault="00A97BC7" w:rsidP="00E61268">
      <w:pPr>
        <w:spacing w:after="120" w:line="300" w:lineRule="auto"/>
      </w:pPr>
      <w:r w:rsidRPr="008F28ED">
        <w:t xml:space="preserve">Each element </w:t>
      </w:r>
      <w:r>
        <w:t xml:space="preserve">of the top-up funding </w:t>
      </w:r>
      <w:proofErr w:type="gramStart"/>
      <w:r w:rsidRPr="008F28ED">
        <w:t xml:space="preserve">is </w:t>
      </w:r>
      <w:r>
        <w:t>explained</w:t>
      </w:r>
      <w:proofErr w:type="gramEnd"/>
      <w:r w:rsidRPr="008F28ED">
        <w:t xml:space="preserve"> in more detail below.</w:t>
      </w:r>
    </w:p>
    <w:p w14:paraId="148E9082" w14:textId="77777777" w:rsidR="00CA0DCB" w:rsidRDefault="00CA0DCB" w:rsidP="00E61268">
      <w:pPr>
        <w:spacing w:after="120" w:line="300" w:lineRule="auto"/>
      </w:pPr>
    </w:p>
    <w:p w14:paraId="14E2436A" w14:textId="77777777" w:rsidR="00CA0DCB" w:rsidRDefault="00CA0DCB" w:rsidP="00E61268">
      <w:pPr>
        <w:spacing w:after="120" w:line="300" w:lineRule="auto"/>
      </w:pPr>
    </w:p>
    <w:p w14:paraId="5754BD55" w14:textId="77777777" w:rsidR="006330AE" w:rsidRDefault="006330AE" w:rsidP="00E61268">
      <w:pPr>
        <w:pStyle w:val="h2"/>
        <w:spacing w:after="120" w:line="300" w:lineRule="auto"/>
        <w:rPr>
          <w:sz w:val="32"/>
          <w:szCs w:val="32"/>
        </w:rPr>
      </w:pPr>
      <w:bookmarkStart w:id="21" w:name="_Toc157696918"/>
    </w:p>
    <w:p w14:paraId="47F8684E" w14:textId="0B7A6D77" w:rsidR="00A97BC7" w:rsidRPr="00E61268" w:rsidRDefault="00A7074A" w:rsidP="00E61268">
      <w:pPr>
        <w:pStyle w:val="h2"/>
        <w:spacing w:after="120" w:line="300" w:lineRule="auto"/>
        <w:rPr>
          <w:sz w:val="32"/>
          <w:szCs w:val="32"/>
        </w:rPr>
      </w:pPr>
      <w:r>
        <w:rPr>
          <w:sz w:val="32"/>
          <w:szCs w:val="32"/>
        </w:rPr>
        <w:lastRenderedPageBreak/>
        <w:t>5</w:t>
      </w:r>
      <w:r w:rsidR="00A97BC7" w:rsidRPr="00E61268">
        <w:rPr>
          <w:sz w:val="32"/>
          <w:szCs w:val="32"/>
        </w:rPr>
        <w:t>)</w:t>
      </w:r>
      <w:bookmarkStart w:id="22" w:name="step"/>
      <w:bookmarkEnd w:id="22"/>
      <w:r w:rsidR="00A97BC7" w:rsidRPr="00E61268">
        <w:rPr>
          <w:sz w:val="32"/>
          <w:szCs w:val="32"/>
        </w:rPr>
        <w:t xml:space="preserve"> Pupil Specific Funding </w:t>
      </w:r>
      <w:r w:rsidR="005B0971">
        <w:rPr>
          <w:sz w:val="32"/>
          <w:szCs w:val="32"/>
        </w:rPr>
        <w:t>–</w:t>
      </w:r>
      <w:r w:rsidR="00A97BC7" w:rsidRPr="00E61268">
        <w:rPr>
          <w:sz w:val="32"/>
          <w:szCs w:val="32"/>
        </w:rPr>
        <w:t xml:space="preserve"> </w:t>
      </w:r>
      <w:bookmarkEnd w:id="21"/>
      <w:r w:rsidR="005B0971">
        <w:rPr>
          <w:sz w:val="32"/>
          <w:szCs w:val="32"/>
        </w:rPr>
        <w:t>Special Bands</w:t>
      </w:r>
      <w:r w:rsidR="00A97BC7" w:rsidRPr="00E61268">
        <w:rPr>
          <w:sz w:val="32"/>
          <w:szCs w:val="32"/>
        </w:rPr>
        <w:t xml:space="preserve"> </w:t>
      </w:r>
    </w:p>
    <w:p w14:paraId="1C3BAFEE" w14:textId="09600B5E" w:rsidR="002B30AF" w:rsidRDefault="00A97BC7" w:rsidP="00E61268">
      <w:pPr>
        <w:spacing w:after="120" w:line="300" w:lineRule="auto"/>
        <w:rPr>
          <w:i/>
          <w:iCs/>
          <w:spacing w:val="-2"/>
        </w:rPr>
      </w:pPr>
      <w:r w:rsidRPr="00E95C45">
        <w:rPr>
          <w:spacing w:val="1"/>
        </w:rPr>
        <w:t xml:space="preserve">The basis of the SEN funding is the </w:t>
      </w:r>
      <w:r w:rsidR="007D07FB">
        <w:rPr>
          <w:spacing w:val="1"/>
        </w:rPr>
        <w:t>band</w:t>
      </w:r>
      <w:r w:rsidRPr="00E95C45">
        <w:rPr>
          <w:spacing w:val="1"/>
        </w:rPr>
        <w:t xml:space="preserve"> system</w:t>
      </w:r>
      <w:r w:rsidRPr="00E95C45">
        <w:t xml:space="preserve">. </w:t>
      </w:r>
      <w:r w:rsidR="00A70779">
        <w:t>Since</w:t>
      </w:r>
      <w:r>
        <w:rPr>
          <w:spacing w:val="-2"/>
        </w:rPr>
        <w:t xml:space="preserve"> </w:t>
      </w:r>
      <w:proofErr w:type="gramStart"/>
      <w:r>
        <w:rPr>
          <w:spacing w:val="-2"/>
        </w:rPr>
        <w:t>April 2024</w:t>
      </w:r>
      <w:proofErr w:type="gramEnd"/>
      <w:r>
        <w:rPr>
          <w:spacing w:val="-2"/>
        </w:rPr>
        <w:t xml:space="preserve"> </w:t>
      </w:r>
      <w:r w:rsidR="002D3087">
        <w:rPr>
          <w:spacing w:val="-2"/>
        </w:rPr>
        <w:t>all</w:t>
      </w:r>
      <w:r>
        <w:rPr>
          <w:spacing w:val="-2"/>
        </w:rPr>
        <w:t xml:space="preserve"> pupils </w:t>
      </w:r>
      <w:r w:rsidR="002D3087">
        <w:rPr>
          <w:spacing w:val="-2"/>
        </w:rPr>
        <w:t xml:space="preserve">have </w:t>
      </w:r>
      <w:proofErr w:type="gramStart"/>
      <w:r w:rsidR="001A3414">
        <w:rPr>
          <w:spacing w:val="-2"/>
        </w:rPr>
        <w:t>been</w:t>
      </w:r>
      <w:r>
        <w:rPr>
          <w:spacing w:val="-2"/>
        </w:rPr>
        <w:t xml:space="preserve"> assigned</w:t>
      </w:r>
      <w:proofErr w:type="gramEnd"/>
      <w:r>
        <w:rPr>
          <w:spacing w:val="-2"/>
        </w:rPr>
        <w:t xml:space="preserve"> one of seven new </w:t>
      </w:r>
      <w:r w:rsidR="007D07FB">
        <w:rPr>
          <w:spacing w:val="-2"/>
        </w:rPr>
        <w:t>bands</w:t>
      </w:r>
      <w:r>
        <w:rPr>
          <w:spacing w:val="-2"/>
        </w:rPr>
        <w:t xml:space="preserve"> </w:t>
      </w:r>
      <w:r w:rsidRPr="002B30AF">
        <w:rPr>
          <w:spacing w:val="-2"/>
        </w:rPr>
        <w:t xml:space="preserve">S1 to S7. </w:t>
      </w:r>
      <w:r w:rsidR="002B30AF" w:rsidRPr="002B30AF">
        <w:rPr>
          <w:spacing w:val="-2"/>
        </w:rPr>
        <w:t>Where schools feel that HCC should consider a change to funding, schools may request that HCC make a further assessment against the framework at the next annual review.</w:t>
      </w:r>
    </w:p>
    <w:p w14:paraId="18CF3D0E" w14:textId="1723AC94" w:rsidR="00A97BC7" w:rsidRDefault="00A97BC7" w:rsidP="00E61268">
      <w:pPr>
        <w:spacing w:after="120" w:line="300" w:lineRule="auto"/>
        <w:rPr>
          <w:bCs/>
          <w:spacing w:val="1"/>
        </w:rPr>
      </w:pPr>
      <w:r>
        <w:rPr>
          <w:bCs/>
          <w:spacing w:val="1"/>
        </w:rPr>
        <w:t xml:space="preserve">The data in the budget share is based on the </w:t>
      </w:r>
      <w:r w:rsidR="00A917F7">
        <w:rPr>
          <w:bCs/>
          <w:spacing w:val="1"/>
        </w:rPr>
        <w:t>bands</w:t>
      </w:r>
      <w:r>
        <w:rPr>
          <w:bCs/>
          <w:spacing w:val="1"/>
        </w:rPr>
        <w:t xml:space="preserve"> agreed by the SEN Service. The indicative budget share (top-up funding) assumes that the number of pupils on roll will exactly equal the APN for the entire financial year. If the actual pupil numbers over the year are higher or lower, then the amount of funding will </w:t>
      </w:r>
      <w:proofErr w:type="gramStart"/>
      <w:r>
        <w:rPr>
          <w:bCs/>
          <w:spacing w:val="1"/>
        </w:rPr>
        <w:t>be increased</w:t>
      </w:r>
      <w:proofErr w:type="gramEnd"/>
      <w:r>
        <w:rPr>
          <w:bCs/>
          <w:spacing w:val="1"/>
        </w:rPr>
        <w:t xml:space="preserve"> or decreased accordingly. It is important to understand that top-up funding will also vary according to the </w:t>
      </w:r>
      <w:r w:rsidR="00012640">
        <w:rPr>
          <w:bCs/>
          <w:spacing w:val="1"/>
        </w:rPr>
        <w:t>bands</w:t>
      </w:r>
      <w:r>
        <w:rPr>
          <w:bCs/>
          <w:spacing w:val="1"/>
        </w:rPr>
        <w:t xml:space="preserve"> of individual pupils who join and leave the school.</w:t>
      </w:r>
    </w:p>
    <w:p w14:paraId="7509801F" w14:textId="0B6DAEF9" w:rsidR="0071041F" w:rsidRDefault="0071041F" w:rsidP="00E61268">
      <w:pPr>
        <w:spacing w:after="120" w:line="300" w:lineRule="auto"/>
        <w:rPr>
          <w:bCs/>
          <w:spacing w:val="1"/>
        </w:rPr>
      </w:pPr>
      <w:r w:rsidRPr="0071041F">
        <w:rPr>
          <w:bCs/>
          <w:spacing w:val="1"/>
        </w:rPr>
        <w:t xml:space="preserve">Please note that the revised funding framework for special schools from April 2024 incorporates most of the funding which </w:t>
      </w:r>
      <w:proofErr w:type="gramStart"/>
      <w:r w:rsidRPr="0071041F">
        <w:rPr>
          <w:bCs/>
          <w:spacing w:val="1"/>
        </w:rPr>
        <w:t>was previously agreed</w:t>
      </w:r>
      <w:proofErr w:type="gramEnd"/>
      <w:r w:rsidRPr="0071041F">
        <w:rPr>
          <w:bCs/>
          <w:spacing w:val="1"/>
        </w:rPr>
        <w:t xml:space="preserve"> discretionally and outside of the previous </w:t>
      </w:r>
      <w:r w:rsidRPr="00A917F7">
        <w:rPr>
          <w:bCs/>
          <w:spacing w:val="1"/>
        </w:rPr>
        <w:t xml:space="preserve">framework (such as for therapies and AP). Consequently, </w:t>
      </w:r>
      <w:r w:rsidR="00A917F7" w:rsidRPr="00A917F7">
        <w:rPr>
          <w:bCs/>
          <w:spacing w:val="1"/>
        </w:rPr>
        <w:t xml:space="preserve">requests for funding outside of the framework require Service Manager approval and </w:t>
      </w:r>
      <w:proofErr w:type="gramStart"/>
      <w:r w:rsidR="00A917F7" w:rsidRPr="00A917F7">
        <w:rPr>
          <w:bCs/>
          <w:spacing w:val="1"/>
        </w:rPr>
        <w:t>are considered</w:t>
      </w:r>
      <w:proofErr w:type="gramEnd"/>
      <w:r w:rsidR="00A917F7" w:rsidRPr="00A917F7">
        <w:rPr>
          <w:bCs/>
          <w:spacing w:val="1"/>
        </w:rPr>
        <w:t xml:space="preserve"> on a highly exceptional basis.</w:t>
      </w:r>
    </w:p>
    <w:p w14:paraId="667E0759" w14:textId="77777777" w:rsidR="006C3E0B" w:rsidRDefault="006C3E0B" w:rsidP="00E61268">
      <w:pPr>
        <w:pStyle w:val="h2"/>
        <w:spacing w:after="120" w:line="300" w:lineRule="auto"/>
        <w:rPr>
          <w:sz w:val="32"/>
          <w:szCs w:val="32"/>
        </w:rPr>
      </w:pPr>
      <w:bookmarkStart w:id="23" w:name="lac"/>
      <w:bookmarkStart w:id="24" w:name="idaci"/>
      <w:bookmarkStart w:id="25" w:name="_Toc157696920"/>
      <w:bookmarkStart w:id="26" w:name="Splitsite"/>
      <w:bookmarkEnd w:id="23"/>
      <w:bookmarkEnd w:id="24"/>
    </w:p>
    <w:p w14:paraId="3D29F317" w14:textId="377D9D9D" w:rsidR="00A97BC7" w:rsidRPr="00E61268" w:rsidRDefault="00A7074A" w:rsidP="00E61268">
      <w:pPr>
        <w:pStyle w:val="h2"/>
        <w:spacing w:after="120" w:line="300" w:lineRule="auto"/>
        <w:rPr>
          <w:sz w:val="32"/>
          <w:szCs w:val="32"/>
        </w:rPr>
      </w:pPr>
      <w:r>
        <w:rPr>
          <w:sz w:val="32"/>
          <w:szCs w:val="32"/>
        </w:rPr>
        <w:t>6</w:t>
      </w:r>
      <w:r w:rsidR="00A97BC7" w:rsidRPr="00E61268">
        <w:rPr>
          <w:sz w:val="32"/>
          <w:szCs w:val="32"/>
        </w:rPr>
        <w:t>) Split Site Funding</w:t>
      </w:r>
      <w:bookmarkEnd w:id="25"/>
    </w:p>
    <w:bookmarkEnd w:id="26"/>
    <w:p w14:paraId="0D5F9FB6" w14:textId="77777777" w:rsidR="00A97BC7" w:rsidRPr="008A418B" w:rsidRDefault="00A97BC7" w:rsidP="00E61268">
      <w:pPr>
        <w:spacing w:after="120" w:line="300" w:lineRule="auto"/>
      </w:pPr>
      <w:r w:rsidRPr="008A418B">
        <w:t>This part of the top-up recognises the additional costs of operating a school on a split site.</w:t>
      </w:r>
    </w:p>
    <w:p w14:paraId="329BDABE" w14:textId="65E1560B" w:rsidR="00184FCA" w:rsidRPr="00DB6017" w:rsidRDefault="00184FCA" w:rsidP="00DB6017">
      <w:pPr>
        <w:spacing w:after="120" w:line="300" w:lineRule="auto"/>
      </w:pPr>
      <w:r w:rsidRPr="00DB6017">
        <w:t xml:space="preserve">Due to the wide range of factors that may drive additional cost, funding </w:t>
      </w:r>
      <w:proofErr w:type="gramStart"/>
      <w:r w:rsidRPr="00DB6017">
        <w:t>is provided</w:t>
      </w:r>
      <w:proofErr w:type="gramEnd"/>
      <w:r w:rsidRPr="00DB6017">
        <w:t xml:space="preserve"> at a fixed amount equivalent to the gross salary cost of L10 per year</w:t>
      </w:r>
      <w:r w:rsidR="00DB6017" w:rsidRPr="00DB6017">
        <w:t>, in accordance with the policy agreed by Schools Forum</w:t>
      </w:r>
      <w:r w:rsidRPr="00DB6017">
        <w:t xml:space="preserve">. It </w:t>
      </w:r>
      <w:proofErr w:type="gramStart"/>
      <w:r w:rsidRPr="00DB6017">
        <w:t>is recognised</w:t>
      </w:r>
      <w:proofErr w:type="gramEnd"/>
      <w:r w:rsidRPr="00DB6017">
        <w:t xml:space="preserve"> that the costs incurred will vary </w:t>
      </w:r>
      <w:proofErr w:type="gramStart"/>
      <w:r w:rsidRPr="00DB6017">
        <w:t>considerably between</w:t>
      </w:r>
      <w:proofErr w:type="gramEnd"/>
      <w:r w:rsidRPr="00DB6017">
        <w:t xml:space="preserve"> schools and depending on specific circumstances therefore the basis of funding should only </w:t>
      </w:r>
      <w:proofErr w:type="gramStart"/>
      <w:r w:rsidRPr="00DB6017">
        <w:t>be seen</w:t>
      </w:r>
      <w:proofErr w:type="gramEnd"/>
      <w:r w:rsidRPr="00DB6017">
        <w:t xml:space="preserve"> as a methodology for allocation, not as an indication of costs or required areas of spend.</w:t>
      </w:r>
      <w:r w:rsidR="00DB6017" w:rsidRPr="00DB6017">
        <w:t xml:space="preserve"> The total amount due </w:t>
      </w:r>
      <w:proofErr w:type="gramStart"/>
      <w:r w:rsidR="00DB6017" w:rsidRPr="00DB6017">
        <w:t>is divided</w:t>
      </w:r>
      <w:proofErr w:type="gramEnd"/>
      <w:r w:rsidR="00DB6017" w:rsidRPr="00DB6017">
        <w:t xml:space="preserve"> by the agreed place number (APN) to calculate a ‘per pupil’ amount to use in top-up funding.</w:t>
      </w:r>
    </w:p>
    <w:p w14:paraId="21C81CE0" w14:textId="7171DD62" w:rsidR="00A97BC7" w:rsidRDefault="00A97BC7" w:rsidP="00E61268">
      <w:pPr>
        <w:spacing w:after="120" w:line="300" w:lineRule="auto"/>
      </w:pPr>
      <w:r>
        <w:t>A</w:t>
      </w:r>
      <w:r w:rsidRPr="001C2CC6">
        <w:t xml:space="preserve"> reconciliation will </w:t>
      </w:r>
      <w:proofErr w:type="gramStart"/>
      <w:r w:rsidRPr="001C2CC6">
        <w:t>be undertaken</w:t>
      </w:r>
      <w:proofErr w:type="gramEnd"/>
      <w:r w:rsidRPr="001C2CC6">
        <w:t xml:space="preserve"> at the</w:t>
      </w:r>
      <w:r>
        <w:t xml:space="preserve"> end of the financial year, </w:t>
      </w:r>
      <w:r w:rsidRPr="00D23353">
        <w:t>once all the top-up funding for the spring term and pupil numbers have been finalised</w:t>
      </w:r>
      <w:r>
        <w:t>,</w:t>
      </w:r>
      <w:r w:rsidRPr="001C2CC6">
        <w:t xml:space="preserve"> to adjust for any over or underpayment against this fixed</w:t>
      </w:r>
      <w:r w:rsidR="00B60E0E">
        <w:t xml:space="preserve"> amount</w:t>
      </w:r>
      <w:r>
        <w:t>, illustrated by the example below:</w:t>
      </w:r>
    </w:p>
    <w:p w14:paraId="5CFB1829" w14:textId="77777777" w:rsidR="00A15DA3" w:rsidRDefault="00A15DA3" w:rsidP="00E61268">
      <w:pPr>
        <w:spacing w:after="120" w:line="300" w:lineRule="auto"/>
      </w:pPr>
    </w:p>
    <w:p w14:paraId="39938C84" w14:textId="77777777" w:rsidR="006C3E0B" w:rsidRDefault="006C3E0B" w:rsidP="00E61268">
      <w:pPr>
        <w:spacing w:after="120" w:line="300" w:lineRule="auto"/>
      </w:pPr>
    </w:p>
    <w:p w14:paraId="370C500C" w14:textId="77777777" w:rsidR="006C3E0B" w:rsidRDefault="006C3E0B" w:rsidP="00E61268">
      <w:pPr>
        <w:spacing w:after="120" w:line="300" w:lineRule="auto"/>
      </w:pPr>
    </w:p>
    <w:tbl>
      <w:tblPr>
        <w:tblW w:w="8849" w:type="dxa"/>
        <w:tblInd w:w="93" w:type="dxa"/>
        <w:tblLook w:val="04A0" w:firstRow="1" w:lastRow="0" w:firstColumn="1" w:lastColumn="0" w:noHBand="0" w:noVBand="1"/>
      </w:tblPr>
      <w:tblGrid>
        <w:gridCol w:w="4148"/>
        <w:gridCol w:w="3074"/>
        <w:gridCol w:w="1627"/>
      </w:tblGrid>
      <w:tr w:rsidR="00A97BC7" w:rsidRPr="0018757A" w14:paraId="6B9F7ADD" w14:textId="77777777">
        <w:trPr>
          <w:trHeight w:val="471"/>
        </w:trPr>
        <w:tc>
          <w:tcPr>
            <w:tcW w:w="0" w:type="auto"/>
            <w:tcBorders>
              <w:top w:val="single" w:sz="4" w:space="0" w:color="auto"/>
              <w:left w:val="single" w:sz="4" w:space="0" w:color="auto"/>
              <w:bottom w:val="nil"/>
              <w:right w:val="nil"/>
            </w:tcBorders>
            <w:noWrap/>
            <w:vAlign w:val="bottom"/>
            <w:hideMark/>
          </w:tcPr>
          <w:p w14:paraId="58EF8357" w14:textId="44A920A6"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lastRenderedPageBreak/>
              <w:t xml:space="preserve">Allocation for </w:t>
            </w:r>
            <w:r w:rsidR="00E92D19">
              <w:rPr>
                <w:rFonts w:ascii="Arial Rounded MT Bold" w:hAnsi="Arial Rounded MT Bold"/>
                <w:color w:val="000000"/>
                <w:sz w:val="20"/>
                <w:szCs w:val="20"/>
              </w:rPr>
              <w:t>2026/27</w:t>
            </w:r>
          </w:p>
        </w:tc>
        <w:tc>
          <w:tcPr>
            <w:tcW w:w="0" w:type="auto"/>
            <w:tcBorders>
              <w:top w:val="single" w:sz="4" w:space="0" w:color="auto"/>
              <w:left w:val="nil"/>
              <w:bottom w:val="nil"/>
              <w:right w:val="nil"/>
            </w:tcBorders>
            <w:noWrap/>
            <w:vAlign w:val="bottom"/>
            <w:hideMark/>
          </w:tcPr>
          <w:p w14:paraId="778E9843" w14:textId="333F5C5D" w:rsidR="00A97BC7" w:rsidRPr="006151CA" w:rsidRDefault="00A97BC7" w:rsidP="00E61268">
            <w:pPr>
              <w:spacing w:after="120" w:line="300" w:lineRule="auto"/>
              <w:rPr>
                <w:rFonts w:ascii="Arial Rounded MT Bold" w:hAnsi="Arial Rounded MT Bold"/>
                <w:color w:val="000000"/>
                <w:sz w:val="20"/>
                <w:szCs w:val="20"/>
              </w:rPr>
            </w:pPr>
          </w:p>
        </w:tc>
        <w:tc>
          <w:tcPr>
            <w:tcW w:w="0" w:type="auto"/>
            <w:tcBorders>
              <w:top w:val="single" w:sz="4" w:space="0" w:color="auto"/>
              <w:left w:val="nil"/>
              <w:bottom w:val="nil"/>
              <w:right w:val="single" w:sz="4" w:space="0" w:color="auto"/>
            </w:tcBorders>
            <w:noWrap/>
            <w:vAlign w:val="bottom"/>
            <w:hideMark/>
          </w:tcPr>
          <w:p w14:paraId="3474459E" w14:textId="313643E4"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w:t>
            </w:r>
            <w:r w:rsidR="00D65ED7">
              <w:rPr>
                <w:rFonts w:ascii="Arial Rounded MT Bold" w:hAnsi="Arial Rounded MT Bold"/>
                <w:color w:val="000000"/>
                <w:sz w:val="20"/>
                <w:szCs w:val="20"/>
              </w:rPr>
              <w:t>92,199</w:t>
            </w:r>
          </w:p>
        </w:tc>
      </w:tr>
      <w:tr w:rsidR="00A97BC7" w:rsidRPr="0018757A" w14:paraId="48432EA2" w14:textId="77777777">
        <w:trPr>
          <w:trHeight w:val="471"/>
        </w:trPr>
        <w:tc>
          <w:tcPr>
            <w:tcW w:w="0" w:type="auto"/>
            <w:tcBorders>
              <w:top w:val="nil"/>
              <w:left w:val="single" w:sz="4" w:space="0" w:color="auto"/>
              <w:bottom w:val="nil"/>
              <w:right w:val="nil"/>
            </w:tcBorders>
            <w:noWrap/>
            <w:vAlign w:val="bottom"/>
            <w:hideMark/>
          </w:tcPr>
          <w:p w14:paraId="60396087" w14:textId="35AABC2D" w:rsidR="00A97BC7" w:rsidRPr="006151CA" w:rsidRDefault="00E92D19" w:rsidP="00E61268">
            <w:pPr>
              <w:spacing w:after="120" w:line="300" w:lineRule="auto"/>
              <w:rPr>
                <w:rFonts w:ascii="Arial Rounded MT Bold" w:hAnsi="Arial Rounded MT Bold"/>
                <w:color w:val="000000"/>
                <w:sz w:val="20"/>
                <w:szCs w:val="20"/>
              </w:rPr>
            </w:pPr>
            <w:r>
              <w:rPr>
                <w:rFonts w:ascii="Arial Rounded MT Bold" w:hAnsi="Arial Rounded MT Bold"/>
                <w:color w:val="000000"/>
                <w:sz w:val="20"/>
                <w:szCs w:val="20"/>
              </w:rPr>
              <w:t>2026/27</w:t>
            </w:r>
            <w:r w:rsidR="00A97BC7" w:rsidRPr="006151CA">
              <w:rPr>
                <w:rFonts w:ascii="Arial Rounded MT Bold" w:hAnsi="Arial Rounded MT Bold"/>
                <w:color w:val="000000"/>
                <w:sz w:val="20"/>
                <w:szCs w:val="20"/>
              </w:rPr>
              <w:t xml:space="preserve"> Financial Year APN</w:t>
            </w:r>
          </w:p>
        </w:tc>
        <w:tc>
          <w:tcPr>
            <w:tcW w:w="0" w:type="auto"/>
            <w:tcBorders>
              <w:top w:val="nil"/>
              <w:left w:val="nil"/>
              <w:bottom w:val="nil"/>
              <w:right w:val="nil"/>
            </w:tcBorders>
            <w:noWrap/>
            <w:vAlign w:val="bottom"/>
            <w:hideMark/>
          </w:tcPr>
          <w:p w14:paraId="1438F8C8" w14:textId="77777777" w:rsidR="00A97BC7" w:rsidRPr="006151CA" w:rsidRDefault="00A97BC7" w:rsidP="00E61268">
            <w:pPr>
              <w:spacing w:after="120" w:line="300" w:lineRule="auto"/>
              <w:rPr>
                <w:rFonts w:ascii="Arial Rounded MT Bold" w:hAnsi="Arial Rounded MT Bold"/>
                <w:color w:val="000000"/>
                <w:sz w:val="20"/>
                <w:szCs w:val="20"/>
              </w:rPr>
            </w:pPr>
          </w:p>
        </w:tc>
        <w:tc>
          <w:tcPr>
            <w:tcW w:w="0" w:type="auto"/>
            <w:tcBorders>
              <w:top w:val="nil"/>
              <w:left w:val="nil"/>
              <w:bottom w:val="nil"/>
              <w:right w:val="single" w:sz="4" w:space="0" w:color="auto"/>
            </w:tcBorders>
            <w:noWrap/>
            <w:vAlign w:val="bottom"/>
            <w:hideMark/>
          </w:tcPr>
          <w:p w14:paraId="68ACCD0C" w14:textId="77777777"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100</w:t>
            </w:r>
          </w:p>
        </w:tc>
      </w:tr>
      <w:tr w:rsidR="00A97BC7" w:rsidRPr="0018757A" w14:paraId="3DFB9A59" w14:textId="77777777">
        <w:trPr>
          <w:trHeight w:val="471"/>
        </w:trPr>
        <w:tc>
          <w:tcPr>
            <w:tcW w:w="0" w:type="auto"/>
            <w:tcBorders>
              <w:top w:val="nil"/>
              <w:left w:val="single" w:sz="4" w:space="0" w:color="auto"/>
              <w:bottom w:val="single" w:sz="4" w:space="0" w:color="auto"/>
              <w:right w:val="nil"/>
            </w:tcBorders>
            <w:noWrap/>
            <w:vAlign w:val="bottom"/>
            <w:hideMark/>
          </w:tcPr>
          <w:p w14:paraId="5460DE8F" w14:textId="4CAD41D8" w:rsidR="00A97BC7" w:rsidRPr="006151CA" w:rsidRDefault="00E92D19" w:rsidP="00E61268">
            <w:pPr>
              <w:spacing w:after="120" w:line="300" w:lineRule="auto"/>
              <w:rPr>
                <w:rFonts w:ascii="Arial Rounded MT Bold" w:hAnsi="Arial Rounded MT Bold"/>
                <w:color w:val="000000"/>
                <w:sz w:val="20"/>
                <w:szCs w:val="20"/>
              </w:rPr>
            </w:pPr>
            <w:r>
              <w:rPr>
                <w:rFonts w:ascii="Arial Rounded MT Bold" w:hAnsi="Arial Rounded MT Bold"/>
                <w:color w:val="000000"/>
                <w:sz w:val="20"/>
                <w:szCs w:val="20"/>
              </w:rPr>
              <w:t>2026/27</w:t>
            </w:r>
            <w:r w:rsidR="00A97BC7" w:rsidRPr="006151CA">
              <w:rPr>
                <w:rFonts w:ascii="Arial Rounded MT Bold" w:hAnsi="Arial Rounded MT Bold"/>
                <w:color w:val="000000"/>
                <w:sz w:val="20"/>
                <w:szCs w:val="20"/>
              </w:rPr>
              <w:t xml:space="preserve"> Split Site top-up value</w:t>
            </w:r>
          </w:p>
        </w:tc>
        <w:tc>
          <w:tcPr>
            <w:tcW w:w="0" w:type="auto"/>
            <w:tcBorders>
              <w:top w:val="nil"/>
              <w:left w:val="nil"/>
              <w:bottom w:val="single" w:sz="4" w:space="0" w:color="auto"/>
              <w:right w:val="nil"/>
            </w:tcBorders>
            <w:noWrap/>
            <w:vAlign w:val="bottom"/>
            <w:hideMark/>
          </w:tcPr>
          <w:p w14:paraId="2346E865" w14:textId="36B77E5F" w:rsidR="00A97BC7" w:rsidRPr="006151CA" w:rsidRDefault="00A97BC7" w:rsidP="00E61268">
            <w:pPr>
              <w:spacing w:after="120" w:line="300" w:lineRule="auto"/>
              <w:rPr>
                <w:rFonts w:ascii="Arial Rounded MT Bold" w:hAnsi="Arial Rounded MT Bold"/>
                <w:i/>
                <w:iCs/>
                <w:color w:val="000000"/>
                <w:sz w:val="20"/>
                <w:szCs w:val="20"/>
              </w:rPr>
            </w:pPr>
            <w:r w:rsidRPr="006151CA">
              <w:rPr>
                <w:rFonts w:ascii="Arial Rounded MT Bold" w:hAnsi="Arial Rounded MT Bold"/>
                <w:i/>
                <w:iCs/>
                <w:color w:val="000000"/>
                <w:sz w:val="20"/>
                <w:szCs w:val="20"/>
              </w:rPr>
              <w:t xml:space="preserve">      £</w:t>
            </w:r>
            <w:r w:rsidR="001C03A0">
              <w:rPr>
                <w:rFonts w:ascii="Arial Rounded MT Bold" w:hAnsi="Arial Rounded MT Bold"/>
                <w:i/>
                <w:iCs/>
                <w:color w:val="000000"/>
                <w:sz w:val="20"/>
                <w:szCs w:val="20"/>
              </w:rPr>
              <w:t>92,199</w:t>
            </w:r>
            <w:r w:rsidRPr="006151CA">
              <w:rPr>
                <w:rFonts w:ascii="Arial Rounded MT Bold" w:hAnsi="Arial Rounded MT Bold"/>
                <w:i/>
                <w:iCs/>
                <w:color w:val="000000"/>
                <w:sz w:val="20"/>
                <w:szCs w:val="20"/>
              </w:rPr>
              <w:t xml:space="preserve"> / 100</w:t>
            </w:r>
          </w:p>
        </w:tc>
        <w:tc>
          <w:tcPr>
            <w:tcW w:w="0" w:type="auto"/>
            <w:tcBorders>
              <w:top w:val="nil"/>
              <w:left w:val="nil"/>
              <w:bottom w:val="single" w:sz="4" w:space="0" w:color="auto"/>
              <w:right w:val="single" w:sz="4" w:space="0" w:color="auto"/>
            </w:tcBorders>
            <w:noWrap/>
            <w:vAlign w:val="bottom"/>
            <w:hideMark/>
          </w:tcPr>
          <w:p w14:paraId="724E395D" w14:textId="190D6E6D"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w:t>
            </w:r>
            <w:r w:rsidR="001C03A0">
              <w:rPr>
                <w:rFonts w:ascii="Arial Rounded MT Bold" w:hAnsi="Arial Rounded MT Bold"/>
                <w:color w:val="000000"/>
                <w:sz w:val="20"/>
                <w:szCs w:val="20"/>
              </w:rPr>
              <w:t>921.99</w:t>
            </w:r>
          </w:p>
        </w:tc>
      </w:tr>
      <w:tr w:rsidR="00A97BC7" w:rsidRPr="0018757A" w14:paraId="265CA60E" w14:textId="77777777">
        <w:trPr>
          <w:trHeight w:val="187"/>
        </w:trPr>
        <w:tc>
          <w:tcPr>
            <w:tcW w:w="0" w:type="auto"/>
            <w:tcBorders>
              <w:top w:val="nil"/>
              <w:left w:val="nil"/>
              <w:bottom w:val="nil"/>
              <w:right w:val="nil"/>
            </w:tcBorders>
            <w:noWrap/>
            <w:vAlign w:val="bottom"/>
            <w:hideMark/>
          </w:tcPr>
          <w:p w14:paraId="785D2205" w14:textId="77777777" w:rsidR="00A97BC7" w:rsidRPr="006151CA" w:rsidRDefault="00A97BC7" w:rsidP="00CA0DCB">
            <w:pPr>
              <w:rPr>
                <w:rFonts w:ascii="Arial Rounded MT Bold" w:hAnsi="Arial Rounded MT Bold"/>
                <w:color w:val="000000"/>
                <w:sz w:val="20"/>
                <w:szCs w:val="20"/>
              </w:rPr>
            </w:pPr>
          </w:p>
        </w:tc>
        <w:tc>
          <w:tcPr>
            <w:tcW w:w="0" w:type="auto"/>
            <w:tcBorders>
              <w:top w:val="nil"/>
              <w:left w:val="nil"/>
              <w:bottom w:val="nil"/>
              <w:right w:val="nil"/>
            </w:tcBorders>
            <w:noWrap/>
            <w:vAlign w:val="bottom"/>
            <w:hideMark/>
          </w:tcPr>
          <w:p w14:paraId="27EF03EB" w14:textId="77777777" w:rsidR="00A97BC7" w:rsidRPr="006151CA" w:rsidRDefault="00A97BC7" w:rsidP="00CA0DCB">
            <w:pPr>
              <w:rPr>
                <w:rFonts w:ascii="Arial Rounded MT Bold" w:hAnsi="Arial Rounded MT Bold"/>
                <w:i/>
                <w:iCs/>
                <w:color w:val="000000"/>
                <w:sz w:val="20"/>
                <w:szCs w:val="20"/>
              </w:rPr>
            </w:pPr>
          </w:p>
        </w:tc>
        <w:tc>
          <w:tcPr>
            <w:tcW w:w="0" w:type="auto"/>
            <w:tcBorders>
              <w:top w:val="nil"/>
              <w:left w:val="nil"/>
              <w:bottom w:val="nil"/>
              <w:right w:val="nil"/>
            </w:tcBorders>
            <w:noWrap/>
            <w:vAlign w:val="bottom"/>
            <w:hideMark/>
          </w:tcPr>
          <w:p w14:paraId="177609A4" w14:textId="77777777" w:rsidR="00A97BC7" w:rsidRPr="006151CA" w:rsidRDefault="00A97BC7" w:rsidP="00CA0DCB">
            <w:pPr>
              <w:rPr>
                <w:rFonts w:ascii="Arial Rounded MT Bold" w:hAnsi="Arial Rounded MT Bold"/>
                <w:color w:val="000000"/>
                <w:sz w:val="20"/>
                <w:szCs w:val="20"/>
              </w:rPr>
            </w:pPr>
          </w:p>
        </w:tc>
      </w:tr>
      <w:tr w:rsidR="00A97BC7" w:rsidRPr="0018757A" w14:paraId="0300352C" w14:textId="77777777">
        <w:trPr>
          <w:trHeight w:val="471"/>
        </w:trPr>
        <w:tc>
          <w:tcPr>
            <w:tcW w:w="0" w:type="auto"/>
            <w:tcBorders>
              <w:top w:val="single" w:sz="4" w:space="0" w:color="auto"/>
              <w:left w:val="single" w:sz="4" w:space="0" w:color="auto"/>
              <w:bottom w:val="nil"/>
              <w:right w:val="nil"/>
            </w:tcBorders>
            <w:noWrap/>
            <w:vAlign w:val="bottom"/>
            <w:hideMark/>
          </w:tcPr>
          <w:p w14:paraId="4B5B39E2" w14:textId="77777777"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Average actual FTE for the year</w:t>
            </w:r>
          </w:p>
        </w:tc>
        <w:tc>
          <w:tcPr>
            <w:tcW w:w="0" w:type="auto"/>
            <w:tcBorders>
              <w:top w:val="single" w:sz="4" w:space="0" w:color="auto"/>
              <w:left w:val="nil"/>
              <w:bottom w:val="nil"/>
              <w:right w:val="nil"/>
            </w:tcBorders>
            <w:noWrap/>
            <w:vAlign w:val="bottom"/>
            <w:hideMark/>
          </w:tcPr>
          <w:p w14:paraId="05C861EE" w14:textId="20C724D8" w:rsidR="00A97BC7" w:rsidRPr="006151CA" w:rsidRDefault="00A97BC7" w:rsidP="00E61268">
            <w:pPr>
              <w:spacing w:after="120" w:line="300" w:lineRule="auto"/>
              <w:rPr>
                <w:rFonts w:ascii="Arial Rounded MT Bold" w:hAnsi="Arial Rounded MT Bold"/>
                <w:color w:val="000000"/>
                <w:sz w:val="20"/>
                <w:szCs w:val="20"/>
              </w:rPr>
            </w:pPr>
          </w:p>
        </w:tc>
        <w:tc>
          <w:tcPr>
            <w:tcW w:w="0" w:type="auto"/>
            <w:tcBorders>
              <w:top w:val="single" w:sz="4" w:space="0" w:color="auto"/>
              <w:left w:val="nil"/>
              <w:bottom w:val="nil"/>
              <w:right w:val="single" w:sz="4" w:space="0" w:color="auto"/>
            </w:tcBorders>
            <w:noWrap/>
            <w:vAlign w:val="bottom"/>
            <w:hideMark/>
          </w:tcPr>
          <w:p w14:paraId="73619E3B" w14:textId="77777777"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105</w:t>
            </w:r>
          </w:p>
        </w:tc>
      </w:tr>
      <w:tr w:rsidR="00A97BC7" w:rsidRPr="0018757A" w14:paraId="173F3DC8" w14:textId="77777777">
        <w:trPr>
          <w:trHeight w:val="471"/>
        </w:trPr>
        <w:tc>
          <w:tcPr>
            <w:tcW w:w="0" w:type="auto"/>
            <w:tcBorders>
              <w:top w:val="nil"/>
              <w:left w:val="single" w:sz="4" w:space="0" w:color="auto"/>
              <w:bottom w:val="nil"/>
              <w:right w:val="nil"/>
            </w:tcBorders>
            <w:noWrap/>
            <w:vAlign w:val="bottom"/>
            <w:hideMark/>
          </w:tcPr>
          <w:p w14:paraId="3A0496A7" w14:textId="4C510F94" w:rsidR="00A97BC7" w:rsidRPr="006151CA" w:rsidRDefault="00E92D19" w:rsidP="00E61268">
            <w:pPr>
              <w:spacing w:after="120" w:line="300" w:lineRule="auto"/>
              <w:rPr>
                <w:rFonts w:ascii="Arial Rounded MT Bold" w:hAnsi="Arial Rounded MT Bold"/>
                <w:color w:val="000000"/>
                <w:sz w:val="20"/>
                <w:szCs w:val="20"/>
              </w:rPr>
            </w:pPr>
            <w:r>
              <w:rPr>
                <w:rFonts w:ascii="Arial Rounded MT Bold" w:hAnsi="Arial Rounded MT Bold"/>
                <w:color w:val="000000"/>
                <w:sz w:val="20"/>
                <w:szCs w:val="20"/>
              </w:rPr>
              <w:t>2026/27</w:t>
            </w:r>
            <w:r w:rsidR="00A97BC7" w:rsidRPr="006151CA">
              <w:rPr>
                <w:rFonts w:ascii="Arial Rounded MT Bold" w:hAnsi="Arial Rounded MT Bold"/>
                <w:color w:val="000000"/>
                <w:sz w:val="20"/>
                <w:szCs w:val="20"/>
              </w:rPr>
              <w:t xml:space="preserve"> Split Site top-up value</w:t>
            </w:r>
          </w:p>
        </w:tc>
        <w:tc>
          <w:tcPr>
            <w:tcW w:w="0" w:type="auto"/>
            <w:tcBorders>
              <w:top w:val="nil"/>
              <w:left w:val="nil"/>
              <w:bottom w:val="nil"/>
              <w:right w:val="nil"/>
            </w:tcBorders>
            <w:noWrap/>
            <w:vAlign w:val="bottom"/>
            <w:hideMark/>
          </w:tcPr>
          <w:p w14:paraId="5D144AF4" w14:textId="77777777" w:rsidR="00A97BC7" w:rsidRPr="006151CA" w:rsidRDefault="00A97BC7" w:rsidP="00E61268">
            <w:pPr>
              <w:spacing w:after="120" w:line="300" w:lineRule="auto"/>
              <w:rPr>
                <w:rFonts w:ascii="Arial Rounded MT Bold" w:hAnsi="Arial Rounded MT Bold"/>
                <w:i/>
                <w:iCs/>
                <w:color w:val="000000"/>
                <w:sz w:val="20"/>
                <w:szCs w:val="20"/>
              </w:rPr>
            </w:pPr>
          </w:p>
        </w:tc>
        <w:tc>
          <w:tcPr>
            <w:tcW w:w="0" w:type="auto"/>
            <w:tcBorders>
              <w:top w:val="nil"/>
              <w:left w:val="nil"/>
              <w:bottom w:val="nil"/>
              <w:right w:val="single" w:sz="4" w:space="0" w:color="auto"/>
            </w:tcBorders>
            <w:noWrap/>
            <w:vAlign w:val="bottom"/>
            <w:hideMark/>
          </w:tcPr>
          <w:p w14:paraId="6E8C4BA7" w14:textId="38D6D4F6"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w:t>
            </w:r>
            <w:r w:rsidR="001C03A0">
              <w:rPr>
                <w:rFonts w:ascii="Arial Rounded MT Bold" w:hAnsi="Arial Rounded MT Bold"/>
                <w:color w:val="000000"/>
                <w:sz w:val="20"/>
                <w:szCs w:val="20"/>
              </w:rPr>
              <w:t>921.99</w:t>
            </w:r>
          </w:p>
        </w:tc>
      </w:tr>
      <w:tr w:rsidR="00A97BC7" w:rsidRPr="0018757A" w14:paraId="5AF046D9" w14:textId="77777777">
        <w:trPr>
          <w:trHeight w:val="471"/>
        </w:trPr>
        <w:tc>
          <w:tcPr>
            <w:tcW w:w="0" w:type="auto"/>
            <w:tcBorders>
              <w:top w:val="nil"/>
              <w:left w:val="single" w:sz="4" w:space="0" w:color="auto"/>
              <w:bottom w:val="nil"/>
              <w:right w:val="nil"/>
            </w:tcBorders>
            <w:noWrap/>
            <w:vAlign w:val="bottom"/>
            <w:hideMark/>
          </w:tcPr>
          <w:p w14:paraId="7031DBB9" w14:textId="77777777"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Allocation paid through top-up</w:t>
            </w:r>
          </w:p>
        </w:tc>
        <w:tc>
          <w:tcPr>
            <w:tcW w:w="0" w:type="auto"/>
            <w:tcBorders>
              <w:top w:val="nil"/>
              <w:left w:val="nil"/>
              <w:bottom w:val="nil"/>
              <w:right w:val="nil"/>
            </w:tcBorders>
            <w:noWrap/>
            <w:vAlign w:val="bottom"/>
            <w:hideMark/>
          </w:tcPr>
          <w:p w14:paraId="43C73FA5" w14:textId="68DBB635" w:rsidR="00A97BC7" w:rsidRPr="006151CA" w:rsidRDefault="00A97BC7" w:rsidP="00E61268">
            <w:pPr>
              <w:spacing w:after="120" w:line="300" w:lineRule="auto"/>
              <w:rPr>
                <w:rFonts w:ascii="Arial Rounded MT Bold" w:hAnsi="Arial Rounded MT Bold"/>
                <w:i/>
                <w:iCs/>
                <w:color w:val="000000"/>
                <w:sz w:val="20"/>
                <w:szCs w:val="20"/>
              </w:rPr>
            </w:pPr>
            <w:r w:rsidRPr="006151CA">
              <w:rPr>
                <w:rFonts w:ascii="Arial Rounded MT Bold" w:hAnsi="Arial Rounded MT Bold"/>
                <w:i/>
                <w:iCs/>
                <w:color w:val="000000"/>
                <w:sz w:val="20"/>
                <w:szCs w:val="20"/>
              </w:rPr>
              <w:t xml:space="preserve">          105 * £</w:t>
            </w:r>
            <w:r w:rsidR="001C03A0">
              <w:rPr>
                <w:rFonts w:ascii="Arial Rounded MT Bold" w:hAnsi="Arial Rounded MT Bold"/>
                <w:i/>
                <w:iCs/>
                <w:color w:val="000000"/>
                <w:sz w:val="20"/>
                <w:szCs w:val="20"/>
              </w:rPr>
              <w:t>921.99</w:t>
            </w:r>
            <w:r w:rsidRPr="006151CA">
              <w:rPr>
                <w:rFonts w:ascii="Arial Rounded MT Bold" w:hAnsi="Arial Rounded MT Bold"/>
                <w:i/>
                <w:iCs/>
                <w:color w:val="000000"/>
                <w:sz w:val="20"/>
                <w:szCs w:val="20"/>
              </w:rPr>
              <w:t xml:space="preserve">    </w:t>
            </w:r>
          </w:p>
        </w:tc>
        <w:tc>
          <w:tcPr>
            <w:tcW w:w="0" w:type="auto"/>
            <w:tcBorders>
              <w:top w:val="nil"/>
              <w:left w:val="nil"/>
              <w:bottom w:val="nil"/>
              <w:right w:val="single" w:sz="4" w:space="0" w:color="auto"/>
            </w:tcBorders>
            <w:noWrap/>
            <w:vAlign w:val="bottom"/>
            <w:hideMark/>
          </w:tcPr>
          <w:p w14:paraId="4DE16519" w14:textId="0ACEE1DC"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w:t>
            </w:r>
            <w:r w:rsidR="008D2956">
              <w:rPr>
                <w:rFonts w:ascii="Arial Rounded MT Bold" w:hAnsi="Arial Rounded MT Bold"/>
                <w:color w:val="000000"/>
                <w:sz w:val="20"/>
                <w:szCs w:val="20"/>
              </w:rPr>
              <w:t>96,808.95</w:t>
            </w:r>
          </w:p>
        </w:tc>
      </w:tr>
      <w:tr w:rsidR="00A97BC7" w:rsidRPr="0018757A" w14:paraId="4FFC1E3D" w14:textId="77777777">
        <w:trPr>
          <w:trHeight w:val="471"/>
        </w:trPr>
        <w:tc>
          <w:tcPr>
            <w:tcW w:w="0" w:type="auto"/>
            <w:tcBorders>
              <w:top w:val="nil"/>
              <w:left w:val="single" w:sz="4" w:space="0" w:color="auto"/>
              <w:bottom w:val="nil"/>
              <w:right w:val="nil"/>
            </w:tcBorders>
            <w:noWrap/>
            <w:vAlign w:val="bottom"/>
            <w:hideMark/>
          </w:tcPr>
          <w:p w14:paraId="4EDAD9B5" w14:textId="77777777"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Adjustment required at year end</w:t>
            </w:r>
          </w:p>
        </w:tc>
        <w:tc>
          <w:tcPr>
            <w:tcW w:w="0" w:type="auto"/>
            <w:tcBorders>
              <w:top w:val="nil"/>
              <w:left w:val="nil"/>
              <w:bottom w:val="nil"/>
              <w:right w:val="nil"/>
            </w:tcBorders>
            <w:noWrap/>
            <w:vAlign w:val="bottom"/>
            <w:hideMark/>
          </w:tcPr>
          <w:p w14:paraId="3CDEDDA7" w14:textId="52D902B6" w:rsidR="00A97BC7" w:rsidRPr="006151CA" w:rsidRDefault="00A97BC7" w:rsidP="00E61268">
            <w:pPr>
              <w:spacing w:after="120" w:line="300" w:lineRule="auto"/>
              <w:rPr>
                <w:rFonts w:ascii="Arial Rounded MT Bold" w:hAnsi="Arial Rounded MT Bold"/>
                <w:i/>
                <w:iCs/>
                <w:color w:val="000000"/>
                <w:sz w:val="20"/>
                <w:szCs w:val="20"/>
              </w:rPr>
            </w:pPr>
            <w:r w:rsidRPr="006151CA">
              <w:rPr>
                <w:rFonts w:ascii="Arial Rounded MT Bold" w:hAnsi="Arial Rounded MT Bold"/>
                <w:i/>
                <w:iCs/>
                <w:color w:val="000000"/>
                <w:sz w:val="20"/>
                <w:szCs w:val="20"/>
              </w:rPr>
              <w:t xml:space="preserve">      £</w:t>
            </w:r>
            <w:r w:rsidR="008D2956">
              <w:rPr>
                <w:rFonts w:ascii="Arial Rounded MT Bold" w:hAnsi="Arial Rounded MT Bold"/>
                <w:i/>
                <w:iCs/>
                <w:color w:val="000000"/>
                <w:sz w:val="20"/>
                <w:szCs w:val="20"/>
              </w:rPr>
              <w:t>96,808.95</w:t>
            </w:r>
            <w:r w:rsidRPr="006151CA">
              <w:rPr>
                <w:rFonts w:ascii="Arial Rounded MT Bold" w:hAnsi="Arial Rounded MT Bold"/>
                <w:i/>
                <w:iCs/>
                <w:color w:val="000000"/>
                <w:sz w:val="20"/>
                <w:szCs w:val="20"/>
              </w:rPr>
              <w:t>- £</w:t>
            </w:r>
            <w:r w:rsidR="008D2956">
              <w:rPr>
                <w:rFonts w:ascii="Arial Rounded MT Bold" w:hAnsi="Arial Rounded MT Bold"/>
                <w:i/>
                <w:iCs/>
                <w:color w:val="000000"/>
                <w:sz w:val="20"/>
                <w:szCs w:val="20"/>
              </w:rPr>
              <w:t>92,199</w:t>
            </w:r>
          </w:p>
        </w:tc>
        <w:tc>
          <w:tcPr>
            <w:tcW w:w="0" w:type="auto"/>
            <w:tcBorders>
              <w:top w:val="nil"/>
              <w:left w:val="nil"/>
              <w:bottom w:val="nil"/>
              <w:right w:val="single" w:sz="4" w:space="0" w:color="auto"/>
            </w:tcBorders>
            <w:noWrap/>
            <w:vAlign w:val="bottom"/>
            <w:hideMark/>
          </w:tcPr>
          <w:p w14:paraId="4CEA34E5" w14:textId="34084C45"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w:t>
            </w:r>
            <w:r w:rsidR="004F6640">
              <w:rPr>
                <w:rFonts w:ascii="Arial Rounded MT Bold" w:hAnsi="Arial Rounded MT Bold"/>
                <w:color w:val="000000"/>
                <w:sz w:val="20"/>
                <w:szCs w:val="20"/>
              </w:rPr>
              <w:t>4,</w:t>
            </w:r>
            <w:r w:rsidR="00CC25B5">
              <w:rPr>
                <w:rFonts w:ascii="Arial Rounded MT Bold" w:hAnsi="Arial Rounded MT Bold"/>
                <w:color w:val="000000"/>
                <w:sz w:val="20"/>
                <w:szCs w:val="20"/>
              </w:rPr>
              <w:t>609.95</w:t>
            </w:r>
            <w:r w:rsidRPr="006151CA">
              <w:rPr>
                <w:rFonts w:ascii="Arial Rounded MT Bold" w:hAnsi="Arial Rounded MT Bold"/>
                <w:color w:val="000000"/>
                <w:sz w:val="20"/>
                <w:szCs w:val="20"/>
              </w:rPr>
              <w:t>)</w:t>
            </w:r>
          </w:p>
        </w:tc>
      </w:tr>
      <w:tr w:rsidR="00A97BC7" w:rsidRPr="0018757A" w14:paraId="3DB39423" w14:textId="77777777">
        <w:trPr>
          <w:trHeight w:val="471"/>
        </w:trPr>
        <w:tc>
          <w:tcPr>
            <w:tcW w:w="0" w:type="auto"/>
            <w:tcBorders>
              <w:top w:val="nil"/>
              <w:left w:val="single" w:sz="4" w:space="0" w:color="auto"/>
              <w:bottom w:val="single" w:sz="4" w:space="0" w:color="auto"/>
              <w:right w:val="nil"/>
            </w:tcBorders>
            <w:noWrap/>
            <w:vAlign w:val="bottom"/>
          </w:tcPr>
          <w:p w14:paraId="1620FD54" w14:textId="77777777"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Final allocation paid in total</w:t>
            </w:r>
          </w:p>
        </w:tc>
        <w:tc>
          <w:tcPr>
            <w:tcW w:w="0" w:type="auto"/>
            <w:tcBorders>
              <w:top w:val="nil"/>
              <w:left w:val="nil"/>
              <w:bottom w:val="single" w:sz="4" w:space="0" w:color="auto"/>
              <w:right w:val="nil"/>
            </w:tcBorders>
            <w:noWrap/>
            <w:vAlign w:val="bottom"/>
          </w:tcPr>
          <w:p w14:paraId="0AA339F7" w14:textId="77777777" w:rsidR="00A97BC7" w:rsidRPr="006151CA" w:rsidRDefault="00A97BC7" w:rsidP="00E61268">
            <w:pPr>
              <w:spacing w:after="120" w:line="300" w:lineRule="auto"/>
              <w:rPr>
                <w:rFonts w:ascii="Arial Rounded MT Bold" w:hAnsi="Arial Rounded MT Bold"/>
                <w:i/>
                <w:iCs/>
                <w:color w:val="000000"/>
                <w:sz w:val="20"/>
                <w:szCs w:val="20"/>
              </w:rPr>
            </w:pPr>
          </w:p>
        </w:tc>
        <w:tc>
          <w:tcPr>
            <w:tcW w:w="0" w:type="auto"/>
            <w:tcBorders>
              <w:top w:val="nil"/>
              <w:left w:val="nil"/>
              <w:bottom w:val="single" w:sz="4" w:space="0" w:color="auto"/>
              <w:right w:val="single" w:sz="4" w:space="0" w:color="auto"/>
            </w:tcBorders>
            <w:noWrap/>
            <w:vAlign w:val="bottom"/>
          </w:tcPr>
          <w:p w14:paraId="32F35FEB" w14:textId="456206E3" w:rsidR="00A97BC7" w:rsidRPr="006151CA" w:rsidRDefault="00A97BC7" w:rsidP="00E61268">
            <w:pPr>
              <w:spacing w:after="120" w:line="300" w:lineRule="auto"/>
              <w:rPr>
                <w:rFonts w:ascii="Arial Rounded MT Bold" w:hAnsi="Arial Rounded MT Bold"/>
                <w:color w:val="000000"/>
                <w:sz w:val="20"/>
                <w:szCs w:val="20"/>
              </w:rPr>
            </w:pPr>
            <w:r w:rsidRPr="006151CA">
              <w:rPr>
                <w:rFonts w:ascii="Arial Rounded MT Bold" w:hAnsi="Arial Rounded MT Bold"/>
                <w:color w:val="000000"/>
                <w:sz w:val="20"/>
                <w:szCs w:val="20"/>
              </w:rPr>
              <w:t>£</w:t>
            </w:r>
            <w:r w:rsidR="00CC25B5">
              <w:rPr>
                <w:rFonts w:ascii="Arial Rounded MT Bold" w:hAnsi="Arial Rounded MT Bold"/>
                <w:color w:val="000000"/>
                <w:sz w:val="20"/>
                <w:szCs w:val="20"/>
              </w:rPr>
              <w:t>92,199</w:t>
            </w:r>
          </w:p>
        </w:tc>
      </w:tr>
    </w:tbl>
    <w:p w14:paraId="5D40CEC4" w14:textId="77777777" w:rsidR="006C3E0B" w:rsidRDefault="006C3E0B" w:rsidP="00E61268">
      <w:pPr>
        <w:pStyle w:val="h2"/>
        <w:spacing w:after="120" w:line="300" w:lineRule="auto"/>
        <w:rPr>
          <w:sz w:val="32"/>
          <w:szCs w:val="32"/>
        </w:rPr>
      </w:pPr>
      <w:bookmarkStart w:id="27" w:name="_Toc157696921"/>
    </w:p>
    <w:p w14:paraId="10435F63" w14:textId="4F51067F" w:rsidR="00A97BC7" w:rsidRPr="00E61268" w:rsidRDefault="00A7074A" w:rsidP="00E61268">
      <w:pPr>
        <w:pStyle w:val="h2"/>
        <w:spacing w:after="120" w:line="300" w:lineRule="auto"/>
        <w:rPr>
          <w:sz w:val="32"/>
          <w:szCs w:val="32"/>
        </w:rPr>
      </w:pPr>
      <w:r>
        <w:rPr>
          <w:sz w:val="32"/>
          <w:szCs w:val="32"/>
        </w:rPr>
        <w:t>7</w:t>
      </w:r>
      <w:r w:rsidR="00A97BC7" w:rsidRPr="00E61268">
        <w:rPr>
          <w:sz w:val="32"/>
          <w:szCs w:val="32"/>
        </w:rPr>
        <w:t>)</w:t>
      </w:r>
      <w:r w:rsidR="00A97BC7" w:rsidRPr="00E61268">
        <w:rPr>
          <w:sz w:val="32"/>
          <w:szCs w:val="32"/>
        </w:rPr>
        <w:tab/>
      </w:r>
      <w:bookmarkStart w:id="28" w:name="mfg"/>
      <w:bookmarkStart w:id="29" w:name="OLE_LINK3"/>
      <w:bookmarkStart w:id="30" w:name="OLE_LINK5"/>
      <w:r w:rsidR="00A97BC7" w:rsidRPr="00E61268">
        <w:rPr>
          <w:sz w:val="32"/>
          <w:szCs w:val="32"/>
        </w:rPr>
        <w:t>Minimum Funding Guarantee (MFG</w:t>
      </w:r>
      <w:bookmarkEnd w:id="28"/>
      <w:r w:rsidR="00A97BC7" w:rsidRPr="00E61268">
        <w:rPr>
          <w:sz w:val="32"/>
          <w:szCs w:val="32"/>
        </w:rPr>
        <w:t>)</w:t>
      </w:r>
      <w:bookmarkEnd w:id="27"/>
    </w:p>
    <w:bookmarkEnd w:id="29"/>
    <w:bookmarkEnd w:id="30"/>
    <w:p w14:paraId="03AF0075" w14:textId="50F91180" w:rsidR="00A97BC7" w:rsidRPr="008E1D1F" w:rsidRDefault="00A97BC7" w:rsidP="00E61268">
      <w:pPr>
        <w:spacing w:after="120" w:line="300" w:lineRule="auto"/>
        <w:rPr>
          <w:bCs/>
          <w:spacing w:val="1"/>
        </w:rPr>
      </w:pPr>
      <w:r w:rsidRPr="00D23353">
        <w:rPr>
          <w:bCs/>
          <w:spacing w:val="1"/>
        </w:rPr>
        <w:t xml:space="preserve">In line with DfE guidance </w:t>
      </w:r>
      <w:r w:rsidRPr="00BD47DB">
        <w:rPr>
          <w:bCs/>
          <w:spacing w:val="1"/>
        </w:rPr>
        <w:t xml:space="preserve">for </w:t>
      </w:r>
      <w:r w:rsidR="00E92D19">
        <w:rPr>
          <w:bCs/>
          <w:spacing w:val="1"/>
        </w:rPr>
        <w:t>2026/27</w:t>
      </w:r>
      <w:r w:rsidRPr="00BD47DB">
        <w:rPr>
          <w:bCs/>
          <w:spacing w:val="1"/>
        </w:rPr>
        <w:t xml:space="preserve">, as shown in Annex </w:t>
      </w:r>
      <w:r w:rsidR="00ED7671">
        <w:rPr>
          <w:bCs/>
          <w:spacing w:val="1"/>
        </w:rPr>
        <w:t>3</w:t>
      </w:r>
      <w:r>
        <w:rPr>
          <w:bCs/>
          <w:spacing w:val="1"/>
        </w:rPr>
        <w:t xml:space="preserve"> of the </w:t>
      </w:r>
      <w:r w:rsidRPr="009A7E96">
        <w:rPr>
          <w:bCs/>
          <w:spacing w:val="1"/>
        </w:rPr>
        <w:t>High Needs Funding Operational Guide 202</w:t>
      </w:r>
      <w:r w:rsidR="008F5CA5">
        <w:rPr>
          <w:bCs/>
          <w:spacing w:val="1"/>
        </w:rPr>
        <w:t>6</w:t>
      </w:r>
      <w:r w:rsidRPr="009A7E96">
        <w:rPr>
          <w:bCs/>
          <w:spacing w:val="1"/>
        </w:rPr>
        <w:t xml:space="preserve"> to 202</w:t>
      </w:r>
      <w:r w:rsidR="008F5CA5">
        <w:rPr>
          <w:bCs/>
          <w:spacing w:val="1"/>
        </w:rPr>
        <w:t>7</w:t>
      </w:r>
      <w:r>
        <w:rPr>
          <w:bCs/>
          <w:spacing w:val="1"/>
        </w:rPr>
        <w:t xml:space="preserve">, </w:t>
      </w:r>
      <w:r w:rsidRPr="00BD47DB">
        <w:rPr>
          <w:bCs/>
          <w:spacing w:val="1"/>
        </w:rPr>
        <w:t xml:space="preserve">the MFG </w:t>
      </w:r>
      <w:r>
        <w:rPr>
          <w:bCs/>
          <w:spacing w:val="1"/>
        </w:rPr>
        <w:t xml:space="preserve">requires that </w:t>
      </w:r>
      <w:r w:rsidRPr="004651AD">
        <w:rPr>
          <w:bCs/>
          <w:spacing w:val="1"/>
        </w:rPr>
        <w:t xml:space="preserve">special schools </w:t>
      </w:r>
      <w:r>
        <w:rPr>
          <w:bCs/>
          <w:spacing w:val="1"/>
        </w:rPr>
        <w:t xml:space="preserve">receive funding no less than that received in the </w:t>
      </w:r>
      <w:r w:rsidR="0080229E">
        <w:rPr>
          <w:bCs/>
          <w:spacing w:val="1"/>
        </w:rPr>
        <w:t>2025/26</w:t>
      </w:r>
      <w:r>
        <w:rPr>
          <w:bCs/>
          <w:spacing w:val="1"/>
        </w:rPr>
        <w:t xml:space="preserve"> financial year</w:t>
      </w:r>
      <w:r w:rsidRPr="00850AAE">
        <w:rPr>
          <w:bCs/>
          <w:spacing w:val="1"/>
        </w:rPr>
        <w:t xml:space="preserve">, assuming that the number and type of places remain the same between </w:t>
      </w:r>
      <w:r w:rsidR="0080229E">
        <w:rPr>
          <w:bCs/>
          <w:spacing w:val="1"/>
        </w:rPr>
        <w:t>2025/26</w:t>
      </w:r>
      <w:r w:rsidRPr="00BF4314">
        <w:rPr>
          <w:bCs/>
          <w:spacing w:val="1"/>
        </w:rPr>
        <w:t xml:space="preserve"> and </w:t>
      </w:r>
      <w:r w:rsidR="00E92D19">
        <w:rPr>
          <w:bCs/>
          <w:spacing w:val="1"/>
        </w:rPr>
        <w:t>2026/27</w:t>
      </w:r>
      <w:r>
        <w:rPr>
          <w:bCs/>
          <w:spacing w:val="1"/>
        </w:rPr>
        <w:t xml:space="preserve"> financial years</w:t>
      </w:r>
      <w:r w:rsidRPr="008E1D1F">
        <w:rPr>
          <w:bCs/>
          <w:spacing w:val="1"/>
        </w:rPr>
        <w:t>.</w:t>
      </w:r>
      <w:r>
        <w:rPr>
          <w:bCs/>
          <w:spacing w:val="1"/>
        </w:rPr>
        <w:t xml:space="preserve"> This </w:t>
      </w:r>
      <w:proofErr w:type="gramStart"/>
      <w:r>
        <w:rPr>
          <w:bCs/>
          <w:spacing w:val="1"/>
        </w:rPr>
        <w:t>is expressed</w:t>
      </w:r>
      <w:proofErr w:type="gramEnd"/>
      <w:r>
        <w:rPr>
          <w:bCs/>
          <w:spacing w:val="1"/>
        </w:rPr>
        <w:t xml:space="preserve"> by an MFG </w:t>
      </w:r>
      <w:r w:rsidR="003B005C">
        <w:rPr>
          <w:bCs/>
          <w:spacing w:val="1"/>
        </w:rPr>
        <w:t xml:space="preserve">value </w:t>
      </w:r>
      <w:r>
        <w:rPr>
          <w:bCs/>
          <w:spacing w:val="1"/>
        </w:rPr>
        <w:t>of 0%.</w:t>
      </w:r>
    </w:p>
    <w:p w14:paraId="6BB1316A" w14:textId="22180740" w:rsidR="00A97BC7" w:rsidRPr="008E1D1F" w:rsidRDefault="00A97BC7" w:rsidP="00E61268">
      <w:pPr>
        <w:spacing w:after="120" w:line="300" w:lineRule="auto"/>
        <w:rPr>
          <w:spacing w:val="1"/>
        </w:rPr>
      </w:pPr>
      <w:r w:rsidRPr="008E1D1F">
        <w:rPr>
          <w:spacing w:val="1"/>
        </w:rPr>
        <w:t xml:space="preserve">The MFG is part of the top-up framework and is a per pupil amount. Therefore, it will only </w:t>
      </w:r>
      <w:proofErr w:type="gramStart"/>
      <w:r w:rsidRPr="008E1D1F">
        <w:rPr>
          <w:spacing w:val="1"/>
        </w:rPr>
        <w:t>be paid</w:t>
      </w:r>
      <w:proofErr w:type="gramEnd"/>
      <w:r w:rsidRPr="008E1D1F">
        <w:rPr>
          <w:spacing w:val="1"/>
        </w:rPr>
        <w:t xml:space="preserve"> for pupils </w:t>
      </w:r>
      <w:r>
        <w:rPr>
          <w:spacing w:val="1"/>
        </w:rPr>
        <w:t>attending</w:t>
      </w:r>
      <w:r w:rsidRPr="008E1D1F">
        <w:rPr>
          <w:spacing w:val="1"/>
        </w:rPr>
        <w:t xml:space="preserve"> the school. If the actual </w:t>
      </w:r>
      <w:r>
        <w:rPr>
          <w:spacing w:val="1"/>
        </w:rPr>
        <w:t xml:space="preserve">average pupil </w:t>
      </w:r>
      <w:r w:rsidRPr="008E1D1F">
        <w:rPr>
          <w:spacing w:val="1"/>
        </w:rPr>
        <w:t xml:space="preserve">number on roll is higher or lower than the APN, then the </w:t>
      </w:r>
      <w:r>
        <w:rPr>
          <w:spacing w:val="1"/>
        </w:rPr>
        <w:t xml:space="preserve">total </w:t>
      </w:r>
      <w:r w:rsidRPr="008E1D1F">
        <w:rPr>
          <w:spacing w:val="1"/>
        </w:rPr>
        <w:t xml:space="preserve">amount of MFG funding will increase or </w:t>
      </w:r>
      <w:proofErr w:type="gramStart"/>
      <w:r w:rsidRPr="008E1D1F">
        <w:rPr>
          <w:spacing w:val="1"/>
        </w:rPr>
        <w:t>reduce</w:t>
      </w:r>
      <w:proofErr w:type="gramEnd"/>
      <w:r w:rsidRPr="008E1D1F">
        <w:rPr>
          <w:spacing w:val="1"/>
        </w:rPr>
        <w:t xml:space="preserve"> </w:t>
      </w:r>
      <w:r w:rsidR="003B005C">
        <w:rPr>
          <w:spacing w:val="1"/>
        </w:rPr>
        <w:t>respectively</w:t>
      </w:r>
      <w:r w:rsidRPr="008E1D1F">
        <w:rPr>
          <w:spacing w:val="1"/>
        </w:rPr>
        <w:t>.</w:t>
      </w:r>
    </w:p>
    <w:p w14:paraId="07C19018" w14:textId="4563A194" w:rsidR="00A97BC7" w:rsidRPr="00BD47DB" w:rsidRDefault="00A97BC7" w:rsidP="00E61268">
      <w:pPr>
        <w:spacing w:after="120" w:line="300" w:lineRule="auto"/>
        <w:rPr>
          <w:bCs/>
          <w:spacing w:val="1"/>
        </w:rPr>
      </w:pPr>
      <w:r w:rsidRPr="008E1D1F">
        <w:rPr>
          <w:bCs/>
          <w:spacing w:val="1"/>
        </w:rPr>
        <w:t xml:space="preserve">There is no cap on gains for special schools in </w:t>
      </w:r>
      <w:r w:rsidR="00E92D19">
        <w:rPr>
          <w:bCs/>
          <w:spacing w:val="1"/>
        </w:rPr>
        <w:t>2026/27</w:t>
      </w:r>
      <w:r w:rsidRPr="00BD47DB">
        <w:rPr>
          <w:bCs/>
          <w:spacing w:val="1"/>
        </w:rPr>
        <w:t>.</w:t>
      </w:r>
    </w:p>
    <w:p w14:paraId="27C1A171" w14:textId="77777777" w:rsidR="00A97BC7" w:rsidRDefault="00A97BC7" w:rsidP="00E61268">
      <w:pPr>
        <w:spacing w:after="120" w:line="300" w:lineRule="auto"/>
        <w:rPr>
          <w:spacing w:val="1"/>
        </w:rPr>
      </w:pPr>
      <w:r w:rsidRPr="009F6612">
        <w:rPr>
          <w:spacing w:val="1"/>
        </w:rPr>
        <w:t xml:space="preserve">MFG </w:t>
      </w:r>
      <w:r w:rsidRPr="00850AAE">
        <w:rPr>
          <w:spacing w:val="1"/>
        </w:rPr>
        <w:t xml:space="preserve">per pupil </w:t>
      </w:r>
      <w:proofErr w:type="gramStart"/>
      <w:r w:rsidRPr="00850AAE">
        <w:rPr>
          <w:spacing w:val="1"/>
        </w:rPr>
        <w:t>is calculated</w:t>
      </w:r>
      <w:proofErr w:type="gramEnd"/>
      <w:r w:rsidRPr="00850AAE">
        <w:rPr>
          <w:spacing w:val="1"/>
        </w:rPr>
        <w:t xml:space="preserve"> at the beginning of the year along</w:t>
      </w:r>
      <w:r w:rsidRPr="00D23353">
        <w:rPr>
          <w:spacing w:val="1"/>
        </w:rPr>
        <w:t xml:space="preserve"> with the indicative top-up funding. It is a fixed per pupil amount and </w:t>
      </w:r>
      <w:proofErr w:type="gramStart"/>
      <w:r>
        <w:rPr>
          <w:spacing w:val="1"/>
        </w:rPr>
        <w:t>is not</w:t>
      </w:r>
      <w:r w:rsidRPr="00D23353">
        <w:rPr>
          <w:spacing w:val="1"/>
        </w:rPr>
        <w:t xml:space="preserve"> adjusted</w:t>
      </w:r>
      <w:proofErr w:type="gramEnd"/>
      <w:r w:rsidRPr="00D23353">
        <w:rPr>
          <w:spacing w:val="1"/>
        </w:rPr>
        <w:t xml:space="preserve"> at the end of the year. The main reason for this is to reduce the level of turbulence for the schools and assist with forecasting of their budgets.</w:t>
      </w:r>
    </w:p>
    <w:p w14:paraId="4A5B32C8" w14:textId="6892EA34" w:rsidR="00A97BC7" w:rsidRPr="00D23353" w:rsidRDefault="00A97BC7" w:rsidP="00E61268">
      <w:pPr>
        <w:spacing w:after="120" w:line="300" w:lineRule="auto"/>
        <w:rPr>
          <w:spacing w:val="1"/>
        </w:rPr>
      </w:pPr>
      <w:r>
        <w:rPr>
          <w:spacing w:val="1"/>
        </w:rPr>
        <w:t xml:space="preserve">Note that the </w:t>
      </w:r>
      <w:r w:rsidR="00FA3AD9">
        <w:rPr>
          <w:spacing w:val="1"/>
        </w:rPr>
        <w:t>legacy funding</w:t>
      </w:r>
      <w:r>
        <w:rPr>
          <w:spacing w:val="1"/>
        </w:rPr>
        <w:t xml:space="preserve"> as described on </w:t>
      </w:r>
      <w:r w:rsidR="003958FA">
        <w:rPr>
          <w:spacing w:val="1"/>
        </w:rPr>
        <w:t>page 8</w:t>
      </w:r>
      <w:r>
        <w:rPr>
          <w:spacing w:val="1"/>
        </w:rPr>
        <w:t xml:space="preserve"> must </w:t>
      </w:r>
      <w:proofErr w:type="gramStart"/>
      <w:r>
        <w:rPr>
          <w:spacing w:val="1"/>
        </w:rPr>
        <w:t>be excluded</w:t>
      </w:r>
      <w:proofErr w:type="gramEnd"/>
      <w:r>
        <w:rPr>
          <w:spacing w:val="1"/>
        </w:rPr>
        <w:t xml:space="preserve"> from the MFG calculation so that special schools receive both </w:t>
      </w:r>
      <w:r w:rsidR="005D38D4">
        <w:rPr>
          <w:spacing w:val="1"/>
        </w:rPr>
        <w:t>these funding allocations</w:t>
      </w:r>
      <w:r>
        <w:rPr>
          <w:spacing w:val="1"/>
        </w:rPr>
        <w:t xml:space="preserve"> and the MFG 0%.</w:t>
      </w:r>
    </w:p>
    <w:p w14:paraId="050AB283" w14:textId="4B3A20A4" w:rsidR="00A97BC7" w:rsidRDefault="00A97BC7" w:rsidP="00E61268">
      <w:pPr>
        <w:spacing w:after="120" w:line="300" w:lineRule="auto"/>
      </w:pPr>
      <w:r w:rsidRPr="00B23666">
        <w:t xml:space="preserve">A worked example of the MFG calculation can </w:t>
      </w:r>
      <w:proofErr w:type="gramStart"/>
      <w:r w:rsidRPr="00B23666">
        <w:t>be found</w:t>
      </w:r>
      <w:proofErr w:type="gramEnd"/>
      <w:r w:rsidRPr="00B23666">
        <w:t xml:space="preserve"> in Appendix </w:t>
      </w:r>
      <w:r>
        <w:t>2</w:t>
      </w:r>
      <w:r w:rsidR="00E84278">
        <w:t xml:space="preserve"> and each </w:t>
      </w:r>
      <w:r w:rsidR="008C0092">
        <w:t>school’s budget share includes a separate sheet with their specific</w:t>
      </w:r>
      <w:r w:rsidR="000B4650">
        <w:t xml:space="preserve"> calculation</w:t>
      </w:r>
      <w:r w:rsidR="009D3238">
        <w:t>.</w:t>
      </w:r>
    </w:p>
    <w:p w14:paraId="012EBB06" w14:textId="77777777" w:rsidR="006C3E0B" w:rsidRDefault="006C3E0B" w:rsidP="00E61268">
      <w:pPr>
        <w:pStyle w:val="h1"/>
        <w:spacing w:after="120" w:line="300" w:lineRule="auto"/>
        <w:rPr>
          <w:sz w:val="40"/>
          <w:szCs w:val="40"/>
        </w:rPr>
      </w:pPr>
      <w:bookmarkStart w:id="31" w:name="_Toc157696922"/>
      <w:bookmarkStart w:id="32" w:name="additionalinfo"/>
    </w:p>
    <w:p w14:paraId="646D4E82" w14:textId="77777777" w:rsidR="00AF5BDF" w:rsidRDefault="00AF5BDF">
      <w:pPr>
        <w:spacing w:after="160" w:line="259" w:lineRule="auto"/>
        <w:rPr>
          <w:b/>
          <w:bCs/>
          <w:sz w:val="40"/>
          <w:szCs w:val="40"/>
        </w:rPr>
      </w:pPr>
      <w:r>
        <w:rPr>
          <w:sz w:val="40"/>
          <w:szCs w:val="40"/>
        </w:rPr>
        <w:br w:type="page"/>
      </w:r>
    </w:p>
    <w:p w14:paraId="015F774B" w14:textId="3C4CABF3" w:rsidR="00A97BC7" w:rsidRPr="00E61268" w:rsidRDefault="00A97BC7" w:rsidP="00E61268">
      <w:pPr>
        <w:pStyle w:val="h1"/>
        <w:spacing w:after="120" w:line="300" w:lineRule="auto"/>
        <w:rPr>
          <w:sz w:val="40"/>
          <w:szCs w:val="40"/>
        </w:rPr>
      </w:pPr>
      <w:r w:rsidRPr="00E61268">
        <w:rPr>
          <w:sz w:val="40"/>
          <w:szCs w:val="40"/>
        </w:rPr>
        <w:lastRenderedPageBreak/>
        <w:t>Additional Information</w:t>
      </w:r>
      <w:bookmarkEnd w:id="31"/>
    </w:p>
    <w:p w14:paraId="46702A39" w14:textId="417E0F69" w:rsidR="00A97BC7" w:rsidRPr="00E61268" w:rsidRDefault="00A7074A" w:rsidP="00E61268">
      <w:pPr>
        <w:pStyle w:val="h2"/>
        <w:spacing w:after="120" w:line="300" w:lineRule="auto"/>
        <w:rPr>
          <w:sz w:val="32"/>
          <w:szCs w:val="32"/>
        </w:rPr>
      </w:pPr>
      <w:bookmarkStart w:id="33" w:name="_Toc157696923"/>
      <w:bookmarkEnd w:id="32"/>
      <w:r>
        <w:rPr>
          <w:sz w:val="32"/>
          <w:szCs w:val="32"/>
        </w:rPr>
        <w:t>8</w:t>
      </w:r>
      <w:r w:rsidR="00A97BC7" w:rsidRPr="00E61268">
        <w:rPr>
          <w:sz w:val="32"/>
          <w:szCs w:val="32"/>
        </w:rPr>
        <w:t>)</w:t>
      </w:r>
      <w:bookmarkStart w:id="34" w:name="ola"/>
      <w:bookmarkEnd w:id="34"/>
      <w:r w:rsidR="00A97BC7" w:rsidRPr="00E61268">
        <w:rPr>
          <w:sz w:val="32"/>
          <w:szCs w:val="32"/>
        </w:rPr>
        <w:t xml:space="preserve"> Top-up Funding for Pupils from Other Local Authorities (OLAs)</w:t>
      </w:r>
      <w:bookmarkEnd w:id="33"/>
      <w:r w:rsidR="00A97BC7" w:rsidRPr="00E61268">
        <w:rPr>
          <w:sz w:val="32"/>
          <w:szCs w:val="32"/>
        </w:rPr>
        <w:t xml:space="preserve"> </w:t>
      </w:r>
    </w:p>
    <w:p w14:paraId="5810AC77" w14:textId="4DC9D586" w:rsidR="00A97BC7" w:rsidRDefault="00A97BC7" w:rsidP="00E61268">
      <w:pPr>
        <w:spacing w:after="120" w:line="300" w:lineRule="auto"/>
      </w:pPr>
      <w:r>
        <w:t xml:space="preserve">Top-up funding will </w:t>
      </w:r>
      <w:proofErr w:type="gramStart"/>
      <w:r>
        <w:t>be paid</w:t>
      </w:r>
      <w:proofErr w:type="gramEnd"/>
      <w:r>
        <w:t xml:space="preserve"> by the home local authority for pupils who attend the school but reside in an authority other than Hampshire. The exception to this </w:t>
      </w:r>
      <w:r w:rsidR="000A177B" w:rsidRPr="00AD0645">
        <w:rPr>
          <w:i/>
          <w:iCs/>
          <w:u w:val="single"/>
        </w:rPr>
        <w:t>m</w:t>
      </w:r>
      <w:r w:rsidR="00D275AF" w:rsidRPr="00AD0645">
        <w:rPr>
          <w:i/>
          <w:iCs/>
          <w:u w:val="single"/>
        </w:rPr>
        <w:t>ay</w:t>
      </w:r>
      <w:r w:rsidR="00D275AF">
        <w:t xml:space="preserve"> be </w:t>
      </w:r>
      <w:r>
        <w:t xml:space="preserve">when a pupil is </w:t>
      </w:r>
      <w:r w:rsidR="0081355A">
        <w:t xml:space="preserve">a </w:t>
      </w:r>
      <w:r>
        <w:t>looked after</w:t>
      </w:r>
      <w:r w:rsidR="0081355A">
        <w:t xml:space="preserve"> child</w:t>
      </w:r>
      <w:r>
        <w:t xml:space="preserve"> (</w:t>
      </w:r>
      <w:r w:rsidR="0081355A">
        <w:t>LAC</w:t>
      </w:r>
      <w:r>
        <w:t xml:space="preserve">); in this case </w:t>
      </w:r>
      <w:r w:rsidR="00D275AF">
        <w:t xml:space="preserve">it may depend on a local agreement </w:t>
      </w:r>
      <w:r w:rsidR="00863D44">
        <w:t xml:space="preserve">between Hampshire and </w:t>
      </w:r>
      <w:r>
        <w:t>the</w:t>
      </w:r>
      <w:r w:rsidR="00A53357">
        <w:t xml:space="preserve"> other local</w:t>
      </w:r>
      <w:r>
        <w:t xml:space="preserve"> authority</w:t>
      </w:r>
      <w:r w:rsidR="004260DD">
        <w:t>,</w:t>
      </w:r>
      <w:r w:rsidR="00881886">
        <w:t xml:space="preserve"> wh</w:t>
      </w:r>
      <w:r w:rsidR="00A01827">
        <w:t>ich might stipulate</w:t>
      </w:r>
      <w:r w:rsidR="00881886">
        <w:t xml:space="preserve"> the </w:t>
      </w:r>
      <w:r w:rsidR="005E1C06">
        <w:t xml:space="preserve">authority looking after the child should </w:t>
      </w:r>
      <w:r w:rsidR="004260DD">
        <w:t>maintain and fund the EHC</w:t>
      </w:r>
      <w:r w:rsidR="00470DC7">
        <w:t>P</w:t>
      </w:r>
      <w:r w:rsidR="00376852">
        <w:t>, regardles</w:t>
      </w:r>
      <w:r w:rsidR="00D11A97">
        <w:t>s of where the pupil actually lives</w:t>
      </w:r>
      <w:r>
        <w:t xml:space="preserve">. </w:t>
      </w:r>
      <w:r w:rsidR="00AC3FA7">
        <w:t>In most case</w:t>
      </w:r>
      <w:r w:rsidR="00376852">
        <w:t>s</w:t>
      </w:r>
      <w:r w:rsidR="00AC3FA7">
        <w:t>, s</w:t>
      </w:r>
      <w:r>
        <w:t>hould a pupil from another local authority attend a Hampshire special school, the school needs to ensure that they invoice the other local authority for the relevant top-up funding.</w:t>
      </w:r>
    </w:p>
    <w:p w14:paraId="12B53BC8" w14:textId="57AF024D" w:rsidR="00A97BC7" w:rsidRDefault="00CC03D3" w:rsidP="00E61268">
      <w:pPr>
        <w:spacing w:after="120" w:line="300" w:lineRule="auto"/>
      </w:pPr>
      <w:r w:rsidRPr="00310E12">
        <w:t>The SEN Business Support Team</w:t>
      </w:r>
      <w:r w:rsidR="00A97BC7" w:rsidRPr="00310E12">
        <w:t xml:space="preserve"> offers a </w:t>
      </w:r>
      <w:r w:rsidR="00A97BC7" w:rsidRPr="00310E12">
        <w:rPr>
          <w:bCs/>
          <w:spacing w:val="1"/>
        </w:rPr>
        <w:t>service level agreement</w:t>
      </w:r>
      <w:r w:rsidR="00A97BC7" w:rsidRPr="00310E12">
        <w:t xml:space="preserve"> (known as the OLA SLA) which covers the process of recovering the relevant top-up funding on behalf of the school. This removes the administrative burden on the school and ensures that the correct amount of top-up funding </w:t>
      </w:r>
      <w:proofErr w:type="gramStart"/>
      <w:r w:rsidR="00A97BC7" w:rsidRPr="00310E12">
        <w:t>is received</w:t>
      </w:r>
      <w:proofErr w:type="gramEnd"/>
      <w:r w:rsidR="00A97BC7" w:rsidRPr="00310E12">
        <w:t xml:space="preserve"> from the other local authority.</w:t>
      </w:r>
      <w:r w:rsidR="008A68DF" w:rsidRPr="00310E12">
        <w:t xml:space="preserve"> Subscribers should note that </w:t>
      </w:r>
      <w:r w:rsidR="008E1000" w:rsidRPr="00310E12">
        <w:t xml:space="preserve">there may be a delay in receiving OLA </w:t>
      </w:r>
      <w:r w:rsidR="00E905AF" w:rsidRPr="00310E12">
        <w:t>income</w:t>
      </w:r>
      <w:r w:rsidR="008E1000" w:rsidRPr="00310E12">
        <w:t xml:space="preserve"> under the SLA </w:t>
      </w:r>
      <w:r w:rsidR="001E677E" w:rsidRPr="00310E12">
        <w:t>because</w:t>
      </w:r>
      <w:r w:rsidR="008E1000" w:rsidRPr="00310E12">
        <w:t xml:space="preserve"> </w:t>
      </w:r>
      <w:r w:rsidR="00E905AF" w:rsidRPr="00310E12">
        <w:t xml:space="preserve">funding can only </w:t>
      </w:r>
      <w:proofErr w:type="gramStart"/>
      <w:r w:rsidR="00E905AF" w:rsidRPr="00310E12">
        <w:t>be passed</w:t>
      </w:r>
      <w:proofErr w:type="gramEnd"/>
      <w:r w:rsidR="00E905AF" w:rsidRPr="00310E12">
        <w:t xml:space="preserve"> on once </w:t>
      </w:r>
      <w:r w:rsidR="001E677E" w:rsidRPr="00310E12">
        <w:t>received from the OLA.</w:t>
      </w:r>
    </w:p>
    <w:p w14:paraId="728AB7E2" w14:textId="77777777" w:rsidR="003255AD" w:rsidRDefault="003255AD" w:rsidP="00E61268">
      <w:pPr>
        <w:pStyle w:val="h2"/>
        <w:spacing w:after="120" w:line="300" w:lineRule="auto"/>
        <w:rPr>
          <w:sz w:val="32"/>
          <w:szCs w:val="32"/>
        </w:rPr>
      </w:pPr>
      <w:bookmarkStart w:id="35" w:name="_Toc157696924"/>
    </w:p>
    <w:p w14:paraId="4DC3265F" w14:textId="5E0D9C41" w:rsidR="00A97BC7" w:rsidRPr="00E61268" w:rsidRDefault="00A7074A" w:rsidP="00E61268">
      <w:pPr>
        <w:pStyle w:val="h2"/>
        <w:spacing w:after="120" w:line="300" w:lineRule="auto"/>
        <w:rPr>
          <w:sz w:val="32"/>
          <w:szCs w:val="32"/>
        </w:rPr>
      </w:pPr>
      <w:r>
        <w:rPr>
          <w:sz w:val="32"/>
          <w:szCs w:val="32"/>
        </w:rPr>
        <w:t>9</w:t>
      </w:r>
      <w:r w:rsidR="00A97BC7" w:rsidRPr="00E61268">
        <w:rPr>
          <w:sz w:val="32"/>
          <w:szCs w:val="32"/>
        </w:rPr>
        <w:t>)</w:t>
      </w:r>
      <w:bookmarkStart w:id="36" w:name="exceedpan"/>
      <w:bookmarkStart w:id="37" w:name="Overocc"/>
      <w:bookmarkEnd w:id="36"/>
      <w:r w:rsidR="00A97BC7" w:rsidRPr="00E61268">
        <w:rPr>
          <w:sz w:val="32"/>
          <w:szCs w:val="32"/>
        </w:rPr>
        <w:t xml:space="preserve"> Over Occupancy Funding</w:t>
      </w:r>
      <w:bookmarkEnd w:id="35"/>
      <w:bookmarkEnd w:id="37"/>
    </w:p>
    <w:p w14:paraId="52A3E5A0" w14:textId="5CB21581" w:rsidR="00A97BC7" w:rsidRDefault="00AA2FAD" w:rsidP="00E61268">
      <w:pPr>
        <w:spacing w:after="120" w:line="300" w:lineRule="auto"/>
      </w:pPr>
      <w:r w:rsidRPr="00144193">
        <w:rPr>
          <w:b/>
          <w:noProof/>
          <w:sz w:val="32"/>
          <w:szCs w:val="28"/>
        </w:rPr>
        <mc:AlternateContent>
          <mc:Choice Requires="wps">
            <w:drawing>
              <wp:anchor distT="45720" distB="45720" distL="114300" distR="114300" simplePos="0" relativeHeight="251658241" behindDoc="0" locked="0" layoutInCell="1" allowOverlap="1" wp14:anchorId="21F5FF31" wp14:editId="2125F8F5">
                <wp:simplePos x="0" y="0"/>
                <wp:positionH relativeFrom="margin">
                  <wp:posOffset>187960</wp:posOffset>
                </wp:positionH>
                <wp:positionV relativeFrom="paragraph">
                  <wp:posOffset>1440180</wp:posOffset>
                </wp:positionV>
                <wp:extent cx="5191125" cy="21526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52650"/>
                        </a:xfrm>
                        <a:prstGeom prst="rect">
                          <a:avLst/>
                        </a:prstGeom>
                        <a:solidFill>
                          <a:srgbClr val="FFFFFF"/>
                        </a:solidFill>
                        <a:ln w="9525">
                          <a:solidFill>
                            <a:srgbClr val="000000"/>
                          </a:solidFill>
                          <a:miter lim="800000"/>
                          <a:headEnd/>
                          <a:tailEnd/>
                        </a:ln>
                      </wps:spPr>
                      <wps:txbx>
                        <w:txbxContent>
                          <w:p w14:paraId="01A010D9"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r w:rsidRPr="00DD4033">
                              <w:rPr>
                                <w:rFonts w:ascii="Arial Rounded MT Bold" w:hAnsi="Arial Rounded MT Bold"/>
                                <w:spacing w:val="1"/>
                                <w:sz w:val="20"/>
                                <w:szCs w:val="20"/>
                              </w:rPr>
                              <w:t>School APN</w:t>
                            </w:r>
                            <w:r w:rsidRPr="00DD4033">
                              <w:rPr>
                                <w:rFonts w:ascii="Arial Rounded MT Bold" w:hAnsi="Arial Rounded MT Bold"/>
                                <w:spacing w:val="1"/>
                                <w:sz w:val="20"/>
                                <w:szCs w:val="20"/>
                              </w:rPr>
                              <w:tab/>
                              <w:t>45</w:t>
                            </w:r>
                          </w:p>
                          <w:p w14:paraId="74B30CF3"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r w:rsidRPr="00DD4033">
                              <w:rPr>
                                <w:rFonts w:ascii="Arial Rounded MT Bold" w:hAnsi="Arial Rounded MT Bold"/>
                                <w:spacing w:val="1"/>
                                <w:sz w:val="20"/>
                                <w:szCs w:val="20"/>
                              </w:rPr>
                              <w:t>Pupil numbers each term:</w:t>
                            </w:r>
                          </w:p>
                          <w:p w14:paraId="1404C85B" w14:textId="77777777" w:rsidR="00A97BC7" w:rsidRPr="00DD4033" w:rsidRDefault="00A97BC7" w:rsidP="00A97BC7">
                            <w:pPr>
                              <w:widowControl w:val="0"/>
                              <w:autoSpaceDE w:val="0"/>
                              <w:autoSpaceDN w:val="0"/>
                              <w:adjustRightInd w:val="0"/>
                              <w:spacing w:line="300" w:lineRule="auto"/>
                              <w:rPr>
                                <w:rFonts w:ascii="Arial Rounded MT Bold" w:hAnsi="Arial Rounded MT Bold"/>
                                <w:spacing w:val="1"/>
                                <w:sz w:val="20"/>
                                <w:szCs w:val="20"/>
                              </w:rPr>
                            </w:pPr>
                            <w:r w:rsidRPr="00DD4033">
                              <w:rPr>
                                <w:rFonts w:ascii="Arial Rounded MT Bold" w:hAnsi="Arial Rounded MT Bold"/>
                                <w:spacing w:val="1"/>
                                <w:sz w:val="20"/>
                                <w:szCs w:val="20"/>
                              </w:rPr>
                              <w:t>Summer</w:t>
                            </w:r>
                            <w:r w:rsidRPr="00DD4033">
                              <w:rPr>
                                <w:rFonts w:ascii="Arial Rounded MT Bold" w:hAnsi="Arial Rounded MT Bold"/>
                                <w:spacing w:val="1"/>
                                <w:sz w:val="20"/>
                                <w:szCs w:val="20"/>
                              </w:rPr>
                              <w:tab/>
                              <w:t>46</w:t>
                            </w:r>
                            <w:r w:rsidRPr="00DD4033">
                              <w:rPr>
                                <w:rFonts w:ascii="Arial Rounded MT Bold" w:hAnsi="Arial Rounded MT Bold"/>
                                <w:spacing w:val="1"/>
                                <w:sz w:val="20"/>
                                <w:szCs w:val="20"/>
                              </w:rPr>
                              <w:tab/>
                              <w:t>(5 months)</w:t>
                            </w:r>
                          </w:p>
                          <w:p w14:paraId="168716AA" w14:textId="724C56F8" w:rsidR="00A97BC7" w:rsidRPr="00DD4033" w:rsidRDefault="00A97BC7" w:rsidP="00A97BC7">
                            <w:pPr>
                              <w:widowControl w:val="0"/>
                              <w:autoSpaceDE w:val="0"/>
                              <w:autoSpaceDN w:val="0"/>
                              <w:adjustRightInd w:val="0"/>
                              <w:spacing w:line="300" w:lineRule="auto"/>
                              <w:rPr>
                                <w:rFonts w:ascii="Arial Rounded MT Bold" w:hAnsi="Arial Rounded MT Bold"/>
                                <w:spacing w:val="1"/>
                                <w:sz w:val="20"/>
                                <w:szCs w:val="20"/>
                              </w:rPr>
                            </w:pPr>
                            <w:r w:rsidRPr="00DD4033">
                              <w:rPr>
                                <w:rFonts w:ascii="Arial Rounded MT Bold" w:hAnsi="Arial Rounded MT Bold"/>
                                <w:spacing w:val="1"/>
                                <w:sz w:val="20"/>
                                <w:szCs w:val="20"/>
                              </w:rPr>
                              <w:t>Autumn</w:t>
                            </w:r>
                            <w:r w:rsidRPr="00DD4033">
                              <w:rPr>
                                <w:rFonts w:ascii="Arial Rounded MT Bold" w:hAnsi="Arial Rounded MT Bold"/>
                                <w:spacing w:val="1"/>
                                <w:sz w:val="20"/>
                                <w:szCs w:val="20"/>
                              </w:rPr>
                              <w:tab/>
                              <w:t>47</w:t>
                            </w:r>
                            <w:r w:rsidRPr="00DD4033">
                              <w:rPr>
                                <w:rFonts w:ascii="Arial Rounded MT Bold" w:hAnsi="Arial Rounded MT Bold"/>
                                <w:spacing w:val="1"/>
                                <w:sz w:val="20"/>
                                <w:szCs w:val="20"/>
                              </w:rPr>
                              <w:tab/>
                              <w:t>(4 months)</w:t>
                            </w:r>
                          </w:p>
                          <w:p w14:paraId="577D35CC" w14:textId="77777777" w:rsidR="00A97BC7" w:rsidRPr="00DD4033" w:rsidRDefault="00A97BC7" w:rsidP="00A97BC7">
                            <w:pPr>
                              <w:widowControl w:val="0"/>
                              <w:autoSpaceDE w:val="0"/>
                              <w:autoSpaceDN w:val="0"/>
                              <w:adjustRightInd w:val="0"/>
                              <w:spacing w:line="300" w:lineRule="auto"/>
                              <w:rPr>
                                <w:rFonts w:ascii="Arial Rounded MT Bold" w:hAnsi="Arial Rounded MT Bold"/>
                                <w:spacing w:val="1"/>
                                <w:sz w:val="20"/>
                                <w:szCs w:val="20"/>
                              </w:rPr>
                            </w:pPr>
                            <w:r w:rsidRPr="00DD4033">
                              <w:rPr>
                                <w:rFonts w:ascii="Arial Rounded MT Bold" w:hAnsi="Arial Rounded MT Bold"/>
                                <w:spacing w:val="1"/>
                                <w:sz w:val="20"/>
                                <w:szCs w:val="20"/>
                              </w:rPr>
                              <w:t>Spring</w:t>
                            </w:r>
                            <w:r w:rsidRPr="00DD4033">
                              <w:rPr>
                                <w:rFonts w:ascii="Arial Rounded MT Bold" w:hAnsi="Arial Rounded MT Bold"/>
                                <w:spacing w:val="1"/>
                                <w:sz w:val="20"/>
                                <w:szCs w:val="20"/>
                              </w:rPr>
                              <w:tab/>
                            </w:r>
                            <w:r w:rsidRPr="00DD4033">
                              <w:rPr>
                                <w:rFonts w:ascii="Arial Rounded MT Bold" w:hAnsi="Arial Rounded MT Bold"/>
                                <w:spacing w:val="1"/>
                                <w:sz w:val="20"/>
                                <w:szCs w:val="20"/>
                              </w:rPr>
                              <w:tab/>
                              <w:t xml:space="preserve">47 </w:t>
                            </w:r>
                            <w:r w:rsidRPr="00DD4033">
                              <w:rPr>
                                <w:rFonts w:ascii="Arial Rounded MT Bold" w:hAnsi="Arial Rounded MT Bold"/>
                                <w:spacing w:val="1"/>
                                <w:sz w:val="20"/>
                                <w:szCs w:val="20"/>
                              </w:rPr>
                              <w:tab/>
                              <w:t>(3 months)</w:t>
                            </w:r>
                          </w:p>
                          <w:p w14:paraId="7985BC3B"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p>
                          <w:p w14:paraId="1A931D92"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r w:rsidRPr="00DD4033">
                              <w:rPr>
                                <w:rFonts w:ascii="Arial Rounded MT Bold" w:hAnsi="Arial Rounded MT Bold"/>
                                <w:spacing w:val="1"/>
                                <w:sz w:val="20"/>
                                <w:szCs w:val="20"/>
                              </w:rPr>
                              <w:t>Average pupil numbers = (5/12 x 46) + (4/12 x 47) + (3/12 x 47) = 46.58333…</w:t>
                            </w:r>
                          </w:p>
                          <w:p w14:paraId="18E22084"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r w:rsidRPr="00DD4033">
                              <w:rPr>
                                <w:rFonts w:ascii="Arial Rounded MT Bold" w:hAnsi="Arial Rounded MT Bold"/>
                                <w:spacing w:val="1"/>
                                <w:sz w:val="20"/>
                                <w:szCs w:val="20"/>
                              </w:rPr>
                              <w:t>Rounded FTE (2 decimal places) = 46.58</w:t>
                            </w:r>
                          </w:p>
                          <w:p w14:paraId="36061D74"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z w:val="20"/>
                                <w:szCs w:val="20"/>
                              </w:rPr>
                            </w:pPr>
                            <w:r w:rsidRPr="00DD4033">
                              <w:rPr>
                                <w:rFonts w:ascii="Arial Rounded MT Bold" w:hAnsi="Arial Rounded MT Bold"/>
                                <w:spacing w:val="1"/>
                                <w:sz w:val="20"/>
                                <w:szCs w:val="20"/>
                              </w:rPr>
                              <w:t xml:space="preserve">Over occupancy funding = </w:t>
                            </w:r>
                            <w:r w:rsidRPr="00DD4033">
                              <w:rPr>
                                <w:rFonts w:ascii="Arial Rounded MT Bold" w:eastAsia="Arial" w:hAnsi="Arial Rounded MT Bold"/>
                                <w:color w:val="000000"/>
                                <w:sz w:val="20"/>
                                <w:szCs w:val="20"/>
                              </w:rPr>
                              <w:t>(46.58 – 45 = 1.58; 1.58 x £10,000)</w:t>
                            </w:r>
                            <w:r w:rsidRPr="00DD4033">
                              <w:rPr>
                                <w:rFonts w:ascii="Arial Rounded MT Bold" w:hAnsi="Arial Rounded MT Bold"/>
                                <w:spacing w:val="1"/>
                                <w:sz w:val="20"/>
                                <w:szCs w:val="20"/>
                              </w:rPr>
                              <w:t xml:space="preserve"> = </w:t>
                            </w:r>
                            <w:r w:rsidRPr="00DD4033">
                              <w:rPr>
                                <w:rFonts w:ascii="Arial Rounded MT Bold" w:hAnsi="Arial Rounded MT Bold"/>
                                <w:sz w:val="20"/>
                                <w:szCs w:val="20"/>
                              </w:rPr>
                              <w:t xml:space="preserve">£15,800 </w:t>
                            </w:r>
                          </w:p>
                          <w:p w14:paraId="23A4B925" w14:textId="77777777" w:rsidR="00A97BC7" w:rsidRDefault="00A97BC7" w:rsidP="00A97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F5FF31" id="_x0000_t202" coordsize="21600,21600" o:spt="202" path="m,l,21600r21600,l21600,xe">
                <v:stroke joinstyle="miter"/>
                <v:path gradientshapeok="t" o:connecttype="rect"/>
              </v:shapetype>
              <v:shape id="Text Box 217" o:spid="_x0000_s1026" type="#_x0000_t202" style="position:absolute;margin-left:14.8pt;margin-top:113.4pt;width:408.75pt;height:16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">
                <v:textbox>
                  <w:txbxContent>
                    <w:p w14:paraId="01A010D9"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r w:rsidRPr="00DD4033">
                        <w:rPr>
                          <w:rFonts w:ascii="Arial Rounded MT Bold" w:hAnsi="Arial Rounded MT Bold"/>
                          <w:spacing w:val="1"/>
                          <w:sz w:val="20"/>
                          <w:szCs w:val="20"/>
                        </w:rPr>
                        <w:t>School APN</w:t>
                      </w:r>
                      <w:r w:rsidRPr="00DD4033">
                        <w:rPr>
                          <w:rFonts w:ascii="Arial Rounded MT Bold" w:hAnsi="Arial Rounded MT Bold"/>
                          <w:spacing w:val="1"/>
                          <w:sz w:val="20"/>
                          <w:szCs w:val="20"/>
                        </w:rPr>
                        <w:tab/>
                        <w:t>45</w:t>
                      </w:r>
                    </w:p>
                    <w:p w14:paraId="74B30CF3"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r w:rsidRPr="00DD4033">
                        <w:rPr>
                          <w:rFonts w:ascii="Arial Rounded MT Bold" w:hAnsi="Arial Rounded MT Bold"/>
                          <w:spacing w:val="1"/>
                          <w:sz w:val="20"/>
                          <w:szCs w:val="20"/>
                        </w:rPr>
                        <w:t>Pupil numbers each term:</w:t>
                      </w:r>
                    </w:p>
                    <w:p w14:paraId="1404C85B" w14:textId="77777777" w:rsidR="00A97BC7" w:rsidRPr="00DD4033" w:rsidRDefault="00A97BC7" w:rsidP="00A97BC7">
                      <w:pPr>
                        <w:widowControl w:val="0"/>
                        <w:autoSpaceDE w:val="0"/>
                        <w:autoSpaceDN w:val="0"/>
                        <w:adjustRightInd w:val="0"/>
                        <w:spacing w:line="300" w:lineRule="auto"/>
                        <w:rPr>
                          <w:rFonts w:ascii="Arial Rounded MT Bold" w:hAnsi="Arial Rounded MT Bold"/>
                          <w:spacing w:val="1"/>
                          <w:sz w:val="20"/>
                          <w:szCs w:val="20"/>
                        </w:rPr>
                      </w:pPr>
                      <w:r w:rsidRPr="00DD4033">
                        <w:rPr>
                          <w:rFonts w:ascii="Arial Rounded MT Bold" w:hAnsi="Arial Rounded MT Bold"/>
                          <w:spacing w:val="1"/>
                          <w:sz w:val="20"/>
                          <w:szCs w:val="20"/>
                        </w:rPr>
                        <w:t>Summer</w:t>
                      </w:r>
                      <w:r w:rsidRPr="00DD4033">
                        <w:rPr>
                          <w:rFonts w:ascii="Arial Rounded MT Bold" w:hAnsi="Arial Rounded MT Bold"/>
                          <w:spacing w:val="1"/>
                          <w:sz w:val="20"/>
                          <w:szCs w:val="20"/>
                        </w:rPr>
                        <w:tab/>
                        <w:t>46</w:t>
                      </w:r>
                      <w:r w:rsidRPr="00DD4033">
                        <w:rPr>
                          <w:rFonts w:ascii="Arial Rounded MT Bold" w:hAnsi="Arial Rounded MT Bold"/>
                          <w:spacing w:val="1"/>
                          <w:sz w:val="20"/>
                          <w:szCs w:val="20"/>
                        </w:rPr>
                        <w:tab/>
                        <w:t>(5 months)</w:t>
                      </w:r>
                    </w:p>
                    <w:p w14:paraId="168716AA" w14:textId="724C56F8" w:rsidR="00A97BC7" w:rsidRPr="00DD4033" w:rsidRDefault="00A97BC7" w:rsidP="00A97BC7">
                      <w:pPr>
                        <w:widowControl w:val="0"/>
                        <w:autoSpaceDE w:val="0"/>
                        <w:autoSpaceDN w:val="0"/>
                        <w:adjustRightInd w:val="0"/>
                        <w:spacing w:line="300" w:lineRule="auto"/>
                        <w:rPr>
                          <w:rFonts w:ascii="Arial Rounded MT Bold" w:hAnsi="Arial Rounded MT Bold"/>
                          <w:spacing w:val="1"/>
                          <w:sz w:val="20"/>
                          <w:szCs w:val="20"/>
                        </w:rPr>
                      </w:pPr>
                      <w:r w:rsidRPr="00DD4033">
                        <w:rPr>
                          <w:rFonts w:ascii="Arial Rounded MT Bold" w:hAnsi="Arial Rounded MT Bold"/>
                          <w:spacing w:val="1"/>
                          <w:sz w:val="20"/>
                          <w:szCs w:val="20"/>
                        </w:rPr>
                        <w:t>Autumn</w:t>
                      </w:r>
                      <w:r w:rsidRPr="00DD4033">
                        <w:rPr>
                          <w:rFonts w:ascii="Arial Rounded MT Bold" w:hAnsi="Arial Rounded MT Bold"/>
                          <w:spacing w:val="1"/>
                          <w:sz w:val="20"/>
                          <w:szCs w:val="20"/>
                        </w:rPr>
                        <w:tab/>
                        <w:t>47</w:t>
                      </w:r>
                      <w:r w:rsidRPr="00DD4033">
                        <w:rPr>
                          <w:rFonts w:ascii="Arial Rounded MT Bold" w:hAnsi="Arial Rounded MT Bold"/>
                          <w:spacing w:val="1"/>
                          <w:sz w:val="20"/>
                          <w:szCs w:val="20"/>
                        </w:rPr>
                        <w:tab/>
                        <w:t>(4 months)</w:t>
                      </w:r>
                    </w:p>
                    <w:p w14:paraId="577D35CC" w14:textId="77777777" w:rsidR="00A97BC7" w:rsidRPr="00DD4033" w:rsidRDefault="00A97BC7" w:rsidP="00A97BC7">
                      <w:pPr>
                        <w:widowControl w:val="0"/>
                        <w:autoSpaceDE w:val="0"/>
                        <w:autoSpaceDN w:val="0"/>
                        <w:adjustRightInd w:val="0"/>
                        <w:spacing w:line="300" w:lineRule="auto"/>
                        <w:rPr>
                          <w:rFonts w:ascii="Arial Rounded MT Bold" w:hAnsi="Arial Rounded MT Bold"/>
                          <w:spacing w:val="1"/>
                          <w:sz w:val="20"/>
                          <w:szCs w:val="20"/>
                        </w:rPr>
                      </w:pPr>
                      <w:r w:rsidRPr="00DD4033">
                        <w:rPr>
                          <w:rFonts w:ascii="Arial Rounded MT Bold" w:hAnsi="Arial Rounded MT Bold"/>
                          <w:spacing w:val="1"/>
                          <w:sz w:val="20"/>
                          <w:szCs w:val="20"/>
                        </w:rPr>
                        <w:t>Spring</w:t>
                      </w:r>
                      <w:r w:rsidRPr="00DD4033">
                        <w:rPr>
                          <w:rFonts w:ascii="Arial Rounded MT Bold" w:hAnsi="Arial Rounded MT Bold"/>
                          <w:spacing w:val="1"/>
                          <w:sz w:val="20"/>
                          <w:szCs w:val="20"/>
                        </w:rPr>
                        <w:tab/>
                      </w:r>
                      <w:r w:rsidRPr="00DD4033">
                        <w:rPr>
                          <w:rFonts w:ascii="Arial Rounded MT Bold" w:hAnsi="Arial Rounded MT Bold"/>
                          <w:spacing w:val="1"/>
                          <w:sz w:val="20"/>
                          <w:szCs w:val="20"/>
                        </w:rPr>
                        <w:tab/>
                        <w:t xml:space="preserve">47 </w:t>
                      </w:r>
                      <w:r w:rsidRPr="00DD4033">
                        <w:rPr>
                          <w:rFonts w:ascii="Arial Rounded MT Bold" w:hAnsi="Arial Rounded MT Bold"/>
                          <w:spacing w:val="1"/>
                          <w:sz w:val="20"/>
                          <w:szCs w:val="20"/>
                        </w:rPr>
                        <w:tab/>
                        <w:t>(3 months)</w:t>
                      </w:r>
                    </w:p>
                    <w:p w14:paraId="7985BC3B"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p>
                    <w:p w14:paraId="1A931D92"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r w:rsidRPr="00DD4033">
                        <w:rPr>
                          <w:rFonts w:ascii="Arial Rounded MT Bold" w:hAnsi="Arial Rounded MT Bold"/>
                          <w:spacing w:val="1"/>
                          <w:sz w:val="20"/>
                          <w:szCs w:val="20"/>
                        </w:rPr>
                        <w:t>Average pupil numbers = (5/12 x 46) + (4/12 x 47) + (3/12 x 47) = 46.58333…</w:t>
                      </w:r>
                    </w:p>
                    <w:p w14:paraId="18E22084"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pacing w:val="1"/>
                          <w:sz w:val="20"/>
                          <w:szCs w:val="20"/>
                        </w:rPr>
                      </w:pPr>
                      <w:r w:rsidRPr="00DD4033">
                        <w:rPr>
                          <w:rFonts w:ascii="Arial Rounded MT Bold" w:hAnsi="Arial Rounded MT Bold"/>
                          <w:spacing w:val="1"/>
                          <w:sz w:val="20"/>
                          <w:szCs w:val="20"/>
                        </w:rPr>
                        <w:t>Rounded FTE (2 decimal places) = 46.58</w:t>
                      </w:r>
                    </w:p>
                    <w:p w14:paraId="36061D74" w14:textId="77777777" w:rsidR="00A97BC7" w:rsidRPr="00DD4033" w:rsidRDefault="00A97BC7" w:rsidP="00A97BC7">
                      <w:pPr>
                        <w:widowControl w:val="0"/>
                        <w:autoSpaceDE w:val="0"/>
                        <w:autoSpaceDN w:val="0"/>
                        <w:adjustRightInd w:val="0"/>
                        <w:spacing w:after="120" w:line="300" w:lineRule="auto"/>
                        <w:rPr>
                          <w:rFonts w:ascii="Arial Rounded MT Bold" w:hAnsi="Arial Rounded MT Bold"/>
                          <w:sz w:val="20"/>
                          <w:szCs w:val="20"/>
                        </w:rPr>
                      </w:pPr>
                      <w:r w:rsidRPr="00DD4033">
                        <w:rPr>
                          <w:rFonts w:ascii="Arial Rounded MT Bold" w:hAnsi="Arial Rounded MT Bold"/>
                          <w:spacing w:val="1"/>
                          <w:sz w:val="20"/>
                          <w:szCs w:val="20"/>
                        </w:rPr>
                        <w:t xml:space="preserve">Over occupancy funding = </w:t>
                      </w:r>
                      <w:r w:rsidRPr="00DD4033">
                        <w:rPr>
                          <w:rFonts w:ascii="Arial Rounded MT Bold" w:eastAsia="Arial" w:hAnsi="Arial Rounded MT Bold"/>
                          <w:color w:val="000000"/>
                          <w:sz w:val="20"/>
                          <w:szCs w:val="20"/>
                        </w:rPr>
                        <w:t>(46.58 – 45 = 1.58; 1.58 x £10,000)</w:t>
                      </w:r>
                      <w:r w:rsidRPr="00DD4033">
                        <w:rPr>
                          <w:rFonts w:ascii="Arial Rounded MT Bold" w:hAnsi="Arial Rounded MT Bold"/>
                          <w:spacing w:val="1"/>
                          <w:sz w:val="20"/>
                          <w:szCs w:val="20"/>
                        </w:rPr>
                        <w:t xml:space="preserve"> = </w:t>
                      </w:r>
                      <w:r w:rsidRPr="00DD4033">
                        <w:rPr>
                          <w:rFonts w:ascii="Arial Rounded MT Bold" w:hAnsi="Arial Rounded MT Bold"/>
                          <w:sz w:val="20"/>
                          <w:szCs w:val="20"/>
                        </w:rPr>
                        <w:t xml:space="preserve">£15,800 </w:t>
                      </w:r>
                    </w:p>
                    <w:p w14:paraId="23A4B925" w14:textId="77777777" w:rsidR="00A97BC7" w:rsidRDefault="00A97BC7" w:rsidP="00A97BC7"/>
                  </w:txbxContent>
                </v:textbox>
                <w10:wrap type="square" anchorx="margin"/>
              </v:shape>
            </w:pict>
          </mc:Fallback>
        </mc:AlternateContent>
      </w:r>
      <w:r w:rsidR="00A97BC7">
        <w:t>At the end of the financial year, t</w:t>
      </w:r>
      <w:r w:rsidR="00A97BC7" w:rsidRPr="00D23353">
        <w:t xml:space="preserve">he average pupil number across the year (April to March) </w:t>
      </w:r>
      <w:proofErr w:type="gramStart"/>
      <w:r w:rsidR="00A97BC7" w:rsidRPr="00D23353">
        <w:t>is compared</w:t>
      </w:r>
      <w:proofErr w:type="gramEnd"/>
      <w:r w:rsidR="00A97BC7" w:rsidRPr="00D23353">
        <w:t xml:space="preserve"> </w:t>
      </w:r>
      <w:r w:rsidR="00A97BC7">
        <w:t>with</w:t>
      </w:r>
      <w:r w:rsidR="00A97BC7" w:rsidRPr="00D23353">
        <w:t xml:space="preserve"> the financial year APN. If the average pupil number is greater than the APN, the additional places </w:t>
      </w:r>
      <w:proofErr w:type="gramStart"/>
      <w:r w:rsidR="00A97BC7" w:rsidRPr="00D23353">
        <w:t>are funded</w:t>
      </w:r>
      <w:proofErr w:type="gramEnd"/>
      <w:r w:rsidR="00A97BC7" w:rsidRPr="00D23353">
        <w:t xml:space="preserve"> at the place funding rate </w:t>
      </w:r>
      <w:r w:rsidR="00A97BC7">
        <w:t>of</w:t>
      </w:r>
      <w:r w:rsidR="00A97BC7" w:rsidRPr="00D23353">
        <w:t xml:space="preserve"> £10,000. The pupil numbers are the actual termly pupil </w:t>
      </w:r>
      <w:r w:rsidR="00A97BC7">
        <w:t>full time equivalent (</w:t>
      </w:r>
      <w:r w:rsidR="00A97BC7" w:rsidRPr="00D23353">
        <w:t>FTE</w:t>
      </w:r>
      <w:r w:rsidR="00A97BC7">
        <w:t>)</w:t>
      </w:r>
      <w:r w:rsidR="00A97BC7" w:rsidRPr="00D23353">
        <w:t xml:space="preserve"> used for the purposes of calculating top-up funding. The example below illustrates this:</w:t>
      </w:r>
    </w:p>
    <w:p w14:paraId="74AD002A" w14:textId="236E61FE" w:rsidR="00A97BC7" w:rsidRPr="00AA2FAD" w:rsidRDefault="00A97BC7" w:rsidP="00E61268">
      <w:pPr>
        <w:spacing w:after="120" w:line="300" w:lineRule="auto"/>
        <w:rPr>
          <w:sz w:val="10"/>
          <w:szCs w:val="10"/>
        </w:rPr>
      </w:pPr>
    </w:p>
    <w:p w14:paraId="2BEC51AE" w14:textId="77777777" w:rsidR="00A97BC7" w:rsidRPr="00D23353" w:rsidRDefault="00A97BC7" w:rsidP="00E61268">
      <w:pPr>
        <w:spacing w:after="120" w:line="300" w:lineRule="auto"/>
      </w:pPr>
      <w:r>
        <w:t>F</w:t>
      </w:r>
      <w:r w:rsidRPr="00D23353">
        <w:t xml:space="preserve">unding </w:t>
      </w:r>
      <w:proofErr w:type="gramStart"/>
      <w:r w:rsidRPr="00D23353">
        <w:t>is calculated</w:t>
      </w:r>
      <w:proofErr w:type="gramEnd"/>
      <w:r w:rsidRPr="00D23353">
        <w:t xml:space="preserve"> and transferred to the school at the end of the financial year once all the top-up funding for the spring term and pupil numbers have been finalised.</w:t>
      </w:r>
    </w:p>
    <w:p w14:paraId="6DBE45C6" w14:textId="43739CC9" w:rsidR="000F19CA" w:rsidRPr="00CA0DCB" w:rsidRDefault="00A97BC7" w:rsidP="00CA0DCB">
      <w:pPr>
        <w:spacing w:after="120" w:line="300" w:lineRule="auto"/>
        <w:rPr>
          <w:b/>
          <w:bCs/>
        </w:rPr>
      </w:pPr>
      <w:r w:rsidRPr="00D23353">
        <w:t xml:space="preserve">Please note that if the actual average pupil number throughout the year </w:t>
      </w:r>
      <w:r>
        <w:t>is</w:t>
      </w:r>
      <w:r w:rsidRPr="00D23353">
        <w:t xml:space="preserve"> below the </w:t>
      </w:r>
      <w:r w:rsidRPr="00CA0DCB">
        <w:t xml:space="preserve">APN then </w:t>
      </w:r>
      <w:r w:rsidR="00154919">
        <w:t xml:space="preserve">place </w:t>
      </w:r>
      <w:r w:rsidRPr="00CA0DCB">
        <w:t xml:space="preserve">funding will not </w:t>
      </w:r>
      <w:proofErr w:type="gramStart"/>
      <w:r w:rsidRPr="00CA0DCB">
        <w:t>be decreased</w:t>
      </w:r>
      <w:proofErr w:type="gramEnd"/>
      <w:r w:rsidRPr="00CA0DCB">
        <w:t>.</w:t>
      </w:r>
    </w:p>
    <w:p w14:paraId="78050197" w14:textId="77777777" w:rsidR="001A3414" w:rsidRDefault="001A3414">
      <w:pPr>
        <w:spacing w:after="160" w:line="259" w:lineRule="auto"/>
        <w:rPr>
          <w:b/>
          <w:bCs/>
          <w:sz w:val="40"/>
          <w:szCs w:val="40"/>
        </w:rPr>
      </w:pPr>
      <w:bookmarkStart w:id="38" w:name="_Toc157696925"/>
      <w:r>
        <w:rPr>
          <w:sz w:val="40"/>
          <w:szCs w:val="40"/>
        </w:rPr>
        <w:br w:type="page"/>
      </w:r>
    </w:p>
    <w:p w14:paraId="69447096" w14:textId="4CFD6FDD" w:rsidR="00A97BC7" w:rsidRDefault="00A97BC7" w:rsidP="00E61268">
      <w:pPr>
        <w:pStyle w:val="h1"/>
        <w:spacing w:after="120" w:line="300" w:lineRule="auto"/>
        <w:rPr>
          <w:sz w:val="40"/>
          <w:szCs w:val="40"/>
        </w:rPr>
      </w:pPr>
      <w:r w:rsidRPr="00E61268">
        <w:rPr>
          <w:sz w:val="40"/>
          <w:szCs w:val="40"/>
        </w:rPr>
        <w:lastRenderedPageBreak/>
        <w:t xml:space="preserve">Appendix 1 – Table of Values for Special Schools </w:t>
      </w:r>
      <w:r w:rsidR="00E92D19">
        <w:rPr>
          <w:sz w:val="40"/>
          <w:szCs w:val="40"/>
        </w:rPr>
        <w:t>2026/27</w:t>
      </w:r>
      <w:bookmarkEnd w:id="38"/>
    </w:p>
    <w:p w14:paraId="69C67D42" w14:textId="77777777" w:rsidR="000F19CA" w:rsidRPr="00E61268" w:rsidRDefault="000F19CA" w:rsidP="000F19CA"/>
    <w:tbl>
      <w:tblPr>
        <w:tblW w:w="8931" w:type="dxa"/>
        <w:tblInd w:w="4" w:type="dxa"/>
        <w:tblLayout w:type="fixed"/>
        <w:tblCellMar>
          <w:left w:w="0" w:type="dxa"/>
          <w:right w:w="57" w:type="dxa"/>
        </w:tblCellMar>
        <w:tblLook w:val="0000" w:firstRow="0" w:lastRow="0" w:firstColumn="0" w:lastColumn="0" w:noHBand="0" w:noVBand="0"/>
      </w:tblPr>
      <w:tblGrid>
        <w:gridCol w:w="7080"/>
        <w:gridCol w:w="1851"/>
      </w:tblGrid>
      <w:tr w:rsidR="00A97BC7" w:rsidRPr="00F76035" w14:paraId="75D38349" w14:textId="77777777">
        <w:trPr>
          <w:trHeight w:val="750"/>
        </w:trPr>
        <w:tc>
          <w:tcPr>
            <w:tcW w:w="7080" w:type="dxa"/>
            <w:tcBorders>
              <w:top w:val="single" w:sz="4" w:space="0" w:color="000000"/>
              <w:left w:val="single" w:sz="3" w:space="0" w:color="000000"/>
              <w:bottom w:val="single" w:sz="3" w:space="0" w:color="000000"/>
              <w:right w:val="single" w:sz="3" w:space="0" w:color="000000"/>
            </w:tcBorders>
            <w:vAlign w:val="center"/>
          </w:tcPr>
          <w:p w14:paraId="3DEF7755" w14:textId="77777777" w:rsidR="00A97BC7" w:rsidRPr="00ED3F47" w:rsidRDefault="00A97BC7" w:rsidP="00E61268">
            <w:pPr>
              <w:widowControl w:val="0"/>
              <w:autoSpaceDE w:val="0"/>
              <w:autoSpaceDN w:val="0"/>
              <w:adjustRightInd w:val="0"/>
              <w:spacing w:before="60" w:after="120" w:line="300" w:lineRule="auto"/>
              <w:jc w:val="center"/>
              <w:rPr>
                <w:b/>
                <w:bCs/>
                <w:sz w:val="20"/>
                <w:szCs w:val="20"/>
              </w:rPr>
            </w:pPr>
            <w:r w:rsidRPr="009D6141">
              <w:rPr>
                <w:b/>
                <w:sz w:val="28"/>
                <w:szCs w:val="20"/>
              </w:rPr>
              <w:t>Values</w:t>
            </w:r>
          </w:p>
        </w:tc>
        <w:tc>
          <w:tcPr>
            <w:tcW w:w="1851" w:type="dxa"/>
            <w:tcBorders>
              <w:top w:val="single" w:sz="4" w:space="0" w:color="000000"/>
              <w:left w:val="single" w:sz="3" w:space="0" w:color="000000"/>
              <w:bottom w:val="single" w:sz="4" w:space="0" w:color="000000"/>
              <w:right w:val="single" w:sz="3" w:space="0" w:color="000000"/>
            </w:tcBorders>
            <w:vAlign w:val="center"/>
          </w:tcPr>
          <w:p w14:paraId="26C1D9F6" w14:textId="77777777" w:rsidR="00A97BC7" w:rsidRPr="00F76035" w:rsidRDefault="00A97BC7" w:rsidP="00E61268">
            <w:pPr>
              <w:widowControl w:val="0"/>
              <w:autoSpaceDE w:val="0"/>
              <w:autoSpaceDN w:val="0"/>
              <w:adjustRightInd w:val="0"/>
              <w:spacing w:before="60" w:after="120" w:line="300" w:lineRule="auto"/>
              <w:jc w:val="center"/>
            </w:pPr>
            <w:r w:rsidRPr="00F76035">
              <w:t>£</w:t>
            </w:r>
          </w:p>
        </w:tc>
      </w:tr>
      <w:tr w:rsidR="00A97BC7" w:rsidRPr="00C87BFA" w14:paraId="6C10F860" w14:textId="77777777">
        <w:trPr>
          <w:trHeight w:hRule="exact" w:val="510"/>
        </w:trPr>
        <w:tc>
          <w:tcPr>
            <w:tcW w:w="7080" w:type="dxa"/>
            <w:tcBorders>
              <w:top w:val="single" w:sz="4" w:space="0" w:color="000000"/>
              <w:left w:val="single" w:sz="4" w:space="0" w:color="000000"/>
              <w:bottom w:val="single" w:sz="4" w:space="0" w:color="000000"/>
            </w:tcBorders>
            <w:tcMar>
              <w:left w:w="57" w:type="dxa"/>
            </w:tcMar>
            <w:vAlign w:val="center"/>
          </w:tcPr>
          <w:p w14:paraId="4E608E51" w14:textId="6054CE69" w:rsidR="00A97BC7" w:rsidRPr="00C87BFA" w:rsidRDefault="00A97BC7" w:rsidP="00E61268">
            <w:pPr>
              <w:spacing w:before="60" w:after="120" w:line="300" w:lineRule="auto"/>
              <w:rPr>
                <w:b/>
              </w:rPr>
            </w:pPr>
            <w:r>
              <w:rPr>
                <w:b/>
              </w:rPr>
              <w:t xml:space="preserve">Place Funding </w:t>
            </w:r>
            <w:r w:rsidR="00007F19">
              <w:rPr>
                <w:b/>
              </w:rPr>
              <w:t>– pre-16</w:t>
            </w:r>
          </w:p>
        </w:tc>
        <w:tc>
          <w:tcPr>
            <w:tcW w:w="1851" w:type="dxa"/>
            <w:tcBorders>
              <w:top w:val="single" w:sz="4" w:space="0" w:color="000000"/>
              <w:bottom w:val="single" w:sz="4" w:space="0" w:color="000000"/>
              <w:right w:val="single" w:sz="4" w:space="0" w:color="000000"/>
            </w:tcBorders>
            <w:vAlign w:val="center"/>
          </w:tcPr>
          <w:p w14:paraId="69408A92" w14:textId="77777777" w:rsidR="00A97BC7" w:rsidRPr="00C87BFA" w:rsidRDefault="00A97BC7" w:rsidP="00E61268">
            <w:pPr>
              <w:spacing w:before="60" w:after="120" w:line="300" w:lineRule="auto"/>
              <w:jc w:val="center"/>
            </w:pPr>
            <w:r w:rsidRPr="004B341C">
              <w:rPr>
                <w:color w:val="FF0000"/>
                <w:sz w:val="20"/>
                <w:szCs w:val="20"/>
              </w:rPr>
              <w:t>GL 769</w:t>
            </w:r>
            <w:r>
              <w:rPr>
                <w:color w:val="FF0000"/>
                <w:sz w:val="20"/>
                <w:szCs w:val="20"/>
              </w:rPr>
              <w:t>6</w:t>
            </w:r>
            <w:r w:rsidRPr="004B341C">
              <w:rPr>
                <w:color w:val="FF0000"/>
                <w:sz w:val="20"/>
                <w:szCs w:val="20"/>
              </w:rPr>
              <w:t xml:space="preserve"> / CFR I0</w:t>
            </w:r>
            <w:r>
              <w:rPr>
                <w:color w:val="FF0000"/>
                <w:sz w:val="20"/>
                <w:szCs w:val="20"/>
              </w:rPr>
              <w:t>1</w:t>
            </w:r>
          </w:p>
        </w:tc>
      </w:tr>
      <w:tr w:rsidR="00A97BC7" w:rsidRPr="00C87BFA" w14:paraId="72EE2E47" w14:textId="77777777">
        <w:trPr>
          <w:trHeight w:hRule="exact" w:val="510"/>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621565F2" w14:textId="77777777" w:rsidR="00A97BC7" w:rsidRPr="00C87BFA" w:rsidRDefault="00A97BC7" w:rsidP="00E61268">
            <w:pPr>
              <w:widowControl w:val="0"/>
              <w:tabs>
                <w:tab w:val="left" w:pos="740"/>
              </w:tabs>
              <w:autoSpaceDE w:val="0"/>
              <w:autoSpaceDN w:val="0"/>
              <w:adjustRightInd w:val="0"/>
              <w:spacing w:before="60" w:after="120" w:line="300" w:lineRule="auto"/>
              <w:rPr>
                <w:b/>
              </w:rPr>
            </w:pPr>
            <w:r>
              <w:rPr>
                <w:bCs/>
              </w:rPr>
              <w:t xml:space="preserve">     </w:t>
            </w:r>
            <w:r w:rsidRPr="00EB1CAE">
              <w:rPr>
                <w:bCs/>
              </w:rPr>
              <w:t>Agreed Place Numbers (APN)</w:t>
            </w:r>
            <w:r w:rsidRPr="00F82F8A">
              <w:rPr>
                <w:bCs/>
              </w:rPr>
              <w:t xml:space="preserve"> (per place)</w:t>
            </w:r>
          </w:p>
        </w:tc>
        <w:tc>
          <w:tcPr>
            <w:tcW w:w="1851" w:type="dxa"/>
            <w:tcBorders>
              <w:top w:val="single" w:sz="4" w:space="0" w:color="000000"/>
              <w:left w:val="single" w:sz="3" w:space="0" w:color="000000"/>
              <w:bottom w:val="single" w:sz="3" w:space="0" w:color="000000"/>
              <w:right w:val="single" w:sz="3" w:space="0" w:color="000000"/>
            </w:tcBorders>
            <w:vAlign w:val="center"/>
          </w:tcPr>
          <w:p w14:paraId="69F4E47B" w14:textId="77777777" w:rsidR="00A97BC7" w:rsidRPr="00C87BFA" w:rsidRDefault="00A97BC7" w:rsidP="00E61268">
            <w:pPr>
              <w:spacing w:before="60" w:after="120" w:line="300" w:lineRule="auto"/>
              <w:jc w:val="right"/>
            </w:pPr>
            <w:r w:rsidRPr="00C87BFA">
              <w:t>10,000</w:t>
            </w:r>
          </w:p>
        </w:tc>
      </w:tr>
      <w:tr w:rsidR="00007F19" w:rsidRPr="00C87BFA" w14:paraId="0F5F17E0" w14:textId="77777777">
        <w:trPr>
          <w:trHeight w:hRule="exact" w:val="510"/>
        </w:trPr>
        <w:tc>
          <w:tcPr>
            <w:tcW w:w="7080" w:type="dxa"/>
            <w:tcBorders>
              <w:top w:val="single" w:sz="4" w:space="0" w:color="000000"/>
              <w:left w:val="single" w:sz="4" w:space="0" w:color="000000"/>
              <w:bottom w:val="single" w:sz="4" w:space="0" w:color="000000"/>
            </w:tcBorders>
            <w:tcMar>
              <w:left w:w="57" w:type="dxa"/>
            </w:tcMar>
            <w:vAlign w:val="center"/>
          </w:tcPr>
          <w:p w14:paraId="37BCC2EF" w14:textId="26849BA0" w:rsidR="00007F19" w:rsidRPr="00C87BFA" w:rsidRDefault="00007F19">
            <w:pPr>
              <w:spacing w:before="60" w:after="120" w:line="300" w:lineRule="auto"/>
              <w:rPr>
                <w:b/>
              </w:rPr>
            </w:pPr>
            <w:r>
              <w:rPr>
                <w:b/>
              </w:rPr>
              <w:t>Place Funding – post-</w:t>
            </w:r>
            <w:proofErr w:type="gramStart"/>
            <w:r>
              <w:rPr>
                <w:b/>
              </w:rPr>
              <w:t>16</w:t>
            </w:r>
            <w:proofErr w:type="gramEnd"/>
          </w:p>
        </w:tc>
        <w:tc>
          <w:tcPr>
            <w:tcW w:w="1851" w:type="dxa"/>
            <w:tcBorders>
              <w:top w:val="single" w:sz="4" w:space="0" w:color="000000"/>
              <w:bottom w:val="single" w:sz="4" w:space="0" w:color="000000"/>
              <w:right w:val="single" w:sz="4" w:space="0" w:color="000000"/>
            </w:tcBorders>
            <w:vAlign w:val="center"/>
          </w:tcPr>
          <w:p w14:paraId="5F8F1680" w14:textId="4B1E6AFF" w:rsidR="00007F19" w:rsidRPr="00C87BFA" w:rsidRDefault="00007F19">
            <w:pPr>
              <w:spacing w:before="60" w:after="120" w:line="300" w:lineRule="auto"/>
              <w:jc w:val="center"/>
            </w:pPr>
            <w:r w:rsidRPr="004B341C">
              <w:rPr>
                <w:color w:val="FF0000"/>
                <w:sz w:val="20"/>
                <w:szCs w:val="20"/>
              </w:rPr>
              <w:t>GL 76</w:t>
            </w:r>
            <w:r w:rsidR="0042183F">
              <w:rPr>
                <w:color w:val="FF0000"/>
                <w:sz w:val="20"/>
                <w:szCs w:val="20"/>
              </w:rPr>
              <w:t>79</w:t>
            </w:r>
            <w:r w:rsidRPr="004B341C">
              <w:rPr>
                <w:color w:val="FF0000"/>
                <w:sz w:val="20"/>
                <w:szCs w:val="20"/>
              </w:rPr>
              <w:t xml:space="preserve"> / CFR I0</w:t>
            </w:r>
            <w:r w:rsidR="0042183F">
              <w:rPr>
                <w:color w:val="FF0000"/>
                <w:sz w:val="20"/>
                <w:szCs w:val="20"/>
              </w:rPr>
              <w:t>2</w:t>
            </w:r>
          </w:p>
        </w:tc>
      </w:tr>
      <w:tr w:rsidR="00007F19" w:rsidRPr="00C87BFA" w14:paraId="3172A2BF" w14:textId="77777777">
        <w:trPr>
          <w:trHeight w:hRule="exact" w:val="510"/>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4E23AB04" w14:textId="77777777" w:rsidR="00007F19" w:rsidRPr="00C87BFA" w:rsidRDefault="00007F19">
            <w:pPr>
              <w:widowControl w:val="0"/>
              <w:tabs>
                <w:tab w:val="left" w:pos="740"/>
              </w:tabs>
              <w:autoSpaceDE w:val="0"/>
              <w:autoSpaceDN w:val="0"/>
              <w:adjustRightInd w:val="0"/>
              <w:spacing w:before="60" w:after="120" w:line="300" w:lineRule="auto"/>
              <w:rPr>
                <w:b/>
              </w:rPr>
            </w:pPr>
            <w:r>
              <w:rPr>
                <w:bCs/>
              </w:rPr>
              <w:t xml:space="preserve">     </w:t>
            </w:r>
            <w:r w:rsidRPr="00EB1CAE">
              <w:rPr>
                <w:bCs/>
              </w:rPr>
              <w:t>Agreed Place Numbers (APN)</w:t>
            </w:r>
            <w:r w:rsidRPr="00F82F8A">
              <w:rPr>
                <w:bCs/>
              </w:rPr>
              <w:t xml:space="preserve"> (per place)</w:t>
            </w:r>
          </w:p>
        </w:tc>
        <w:tc>
          <w:tcPr>
            <w:tcW w:w="1851" w:type="dxa"/>
            <w:tcBorders>
              <w:top w:val="single" w:sz="4" w:space="0" w:color="000000"/>
              <w:left w:val="single" w:sz="3" w:space="0" w:color="000000"/>
              <w:bottom w:val="single" w:sz="3" w:space="0" w:color="000000"/>
              <w:right w:val="single" w:sz="3" w:space="0" w:color="000000"/>
            </w:tcBorders>
            <w:vAlign w:val="center"/>
          </w:tcPr>
          <w:p w14:paraId="49648C99" w14:textId="77777777" w:rsidR="00007F19" w:rsidRPr="00C87BFA" w:rsidRDefault="00007F19">
            <w:pPr>
              <w:spacing w:before="60" w:after="120" w:line="300" w:lineRule="auto"/>
              <w:jc w:val="right"/>
            </w:pPr>
            <w:r w:rsidRPr="00C87BFA">
              <w:t>10,000</w:t>
            </w:r>
          </w:p>
        </w:tc>
      </w:tr>
      <w:tr w:rsidR="00423CB0" w:rsidRPr="00C87BFA" w14:paraId="4347E9AC" w14:textId="77777777">
        <w:trPr>
          <w:trHeight w:hRule="exact" w:val="510"/>
        </w:trPr>
        <w:tc>
          <w:tcPr>
            <w:tcW w:w="7080" w:type="dxa"/>
            <w:tcBorders>
              <w:top w:val="single" w:sz="4" w:space="0" w:color="000000"/>
              <w:left w:val="single" w:sz="4" w:space="0" w:color="000000"/>
              <w:bottom w:val="single" w:sz="4" w:space="0" w:color="000000"/>
            </w:tcBorders>
            <w:tcMar>
              <w:left w:w="57" w:type="dxa"/>
            </w:tcMar>
            <w:vAlign w:val="center"/>
          </w:tcPr>
          <w:p w14:paraId="4E74E9BA" w14:textId="63A6B0F4" w:rsidR="00423CB0" w:rsidRPr="00C87BFA" w:rsidRDefault="00423CB0">
            <w:pPr>
              <w:spacing w:before="60" w:after="120" w:line="300" w:lineRule="auto"/>
              <w:rPr>
                <w:b/>
              </w:rPr>
            </w:pPr>
            <w:r>
              <w:rPr>
                <w:b/>
              </w:rPr>
              <w:t xml:space="preserve">Legacy Funding </w:t>
            </w:r>
          </w:p>
        </w:tc>
        <w:tc>
          <w:tcPr>
            <w:tcW w:w="1851" w:type="dxa"/>
            <w:tcBorders>
              <w:top w:val="single" w:sz="4" w:space="0" w:color="000000"/>
              <w:bottom w:val="single" w:sz="4" w:space="0" w:color="000000"/>
              <w:right w:val="single" w:sz="4" w:space="0" w:color="000000"/>
            </w:tcBorders>
            <w:vAlign w:val="center"/>
          </w:tcPr>
          <w:p w14:paraId="763751BE" w14:textId="2F66FB47" w:rsidR="00423CB0" w:rsidRPr="00C87BFA" w:rsidRDefault="00423CB0">
            <w:pPr>
              <w:spacing w:before="60" w:after="120" w:line="300" w:lineRule="auto"/>
              <w:jc w:val="center"/>
            </w:pPr>
            <w:r w:rsidRPr="004B341C">
              <w:rPr>
                <w:color w:val="FF0000"/>
                <w:sz w:val="20"/>
                <w:szCs w:val="20"/>
              </w:rPr>
              <w:t>GL 769</w:t>
            </w:r>
            <w:r w:rsidR="00945637">
              <w:rPr>
                <w:color w:val="FF0000"/>
                <w:sz w:val="20"/>
                <w:szCs w:val="20"/>
              </w:rPr>
              <w:t>7</w:t>
            </w:r>
            <w:r w:rsidRPr="004B341C">
              <w:rPr>
                <w:color w:val="FF0000"/>
                <w:sz w:val="20"/>
                <w:szCs w:val="20"/>
              </w:rPr>
              <w:t xml:space="preserve"> / CFR I0</w:t>
            </w:r>
            <w:r>
              <w:rPr>
                <w:color w:val="FF0000"/>
                <w:sz w:val="20"/>
                <w:szCs w:val="20"/>
              </w:rPr>
              <w:t>1</w:t>
            </w:r>
          </w:p>
        </w:tc>
      </w:tr>
      <w:tr w:rsidR="009A2820" w:rsidRPr="00C87BFA" w14:paraId="523CDDF3" w14:textId="77777777" w:rsidTr="009A2820">
        <w:trPr>
          <w:trHeight w:hRule="exact" w:val="702"/>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38DC4ADE" w14:textId="3356E00C" w:rsidR="009A2820" w:rsidRPr="00C87BFA" w:rsidRDefault="009A2820" w:rsidP="009A2820">
            <w:pPr>
              <w:widowControl w:val="0"/>
              <w:tabs>
                <w:tab w:val="left" w:pos="740"/>
              </w:tabs>
              <w:autoSpaceDE w:val="0"/>
              <w:autoSpaceDN w:val="0"/>
              <w:adjustRightInd w:val="0"/>
              <w:spacing w:before="60" w:after="120" w:line="300" w:lineRule="auto"/>
              <w:rPr>
                <w:b/>
              </w:rPr>
            </w:pPr>
            <w:r>
              <w:rPr>
                <w:bCs/>
              </w:rPr>
              <w:t xml:space="preserve">     </w:t>
            </w:r>
            <w:r w:rsidR="00945637">
              <w:rPr>
                <w:bCs/>
              </w:rPr>
              <w:t>Legacy Funding</w:t>
            </w:r>
            <w:r w:rsidRPr="00F82F8A">
              <w:rPr>
                <w:bCs/>
              </w:rPr>
              <w:t xml:space="preserve"> (per place)</w:t>
            </w:r>
          </w:p>
        </w:tc>
        <w:tc>
          <w:tcPr>
            <w:tcW w:w="1851" w:type="dxa"/>
            <w:tcBorders>
              <w:top w:val="single" w:sz="4" w:space="0" w:color="000000"/>
              <w:left w:val="single" w:sz="3" w:space="0" w:color="000000"/>
              <w:bottom w:val="single" w:sz="3" w:space="0" w:color="000000"/>
              <w:right w:val="single" w:sz="3" w:space="0" w:color="000000"/>
            </w:tcBorders>
            <w:vAlign w:val="center"/>
          </w:tcPr>
          <w:p w14:paraId="76310940" w14:textId="1F9BD5C4" w:rsidR="009A2820" w:rsidRPr="00C87BFA" w:rsidRDefault="009A2820" w:rsidP="009A2820">
            <w:pPr>
              <w:spacing w:before="60" w:after="120" w:line="300" w:lineRule="auto"/>
              <w:jc w:val="right"/>
            </w:pPr>
            <w:r>
              <w:rPr>
                <w:i/>
                <w:iCs/>
              </w:rPr>
              <w:t>Varies – as per 2025/26</w:t>
            </w:r>
          </w:p>
        </w:tc>
      </w:tr>
      <w:tr w:rsidR="009A2820" w:rsidRPr="00C87BFA" w14:paraId="73379A24" w14:textId="77777777">
        <w:trPr>
          <w:trHeight w:hRule="exact" w:val="510"/>
        </w:trPr>
        <w:tc>
          <w:tcPr>
            <w:tcW w:w="7080" w:type="dxa"/>
            <w:tcBorders>
              <w:top w:val="single" w:sz="4" w:space="0" w:color="000000"/>
              <w:left w:val="single" w:sz="4" w:space="0" w:color="000000"/>
              <w:bottom w:val="single" w:sz="4" w:space="0" w:color="000000"/>
            </w:tcBorders>
            <w:tcMar>
              <w:left w:w="57" w:type="dxa"/>
            </w:tcMar>
            <w:vAlign w:val="center"/>
          </w:tcPr>
          <w:p w14:paraId="367253B4" w14:textId="557FCF09" w:rsidR="009A2820" w:rsidRPr="00C87BFA" w:rsidRDefault="003D750E" w:rsidP="009A2820">
            <w:pPr>
              <w:spacing w:before="60" w:after="120" w:line="300" w:lineRule="auto"/>
              <w:rPr>
                <w:b/>
              </w:rPr>
            </w:pPr>
            <w:r>
              <w:rPr>
                <w:b/>
              </w:rPr>
              <w:t>Other</w:t>
            </w:r>
            <w:r w:rsidR="009A2820">
              <w:rPr>
                <w:b/>
              </w:rPr>
              <w:t xml:space="preserve"> Funding </w:t>
            </w:r>
            <w:r>
              <w:rPr>
                <w:b/>
              </w:rPr>
              <w:t>&amp; Deductions</w:t>
            </w:r>
          </w:p>
        </w:tc>
        <w:tc>
          <w:tcPr>
            <w:tcW w:w="1851" w:type="dxa"/>
            <w:tcBorders>
              <w:top w:val="single" w:sz="4" w:space="0" w:color="000000"/>
              <w:bottom w:val="single" w:sz="4" w:space="0" w:color="000000"/>
              <w:right w:val="single" w:sz="4" w:space="0" w:color="000000"/>
            </w:tcBorders>
            <w:vAlign w:val="center"/>
          </w:tcPr>
          <w:p w14:paraId="5B01E83F" w14:textId="77777777" w:rsidR="009A2820" w:rsidRPr="00C87BFA" w:rsidRDefault="009A2820" w:rsidP="009A2820">
            <w:pPr>
              <w:spacing w:before="60" w:after="120" w:line="300" w:lineRule="auto"/>
              <w:jc w:val="center"/>
            </w:pPr>
            <w:r w:rsidRPr="004B341C">
              <w:rPr>
                <w:color w:val="FF0000"/>
                <w:sz w:val="20"/>
                <w:szCs w:val="20"/>
              </w:rPr>
              <w:t>GL 769</w:t>
            </w:r>
            <w:r>
              <w:rPr>
                <w:color w:val="FF0000"/>
                <w:sz w:val="20"/>
                <w:szCs w:val="20"/>
              </w:rPr>
              <w:t>6</w:t>
            </w:r>
            <w:r w:rsidRPr="004B341C">
              <w:rPr>
                <w:color w:val="FF0000"/>
                <w:sz w:val="20"/>
                <w:szCs w:val="20"/>
              </w:rPr>
              <w:t xml:space="preserve"> / CFR I0</w:t>
            </w:r>
            <w:r>
              <w:rPr>
                <w:color w:val="FF0000"/>
                <w:sz w:val="20"/>
                <w:szCs w:val="20"/>
              </w:rPr>
              <w:t>1</w:t>
            </w:r>
          </w:p>
        </w:tc>
      </w:tr>
      <w:tr w:rsidR="009A2820" w:rsidRPr="00F156B6" w14:paraId="6EB84D2D" w14:textId="77777777">
        <w:trPr>
          <w:trHeight w:hRule="exact" w:val="510"/>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37214E71" w14:textId="77777777" w:rsidR="009A2820" w:rsidRPr="00F156B6" w:rsidRDefault="009A2820" w:rsidP="009A2820">
            <w:pPr>
              <w:widowControl w:val="0"/>
              <w:tabs>
                <w:tab w:val="left" w:pos="740"/>
              </w:tabs>
              <w:autoSpaceDE w:val="0"/>
              <w:autoSpaceDN w:val="0"/>
              <w:adjustRightInd w:val="0"/>
              <w:spacing w:before="60" w:after="120" w:line="300" w:lineRule="auto"/>
            </w:pPr>
            <w:r w:rsidRPr="00F156B6">
              <w:t xml:space="preserve">     Residential Funding (per bed) – Wolverdene / Lakeside</w:t>
            </w:r>
          </w:p>
        </w:tc>
        <w:tc>
          <w:tcPr>
            <w:tcW w:w="1851" w:type="dxa"/>
            <w:tcBorders>
              <w:top w:val="single" w:sz="4" w:space="0" w:color="000000"/>
              <w:left w:val="single" w:sz="3" w:space="0" w:color="000000"/>
              <w:bottom w:val="single" w:sz="3" w:space="0" w:color="000000"/>
              <w:right w:val="single" w:sz="3" w:space="0" w:color="000000"/>
            </w:tcBorders>
            <w:vAlign w:val="center"/>
          </w:tcPr>
          <w:p w14:paraId="13CB062B" w14:textId="77777777" w:rsidR="009A2820" w:rsidRPr="000A149D" w:rsidRDefault="009A2820" w:rsidP="009A2820">
            <w:pPr>
              <w:spacing w:before="60" w:after="120" w:line="300" w:lineRule="auto"/>
              <w:jc w:val="right"/>
            </w:pPr>
            <w:r w:rsidRPr="000A149D">
              <w:t>22,000</w:t>
            </w:r>
          </w:p>
        </w:tc>
      </w:tr>
      <w:tr w:rsidR="009A2820" w14:paraId="25C382F1" w14:textId="77777777">
        <w:trPr>
          <w:trHeight w:hRule="exact" w:val="510"/>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2F75A1F9" w14:textId="77777777" w:rsidR="009A2820" w:rsidRDefault="009A2820" w:rsidP="009A2820">
            <w:pPr>
              <w:widowControl w:val="0"/>
              <w:tabs>
                <w:tab w:val="left" w:pos="740"/>
              </w:tabs>
              <w:autoSpaceDE w:val="0"/>
              <w:autoSpaceDN w:val="0"/>
              <w:adjustRightInd w:val="0"/>
              <w:spacing w:before="60" w:after="120" w:line="300" w:lineRule="auto"/>
            </w:pPr>
            <w:r>
              <w:t xml:space="preserve">     Central Provision Funded by Maintained Schools (per place)</w:t>
            </w:r>
          </w:p>
        </w:tc>
        <w:tc>
          <w:tcPr>
            <w:tcW w:w="1851" w:type="dxa"/>
            <w:tcBorders>
              <w:top w:val="single" w:sz="4" w:space="0" w:color="000000"/>
              <w:left w:val="single" w:sz="3" w:space="0" w:color="000000"/>
              <w:bottom w:val="single" w:sz="3" w:space="0" w:color="000000"/>
              <w:right w:val="single" w:sz="3" w:space="0" w:color="000000"/>
            </w:tcBorders>
            <w:vAlign w:val="center"/>
          </w:tcPr>
          <w:p w14:paraId="4ED39337" w14:textId="788D8946" w:rsidR="009A2820" w:rsidRPr="000A149D" w:rsidRDefault="009A2820" w:rsidP="009A2820">
            <w:pPr>
              <w:spacing w:before="60" w:after="120" w:line="300" w:lineRule="auto"/>
              <w:jc w:val="right"/>
            </w:pPr>
            <w:r w:rsidRPr="000A149D">
              <w:t>(</w:t>
            </w:r>
            <w:r w:rsidR="000A225D">
              <w:t>58.</w:t>
            </w:r>
            <w:r w:rsidR="001122E5">
              <w:t>57</w:t>
            </w:r>
            <w:r w:rsidRPr="000A149D">
              <w:t>)</w:t>
            </w:r>
          </w:p>
        </w:tc>
      </w:tr>
      <w:tr w:rsidR="009A2820" w:rsidRPr="004B341C" w14:paraId="628E00DA" w14:textId="77777777">
        <w:trPr>
          <w:trHeight w:hRule="exact" w:val="510"/>
        </w:trPr>
        <w:tc>
          <w:tcPr>
            <w:tcW w:w="7080" w:type="dxa"/>
            <w:tcBorders>
              <w:top w:val="single" w:sz="3" w:space="0" w:color="000000"/>
              <w:left w:val="single" w:sz="4" w:space="0" w:color="000000"/>
              <w:bottom w:val="single" w:sz="3" w:space="0" w:color="000000"/>
            </w:tcBorders>
            <w:tcMar>
              <w:left w:w="57" w:type="dxa"/>
            </w:tcMar>
            <w:vAlign w:val="center"/>
          </w:tcPr>
          <w:p w14:paraId="588328D9" w14:textId="77777777" w:rsidR="009A2820" w:rsidRPr="00C87BFA" w:rsidRDefault="009A2820" w:rsidP="009A2820">
            <w:pPr>
              <w:widowControl w:val="0"/>
              <w:tabs>
                <w:tab w:val="left" w:pos="740"/>
              </w:tabs>
              <w:autoSpaceDE w:val="0"/>
              <w:autoSpaceDN w:val="0"/>
              <w:adjustRightInd w:val="0"/>
              <w:spacing w:before="60" w:after="120" w:line="300" w:lineRule="auto"/>
              <w:rPr>
                <w:b/>
              </w:rPr>
            </w:pPr>
            <w:r>
              <w:rPr>
                <w:b/>
              </w:rPr>
              <w:t>Top-up Funding</w:t>
            </w:r>
          </w:p>
        </w:tc>
        <w:tc>
          <w:tcPr>
            <w:tcW w:w="1851" w:type="dxa"/>
            <w:tcBorders>
              <w:top w:val="single" w:sz="4" w:space="0" w:color="000000"/>
              <w:bottom w:val="single" w:sz="3" w:space="0" w:color="000000"/>
              <w:right w:val="single" w:sz="4" w:space="0" w:color="000000"/>
            </w:tcBorders>
            <w:vAlign w:val="center"/>
          </w:tcPr>
          <w:p w14:paraId="3AC2E9BE" w14:textId="77777777" w:rsidR="009A2820" w:rsidRPr="000A149D" w:rsidRDefault="009A2820" w:rsidP="009A2820">
            <w:pPr>
              <w:spacing w:before="60" w:after="120" w:line="300" w:lineRule="auto"/>
              <w:jc w:val="center"/>
              <w:rPr>
                <w:color w:val="FF0000"/>
                <w:sz w:val="20"/>
                <w:szCs w:val="20"/>
              </w:rPr>
            </w:pPr>
            <w:r w:rsidRPr="000A149D">
              <w:rPr>
                <w:color w:val="FF0000"/>
                <w:sz w:val="20"/>
                <w:szCs w:val="20"/>
              </w:rPr>
              <w:t>GL 7691 / CFR I03</w:t>
            </w:r>
          </w:p>
        </w:tc>
      </w:tr>
      <w:tr w:rsidR="009A2820" w:rsidRPr="00C87BFA" w14:paraId="3D10B404" w14:textId="77777777" w:rsidTr="000F19CA">
        <w:trPr>
          <w:trHeight w:hRule="exact" w:val="3856"/>
        </w:trPr>
        <w:tc>
          <w:tcPr>
            <w:tcW w:w="7080" w:type="dxa"/>
            <w:tcBorders>
              <w:top w:val="single" w:sz="3" w:space="0" w:color="000000"/>
              <w:left w:val="single" w:sz="3" w:space="0" w:color="000000"/>
              <w:bottom w:val="single" w:sz="3" w:space="0" w:color="000000"/>
              <w:right w:val="single" w:sz="3" w:space="0" w:color="000000"/>
            </w:tcBorders>
            <w:tcMar>
              <w:left w:w="57" w:type="dxa"/>
            </w:tcMar>
            <w:vAlign w:val="center"/>
          </w:tcPr>
          <w:p w14:paraId="7CC39B6F" w14:textId="58FD8859" w:rsidR="009A2820" w:rsidRPr="00C87BFA" w:rsidRDefault="009A2820" w:rsidP="009A2820">
            <w:pPr>
              <w:widowControl w:val="0"/>
              <w:tabs>
                <w:tab w:val="left" w:pos="740"/>
              </w:tabs>
              <w:autoSpaceDE w:val="0"/>
              <w:autoSpaceDN w:val="0"/>
              <w:adjustRightInd w:val="0"/>
              <w:spacing w:before="60" w:after="120" w:line="300" w:lineRule="auto"/>
            </w:pPr>
            <w:r>
              <w:rPr>
                <w:b/>
              </w:rPr>
              <w:t xml:space="preserve">     </w:t>
            </w:r>
            <w:r w:rsidRPr="00C735C3">
              <w:rPr>
                <w:bCs/>
              </w:rPr>
              <w:t xml:space="preserve">Pupil </w:t>
            </w:r>
            <w:r>
              <w:rPr>
                <w:bCs/>
              </w:rPr>
              <w:t xml:space="preserve">Needs </w:t>
            </w:r>
            <w:r w:rsidRPr="00C735C3">
              <w:rPr>
                <w:bCs/>
              </w:rPr>
              <w:t xml:space="preserve">Funding – </w:t>
            </w:r>
            <w:r>
              <w:t>Special Bands</w:t>
            </w:r>
            <w:r w:rsidRPr="00C87BFA">
              <w:t xml:space="preserve"> </w:t>
            </w:r>
            <w:r>
              <w:t>(</w:t>
            </w:r>
            <w:r w:rsidRPr="00C87BFA">
              <w:t>per pupil</w:t>
            </w:r>
            <w:r>
              <w:t>)</w:t>
            </w:r>
          </w:p>
          <w:p w14:paraId="772EF545" w14:textId="130880DB" w:rsidR="009A2820" w:rsidRPr="00C87BFA" w:rsidRDefault="009A2820" w:rsidP="009A2820">
            <w:pPr>
              <w:widowControl w:val="0"/>
              <w:tabs>
                <w:tab w:val="left" w:pos="740"/>
              </w:tabs>
              <w:autoSpaceDE w:val="0"/>
              <w:autoSpaceDN w:val="0"/>
              <w:adjustRightInd w:val="0"/>
              <w:spacing w:before="60" w:after="120" w:line="300" w:lineRule="auto"/>
              <w:jc w:val="center"/>
            </w:pPr>
            <w:r>
              <w:t>Band</w:t>
            </w:r>
            <w:r w:rsidRPr="00C87BFA">
              <w:t xml:space="preserve"> </w:t>
            </w:r>
            <w:r>
              <w:t>S1</w:t>
            </w:r>
          </w:p>
          <w:p w14:paraId="5F845352" w14:textId="3A2F1911" w:rsidR="009A2820" w:rsidRDefault="009A2820" w:rsidP="009A2820">
            <w:pPr>
              <w:widowControl w:val="0"/>
              <w:tabs>
                <w:tab w:val="left" w:pos="740"/>
              </w:tabs>
              <w:autoSpaceDE w:val="0"/>
              <w:autoSpaceDN w:val="0"/>
              <w:adjustRightInd w:val="0"/>
              <w:spacing w:before="60" w:after="120" w:line="300" w:lineRule="auto"/>
              <w:jc w:val="center"/>
            </w:pPr>
            <w:r>
              <w:t>Band S2</w:t>
            </w:r>
          </w:p>
          <w:p w14:paraId="727D6959" w14:textId="08E81BD2" w:rsidR="009A2820" w:rsidRDefault="009A2820" w:rsidP="009A2820">
            <w:pPr>
              <w:widowControl w:val="0"/>
              <w:tabs>
                <w:tab w:val="left" w:pos="740"/>
              </w:tabs>
              <w:autoSpaceDE w:val="0"/>
              <w:autoSpaceDN w:val="0"/>
              <w:adjustRightInd w:val="0"/>
              <w:spacing w:before="60" w:after="120" w:line="300" w:lineRule="auto"/>
              <w:jc w:val="center"/>
            </w:pPr>
            <w:r>
              <w:t>Band S3</w:t>
            </w:r>
          </w:p>
          <w:p w14:paraId="503F5F23" w14:textId="226402DF" w:rsidR="009A2820" w:rsidRDefault="009A2820" w:rsidP="009A2820">
            <w:pPr>
              <w:widowControl w:val="0"/>
              <w:tabs>
                <w:tab w:val="left" w:pos="740"/>
              </w:tabs>
              <w:autoSpaceDE w:val="0"/>
              <w:autoSpaceDN w:val="0"/>
              <w:adjustRightInd w:val="0"/>
              <w:spacing w:before="60" w:after="120" w:line="300" w:lineRule="auto"/>
              <w:jc w:val="center"/>
            </w:pPr>
            <w:r>
              <w:t>Band S4</w:t>
            </w:r>
          </w:p>
          <w:p w14:paraId="2A319975" w14:textId="4B207C6A" w:rsidR="009A2820" w:rsidRDefault="009A2820" w:rsidP="009A2820">
            <w:pPr>
              <w:widowControl w:val="0"/>
              <w:tabs>
                <w:tab w:val="left" w:pos="740"/>
              </w:tabs>
              <w:autoSpaceDE w:val="0"/>
              <w:autoSpaceDN w:val="0"/>
              <w:adjustRightInd w:val="0"/>
              <w:spacing w:before="60" w:after="120" w:line="300" w:lineRule="auto"/>
              <w:jc w:val="center"/>
            </w:pPr>
            <w:r>
              <w:t>Band S5</w:t>
            </w:r>
          </w:p>
          <w:p w14:paraId="4BD8EBE1" w14:textId="1E0D7DE5" w:rsidR="009A2820" w:rsidRPr="00C87BFA" w:rsidRDefault="009A2820" w:rsidP="009A2820">
            <w:pPr>
              <w:widowControl w:val="0"/>
              <w:tabs>
                <w:tab w:val="left" w:pos="740"/>
              </w:tabs>
              <w:autoSpaceDE w:val="0"/>
              <w:autoSpaceDN w:val="0"/>
              <w:adjustRightInd w:val="0"/>
              <w:spacing w:before="60" w:after="120" w:line="300" w:lineRule="auto"/>
              <w:jc w:val="center"/>
            </w:pPr>
            <w:r>
              <w:t>Band</w:t>
            </w:r>
            <w:r w:rsidRPr="00C87BFA">
              <w:t xml:space="preserve"> </w:t>
            </w:r>
            <w:r>
              <w:t>S</w:t>
            </w:r>
            <w:r w:rsidRPr="00C87BFA">
              <w:t>6</w:t>
            </w:r>
          </w:p>
          <w:p w14:paraId="5BDDF06D" w14:textId="44104257" w:rsidR="009A2820" w:rsidRPr="00C87BFA" w:rsidRDefault="009A2820" w:rsidP="009A2820">
            <w:pPr>
              <w:widowControl w:val="0"/>
              <w:tabs>
                <w:tab w:val="left" w:pos="740"/>
              </w:tabs>
              <w:autoSpaceDE w:val="0"/>
              <w:autoSpaceDN w:val="0"/>
              <w:adjustRightInd w:val="0"/>
              <w:spacing w:before="60" w:after="120" w:line="300" w:lineRule="auto"/>
              <w:jc w:val="center"/>
            </w:pPr>
            <w:r>
              <w:t>Band</w:t>
            </w:r>
            <w:r w:rsidRPr="00C87BFA">
              <w:t xml:space="preserve"> </w:t>
            </w:r>
            <w:r>
              <w:t>S</w:t>
            </w:r>
            <w:r w:rsidRPr="00C87BFA">
              <w:t>7</w:t>
            </w:r>
          </w:p>
        </w:tc>
        <w:tc>
          <w:tcPr>
            <w:tcW w:w="1851" w:type="dxa"/>
            <w:tcBorders>
              <w:top w:val="single" w:sz="4" w:space="0" w:color="000000"/>
              <w:left w:val="single" w:sz="3" w:space="0" w:color="000000"/>
              <w:bottom w:val="single" w:sz="3" w:space="0" w:color="000000"/>
              <w:right w:val="single" w:sz="3" w:space="0" w:color="000000"/>
            </w:tcBorders>
          </w:tcPr>
          <w:p w14:paraId="6C5D6FB2" w14:textId="77777777" w:rsidR="009A2820" w:rsidRPr="000A149D" w:rsidRDefault="009A2820" w:rsidP="009A2820">
            <w:pPr>
              <w:spacing w:before="60" w:after="120" w:line="300" w:lineRule="auto"/>
              <w:jc w:val="right"/>
            </w:pPr>
          </w:p>
          <w:p w14:paraId="5792E14B" w14:textId="4E368F9E" w:rsidR="009A2820" w:rsidRPr="000A149D" w:rsidRDefault="002259A1" w:rsidP="009A2820">
            <w:pPr>
              <w:spacing w:before="60" w:after="120" w:line="300" w:lineRule="auto"/>
              <w:jc w:val="right"/>
            </w:pPr>
            <w:r>
              <w:t>3,000</w:t>
            </w:r>
          </w:p>
          <w:p w14:paraId="38D9EE29" w14:textId="30022FB1" w:rsidR="009A2820" w:rsidRPr="000A149D" w:rsidRDefault="00832993" w:rsidP="009A2820">
            <w:pPr>
              <w:spacing w:before="60" w:after="120" w:line="300" w:lineRule="auto"/>
              <w:jc w:val="right"/>
            </w:pPr>
            <w:r>
              <w:t>6,184</w:t>
            </w:r>
          </w:p>
          <w:p w14:paraId="1B9274A9" w14:textId="018338A2" w:rsidR="009A2820" w:rsidRPr="000A149D" w:rsidRDefault="009A2820" w:rsidP="009A2820">
            <w:pPr>
              <w:spacing w:before="60" w:after="120" w:line="300" w:lineRule="auto"/>
              <w:jc w:val="right"/>
            </w:pPr>
            <w:r w:rsidRPr="000A149D">
              <w:t>1</w:t>
            </w:r>
            <w:r w:rsidR="00832993">
              <w:t>2,020</w:t>
            </w:r>
          </w:p>
          <w:p w14:paraId="5C924219" w14:textId="2545982D" w:rsidR="009A2820" w:rsidRPr="000A149D" w:rsidRDefault="009A2820" w:rsidP="009A2820">
            <w:pPr>
              <w:spacing w:before="60" w:after="120" w:line="300" w:lineRule="auto"/>
              <w:jc w:val="right"/>
            </w:pPr>
            <w:r w:rsidRPr="000A149D">
              <w:t>1</w:t>
            </w:r>
            <w:r w:rsidR="00832993">
              <w:t>6,26</w:t>
            </w:r>
            <w:r>
              <w:t>4</w:t>
            </w:r>
          </w:p>
          <w:p w14:paraId="71FE9697" w14:textId="7D80B3D9" w:rsidR="009A2820" w:rsidRPr="000A149D" w:rsidRDefault="009A2820" w:rsidP="009A2820">
            <w:pPr>
              <w:spacing w:before="60" w:after="120" w:line="300" w:lineRule="auto"/>
              <w:jc w:val="right"/>
            </w:pPr>
            <w:r w:rsidRPr="000A149D">
              <w:t>2</w:t>
            </w:r>
            <w:r w:rsidR="00832993">
              <w:t>4,224</w:t>
            </w:r>
          </w:p>
          <w:p w14:paraId="4EE41312" w14:textId="40125B8F" w:rsidR="009A2820" w:rsidRPr="000A149D" w:rsidRDefault="007527F8" w:rsidP="009A2820">
            <w:pPr>
              <w:spacing w:before="60" w:after="120" w:line="300" w:lineRule="auto"/>
              <w:jc w:val="right"/>
            </w:pPr>
            <w:r>
              <w:t>28,468</w:t>
            </w:r>
          </w:p>
          <w:p w14:paraId="1EBC68E4" w14:textId="6DC32D6D" w:rsidR="009A2820" w:rsidRPr="000A149D" w:rsidRDefault="009A2820" w:rsidP="009A2820">
            <w:pPr>
              <w:spacing w:before="60" w:after="120" w:line="300" w:lineRule="auto"/>
              <w:jc w:val="right"/>
            </w:pPr>
            <w:r w:rsidRPr="000A149D">
              <w:t>4</w:t>
            </w:r>
            <w:r w:rsidR="00BF2D7F">
              <w:t>4,386</w:t>
            </w:r>
          </w:p>
        </w:tc>
      </w:tr>
      <w:tr w:rsidR="009A2820" w:rsidRPr="00C87BFA" w14:paraId="1F44C03B" w14:textId="77777777">
        <w:trPr>
          <w:trHeight w:hRule="exact" w:val="510"/>
        </w:trPr>
        <w:tc>
          <w:tcPr>
            <w:tcW w:w="7080" w:type="dxa"/>
            <w:tcBorders>
              <w:top w:val="single" w:sz="4" w:space="0" w:color="000000"/>
              <w:left w:val="single" w:sz="4" w:space="0" w:color="000000"/>
              <w:bottom w:val="single" w:sz="4" w:space="0" w:color="000000"/>
              <w:right w:val="single" w:sz="4" w:space="0" w:color="000000"/>
            </w:tcBorders>
            <w:tcMar>
              <w:left w:w="57" w:type="dxa"/>
            </w:tcMar>
            <w:vAlign w:val="center"/>
          </w:tcPr>
          <w:p w14:paraId="44D6D857" w14:textId="77777777" w:rsidR="009A2820" w:rsidRPr="00933361" w:rsidRDefault="009A2820" w:rsidP="009A2820">
            <w:pPr>
              <w:spacing w:before="60" w:after="120" w:line="300" w:lineRule="auto"/>
              <w:rPr>
                <w:bCs/>
              </w:rPr>
            </w:pPr>
            <w:r w:rsidRPr="00933361">
              <w:rPr>
                <w:bCs/>
              </w:rPr>
              <w:t xml:space="preserve">     </w:t>
            </w:r>
            <w:r>
              <w:rPr>
                <w:bCs/>
              </w:rPr>
              <w:t>Split Site fixed sum (per eligible additional site)</w:t>
            </w:r>
          </w:p>
        </w:tc>
        <w:tc>
          <w:tcPr>
            <w:tcW w:w="1851" w:type="dxa"/>
            <w:tcBorders>
              <w:top w:val="single" w:sz="4" w:space="0" w:color="000000"/>
              <w:left w:val="single" w:sz="4" w:space="0" w:color="000000"/>
              <w:bottom w:val="single" w:sz="4" w:space="0" w:color="000000"/>
              <w:right w:val="single" w:sz="4" w:space="0" w:color="000000"/>
            </w:tcBorders>
            <w:vAlign w:val="center"/>
          </w:tcPr>
          <w:p w14:paraId="0136681D" w14:textId="033DFB7E" w:rsidR="009A2820" w:rsidRPr="000A149D" w:rsidRDefault="009A2820" w:rsidP="009A2820">
            <w:pPr>
              <w:spacing w:before="60" w:after="120" w:line="300" w:lineRule="auto"/>
              <w:jc w:val="right"/>
            </w:pPr>
            <w:r>
              <w:t>92,199</w:t>
            </w:r>
          </w:p>
        </w:tc>
      </w:tr>
      <w:tr w:rsidR="009A2820" w:rsidRPr="00E13428" w14:paraId="40512314" w14:textId="77777777">
        <w:trPr>
          <w:trHeight w:hRule="exact" w:val="510"/>
        </w:trPr>
        <w:tc>
          <w:tcPr>
            <w:tcW w:w="7080" w:type="dxa"/>
            <w:tcBorders>
              <w:top w:val="single" w:sz="4" w:space="0" w:color="000000"/>
              <w:left w:val="single" w:sz="4" w:space="0" w:color="000000"/>
              <w:bottom w:val="single" w:sz="4" w:space="0" w:color="000000"/>
              <w:right w:val="single" w:sz="4" w:space="0" w:color="000000"/>
            </w:tcBorders>
            <w:tcMar>
              <w:left w:w="57" w:type="dxa"/>
            </w:tcMar>
            <w:vAlign w:val="center"/>
          </w:tcPr>
          <w:p w14:paraId="640600DC" w14:textId="77777777" w:rsidR="009A2820" w:rsidRPr="00933361" w:rsidRDefault="009A2820" w:rsidP="009A2820">
            <w:pPr>
              <w:spacing w:before="60" w:after="120" w:line="300" w:lineRule="auto"/>
              <w:rPr>
                <w:bCs/>
              </w:rPr>
            </w:pPr>
            <w:r>
              <w:rPr>
                <w:bCs/>
              </w:rPr>
              <w:t xml:space="preserve">     Minimum Funding Guarantee (MFG)</w:t>
            </w:r>
          </w:p>
        </w:tc>
        <w:tc>
          <w:tcPr>
            <w:tcW w:w="1851" w:type="dxa"/>
            <w:tcBorders>
              <w:top w:val="single" w:sz="4" w:space="0" w:color="000000"/>
              <w:left w:val="single" w:sz="4" w:space="0" w:color="000000"/>
              <w:bottom w:val="single" w:sz="4" w:space="0" w:color="000000"/>
              <w:right w:val="single" w:sz="4" w:space="0" w:color="000000"/>
            </w:tcBorders>
            <w:vAlign w:val="center"/>
          </w:tcPr>
          <w:p w14:paraId="555BDD99" w14:textId="77777777" w:rsidR="009A2820" w:rsidRPr="00E13428" w:rsidRDefault="009A2820" w:rsidP="009A2820">
            <w:pPr>
              <w:spacing w:before="60" w:after="120" w:line="300" w:lineRule="auto"/>
              <w:jc w:val="right"/>
              <w:rPr>
                <w:i/>
                <w:iCs/>
              </w:rPr>
            </w:pPr>
            <w:r w:rsidRPr="00E13428">
              <w:rPr>
                <w:i/>
                <w:iCs/>
              </w:rPr>
              <w:t>Varies</w:t>
            </w:r>
          </w:p>
        </w:tc>
      </w:tr>
    </w:tbl>
    <w:p w14:paraId="51E3DB34" w14:textId="77777777" w:rsidR="000F19CA" w:rsidRDefault="000F19CA">
      <w:pPr>
        <w:spacing w:after="160" w:line="259" w:lineRule="auto"/>
        <w:rPr>
          <w:b/>
          <w:bCs/>
          <w:sz w:val="40"/>
          <w:szCs w:val="40"/>
        </w:rPr>
      </w:pPr>
      <w:bookmarkStart w:id="39" w:name="OLE_LINK16"/>
      <w:r>
        <w:rPr>
          <w:sz w:val="40"/>
          <w:szCs w:val="40"/>
        </w:rPr>
        <w:br w:type="page"/>
      </w:r>
    </w:p>
    <w:p w14:paraId="7435ADBD" w14:textId="2B182387" w:rsidR="00A97BC7" w:rsidRPr="00CA0DCB" w:rsidRDefault="00A97BC7" w:rsidP="00CA0DCB">
      <w:pPr>
        <w:pStyle w:val="h1"/>
        <w:spacing w:after="120" w:line="300" w:lineRule="auto"/>
        <w:rPr>
          <w:sz w:val="40"/>
          <w:szCs w:val="40"/>
        </w:rPr>
      </w:pPr>
      <w:bookmarkStart w:id="40" w:name="_Toc157696926"/>
      <w:r w:rsidRPr="00E61268">
        <w:rPr>
          <w:sz w:val="40"/>
          <w:szCs w:val="40"/>
        </w:rPr>
        <w:lastRenderedPageBreak/>
        <w:t xml:space="preserve">Appendix 2 – MFG Example for Special </w:t>
      </w:r>
      <w:r w:rsidRPr="00CA0DCB">
        <w:rPr>
          <w:sz w:val="40"/>
          <w:szCs w:val="40"/>
        </w:rPr>
        <w:t xml:space="preserve">Schools </w:t>
      </w:r>
      <w:r w:rsidR="00E92D19">
        <w:rPr>
          <w:sz w:val="40"/>
          <w:szCs w:val="40"/>
        </w:rPr>
        <w:t>2026/27</w:t>
      </w:r>
      <w:bookmarkEnd w:id="39"/>
      <w:bookmarkEnd w:id="40"/>
    </w:p>
    <w:tbl>
      <w:tblPr>
        <w:tblpPr w:leftFromText="180" w:rightFromText="180" w:vertAnchor="text" w:horzAnchor="margin" w:tblpXSpec="center" w:tblpY="395"/>
        <w:tblW w:w="10347" w:type="dxa"/>
        <w:tblLayout w:type="fixed"/>
        <w:tblLook w:val="0000" w:firstRow="0" w:lastRow="0" w:firstColumn="0" w:lastColumn="0" w:noHBand="0" w:noVBand="0"/>
      </w:tblPr>
      <w:tblGrid>
        <w:gridCol w:w="8217"/>
        <w:gridCol w:w="709"/>
        <w:gridCol w:w="1421"/>
      </w:tblGrid>
      <w:tr w:rsidR="00A97BC7" w:rsidRPr="00495044" w14:paraId="7D2B55F5" w14:textId="77777777" w:rsidTr="009D363E">
        <w:trPr>
          <w:trHeight w:val="268"/>
        </w:trPr>
        <w:tc>
          <w:tcPr>
            <w:tcW w:w="8217" w:type="dxa"/>
            <w:tcBorders>
              <w:top w:val="single" w:sz="4" w:space="0" w:color="auto"/>
              <w:left w:val="single" w:sz="4" w:space="0" w:color="auto"/>
              <w:bottom w:val="nil"/>
              <w:right w:val="nil"/>
            </w:tcBorders>
            <w:vAlign w:val="center"/>
          </w:tcPr>
          <w:p w14:paraId="4A5732FB" w14:textId="77777777" w:rsidR="00A97BC7" w:rsidRPr="00DF52E7" w:rsidRDefault="00A97BC7" w:rsidP="00DF52E7"/>
        </w:tc>
        <w:tc>
          <w:tcPr>
            <w:tcW w:w="709" w:type="dxa"/>
            <w:tcBorders>
              <w:top w:val="single" w:sz="4" w:space="0" w:color="auto"/>
              <w:left w:val="nil"/>
              <w:bottom w:val="nil"/>
              <w:right w:val="nil"/>
            </w:tcBorders>
            <w:vAlign w:val="center"/>
          </w:tcPr>
          <w:p w14:paraId="0E4BA2D3" w14:textId="77777777" w:rsidR="00A97BC7" w:rsidRPr="00DF52E7" w:rsidRDefault="00A97BC7" w:rsidP="00DF52E7">
            <w:r w:rsidRPr="00DF52E7">
              <w:t> </w:t>
            </w:r>
          </w:p>
        </w:tc>
        <w:tc>
          <w:tcPr>
            <w:tcW w:w="1421" w:type="dxa"/>
            <w:tcBorders>
              <w:top w:val="single" w:sz="4" w:space="0" w:color="auto"/>
              <w:left w:val="nil"/>
              <w:bottom w:val="nil"/>
              <w:right w:val="single" w:sz="4" w:space="0" w:color="auto"/>
            </w:tcBorders>
            <w:noWrap/>
            <w:vAlign w:val="center"/>
          </w:tcPr>
          <w:p w14:paraId="06B231C0" w14:textId="77777777" w:rsidR="00A97BC7" w:rsidRPr="00DF52E7" w:rsidRDefault="00A97BC7" w:rsidP="00DF52E7">
            <w:r w:rsidRPr="00DF52E7">
              <w:t> </w:t>
            </w:r>
          </w:p>
        </w:tc>
      </w:tr>
      <w:tr w:rsidR="00A97BC7" w:rsidRPr="00495044" w14:paraId="7E1ABC87" w14:textId="77777777" w:rsidTr="009D363E">
        <w:trPr>
          <w:trHeight w:val="263"/>
        </w:trPr>
        <w:tc>
          <w:tcPr>
            <w:tcW w:w="8217" w:type="dxa"/>
            <w:tcBorders>
              <w:top w:val="nil"/>
              <w:left w:val="single" w:sz="4" w:space="0" w:color="auto"/>
              <w:bottom w:val="nil"/>
              <w:right w:val="nil"/>
            </w:tcBorders>
            <w:noWrap/>
            <w:vAlign w:val="center"/>
          </w:tcPr>
          <w:p w14:paraId="028D9596" w14:textId="77777777" w:rsidR="00A97BC7" w:rsidRPr="00DF52E7" w:rsidRDefault="00A97BC7" w:rsidP="00E61268">
            <w:pPr>
              <w:spacing w:before="240" w:after="120" w:line="300" w:lineRule="auto"/>
              <w:rPr>
                <w:b/>
              </w:rPr>
            </w:pPr>
            <w:r w:rsidRPr="00DF52E7">
              <w:rPr>
                <w:b/>
              </w:rPr>
              <w:t>A. To calculate protected baseline funding amount:</w:t>
            </w:r>
          </w:p>
        </w:tc>
        <w:tc>
          <w:tcPr>
            <w:tcW w:w="709" w:type="dxa"/>
            <w:tcBorders>
              <w:top w:val="nil"/>
              <w:left w:val="nil"/>
              <w:bottom w:val="nil"/>
              <w:right w:val="nil"/>
            </w:tcBorders>
            <w:noWrap/>
            <w:vAlign w:val="center"/>
          </w:tcPr>
          <w:p w14:paraId="0CB05F75" w14:textId="77777777" w:rsidR="00A97BC7" w:rsidRPr="00DF52E7" w:rsidRDefault="00A97BC7" w:rsidP="00E61268">
            <w:pPr>
              <w:spacing w:after="120" w:line="300" w:lineRule="auto"/>
              <w:jc w:val="center"/>
              <w:rPr>
                <w:b/>
              </w:rPr>
            </w:pPr>
          </w:p>
        </w:tc>
        <w:tc>
          <w:tcPr>
            <w:tcW w:w="1421" w:type="dxa"/>
            <w:tcBorders>
              <w:top w:val="nil"/>
              <w:left w:val="nil"/>
              <w:bottom w:val="nil"/>
              <w:right w:val="single" w:sz="4" w:space="0" w:color="auto"/>
            </w:tcBorders>
            <w:noWrap/>
            <w:vAlign w:val="center"/>
          </w:tcPr>
          <w:p w14:paraId="654AB550" w14:textId="77777777" w:rsidR="00A97BC7" w:rsidRPr="00DF52E7" w:rsidRDefault="00A97BC7" w:rsidP="00E61268">
            <w:pPr>
              <w:spacing w:after="120" w:line="300" w:lineRule="auto"/>
              <w:jc w:val="center"/>
              <w:rPr>
                <w:b/>
              </w:rPr>
            </w:pPr>
            <w:r w:rsidRPr="00DF52E7">
              <w:rPr>
                <w:b/>
              </w:rPr>
              <w:t>£</w:t>
            </w:r>
          </w:p>
        </w:tc>
      </w:tr>
      <w:tr w:rsidR="00A97BC7" w:rsidRPr="00495044" w14:paraId="6DE0BAB3" w14:textId="77777777" w:rsidTr="009D363E">
        <w:trPr>
          <w:trHeight w:val="263"/>
        </w:trPr>
        <w:tc>
          <w:tcPr>
            <w:tcW w:w="8217" w:type="dxa"/>
            <w:tcBorders>
              <w:top w:val="nil"/>
              <w:left w:val="single" w:sz="4" w:space="0" w:color="auto"/>
              <w:bottom w:val="nil"/>
              <w:right w:val="nil"/>
            </w:tcBorders>
            <w:noWrap/>
            <w:vAlign w:val="center"/>
          </w:tcPr>
          <w:p w14:paraId="0CA33E44" w14:textId="137E57E9" w:rsidR="00A97BC7" w:rsidRPr="00DF52E7" w:rsidRDefault="00A97BC7" w:rsidP="00E61268">
            <w:pPr>
              <w:spacing w:after="120" w:line="300" w:lineRule="auto"/>
            </w:pPr>
            <w:r w:rsidRPr="00DF52E7">
              <w:t xml:space="preserve">Total place and top-up funding calculated </w:t>
            </w:r>
            <w:proofErr w:type="gramStart"/>
            <w:r w:rsidRPr="00DF52E7">
              <w:t>on the basis of</w:t>
            </w:r>
            <w:proofErr w:type="gramEnd"/>
            <w:r w:rsidRPr="00DF52E7">
              <w:t xml:space="preserve"> </w:t>
            </w:r>
            <w:r w:rsidR="0080229E">
              <w:t>2025/26</w:t>
            </w:r>
            <w:r w:rsidRPr="00DF52E7">
              <w:t xml:space="preserve"> agreed place numbers and autumn term 202</w:t>
            </w:r>
            <w:r w:rsidR="000A225D">
              <w:t>5</w:t>
            </w:r>
            <w:r w:rsidRPr="00DF52E7">
              <w:t xml:space="preserve"> pupil numbers and characteristics (</w:t>
            </w:r>
            <w:r w:rsidRPr="00DF52E7">
              <w:rPr>
                <w:i/>
                <w:iCs/>
              </w:rPr>
              <w:t>including</w:t>
            </w:r>
            <w:r w:rsidRPr="00DF52E7">
              <w:t xml:space="preserve"> </w:t>
            </w:r>
            <w:r w:rsidR="0080229E">
              <w:t>2025/26</w:t>
            </w:r>
            <w:r w:rsidRPr="00DF52E7">
              <w:t xml:space="preserve"> MFG) and </w:t>
            </w:r>
            <w:r w:rsidR="0080229E">
              <w:t>2025/26</w:t>
            </w:r>
            <w:r w:rsidRPr="00DF52E7">
              <w:t xml:space="preserve"> unit values</w:t>
            </w:r>
          </w:p>
        </w:tc>
        <w:tc>
          <w:tcPr>
            <w:tcW w:w="709" w:type="dxa"/>
            <w:tcBorders>
              <w:top w:val="nil"/>
              <w:left w:val="nil"/>
              <w:bottom w:val="nil"/>
              <w:right w:val="nil"/>
            </w:tcBorders>
            <w:noWrap/>
            <w:vAlign w:val="center"/>
          </w:tcPr>
          <w:p w14:paraId="6D985F76" w14:textId="77777777" w:rsidR="00A97BC7" w:rsidRPr="00DF52E7" w:rsidRDefault="00A97BC7" w:rsidP="00E61268">
            <w:pPr>
              <w:spacing w:after="120" w:line="300" w:lineRule="auto"/>
              <w:jc w:val="right"/>
            </w:pPr>
          </w:p>
        </w:tc>
        <w:tc>
          <w:tcPr>
            <w:tcW w:w="1421" w:type="dxa"/>
            <w:tcBorders>
              <w:top w:val="nil"/>
              <w:left w:val="nil"/>
              <w:bottom w:val="nil"/>
              <w:right w:val="single" w:sz="4" w:space="0" w:color="auto"/>
            </w:tcBorders>
            <w:vAlign w:val="center"/>
          </w:tcPr>
          <w:p w14:paraId="09932AE1" w14:textId="77777777" w:rsidR="00A97BC7" w:rsidRPr="00DF52E7" w:rsidRDefault="00A97BC7" w:rsidP="00E61268">
            <w:pPr>
              <w:spacing w:after="120" w:line="300" w:lineRule="auto"/>
              <w:jc w:val="right"/>
              <w:rPr>
                <w:bCs/>
              </w:rPr>
            </w:pPr>
            <w:r w:rsidRPr="00DF52E7">
              <w:rPr>
                <w:bCs/>
              </w:rPr>
              <w:t>3,090,000</w:t>
            </w:r>
          </w:p>
        </w:tc>
      </w:tr>
      <w:tr w:rsidR="00A97BC7" w:rsidRPr="00495044" w14:paraId="2A771BCD" w14:textId="77777777" w:rsidTr="009D363E">
        <w:trPr>
          <w:trHeight w:val="432"/>
        </w:trPr>
        <w:tc>
          <w:tcPr>
            <w:tcW w:w="8217" w:type="dxa"/>
            <w:tcBorders>
              <w:top w:val="nil"/>
              <w:left w:val="single" w:sz="4" w:space="0" w:color="auto"/>
              <w:bottom w:val="nil"/>
              <w:right w:val="nil"/>
            </w:tcBorders>
            <w:vAlign w:val="center"/>
          </w:tcPr>
          <w:p w14:paraId="6167515F" w14:textId="77777777" w:rsidR="00A97BC7" w:rsidRPr="00DF52E7" w:rsidRDefault="00A97BC7" w:rsidP="00DF52E7">
            <w:pPr>
              <w:rPr>
                <w:i/>
              </w:rPr>
            </w:pPr>
          </w:p>
        </w:tc>
        <w:tc>
          <w:tcPr>
            <w:tcW w:w="709" w:type="dxa"/>
            <w:tcBorders>
              <w:top w:val="nil"/>
              <w:left w:val="nil"/>
              <w:bottom w:val="nil"/>
              <w:right w:val="nil"/>
            </w:tcBorders>
            <w:noWrap/>
            <w:vAlign w:val="center"/>
          </w:tcPr>
          <w:p w14:paraId="53A99C87" w14:textId="77777777" w:rsidR="00A97BC7" w:rsidRPr="00DF52E7" w:rsidRDefault="00A97BC7" w:rsidP="00DF52E7">
            <w:pPr>
              <w:jc w:val="right"/>
            </w:pPr>
          </w:p>
        </w:tc>
        <w:tc>
          <w:tcPr>
            <w:tcW w:w="1421" w:type="dxa"/>
            <w:tcBorders>
              <w:top w:val="nil"/>
              <w:left w:val="nil"/>
              <w:bottom w:val="single" w:sz="4" w:space="0" w:color="auto"/>
              <w:right w:val="single" w:sz="4" w:space="0" w:color="auto"/>
            </w:tcBorders>
            <w:noWrap/>
            <w:vAlign w:val="center"/>
          </w:tcPr>
          <w:p w14:paraId="2CE6B9EA" w14:textId="77777777" w:rsidR="00A97BC7" w:rsidRPr="00DF52E7" w:rsidRDefault="00A97BC7" w:rsidP="00DF52E7">
            <w:pPr>
              <w:jc w:val="right"/>
            </w:pPr>
          </w:p>
        </w:tc>
      </w:tr>
      <w:tr w:rsidR="00A97BC7" w:rsidRPr="00495044" w14:paraId="13182FEF" w14:textId="77777777" w:rsidTr="009D363E">
        <w:trPr>
          <w:trHeight w:val="428"/>
        </w:trPr>
        <w:tc>
          <w:tcPr>
            <w:tcW w:w="8217" w:type="dxa"/>
            <w:tcBorders>
              <w:top w:val="nil"/>
              <w:left w:val="single" w:sz="4" w:space="0" w:color="auto"/>
              <w:bottom w:val="nil"/>
              <w:right w:val="nil"/>
            </w:tcBorders>
            <w:vAlign w:val="center"/>
          </w:tcPr>
          <w:p w14:paraId="3672607D" w14:textId="35E4EDAD" w:rsidR="00A97BC7" w:rsidRPr="00DF52E7" w:rsidRDefault="0080229E" w:rsidP="009D363E">
            <w:pPr>
              <w:numPr>
                <w:ilvl w:val="0"/>
                <w:numId w:val="4"/>
              </w:numPr>
              <w:spacing w:before="60" w:after="60" w:line="300" w:lineRule="auto"/>
              <w:ind w:left="873"/>
            </w:pPr>
            <w:r>
              <w:t>2025/26</w:t>
            </w:r>
            <w:r w:rsidR="00A97BC7" w:rsidRPr="00DF52E7">
              <w:t xml:space="preserve"> baseline funding (multiplied by 100%) – protected amount</w:t>
            </w:r>
          </w:p>
        </w:tc>
        <w:tc>
          <w:tcPr>
            <w:tcW w:w="709" w:type="dxa"/>
            <w:tcBorders>
              <w:top w:val="nil"/>
              <w:left w:val="nil"/>
              <w:bottom w:val="nil"/>
              <w:right w:val="nil"/>
            </w:tcBorders>
            <w:vAlign w:val="center"/>
          </w:tcPr>
          <w:p w14:paraId="5CEC6D28" w14:textId="77777777" w:rsidR="00A97BC7" w:rsidRPr="00DF52E7" w:rsidRDefault="00A97BC7" w:rsidP="009D363E">
            <w:pPr>
              <w:spacing w:before="60" w:after="60" w:line="300" w:lineRule="auto"/>
              <w:jc w:val="right"/>
            </w:pPr>
          </w:p>
        </w:tc>
        <w:tc>
          <w:tcPr>
            <w:tcW w:w="1421" w:type="dxa"/>
            <w:tcBorders>
              <w:top w:val="single" w:sz="4" w:space="0" w:color="auto"/>
              <w:left w:val="nil"/>
              <w:bottom w:val="single" w:sz="4" w:space="0" w:color="auto"/>
              <w:right w:val="single" w:sz="4" w:space="0" w:color="auto"/>
            </w:tcBorders>
            <w:noWrap/>
            <w:vAlign w:val="center"/>
          </w:tcPr>
          <w:p w14:paraId="752477E3" w14:textId="77777777" w:rsidR="00A97BC7" w:rsidRPr="00DF52E7" w:rsidRDefault="00A97BC7" w:rsidP="009D363E">
            <w:pPr>
              <w:spacing w:before="60" w:after="60" w:line="300" w:lineRule="auto"/>
              <w:jc w:val="right"/>
              <w:rPr>
                <w:b/>
              </w:rPr>
            </w:pPr>
            <w:r w:rsidRPr="00DF52E7">
              <w:rPr>
                <w:b/>
              </w:rPr>
              <w:t>3,090,000</w:t>
            </w:r>
          </w:p>
        </w:tc>
      </w:tr>
      <w:tr w:rsidR="00A97BC7" w:rsidRPr="00495044" w14:paraId="5EF9BB04" w14:textId="77777777" w:rsidTr="009D363E">
        <w:trPr>
          <w:trHeight w:val="325"/>
        </w:trPr>
        <w:tc>
          <w:tcPr>
            <w:tcW w:w="8217" w:type="dxa"/>
            <w:tcBorders>
              <w:top w:val="nil"/>
              <w:left w:val="single" w:sz="4" w:space="0" w:color="auto"/>
              <w:bottom w:val="single" w:sz="4" w:space="0" w:color="auto"/>
              <w:right w:val="nil"/>
            </w:tcBorders>
            <w:vAlign w:val="center"/>
          </w:tcPr>
          <w:p w14:paraId="21F3B007" w14:textId="77777777" w:rsidR="00A97BC7" w:rsidRPr="00DF52E7" w:rsidRDefault="00A97BC7" w:rsidP="00DF52E7"/>
        </w:tc>
        <w:tc>
          <w:tcPr>
            <w:tcW w:w="709" w:type="dxa"/>
            <w:tcBorders>
              <w:top w:val="nil"/>
              <w:left w:val="nil"/>
              <w:bottom w:val="single" w:sz="4" w:space="0" w:color="auto"/>
              <w:right w:val="nil"/>
            </w:tcBorders>
            <w:vAlign w:val="center"/>
          </w:tcPr>
          <w:p w14:paraId="1CB4CBF8" w14:textId="77777777" w:rsidR="00A97BC7" w:rsidRPr="00DF52E7" w:rsidRDefault="00A97BC7" w:rsidP="00DF52E7"/>
        </w:tc>
        <w:tc>
          <w:tcPr>
            <w:tcW w:w="1421" w:type="dxa"/>
            <w:tcBorders>
              <w:top w:val="single" w:sz="4" w:space="0" w:color="auto"/>
              <w:left w:val="nil"/>
              <w:bottom w:val="single" w:sz="4" w:space="0" w:color="auto"/>
              <w:right w:val="single" w:sz="4" w:space="0" w:color="auto"/>
            </w:tcBorders>
            <w:vAlign w:val="center"/>
          </w:tcPr>
          <w:p w14:paraId="5F01B140" w14:textId="77777777" w:rsidR="00A97BC7" w:rsidRPr="00DF52E7" w:rsidRDefault="00A97BC7" w:rsidP="00DF52E7">
            <w:pPr>
              <w:jc w:val="center"/>
            </w:pPr>
          </w:p>
        </w:tc>
      </w:tr>
      <w:tr w:rsidR="00A97BC7" w:rsidRPr="00495044" w14:paraId="0C51425A" w14:textId="77777777" w:rsidTr="009D363E">
        <w:trPr>
          <w:trHeight w:val="325"/>
        </w:trPr>
        <w:tc>
          <w:tcPr>
            <w:tcW w:w="8217" w:type="dxa"/>
            <w:tcBorders>
              <w:top w:val="single" w:sz="4" w:space="0" w:color="auto"/>
              <w:left w:val="single" w:sz="4" w:space="0" w:color="auto"/>
              <w:right w:val="nil"/>
            </w:tcBorders>
            <w:vAlign w:val="center"/>
          </w:tcPr>
          <w:p w14:paraId="2D886F55" w14:textId="77777777" w:rsidR="00A97BC7" w:rsidRPr="00DF52E7" w:rsidRDefault="00A97BC7" w:rsidP="00DF52E7">
            <w:pPr>
              <w:rPr>
                <w:bCs/>
              </w:rPr>
            </w:pPr>
          </w:p>
        </w:tc>
        <w:tc>
          <w:tcPr>
            <w:tcW w:w="709" w:type="dxa"/>
            <w:tcBorders>
              <w:top w:val="single" w:sz="4" w:space="0" w:color="auto"/>
              <w:left w:val="nil"/>
              <w:right w:val="nil"/>
            </w:tcBorders>
            <w:vAlign w:val="center"/>
          </w:tcPr>
          <w:p w14:paraId="6623D26A" w14:textId="77777777" w:rsidR="00A97BC7" w:rsidRPr="00DF52E7" w:rsidRDefault="00A97BC7" w:rsidP="00DF52E7">
            <w:pPr>
              <w:rPr>
                <w:bCs/>
              </w:rPr>
            </w:pPr>
          </w:p>
        </w:tc>
        <w:tc>
          <w:tcPr>
            <w:tcW w:w="1421" w:type="dxa"/>
            <w:tcBorders>
              <w:top w:val="single" w:sz="4" w:space="0" w:color="auto"/>
              <w:left w:val="nil"/>
              <w:right w:val="single" w:sz="4" w:space="0" w:color="auto"/>
            </w:tcBorders>
            <w:vAlign w:val="center"/>
          </w:tcPr>
          <w:p w14:paraId="074C11BD" w14:textId="77777777" w:rsidR="00A97BC7" w:rsidRPr="00DF52E7" w:rsidRDefault="00A97BC7" w:rsidP="00DF52E7">
            <w:pPr>
              <w:jc w:val="center"/>
              <w:rPr>
                <w:bCs/>
              </w:rPr>
            </w:pPr>
          </w:p>
        </w:tc>
      </w:tr>
      <w:tr w:rsidR="00A97BC7" w:rsidRPr="00495044" w14:paraId="73F70E90" w14:textId="77777777" w:rsidTr="009D363E">
        <w:trPr>
          <w:trHeight w:val="412"/>
        </w:trPr>
        <w:tc>
          <w:tcPr>
            <w:tcW w:w="8217" w:type="dxa"/>
            <w:tcBorders>
              <w:left w:val="single" w:sz="4" w:space="0" w:color="auto"/>
              <w:bottom w:val="nil"/>
              <w:right w:val="nil"/>
            </w:tcBorders>
            <w:vAlign w:val="center"/>
          </w:tcPr>
          <w:p w14:paraId="3C498229" w14:textId="771E9578" w:rsidR="00A97BC7" w:rsidRPr="00DF52E7" w:rsidRDefault="00A97BC7" w:rsidP="00E61268">
            <w:pPr>
              <w:spacing w:after="120" w:line="300" w:lineRule="auto"/>
              <w:rPr>
                <w:b/>
              </w:rPr>
            </w:pPr>
            <w:r w:rsidRPr="00DF52E7">
              <w:rPr>
                <w:b/>
              </w:rPr>
              <w:t xml:space="preserve">B. </w:t>
            </w:r>
            <w:bookmarkStart w:id="41" w:name="OLE_LINK19"/>
            <w:r w:rsidRPr="00DF52E7">
              <w:rPr>
                <w:b/>
              </w:rPr>
              <w:t xml:space="preserve">To calculate </w:t>
            </w:r>
            <w:r w:rsidR="00E92D19">
              <w:rPr>
                <w:b/>
              </w:rPr>
              <w:t>2026/27</w:t>
            </w:r>
            <w:r w:rsidRPr="00DF52E7">
              <w:rPr>
                <w:b/>
              </w:rPr>
              <w:t xml:space="preserve"> comparison funding</w:t>
            </w:r>
            <w:bookmarkEnd w:id="41"/>
            <w:r w:rsidRPr="00DF52E7">
              <w:rPr>
                <w:b/>
              </w:rPr>
              <w:t>:</w:t>
            </w:r>
          </w:p>
        </w:tc>
        <w:tc>
          <w:tcPr>
            <w:tcW w:w="709" w:type="dxa"/>
            <w:tcBorders>
              <w:left w:val="nil"/>
              <w:bottom w:val="nil"/>
              <w:right w:val="nil"/>
            </w:tcBorders>
            <w:vAlign w:val="center"/>
          </w:tcPr>
          <w:p w14:paraId="6B132C71" w14:textId="77777777" w:rsidR="00A97BC7" w:rsidRPr="00DF52E7" w:rsidRDefault="00A97BC7" w:rsidP="00E61268">
            <w:pPr>
              <w:spacing w:after="120" w:line="300" w:lineRule="auto"/>
            </w:pPr>
          </w:p>
        </w:tc>
        <w:tc>
          <w:tcPr>
            <w:tcW w:w="1421" w:type="dxa"/>
            <w:tcBorders>
              <w:left w:val="nil"/>
              <w:bottom w:val="nil"/>
              <w:right w:val="single" w:sz="4" w:space="0" w:color="auto"/>
            </w:tcBorders>
            <w:vAlign w:val="center"/>
          </w:tcPr>
          <w:p w14:paraId="599CEB2D" w14:textId="77777777" w:rsidR="00A97BC7" w:rsidRPr="00DF52E7" w:rsidRDefault="00A97BC7" w:rsidP="00E61268">
            <w:pPr>
              <w:spacing w:after="120" w:line="300" w:lineRule="auto"/>
              <w:jc w:val="center"/>
            </w:pPr>
          </w:p>
        </w:tc>
      </w:tr>
      <w:tr w:rsidR="00A97BC7" w:rsidRPr="00495044" w14:paraId="18FBBBF2" w14:textId="77777777" w:rsidTr="009D363E">
        <w:trPr>
          <w:trHeight w:val="263"/>
        </w:trPr>
        <w:tc>
          <w:tcPr>
            <w:tcW w:w="8217" w:type="dxa"/>
            <w:tcBorders>
              <w:top w:val="nil"/>
              <w:left w:val="single" w:sz="4" w:space="0" w:color="auto"/>
              <w:bottom w:val="nil"/>
              <w:right w:val="nil"/>
            </w:tcBorders>
            <w:vAlign w:val="center"/>
          </w:tcPr>
          <w:p w14:paraId="67F695C2" w14:textId="193FDF7D" w:rsidR="00A97BC7" w:rsidRPr="00DF52E7" w:rsidRDefault="00A97BC7" w:rsidP="00E61268">
            <w:pPr>
              <w:spacing w:after="120" w:line="300" w:lineRule="auto"/>
            </w:pPr>
            <w:r w:rsidRPr="00DF52E7">
              <w:t xml:space="preserve">Total place and top-up funding calculated </w:t>
            </w:r>
            <w:proofErr w:type="gramStart"/>
            <w:r w:rsidRPr="00DF52E7">
              <w:t>on the basis of</w:t>
            </w:r>
            <w:proofErr w:type="gramEnd"/>
            <w:r w:rsidRPr="00DF52E7">
              <w:t xml:space="preserve"> </w:t>
            </w:r>
            <w:r w:rsidR="0080229E">
              <w:t>2025/26</w:t>
            </w:r>
            <w:r w:rsidRPr="00DF52E7">
              <w:t xml:space="preserve"> agreed place numbers and autumn term 202</w:t>
            </w:r>
            <w:r w:rsidR="00601B8E">
              <w:t>5</w:t>
            </w:r>
            <w:r w:rsidRPr="00DF52E7">
              <w:t xml:space="preserve"> pupil numbers and characteristics (</w:t>
            </w:r>
            <w:r w:rsidRPr="00DF52E7">
              <w:rPr>
                <w:i/>
                <w:iCs/>
              </w:rPr>
              <w:t>not counting</w:t>
            </w:r>
            <w:r w:rsidRPr="00DF52E7">
              <w:t xml:space="preserve"> </w:t>
            </w:r>
            <w:r w:rsidR="0080229E">
              <w:t>2025/26</w:t>
            </w:r>
            <w:r w:rsidRPr="00DF52E7">
              <w:t xml:space="preserve"> MFG) and </w:t>
            </w:r>
            <w:r w:rsidR="00E92D19">
              <w:t>2026/27</w:t>
            </w:r>
            <w:r w:rsidRPr="00DF52E7">
              <w:t xml:space="preserve"> unit values</w:t>
            </w:r>
          </w:p>
        </w:tc>
        <w:tc>
          <w:tcPr>
            <w:tcW w:w="709" w:type="dxa"/>
            <w:tcBorders>
              <w:top w:val="nil"/>
              <w:left w:val="nil"/>
              <w:bottom w:val="nil"/>
              <w:right w:val="nil"/>
            </w:tcBorders>
            <w:vAlign w:val="center"/>
          </w:tcPr>
          <w:p w14:paraId="79DC1F98" w14:textId="77777777" w:rsidR="00A97BC7" w:rsidRPr="00DF52E7" w:rsidRDefault="00A97BC7" w:rsidP="00E61268">
            <w:pPr>
              <w:spacing w:after="120" w:line="300" w:lineRule="auto"/>
              <w:jc w:val="right"/>
            </w:pPr>
          </w:p>
        </w:tc>
        <w:tc>
          <w:tcPr>
            <w:tcW w:w="1421" w:type="dxa"/>
            <w:tcBorders>
              <w:top w:val="nil"/>
              <w:left w:val="nil"/>
              <w:bottom w:val="nil"/>
              <w:right w:val="single" w:sz="4" w:space="0" w:color="auto"/>
            </w:tcBorders>
            <w:vAlign w:val="center"/>
          </w:tcPr>
          <w:p w14:paraId="0CB50E8C" w14:textId="77777777" w:rsidR="00A97BC7" w:rsidRPr="00DF52E7" w:rsidRDefault="00A97BC7" w:rsidP="00E61268">
            <w:pPr>
              <w:spacing w:after="120" w:line="300" w:lineRule="auto"/>
              <w:jc w:val="right"/>
            </w:pPr>
            <w:r w:rsidRPr="00DF52E7">
              <w:t>3,050,000</w:t>
            </w:r>
          </w:p>
        </w:tc>
      </w:tr>
      <w:tr w:rsidR="00A97BC7" w:rsidRPr="00495044" w14:paraId="313FF995" w14:textId="77777777" w:rsidTr="009D363E">
        <w:trPr>
          <w:trHeight w:val="395"/>
        </w:trPr>
        <w:tc>
          <w:tcPr>
            <w:tcW w:w="8217" w:type="dxa"/>
            <w:tcBorders>
              <w:top w:val="nil"/>
              <w:left w:val="single" w:sz="4" w:space="0" w:color="auto"/>
              <w:bottom w:val="nil"/>
              <w:right w:val="nil"/>
            </w:tcBorders>
            <w:vAlign w:val="center"/>
          </w:tcPr>
          <w:p w14:paraId="0C65F767" w14:textId="77777777" w:rsidR="00A97BC7" w:rsidRPr="00DF52E7" w:rsidRDefault="00A97BC7" w:rsidP="00DF52E7">
            <w:pPr>
              <w:jc w:val="right"/>
            </w:pPr>
            <w:r w:rsidRPr="00DF52E7">
              <w:t> </w:t>
            </w:r>
          </w:p>
        </w:tc>
        <w:tc>
          <w:tcPr>
            <w:tcW w:w="709" w:type="dxa"/>
            <w:tcBorders>
              <w:top w:val="nil"/>
              <w:left w:val="nil"/>
              <w:bottom w:val="nil"/>
              <w:right w:val="nil"/>
            </w:tcBorders>
            <w:vAlign w:val="center"/>
          </w:tcPr>
          <w:p w14:paraId="3ED0DEA5" w14:textId="77777777" w:rsidR="00A97BC7" w:rsidRPr="00DF52E7" w:rsidRDefault="00A97BC7" w:rsidP="00DF52E7">
            <w:pPr>
              <w:jc w:val="right"/>
            </w:pPr>
          </w:p>
        </w:tc>
        <w:tc>
          <w:tcPr>
            <w:tcW w:w="1421" w:type="dxa"/>
            <w:tcBorders>
              <w:top w:val="nil"/>
              <w:left w:val="nil"/>
              <w:bottom w:val="nil"/>
              <w:right w:val="single" w:sz="4" w:space="0" w:color="auto"/>
            </w:tcBorders>
            <w:vAlign w:val="center"/>
          </w:tcPr>
          <w:p w14:paraId="6DFA2A91" w14:textId="77777777" w:rsidR="00A97BC7" w:rsidRPr="00DF52E7" w:rsidRDefault="00A97BC7" w:rsidP="00DF52E7">
            <w:pPr>
              <w:jc w:val="right"/>
            </w:pPr>
          </w:p>
        </w:tc>
      </w:tr>
      <w:tr w:rsidR="00A97BC7" w:rsidRPr="00495044" w14:paraId="189D551A" w14:textId="77777777" w:rsidTr="009D363E">
        <w:trPr>
          <w:trHeight w:val="401"/>
        </w:trPr>
        <w:tc>
          <w:tcPr>
            <w:tcW w:w="8217" w:type="dxa"/>
            <w:tcBorders>
              <w:top w:val="nil"/>
              <w:left w:val="single" w:sz="4" w:space="0" w:color="auto"/>
              <w:bottom w:val="nil"/>
              <w:right w:val="nil"/>
            </w:tcBorders>
            <w:vAlign w:val="center"/>
          </w:tcPr>
          <w:p w14:paraId="7E569B2C" w14:textId="40715683" w:rsidR="00A97BC7" w:rsidRPr="00DF52E7" w:rsidRDefault="00E92D19" w:rsidP="009D363E">
            <w:pPr>
              <w:numPr>
                <w:ilvl w:val="0"/>
                <w:numId w:val="4"/>
              </w:numPr>
              <w:spacing w:before="60" w:after="60" w:line="300" w:lineRule="auto"/>
              <w:ind w:left="873"/>
            </w:pPr>
            <w:r>
              <w:t>2026/27</w:t>
            </w:r>
            <w:r w:rsidR="00A97BC7" w:rsidRPr="00DF52E7">
              <w:t xml:space="preserve"> comparison funding</w:t>
            </w:r>
          </w:p>
        </w:tc>
        <w:tc>
          <w:tcPr>
            <w:tcW w:w="709" w:type="dxa"/>
            <w:tcBorders>
              <w:top w:val="nil"/>
              <w:left w:val="nil"/>
              <w:bottom w:val="nil"/>
              <w:right w:val="nil"/>
            </w:tcBorders>
            <w:vAlign w:val="center"/>
          </w:tcPr>
          <w:p w14:paraId="5B8BE337" w14:textId="77777777" w:rsidR="00A97BC7" w:rsidRPr="00DF52E7" w:rsidRDefault="00A97BC7" w:rsidP="009D363E">
            <w:pPr>
              <w:spacing w:before="60" w:after="60" w:line="300" w:lineRule="auto"/>
              <w:jc w:val="right"/>
            </w:pPr>
          </w:p>
        </w:tc>
        <w:tc>
          <w:tcPr>
            <w:tcW w:w="1421" w:type="dxa"/>
            <w:tcBorders>
              <w:top w:val="single" w:sz="4" w:space="0" w:color="auto"/>
              <w:left w:val="nil"/>
              <w:bottom w:val="single" w:sz="4" w:space="0" w:color="auto"/>
              <w:right w:val="single" w:sz="4" w:space="0" w:color="auto"/>
            </w:tcBorders>
            <w:vAlign w:val="center"/>
          </w:tcPr>
          <w:p w14:paraId="2098951E" w14:textId="77777777" w:rsidR="00A97BC7" w:rsidRPr="00DF52E7" w:rsidRDefault="00A97BC7" w:rsidP="009D363E">
            <w:pPr>
              <w:spacing w:before="60" w:after="60" w:line="300" w:lineRule="auto"/>
              <w:jc w:val="right"/>
              <w:rPr>
                <w:b/>
                <w:bCs/>
              </w:rPr>
            </w:pPr>
            <w:r w:rsidRPr="00DF52E7">
              <w:rPr>
                <w:b/>
                <w:bCs/>
              </w:rPr>
              <w:t>3,050,000</w:t>
            </w:r>
          </w:p>
        </w:tc>
      </w:tr>
      <w:tr w:rsidR="00A97BC7" w:rsidRPr="00495044" w14:paraId="39C4598F" w14:textId="77777777" w:rsidTr="009D363E">
        <w:trPr>
          <w:trHeight w:val="333"/>
        </w:trPr>
        <w:tc>
          <w:tcPr>
            <w:tcW w:w="8217" w:type="dxa"/>
            <w:tcBorders>
              <w:top w:val="nil"/>
              <w:left w:val="single" w:sz="4" w:space="0" w:color="auto"/>
              <w:bottom w:val="single" w:sz="4" w:space="0" w:color="auto"/>
              <w:right w:val="nil"/>
            </w:tcBorders>
            <w:vAlign w:val="center"/>
          </w:tcPr>
          <w:p w14:paraId="66D67892" w14:textId="77777777" w:rsidR="00A97BC7" w:rsidRPr="00DF52E7" w:rsidRDefault="00A97BC7" w:rsidP="00DF52E7">
            <w:r w:rsidRPr="00DF52E7">
              <w:t> </w:t>
            </w:r>
          </w:p>
        </w:tc>
        <w:tc>
          <w:tcPr>
            <w:tcW w:w="709" w:type="dxa"/>
            <w:tcBorders>
              <w:top w:val="nil"/>
              <w:left w:val="nil"/>
              <w:bottom w:val="single" w:sz="4" w:space="0" w:color="auto"/>
              <w:right w:val="nil"/>
            </w:tcBorders>
            <w:vAlign w:val="center"/>
          </w:tcPr>
          <w:p w14:paraId="4CDC66BC" w14:textId="77777777" w:rsidR="00A97BC7" w:rsidRPr="00DF52E7" w:rsidRDefault="00A97BC7" w:rsidP="00DF52E7">
            <w:r w:rsidRPr="00DF52E7">
              <w:t> </w:t>
            </w:r>
          </w:p>
        </w:tc>
        <w:tc>
          <w:tcPr>
            <w:tcW w:w="1421" w:type="dxa"/>
            <w:tcBorders>
              <w:top w:val="nil"/>
              <w:left w:val="nil"/>
              <w:bottom w:val="single" w:sz="4" w:space="0" w:color="auto"/>
              <w:right w:val="single" w:sz="4" w:space="0" w:color="auto"/>
            </w:tcBorders>
            <w:vAlign w:val="center"/>
          </w:tcPr>
          <w:p w14:paraId="3E5E1124" w14:textId="77777777" w:rsidR="00A97BC7" w:rsidRPr="00DF52E7" w:rsidRDefault="00A97BC7" w:rsidP="00DF52E7">
            <w:pPr>
              <w:jc w:val="center"/>
            </w:pPr>
          </w:p>
        </w:tc>
      </w:tr>
      <w:tr w:rsidR="00A97BC7" w:rsidRPr="00495044" w14:paraId="740DD926" w14:textId="77777777" w:rsidTr="009D363E">
        <w:trPr>
          <w:trHeight w:val="263"/>
        </w:trPr>
        <w:tc>
          <w:tcPr>
            <w:tcW w:w="8217" w:type="dxa"/>
            <w:tcBorders>
              <w:top w:val="single" w:sz="4" w:space="0" w:color="auto"/>
              <w:left w:val="single" w:sz="4" w:space="0" w:color="auto"/>
              <w:right w:val="nil"/>
            </w:tcBorders>
            <w:vAlign w:val="center"/>
          </w:tcPr>
          <w:p w14:paraId="3CACA7BA" w14:textId="77777777" w:rsidR="00A97BC7" w:rsidRPr="00DF52E7" w:rsidRDefault="00A97BC7" w:rsidP="00E61268">
            <w:pPr>
              <w:spacing w:after="120" w:line="300" w:lineRule="auto"/>
              <w:rPr>
                <w:bCs/>
              </w:rPr>
            </w:pPr>
          </w:p>
        </w:tc>
        <w:tc>
          <w:tcPr>
            <w:tcW w:w="709" w:type="dxa"/>
            <w:tcBorders>
              <w:top w:val="single" w:sz="4" w:space="0" w:color="auto"/>
              <w:left w:val="nil"/>
              <w:right w:val="nil"/>
            </w:tcBorders>
            <w:vAlign w:val="center"/>
          </w:tcPr>
          <w:p w14:paraId="46AB702C" w14:textId="77777777" w:rsidR="00A97BC7" w:rsidRPr="00DF52E7" w:rsidRDefault="00A97BC7" w:rsidP="00E61268">
            <w:pPr>
              <w:spacing w:after="120" w:line="300" w:lineRule="auto"/>
            </w:pPr>
          </w:p>
        </w:tc>
        <w:tc>
          <w:tcPr>
            <w:tcW w:w="1421" w:type="dxa"/>
            <w:tcBorders>
              <w:top w:val="single" w:sz="4" w:space="0" w:color="auto"/>
              <w:left w:val="nil"/>
              <w:right w:val="single" w:sz="4" w:space="0" w:color="auto"/>
            </w:tcBorders>
            <w:vAlign w:val="center"/>
          </w:tcPr>
          <w:p w14:paraId="39FB2D83" w14:textId="77777777" w:rsidR="00A97BC7" w:rsidRPr="00DF52E7" w:rsidRDefault="00A97BC7" w:rsidP="00E61268">
            <w:pPr>
              <w:spacing w:after="120" w:line="300" w:lineRule="auto"/>
              <w:jc w:val="center"/>
            </w:pPr>
          </w:p>
        </w:tc>
      </w:tr>
      <w:tr w:rsidR="00A97BC7" w:rsidRPr="00495044" w14:paraId="14B268A5" w14:textId="77777777" w:rsidTr="009D363E">
        <w:trPr>
          <w:trHeight w:val="263"/>
        </w:trPr>
        <w:tc>
          <w:tcPr>
            <w:tcW w:w="8217" w:type="dxa"/>
            <w:tcBorders>
              <w:left w:val="single" w:sz="4" w:space="0" w:color="auto"/>
              <w:right w:val="nil"/>
            </w:tcBorders>
            <w:vAlign w:val="center"/>
          </w:tcPr>
          <w:p w14:paraId="5250697C" w14:textId="3966EE75" w:rsidR="00A97BC7" w:rsidRPr="00DF52E7" w:rsidRDefault="00A97BC7" w:rsidP="00E61268">
            <w:pPr>
              <w:spacing w:after="120" w:line="300" w:lineRule="auto"/>
              <w:rPr>
                <w:b/>
              </w:rPr>
            </w:pPr>
            <w:r w:rsidRPr="00DF52E7">
              <w:rPr>
                <w:b/>
              </w:rPr>
              <w:t xml:space="preserve">C. Calculation of Minimum Funding Guarantee per pupil for </w:t>
            </w:r>
            <w:r w:rsidR="00E92D19">
              <w:rPr>
                <w:b/>
              </w:rPr>
              <w:t>2026/27</w:t>
            </w:r>
            <w:r w:rsidRPr="00DF52E7">
              <w:rPr>
                <w:b/>
              </w:rPr>
              <w:t>:</w:t>
            </w:r>
          </w:p>
        </w:tc>
        <w:tc>
          <w:tcPr>
            <w:tcW w:w="709" w:type="dxa"/>
            <w:tcBorders>
              <w:left w:val="nil"/>
              <w:right w:val="nil"/>
            </w:tcBorders>
            <w:vAlign w:val="center"/>
          </w:tcPr>
          <w:p w14:paraId="71EB9C6D" w14:textId="37052500" w:rsidR="00A97BC7" w:rsidRPr="00DF52E7" w:rsidRDefault="00A97BC7" w:rsidP="00E61268">
            <w:pPr>
              <w:spacing w:after="120" w:line="300" w:lineRule="auto"/>
            </w:pPr>
          </w:p>
        </w:tc>
        <w:tc>
          <w:tcPr>
            <w:tcW w:w="1421" w:type="dxa"/>
            <w:tcBorders>
              <w:left w:val="nil"/>
              <w:right w:val="single" w:sz="4" w:space="0" w:color="auto"/>
            </w:tcBorders>
            <w:vAlign w:val="center"/>
          </w:tcPr>
          <w:p w14:paraId="76DCEE64" w14:textId="77777777" w:rsidR="00A97BC7" w:rsidRPr="00DF52E7" w:rsidRDefault="00A97BC7" w:rsidP="00E61268">
            <w:pPr>
              <w:spacing w:after="120" w:line="300" w:lineRule="auto"/>
              <w:jc w:val="center"/>
            </w:pPr>
          </w:p>
        </w:tc>
      </w:tr>
      <w:tr w:rsidR="00A97BC7" w:rsidRPr="00495044" w14:paraId="0758BB92" w14:textId="77777777" w:rsidTr="009D363E">
        <w:trPr>
          <w:trHeight w:val="915"/>
        </w:trPr>
        <w:tc>
          <w:tcPr>
            <w:tcW w:w="8217" w:type="dxa"/>
            <w:tcBorders>
              <w:top w:val="nil"/>
              <w:left w:val="single" w:sz="4" w:space="0" w:color="auto"/>
              <w:right w:val="nil"/>
            </w:tcBorders>
            <w:vAlign w:val="center"/>
          </w:tcPr>
          <w:p w14:paraId="250234A2" w14:textId="1A89AA62" w:rsidR="00A97BC7" w:rsidRPr="00DF52E7" w:rsidRDefault="00A97BC7" w:rsidP="00E61268">
            <w:pPr>
              <w:spacing w:before="240" w:after="120" w:line="300" w:lineRule="auto"/>
            </w:pPr>
            <w:r w:rsidRPr="00DF52E7">
              <w:t xml:space="preserve">Take protected funding amount (calculated in A) less the </w:t>
            </w:r>
            <w:r w:rsidR="00E92D19">
              <w:t>2026/27</w:t>
            </w:r>
            <w:r w:rsidRPr="00DF52E7">
              <w:t xml:space="preserve"> comparison funding (calculated in B) – if less than zero then MFG is not applicable.</w:t>
            </w:r>
          </w:p>
        </w:tc>
        <w:tc>
          <w:tcPr>
            <w:tcW w:w="709" w:type="dxa"/>
            <w:tcBorders>
              <w:top w:val="nil"/>
              <w:left w:val="nil"/>
              <w:right w:val="nil"/>
            </w:tcBorders>
            <w:vAlign w:val="center"/>
          </w:tcPr>
          <w:p w14:paraId="60A9E60B" w14:textId="77777777" w:rsidR="00A97BC7" w:rsidRPr="00DF52E7" w:rsidRDefault="00A97BC7" w:rsidP="00E61268">
            <w:pPr>
              <w:spacing w:after="120" w:line="300" w:lineRule="auto"/>
              <w:jc w:val="right"/>
            </w:pPr>
          </w:p>
        </w:tc>
        <w:tc>
          <w:tcPr>
            <w:tcW w:w="1421" w:type="dxa"/>
            <w:tcBorders>
              <w:top w:val="nil"/>
              <w:left w:val="nil"/>
              <w:right w:val="single" w:sz="4" w:space="0" w:color="auto"/>
            </w:tcBorders>
            <w:vAlign w:val="center"/>
          </w:tcPr>
          <w:p w14:paraId="70EB20DD" w14:textId="77777777" w:rsidR="00A97BC7" w:rsidRPr="00DF52E7" w:rsidRDefault="00A97BC7" w:rsidP="00E61268">
            <w:pPr>
              <w:spacing w:after="120" w:line="300" w:lineRule="auto"/>
              <w:jc w:val="right"/>
            </w:pPr>
            <w:r w:rsidRPr="00DF52E7">
              <w:t>40,000</w:t>
            </w:r>
          </w:p>
        </w:tc>
      </w:tr>
      <w:tr w:rsidR="00A97BC7" w:rsidRPr="00495044" w14:paraId="18110E1A" w14:textId="77777777" w:rsidTr="009D363E">
        <w:trPr>
          <w:trHeight w:val="263"/>
        </w:trPr>
        <w:tc>
          <w:tcPr>
            <w:tcW w:w="8217" w:type="dxa"/>
            <w:tcBorders>
              <w:top w:val="nil"/>
              <w:left w:val="single" w:sz="4" w:space="0" w:color="auto"/>
              <w:right w:val="nil"/>
            </w:tcBorders>
            <w:vAlign w:val="center"/>
          </w:tcPr>
          <w:p w14:paraId="7220781F" w14:textId="77777777" w:rsidR="00A97BC7" w:rsidRPr="00DF52E7" w:rsidRDefault="00A97BC7" w:rsidP="00DF52E7">
            <w:pPr>
              <w:jc w:val="right"/>
            </w:pPr>
          </w:p>
        </w:tc>
        <w:tc>
          <w:tcPr>
            <w:tcW w:w="709" w:type="dxa"/>
            <w:tcBorders>
              <w:top w:val="nil"/>
              <w:left w:val="nil"/>
              <w:right w:val="nil"/>
            </w:tcBorders>
            <w:vAlign w:val="center"/>
          </w:tcPr>
          <w:p w14:paraId="62AD4448" w14:textId="77777777" w:rsidR="00A97BC7" w:rsidRPr="00DF52E7" w:rsidRDefault="00A97BC7" w:rsidP="00DF52E7">
            <w:pPr>
              <w:jc w:val="right"/>
            </w:pPr>
          </w:p>
        </w:tc>
        <w:tc>
          <w:tcPr>
            <w:tcW w:w="1421" w:type="dxa"/>
            <w:tcBorders>
              <w:top w:val="nil"/>
              <w:left w:val="nil"/>
              <w:right w:val="single" w:sz="4" w:space="0" w:color="auto"/>
            </w:tcBorders>
            <w:vAlign w:val="center"/>
          </w:tcPr>
          <w:p w14:paraId="2C216449" w14:textId="77777777" w:rsidR="00A97BC7" w:rsidRPr="00DF52E7" w:rsidRDefault="00A97BC7" w:rsidP="00DF52E7">
            <w:pPr>
              <w:jc w:val="right"/>
            </w:pPr>
          </w:p>
        </w:tc>
      </w:tr>
      <w:tr w:rsidR="00A97BC7" w:rsidRPr="00495044" w14:paraId="24AE8CBD" w14:textId="77777777" w:rsidTr="009D363E">
        <w:trPr>
          <w:trHeight w:val="390"/>
        </w:trPr>
        <w:tc>
          <w:tcPr>
            <w:tcW w:w="8217" w:type="dxa"/>
            <w:tcBorders>
              <w:top w:val="nil"/>
              <w:left w:val="single" w:sz="4" w:space="0" w:color="auto"/>
              <w:right w:val="nil"/>
            </w:tcBorders>
            <w:vAlign w:val="center"/>
          </w:tcPr>
          <w:p w14:paraId="6156BD28" w14:textId="02A75CAA" w:rsidR="00A97BC7" w:rsidRPr="00DF52E7" w:rsidRDefault="00A97BC7" w:rsidP="00E61268">
            <w:pPr>
              <w:spacing w:after="120" w:line="300" w:lineRule="auto"/>
            </w:pPr>
            <w:r w:rsidRPr="00DF52E7">
              <w:t>Autumn term 202</w:t>
            </w:r>
            <w:r w:rsidR="006F1A6F">
              <w:t>5</w:t>
            </w:r>
            <w:r w:rsidRPr="00DF52E7">
              <w:t xml:space="preserve"> pupil numbers</w:t>
            </w:r>
          </w:p>
        </w:tc>
        <w:tc>
          <w:tcPr>
            <w:tcW w:w="709" w:type="dxa"/>
            <w:tcBorders>
              <w:top w:val="nil"/>
              <w:left w:val="nil"/>
              <w:right w:val="nil"/>
            </w:tcBorders>
            <w:vAlign w:val="center"/>
          </w:tcPr>
          <w:p w14:paraId="57A38CD5" w14:textId="77777777" w:rsidR="00A97BC7" w:rsidRPr="00DF52E7" w:rsidRDefault="00A97BC7" w:rsidP="00E61268">
            <w:pPr>
              <w:spacing w:after="120" w:line="300" w:lineRule="auto"/>
              <w:jc w:val="right"/>
            </w:pPr>
            <w:r w:rsidRPr="00DF52E7">
              <w:t>200</w:t>
            </w:r>
          </w:p>
        </w:tc>
        <w:tc>
          <w:tcPr>
            <w:tcW w:w="1421" w:type="dxa"/>
            <w:tcBorders>
              <w:top w:val="nil"/>
              <w:left w:val="nil"/>
              <w:right w:val="single" w:sz="4" w:space="0" w:color="auto"/>
            </w:tcBorders>
            <w:vAlign w:val="center"/>
          </w:tcPr>
          <w:p w14:paraId="385EB766" w14:textId="77777777" w:rsidR="00DF52E7" w:rsidRPr="00DF52E7" w:rsidRDefault="00DF52E7" w:rsidP="00DF52E7">
            <w:pPr>
              <w:spacing w:after="120" w:line="300" w:lineRule="auto"/>
            </w:pPr>
          </w:p>
        </w:tc>
      </w:tr>
      <w:tr w:rsidR="00A97BC7" w:rsidRPr="00495044" w14:paraId="0B93A03E" w14:textId="77777777" w:rsidTr="009D363E">
        <w:trPr>
          <w:trHeight w:val="263"/>
        </w:trPr>
        <w:tc>
          <w:tcPr>
            <w:tcW w:w="8217" w:type="dxa"/>
            <w:tcBorders>
              <w:top w:val="nil"/>
              <w:left w:val="single" w:sz="4" w:space="0" w:color="auto"/>
              <w:right w:val="nil"/>
            </w:tcBorders>
            <w:vAlign w:val="center"/>
          </w:tcPr>
          <w:p w14:paraId="2F5EDDB7" w14:textId="77777777" w:rsidR="00A97BC7" w:rsidRPr="00DF52E7" w:rsidRDefault="00A97BC7" w:rsidP="009D363E">
            <w:pPr>
              <w:pStyle w:val="ListParagraph"/>
              <w:numPr>
                <w:ilvl w:val="0"/>
                <w:numId w:val="4"/>
              </w:numPr>
              <w:spacing w:before="60" w:after="60" w:line="300" w:lineRule="auto"/>
              <w:ind w:left="873"/>
            </w:pPr>
            <w:r w:rsidRPr="00DF52E7">
              <w:t>MFG amount per pupil</w:t>
            </w:r>
          </w:p>
        </w:tc>
        <w:tc>
          <w:tcPr>
            <w:tcW w:w="709" w:type="dxa"/>
            <w:tcBorders>
              <w:top w:val="nil"/>
              <w:left w:val="nil"/>
              <w:right w:val="nil"/>
            </w:tcBorders>
            <w:vAlign w:val="center"/>
          </w:tcPr>
          <w:p w14:paraId="656C7AA3" w14:textId="77777777" w:rsidR="00A97BC7" w:rsidRPr="00DF52E7" w:rsidRDefault="00A97BC7" w:rsidP="009D363E">
            <w:pPr>
              <w:spacing w:before="60" w:after="60" w:line="300" w:lineRule="auto"/>
              <w:jc w:val="right"/>
            </w:pPr>
          </w:p>
        </w:tc>
        <w:tc>
          <w:tcPr>
            <w:tcW w:w="1421" w:type="dxa"/>
            <w:tcBorders>
              <w:top w:val="nil"/>
              <w:left w:val="nil"/>
              <w:right w:val="single" w:sz="4" w:space="0" w:color="auto"/>
            </w:tcBorders>
            <w:vAlign w:val="center"/>
          </w:tcPr>
          <w:p w14:paraId="4224746F" w14:textId="77777777" w:rsidR="00A97BC7" w:rsidRPr="00DF52E7" w:rsidRDefault="00A97BC7" w:rsidP="009D363E">
            <w:pPr>
              <w:pBdr>
                <w:top w:val="single" w:sz="4" w:space="1" w:color="auto"/>
                <w:bottom w:val="single" w:sz="4" w:space="1" w:color="auto"/>
              </w:pBdr>
              <w:spacing w:before="60" w:after="60" w:line="300" w:lineRule="auto"/>
              <w:jc w:val="right"/>
              <w:rPr>
                <w:b/>
              </w:rPr>
            </w:pPr>
            <w:r w:rsidRPr="00DF52E7">
              <w:rPr>
                <w:b/>
              </w:rPr>
              <w:t>200</w:t>
            </w:r>
          </w:p>
        </w:tc>
      </w:tr>
      <w:tr w:rsidR="00A97BC7" w:rsidRPr="00495044" w14:paraId="68468C80" w14:textId="77777777" w:rsidTr="009D363E">
        <w:trPr>
          <w:trHeight w:val="186"/>
        </w:trPr>
        <w:tc>
          <w:tcPr>
            <w:tcW w:w="8217" w:type="dxa"/>
            <w:tcBorders>
              <w:top w:val="nil"/>
              <w:left w:val="single" w:sz="4" w:space="0" w:color="auto"/>
              <w:bottom w:val="single" w:sz="4" w:space="0" w:color="auto"/>
              <w:right w:val="nil"/>
            </w:tcBorders>
            <w:vAlign w:val="center"/>
          </w:tcPr>
          <w:p w14:paraId="39771CCD" w14:textId="77777777" w:rsidR="00A97BC7" w:rsidRPr="00495044" w:rsidRDefault="00A97BC7" w:rsidP="000F19CA">
            <w:pPr>
              <w:rPr>
                <w:sz w:val="22"/>
                <w:szCs w:val="22"/>
              </w:rPr>
            </w:pPr>
          </w:p>
        </w:tc>
        <w:tc>
          <w:tcPr>
            <w:tcW w:w="709" w:type="dxa"/>
            <w:tcBorders>
              <w:top w:val="nil"/>
              <w:left w:val="nil"/>
              <w:bottom w:val="single" w:sz="4" w:space="0" w:color="auto"/>
              <w:right w:val="nil"/>
            </w:tcBorders>
            <w:vAlign w:val="center"/>
          </w:tcPr>
          <w:p w14:paraId="2998B9BE" w14:textId="77777777" w:rsidR="00A97BC7" w:rsidRPr="00495044" w:rsidRDefault="00A97BC7" w:rsidP="000F19CA">
            <w:pPr>
              <w:rPr>
                <w:sz w:val="22"/>
                <w:szCs w:val="22"/>
              </w:rPr>
            </w:pPr>
          </w:p>
        </w:tc>
        <w:tc>
          <w:tcPr>
            <w:tcW w:w="1421" w:type="dxa"/>
            <w:tcBorders>
              <w:top w:val="nil"/>
              <w:left w:val="nil"/>
              <w:bottom w:val="single" w:sz="4" w:space="0" w:color="auto"/>
              <w:right w:val="single" w:sz="4" w:space="0" w:color="auto"/>
            </w:tcBorders>
            <w:vAlign w:val="center"/>
          </w:tcPr>
          <w:p w14:paraId="4D9856CB" w14:textId="77777777" w:rsidR="00A97BC7" w:rsidRPr="00495044" w:rsidRDefault="00A97BC7" w:rsidP="000F19CA">
            <w:pPr>
              <w:rPr>
                <w:b/>
                <w:bCs/>
                <w:sz w:val="22"/>
                <w:szCs w:val="22"/>
              </w:rPr>
            </w:pPr>
          </w:p>
        </w:tc>
      </w:tr>
    </w:tbl>
    <w:p w14:paraId="04035412" w14:textId="77777777" w:rsidR="00A97BC7" w:rsidRPr="006503CA" w:rsidRDefault="00A97BC7" w:rsidP="000F19CA"/>
    <w:sectPr w:rsidR="00A97BC7" w:rsidRPr="006503CA" w:rsidSect="00AB550B">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F1AC" w14:textId="77777777" w:rsidR="003A5C18" w:rsidRDefault="003A5C18" w:rsidP="006503CA">
      <w:r>
        <w:separator/>
      </w:r>
    </w:p>
  </w:endnote>
  <w:endnote w:type="continuationSeparator" w:id="0">
    <w:p w14:paraId="780108A9" w14:textId="77777777" w:rsidR="003A5C18" w:rsidRDefault="003A5C18" w:rsidP="006503CA">
      <w:r>
        <w:continuationSeparator/>
      </w:r>
    </w:p>
  </w:endnote>
  <w:endnote w:type="continuationNotice" w:id="1">
    <w:p w14:paraId="191F70AE" w14:textId="77777777" w:rsidR="003A5C18" w:rsidRDefault="003A5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EF97" w14:textId="3A15B56F" w:rsidR="00863A0F" w:rsidRPr="00863A0F" w:rsidRDefault="00635396" w:rsidP="009D363E">
    <w:pPr>
      <w:pStyle w:val="Footer"/>
      <w:tabs>
        <w:tab w:val="clear" w:pos="4513"/>
      </w:tabs>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9D363E">
          <w:tab/>
          <w:t xml:space="preserve">Special Schools Budget Share Guidance </w:t>
        </w:r>
        <w:r w:rsidR="00E92D19">
          <w:t>2026/27</w:t>
        </w:r>
      </w:sdtContent>
    </w:sdt>
  </w:p>
  <w:p w14:paraId="12D3F1CF" w14:textId="77777777" w:rsidR="00057C4C" w:rsidRDefault="00057C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FE03" w14:textId="77777777" w:rsidR="003A5C18" w:rsidRDefault="003A5C18" w:rsidP="006503CA">
      <w:r>
        <w:separator/>
      </w:r>
    </w:p>
  </w:footnote>
  <w:footnote w:type="continuationSeparator" w:id="0">
    <w:p w14:paraId="22BF7C08" w14:textId="77777777" w:rsidR="003A5C18" w:rsidRDefault="003A5C18" w:rsidP="006503CA">
      <w:r>
        <w:continuationSeparator/>
      </w:r>
    </w:p>
  </w:footnote>
  <w:footnote w:type="continuationNotice" w:id="1">
    <w:p w14:paraId="2BA33A98" w14:textId="77777777" w:rsidR="003A5C18" w:rsidRDefault="003A5C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5A8"/>
    <w:multiLevelType w:val="hybridMultilevel"/>
    <w:tmpl w:val="C83ADA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29425DF"/>
    <w:multiLevelType w:val="hybridMultilevel"/>
    <w:tmpl w:val="21AA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33440D"/>
    <w:multiLevelType w:val="hybridMultilevel"/>
    <w:tmpl w:val="D846745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514B95"/>
    <w:multiLevelType w:val="hybridMultilevel"/>
    <w:tmpl w:val="F86A9CCE"/>
    <w:lvl w:ilvl="0" w:tplc="F7DE9AE2">
      <w:start w:val="1"/>
      <w:numFmt w:val="upperLetter"/>
      <w:lvlText w:val="%1)"/>
      <w:lvlJc w:val="left"/>
      <w:pPr>
        <w:ind w:left="720" w:hanging="360"/>
      </w:pPr>
      <w:rPr>
        <w:rFonts w:ascii="Arial" w:hAnsi="Arial" w:cs="Arial" w:hint="default"/>
        <w:sz w:val="24"/>
        <w:szCs w:val="24"/>
      </w:rPr>
    </w:lvl>
    <w:lvl w:ilvl="1" w:tplc="FC82BDE8">
      <w:start w:val="1"/>
      <w:numFmt w:val="lowerLetter"/>
      <w:lvlText w:val="%2."/>
      <w:lvlJc w:val="left"/>
      <w:pPr>
        <w:ind w:left="1440" w:hanging="360"/>
      </w:pPr>
      <w:rPr>
        <w:rFonts w:ascii="Arial" w:hAnsi="Arial" w:cs="Arial" w:hint="default"/>
        <w:sz w:val="24"/>
        <w:szCs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185313"/>
    <w:multiLevelType w:val="hybridMultilevel"/>
    <w:tmpl w:val="73981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21195E"/>
    <w:multiLevelType w:val="multilevel"/>
    <w:tmpl w:val="C7AC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869952">
    <w:abstractNumId w:val="6"/>
  </w:num>
  <w:num w:numId="2" w16cid:durableId="2009945258">
    <w:abstractNumId w:val="2"/>
  </w:num>
  <w:num w:numId="3" w16cid:durableId="127004564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413099">
    <w:abstractNumId w:val="3"/>
  </w:num>
  <w:num w:numId="5" w16cid:durableId="720784913">
    <w:abstractNumId w:val="1"/>
  </w:num>
  <w:num w:numId="6" w16cid:durableId="1092972636">
    <w:abstractNumId w:val="4"/>
  </w:num>
  <w:num w:numId="7" w16cid:durableId="1490292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279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C7"/>
    <w:rsid w:val="0000701F"/>
    <w:rsid w:val="00007F19"/>
    <w:rsid w:val="000105D1"/>
    <w:rsid w:val="00012640"/>
    <w:rsid w:val="00014A44"/>
    <w:rsid w:val="000240B7"/>
    <w:rsid w:val="000248D0"/>
    <w:rsid w:val="00026C19"/>
    <w:rsid w:val="00027E66"/>
    <w:rsid w:val="0003254D"/>
    <w:rsid w:val="00036D9E"/>
    <w:rsid w:val="000371AB"/>
    <w:rsid w:val="00052790"/>
    <w:rsid w:val="0005596B"/>
    <w:rsid w:val="00057C4C"/>
    <w:rsid w:val="00062FB3"/>
    <w:rsid w:val="00064545"/>
    <w:rsid w:val="00064F85"/>
    <w:rsid w:val="00071407"/>
    <w:rsid w:val="000767B6"/>
    <w:rsid w:val="00080CBB"/>
    <w:rsid w:val="000977BF"/>
    <w:rsid w:val="000A149D"/>
    <w:rsid w:val="000A177B"/>
    <w:rsid w:val="000A1C30"/>
    <w:rsid w:val="000A225D"/>
    <w:rsid w:val="000A7107"/>
    <w:rsid w:val="000A71C7"/>
    <w:rsid w:val="000B4650"/>
    <w:rsid w:val="000B4EE5"/>
    <w:rsid w:val="000B71B2"/>
    <w:rsid w:val="000C1B64"/>
    <w:rsid w:val="000C3284"/>
    <w:rsid w:val="000C42E9"/>
    <w:rsid w:val="000C4709"/>
    <w:rsid w:val="000D43A4"/>
    <w:rsid w:val="000D732F"/>
    <w:rsid w:val="000E374A"/>
    <w:rsid w:val="000E7762"/>
    <w:rsid w:val="000F19CA"/>
    <w:rsid w:val="000F4990"/>
    <w:rsid w:val="00101125"/>
    <w:rsid w:val="001122E5"/>
    <w:rsid w:val="00117087"/>
    <w:rsid w:val="0012199A"/>
    <w:rsid w:val="00121D48"/>
    <w:rsid w:val="00125BCB"/>
    <w:rsid w:val="00127D8D"/>
    <w:rsid w:val="001308E1"/>
    <w:rsid w:val="0013135D"/>
    <w:rsid w:val="00134B3B"/>
    <w:rsid w:val="0013514A"/>
    <w:rsid w:val="001369A7"/>
    <w:rsid w:val="00137E93"/>
    <w:rsid w:val="001464AC"/>
    <w:rsid w:val="00154919"/>
    <w:rsid w:val="00155CCA"/>
    <w:rsid w:val="001619AD"/>
    <w:rsid w:val="00170E5E"/>
    <w:rsid w:val="00171F7C"/>
    <w:rsid w:val="001841DB"/>
    <w:rsid w:val="00184FCA"/>
    <w:rsid w:val="001A3414"/>
    <w:rsid w:val="001A5CAF"/>
    <w:rsid w:val="001A751C"/>
    <w:rsid w:val="001B1E8F"/>
    <w:rsid w:val="001B6471"/>
    <w:rsid w:val="001C03A0"/>
    <w:rsid w:val="001C0E23"/>
    <w:rsid w:val="001C20A7"/>
    <w:rsid w:val="001D0C8E"/>
    <w:rsid w:val="001D0ED4"/>
    <w:rsid w:val="001E1C0D"/>
    <w:rsid w:val="001E677E"/>
    <w:rsid w:val="001E7680"/>
    <w:rsid w:val="001E79FF"/>
    <w:rsid w:val="001F035B"/>
    <w:rsid w:val="001F16D2"/>
    <w:rsid w:val="001F30BE"/>
    <w:rsid w:val="001F4D91"/>
    <w:rsid w:val="001F5939"/>
    <w:rsid w:val="002259A1"/>
    <w:rsid w:val="0022679A"/>
    <w:rsid w:val="00230B46"/>
    <w:rsid w:val="00235CDA"/>
    <w:rsid w:val="002426B2"/>
    <w:rsid w:val="00243C6D"/>
    <w:rsid w:val="00244D52"/>
    <w:rsid w:val="0025074B"/>
    <w:rsid w:val="00253C66"/>
    <w:rsid w:val="00261CD1"/>
    <w:rsid w:val="00262CBA"/>
    <w:rsid w:val="00267116"/>
    <w:rsid w:val="002701FF"/>
    <w:rsid w:val="0027285B"/>
    <w:rsid w:val="002737F8"/>
    <w:rsid w:val="002743F7"/>
    <w:rsid w:val="00274B73"/>
    <w:rsid w:val="0029220A"/>
    <w:rsid w:val="002932EF"/>
    <w:rsid w:val="00295B1C"/>
    <w:rsid w:val="00297778"/>
    <w:rsid w:val="002B19B8"/>
    <w:rsid w:val="002B30AF"/>
    <w:rsid w:val="002C46CC"/>
    <w:rsid w:val="002D3087"/>
    <w:rsid w:val="002E4E31"/>
    <w:rsid w:val="002F2A47"/>
    <w:rsid w:val="002F3B84"/>
    <w:rsid w:val="002F6064"/>
    <w:rsid w:val="00306A50"/>
    <w:rsid w:val="0030780D"/>
    <w:rsid w:val="00310E12"/>
    <w:rsid w:val="003255AD"/>
    <w:rsid w:val="00327196"/>
    <w:rsid w:val="00342F2C"/>
    <w:rsid w:val="00350A7B"/>
    <w:rsid w:val="00353BE1"/>
    <w:rsid w:val="00356288"/>
    <w:rsid w:val="00356DA5"/>
    <w:rsid w:val="00360392"/>
    <w:rsid w:val="0036131A"/>
    <w:rsid w:val="003725B7"/>
    <w:rsid w:val="00375B0E"/>
    <w:rsid w:val="00376852"/>
    <w:rsid w:val="00386798"/>
    <w:rsid w:val="0038761F"/>
    <w:rsid w:val="003958FA"/>
    <w:rsid w:val="00396411"/>
    <w:rsid w:val="00397376"/>
    <w:rsid w:val="003A25E7"/>
    <w:rsid w:val="003A5C18"/>
    <w:rsid w:val="003B005C"/>
    <w:rsid w:val="003B11F1"/>
    <w:rsid w:val="003C77E3"/>
    <w:rsid w:val="003C7CA0"/>
    <w:rsid w:val="003D0FFD"/>
    <w:rsid w:val="003D1E37"/>
    <w:rsid w:val="003D3B75"/>
    <w:rsid w:val="003D750E"/>
    <w:rsid w:val="003E0885"/>
    <w:rsid w:val="003E2E01"/>
    <w:rsid w:val="003E4275"/>
    <w:rsid w:val="003E74BA"/>
    <w:rsid w:val="003F625A"/>
    <w:rsid w:val="003F67BC"/>
    <w:rsid w:val="0040507E"/>
    <w:rsid w:val="00410F20"/>
    <w:rsid w:val="0042183F"/>
    <w:rsid w:val="00423CB0"/>
    <w:rsid w:val="00424D78"/>
    <w:rsid w:val="004260DD"/>
    <w:rsid w:val="00433CE3"/>
    <w:rsid w:val="00440928"/>
    <w:rsid w:val="00447D26"/>
    <w:rsid w:val="00454F4A"/>
    <w:rsid w:val="00457ED9"/>
    <w:rsid w:val="004626A4"/>
    <w:rsid w:val="00470DC7"/>
    <w:rsid w:val="0047666B"/>
    <w:rsid w:val="00477596"/>
    <w:rsid w:val="00482C43"/>
    <w:rsid w:val="00486DC9"/>
    <w:rsid w:val="00497C6F"/>
    <w:rsid w:val="004A52CB"/>
    <w:rsid w:val="004B5A9D"/>
    <w:rsid w:val="004B5D72"/>
    <w:rsid w:val="004B7EF0"/>
    <w:rsid w:val="004C1ACF"/>
    <w:rsid w:val="004C5589"/>
    <w:rsid w:val="004C693A"/>
    <w:rsid w:val="004D0030"/>
    <w:rsid w:val="004D3ADF"/>
    <w:rsid w:val="004D522B"/>
    <w:rsid w:val="004D79EC"/>
    <w:rsid w:val="004E3A32"/>
    <w:rsid w:val="004E63D1"/>
    <w:rsid w:val="004E78DB"/>
    <w:rsid w:val="004F4781"/>
    <w:rsid w:val="004F6640"/>
    <w:rsid w:val="004F7499"/>
    <w:rsid w:val="004F7697"/>
    <w:rsid w:val="005034EC"/>
    <w:rsid w:val="0050592C"/>
    <w:rsid w:val="00506B9A"/>
    <w:rsid w:val="00510E05"/>
    <w:rsid w:val="00511EAD"/>
    <w:rsid w:val="00512F3C"/>
    <w:rsid w:val="005227BA"/>
    <w:rsid w:val="00522D2C"/>
    <w:rsid w:val="005272EA"/>
    <w:rsid w:val="005308A9"/>
    <w:rsid w:val="0053369A"/>
    <w:rsid w:val="00534D5D"/>
    <w:rsid w:val="00543C90"/>
    <w:rsid w:val="00545317"/>
    <w:rsid w:val="0055189A"/>
    <w:rsid w:val="00562F2F"/>
    <w:rsid w:val="005657D0"/>
    <w:rsid w:val="00567A88"/>
    <w:rsid w:val="00571E8B"/>
    <w:rsid w:val="00576728"/>
    <w:rsid w:val="0058438A"/>
    <w:rsid w:val="00585BE1"/>
    <w:rsid w:val="005B0971"/>
    <w:rsid w:val="005B184E"/>
    <w:rsid w:val="005B219C"/>
    <w:rsid w:val="005C5006"/>
    <w:rsid w:val="005C5A46"/>
    <w:rsid w:val="005D1DDB"/>
    <w:rsid w:val="005D2423"/>
    <w:rsid w:val="005D38D4"/>
    <w:rsid w:val="005E1696"/>
    <w:rsid w:val="005E1C06"/>
    <w:rsid w:val="005E5386"/>
    <w:rsid w:val="005E6399"/>
    <w:rsid w:val="005E76E5"/>
    <w:rsid w:val="005F01D2"/>
    <w:rsid w:val="005F32DD"/>
    <w:rsid w:val="005F3864"/>
    <w:rsid w:val="005F3A55"/>
    <w:rsid w:val="005F5FB7"/>
    <w:rsid w:val="00600E52"/>
    <w:rsid w:val="00601B8E"/>
    <w:rsid w:val="00602106"/>
    <w:rsid w:val="00603FA0"/>
    <w:rsid w:val="0060518F"/>
    <w:rsid w:val="00605C96"/>
    <w:rsid w:val="00613E1F"/>
    <w:rsid w:val="006151CA"/>
    <w:rsid w:val="00615837"/>
    <w:rsid w:val="00631F26"/>
    <w:rsid w:val="00632072"/>
    <w:rsid w:val="006330AE"/>
    <w:rsid w:val="00635396"/>
    <w:rsid w:val="00641EC4"/>
    <w:rsid w:val="0064426A"/>
    <w:rsid w:val="0064514A"/>
    <w:rsid w:val="00645440"/>
    <w:rsid w:val="006503CA"/>
    <w:rsid w:val="00655C8C"/>
    <w:rsid w:val="00655DAF"/>
    <w:rsid w:val="00666653"/>
    <w:rsid w:val="00674BE1"/>
    <w:rsid w:val="00676C5D"/>
    <w:rsid w:val="0067702D"/>
    <w:rsid w:val="00677D41"/>
    <w:rsid w:val="00677EE9"/>
    <w:rsid w:val="00693320"/>
    <w:rsid w:val="006A69BA"/>
    <w:rsid w:val="006A726B"/>
    <w:rsid w:val="006B3257"/>
    <w:rsid w:val="006B6411"/>
    <w:rsid w:val="006C3E0B"/>
    <w:rsid w:val="006D17BF"/>
    <w:rsid w:val="006D1E44"/>
    <w:rsid w:val="006D2B4F"/>
    <w:rsid w:val="006D4D2B"/>
    <w:rsid w:val="006D53E9"/>
    <w:rsid w:val="006E2FAA"/>
    <w:rsid w:val="006F1A6F"/>
    <w:rsid w:val="00700A7E"/>
    <w:rsid w:val="0070193B"/>
    <w:rsid w:val="00702311"/>
    <w:rsid w:val="0070604B"/>
    <w:rsid w:val="0071041F"/>
    <w:rsid w:val="0071353A"/>
    <w:rsid w:val="00713878"/>
    <w:rsid w:val="00714394"/>
    <w:rsid w:val="00723825"/>
    <w:rsid w:val="00731C46"/>
    <w:rsid w:val="0073218D"/>
    <w:rsid w:val="00732738"/>
    <w:rsid w:val="007505F0"/>
    <w:rsid w:val="007527F8"/>
    <w:rsid w:val="00753650"/>
    <w:rsid w:val="00763DAF"/>
    <w:rsid w:val="00765296"/>
    <w:rsid w:val="00771D38"/>
    <w:rsid w:val="00777B1D"/>
    <w:rsid w:val="00783291"/>
    <w:rsid w:val="007920ED"/>
    <w:rsid w:val="007A619E"/>
    <w:rsid w:val="007A6819"/>
    <w:rsid w:val="007B13D9"/>
    <w:rsid w:val="007B4DF1"/>
    <w:rsid w:val="007C491C"/>
    <w:rsid w:val="007C58C8"/>
    <w:rsid w:val="007D072E"/>
    <w:rsid w:val="007D07FB"/>
    <w:rsid w:val="007D663C"/>
    <w:rsid w:val="007E4976"/>
    <w:rsid w:val="007E62BE"/>
    <w:rsid w:val="007F23A0"/>
    <w:rsid w:val="0080229E"/>
    <w:rsid w:val="00804E1F"/>
    <w:rsid w:val="00811865"/>
    <w:rsid w:val="0081355A"/>
    <w:rsid w:val="00816C5D"/>
    <w:rsid w:val="008218F0"/>
    <w:rsid w:val="0082559A"/>
    <w:rsid w:val="008307D1"/>
    <w:rsid w:val="00832993"/>
    <w:rsid w:val="00833E54"/>
    <w:rsid w:val="008349D8"/>
    <w:rsid w:val="00835517"/>
    <w:rsid w:val="00840DED"/>
    <w:rsid w:val="0084507D"/>
    <w:rsid w:val="00863A0F"/>
    <w:rsid w:val="00863D44"/>
    <w:rsid w:val="0087241F"/>
    <w:rsid w:val="00875616"/>
    <w:rsid w:val="00881886"/>
    <w:rsid w:val="00893F2F"/>
    <w:rsid w:val="008A68DF"/>
    <w:rsid w:val="008B2A22"/>
    <w:rsid w:val="008B327C"/>
    <w:rsid w:val="008B6E0C"/>
    <w:rsid w:val="008C0092"/>
    <w:rsid w:val="008C1326"/>
    <w:rsid w:val="008C42A5"/>
    <w:rsid w:val="008C5D33"/>
    <w:rsid w:val="008C7E2D"/>
    <w:rsid w:val="008D0805"/>
    <w:rsid w:val="008D2956"/>
    <w:rsid w:val="008E0F63"/>
    <w:rsid w:val="008E1000"/>
    <w:rsid w:val="008E1744"/>
    <w:rsid w:val="008E5725"/>
    <w:rsid w:val="008F5CA5"/>
    <w:rsid w:val="00910700"/>
    <w:rsid w:val="00911838"/>
    <w:rsid w:val="00912BCE"/>
    <w:rsid w:val="00913331"/>
    <w:rsid w:val="00920CAD"/>
    <w:rsid w:val="0094213C"/>
    <w:rsid w:val="00945637"/>
    <w:rsid w:val="00950C72"/>
    <w:rsid w:val="009606AD"/>
    <w:rsid w:val="009818C9"/>
    <w:rsid w:val="009831D1"/>
    <w:rsid w:val="0099350E"/>
    <w:rsid w:val="009948A6"/>
    <w:rsid w:val="009A18DB"/>
    <w:rsid w:val="009A2820"/>
    <w:rsid w:val="009A2D76"/>
    <w:rsid w:val="009A3AC1"/>
    <w:rsid w:val="009A6240"/>
    <w:rsid w:val="009A7E96"/>
    <w:rsid w:val="009B0A2D"/>
    <w:rsid w:val="009B202A"/>
    <w:rsid w:val="009B3086"/>
    <w:rsid w:val="009B55A5"/>
    <w:rsid w:val="009D02ED"/>
    <w:rsid w:val="009D1040"/>
    <w:rsid w:val="009D3238"/>
    <w:rsid w:val="009D363E"/>
    <w:rsid w:val="009D67D4"/>
    <w:rsid w:val="009D73A0"/>
    <w:rsid w:val="009E1FA7"/>
    <w:rsid w:val="009E3499"/>
    <w:rsid w:val="009E5295"/>
    <w:rsid w:val="009F09F1"/>
    <w:rsid w:val="009F21BA"/>
    <w:rsid w:val="009F74C8"/>
    <w:rsid w:val="009F79F4"/>
    <w:rsid w:val="00A00BC8"/>
    <w:rsid w:val="00A01827"/>
    <w:rsid w:val="00A01829"/>
    <w:rsid w:val="00A01ABF"/>
    <w:rsid w:val="00A12B20"/>
    <w:rsid w:val="00A14183"/>
    <w:rsid w:val="00A15DA3"/>
    <w:rsid w:val="00A21392"/>
    <w:rsid w:val="00A26173"/>
    <w:rsid w:val="00A26EB1"/>
    <w:rsid w:val="00A35AB8"/>
    <w:rsid w:val="00A37292"/>
    <w:rsid w:val="00A458FD"/>
    <w:rsid w:val="00A45F26"/>
    <w:rsid w:val="00A506C3"/>
    <w:rsid w:val="00A50A6D"/>
    <w:rsid w:val="00A53357"/>
    <w:rsid w:val="00A666F6"/>
    <w:rsid w:val="00A7074A"/>
    <w:rsid w:val="00A70779"/>
    <w:rsid w:val="00A817A8"/>
    <w:rsid w:val="00A87E46"/>
    <w:rsid w:val="00A917F7"/>
    <w:rsid w:val="00A95CD2"/>
    <w:rsid w:val="00A97BC7"/>
    <w:rsid w:val="00AA2FAD"/>
    <w:rsid w:val="00AB550B"/>
    <w:rsid w:val="00AB60B9"/>
    <w:rsid w:val="00AC0058"/>
    <w:rsid w:val="00AC2810"/>
    <w:rsid w:val="00AC3FA7"/>
    <w:rsid w:val="00AD0571"/>
    <w:rsid w:val="00AD0645"/>
    <w:rsid w:val="00AD7559"/>
    <w:rsid w:val="00AE1DE3"/>
    <w:rsid w:val="00AE4C4E"/>
    <w:rsid w:val="00AE4FF5"/>
    <w:rsid w:val="00AF02D7"/>
    <w:rsid w:val="00AF11E5"/>
    <w:rsid w:val="00AF5BDF"/>
    <w:rsid w:val="00AF662A"/>
    <w:rsid w:val="00B076C7"/>
    <w:rsid w:val="00B07745"/>
    <w:rsid w:val="00B07FAC"/>
    <w:rsid w:val="00B146AA"/>
    <w:rsid w:val="00B17728"/>
    <w:rsid w:val="00B242F1"/>
    <w:rsid w:val="00B243A7"/>
    <w:rsid w:val="00B2572C"/>
    <w:rsid w:val="00B32EF6"/>
    <w:rsid w:val="00B353F2"/>
    <w:rsid w:val="00B36DAC"/>
    <w:rsid w:val="00B3766E"/>
    <w:rsid w:val="00B60E0E"/>
    <w:rsid w:val="00B63EC4"/>
    <w:rsid w:val="00B713AE"/>
    <w:rsid w:val="00B74321"/>
    <w:rsid w:val="00B82045"/>
    <w:rsid w:val="00B83A94"/>
    <w:rsid w:val="00B87AD1"/>
    <w:rsid w:val="00B9139D"/>
    <w:rsid w:val="00B959A7"/>
    <w:rsid w:val="00BA0EE1"/>
    <w:rsid w:val="00BA12AB"/>
    <w:rsid w:val="00BA3E0B"/>
    <w:rsid w:val="00BA6845"/>
    <w:rsid w:val="00BA6E7E"/>
    <w:rsid w:val="00BB3D9F"/>
    <w:rsid w:val="00BB5DAD"/>
    <w:rsid w:val="00BC0E58"/>
    <w:rsid w:val="00BC6D45"/>
    <w:rsid w:val="00BD7CA2"/>
    <w:rsid w:val="00BF2B05"/>
    <w:rsid w:val="00BF2D7F"/>
    <w:rsid w:val="00C016B6"/>
    <w:rsid w:val="00C03FA7"/>
    <w:rsid w:val="00C06C9F"/>
    <w:rsid w:val="00C06F46"/>
    <w:rsid w:val="00C12C59"/>
    <w:rsid w:val="00C147A3"/>
    <w:rsid w:val="00C163D7"/>
    <w:rsid w:val="00C21310"/>
    <w:rsid w:val="00C44134"/>
    <w:rsid w:val="00C44B42"/>
    <w:rsid w:val="00C4642E"/>
    <w:rsid w:val="00C471C9"/>
    <w:rsid w:val="00C5214A"/>
    <w:rsid w:val="00C529E8"/>
    <w:rsid w:val="00C5336C"/>
    <w:rsid w:val="00C635CC"/>
    <w:rsid w:val="00C7495D"/>
    <w:rsid w:val="00C75FB5"/>
    <w:rsid w:val="00C91891"/>
    <w:rsid w:val="00CA0DCB"/>
    <w:rsid w:val="00CA6A25"/>
    <w:rsid w:val="00CB5248"/>
    <w:rsid w:val="00CB63AE"/>
    <w:rsid w:val="00CB68A4"/>
    <w:rsid w:val="00CC03D3"/>
    <w:rsid w:val="00CC0510"/>
    <w:rsid w:val="00CC25B5"/>
    <w:rsid w:val="00CC4885"/>
    <w:rsid w:val="00CC5D98"/>
    <w:rsid w:val="00CD1522"/>
    <w:rsid w:val="00CE465B"/>
    <w:rsid w:val="00CE6557"/>
    <w:rsid w:val="00CF2493"/>
    <w:rsid w:val="00CF48D7"/>
    <w:rsid w:val="00CF6035"/>
    <w:rsid w:val="00D0681A"/>
    <w:rsid w:val="00D06AA8"/>
    <w:rsid w:val="00D070BB"/>
    <w:rsid w:val="00D11A97"/>
    <w:rsid w:val="00D2293B"/>
    <w:rsid w:val="00D275AF"/>
    <w:rsid w:val="00D31418"/>
    <w:rsid w:val="00D34685"/>
    <w:rsid w:val="00D35BE2"/>
    <w:rsid w:val="00D36810"/>
    <w:rsid w:val="00D36F27"/>
    <w:rsid w:val="00D41F83"/>
    <w:rsid w:val="00D45F91"/>
    <w:rsid w:val="00D4650C"/>
    <w:rsid w:val="00D52E4B"/>
    <w:rsid w:val="00D55699"/>
    <w:rsid w:val="00D6472B"/>
    <w:rsid w:val="00D65ED7"/>
    <w:rsid w:val="00D660DB"/>
    <w:rsid w:val="00D73A4B"/>
    <w:rsid w:val="00D74678"/>
    <w:rsid w:val="00D77A49"/>
    <w:rsid w:val="00D82402"/>
    <w:rsid w:val="00D82A30"/>
    <w:rsid w:val="00D838F5"/>
    <w:rsid w:val="00D84290"/>
    <w:rsid w:val="00D90886"/>
    <w:rsid w:val="00D9358C"/>
    <w:rsid w:val="00D93784"/>
    <w:rsid w:val="00DA481E"/>
    <w:rsid w:val="00DB6017"/>
    <w:rsid w:val="00DC2DAA"/>
    <w:rsid w:val="00DC75F8"/>
    <w:rsid w:val="00DD4033"/>
    <w:rsid w:val="00DE295B"/>
    <w:rsid w:val="00DE3900"/>
    <w:rsid w:val="00DF52E7"/>
    <w:rsid w:val="00DF6F94"/>
    <w:rsid w:val="00E04330"/>
    <w:rsid w:val="00E069A3"/>
    <w:rsid w:val="00E21F2C"/>
    <w:rsid w:val="00E22649"/>
    <w:rsid w:val="00E27834"/>
    <w:rsid w:val="00E278B9"/>
    <w:rsid w:val="00E3109C"/>
    <w:rsid w:val="00E346FC"/>
    <w:rsid w:val="00E4029A"/>
    <w:rsid w:val="00E4083D"/>
    <w:rsid w:val="00E412A7"/>
    <w:rsid w:val="00E47FA6"/>
    <w:rsid w:val="00E51817"/>
    <w:rsid w:val="00E55192"/>
    <w:rsid w:val="00E6035D"/>
    <w:rsid w:val="00E61268"/>
    <w:rsid w:val="00E73BEF"/>
    <w:rsid w:val="00E74337"/>
    <w:rsid w:val="00E8118B"/>
    <w:rsid w:val="00E84278"/>
    <w:rsid w:val="00E905AF"/>
    <w:rsid w:val="00E90CE9"/>
    <w:rsid w:val="00E92D19"/>
    <w:rsid w:val="00EA47C0"/>
    <w:rsid w:val="00EA6069"/>
    <w:rsid w:val="00EB1F4A"/>
    <w:rsid w:val="00EB7183"/>
    <w:rsid w:val="00EC3044"/>
    <w:rsid w:val="00ED2D0D"/>
    <w:rsid w:val="00ED4AD3"/>
    <w:rsid w:val="00ED7671"/>
    <w:rsid w:val="00EE0F6D"/>
    <w:rsid w:val="00EE3E1B"/>
    <w:rsid w:val="00EE512A"/>
    <w:rsid w:val="00EF4F31"/>
    <w:rsid w:val="00F042A4"/>
    <w:rsid w:val="00F07DF5"/>
    <w:rsid w:val="00F11C82"/>
    <w:rsid w:val="00F12ABC"/>
    <w:rsid w:val="00F539B8"/>
    <w:rsid w:val="00F5449F"/>
    <w:rsid w:val="00F5475B"/>
    <w:rsid w:val="00F71834"/>
    <w:rsid w:val="00F738A9"/>
    <w:rsid w:val="00F74C8F"/>
    <w:rsid w:val="00F75479"/>
    <w:rsid w:val="00F77BF1"/>
    <w:rsid w:val="00F81167"/>
    <w:rsid w:val="00F8146C"/>
    <w:rsid w:val="00F84B8F"/>
    <w:rsid w:val="00F862F3"/>
    <w:rsid w:val="00F86757"/>
    <w:rsid w:val="00F97483"/>
    <w:rsid w:val="00FA0C20"/>
    <w:rsid w:val="00FA253F"/>
    <w:rsid w:val="00FA3AD9"/>
    <w:rsid w:val="00FB7512"/>
    <w:rsid w:val="00FC43B0"/>
    <w:rsid w:val="00FE0CAC"/>
    <w:rsid w:val="00FE1ACF"/>
    <w:rsid w:val="00FF1A20"/>
    <w:rsid w:val="00FF1A74"/>
    <w:rsid w:val="00FF464C"/>
    <w:rsid w:val="13367097"/>
    <w:rsid w:val="2901F6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7767AED5"/>
  <w15:chartTrackingRefBased/>
  <w15:docId w15:val="{FC9D2B28-B017-4D06-B90A-FA498067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 w:type="paragraph" w:styleId="NormalWeb">
    <w:name w:val="Normal (Web)"/>
    <w:basedOn w:val="Normal"/>
    <w:uiPriority w:val="99"/>
    <w:semiHidden/>
    <w:unhideWhenUsed/>
    <w:rsid w:val="00A97BC7"/>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342F2C"/>
    <w:rPr>
      <w:color w:val="605E5C"/>
      <w:shd w:val="clear" w:color="auto" w:fill="E1DFDD"/>
    </w:rPr>
  </w:style>
  <w:style w:type="character" w:styleId="Strong">
    <w:name w:val="Strong"/>
    <w:basedOn w:val="DefaultParagraphFont"/>
    <w:qFormat/>
    <w:rsid w:val="00184FCA"/>
    <w:rPr>
      <w:b/>
      <w:bCs/>
    </w:rPr>
  </w:style>
  <w:style w:type="character" w:styleId="CommentReference">
    <w:name w:val="annotation reference"/>
    <w:basedOn w:val="DefaultParagraphFont"/>
    <w:uiPriority w:val="99"/>
    <w:semiHidden/>
    <w:unhideWhenUsed/>
    <w:rsid w:val="00840DED"/>
    <w:rPr>
      <w:sz w:val="16"/>
      <w:szCs w:val="16"/>
    </w:rPr>
  </w:style>
  <w:style w:type="paragraph" w:styleId="CommentText">
    <w:name w:val="annotation text"/>
    <w:basedOn w:val="Normal"/>
    <w:link w:val="CommentTextChar"/>
    <w:uiPriority w:val="99"/>
    <w:unhideWhenUsed/>
    <w:rsid w:val="00840DED"/>
    <w:rPr>
      <w:sz w:val="20"/>
      <w:szCs w:val="20"/>
    </w:rPr>
  </w:style>
  <w:style w:type="character" w:customStyle="1" w:styleId="CommentTextChar">
    <w:name w:val="Comment Text Char"/>
    <w:basedOn w:val="DefaultParagraphFont"/>
    <w:link w:val="CommentText"/>
    <w:uiPriority w:val="99"/>
    <w:rsid w:val="00840DE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40DED"/>
    <w:rPr>
      <w:b/>
      <w:bCs/>
    </w:rPr>
  </w:style>
  <w:style w:type="character" w:customStyle="1" w:styleId="CommentSubjectChar">
    <w:name w:val="Comment Subject Char"/>
    <w:basedOn w:val="CommentTextChar"/>
    <w:link w:val="CommentSubject"/>
    <w:uiPriority w:val="99"/>
    <w:semiHidden/>
    <w:rsid w:val="00840DED"/>
    <w:rPr>
      <w:rFonts w:ascii="Arial" w:hAnsi="Arial" w:cs="Arial"/>
      <w:b/>
      <w:bCs/>
      <w:sz w:val="20"/>
      <w:szCs w:val="20"/>
    </w:rPr>
  </w:style>
  <w:style w:type="table" w:styleId="TableGrid">
    <w:name w:val="Table Grid"/>
    <w:basedOn w:val="TableNormal"/>
    <w:uiPriority w:val="39"/>
    <w:rsid w:val="00136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829">
      <w:bodyDiv w:val="1"/>
      <w:marLeft w:val="0"/>
      <w:marRight w:val="0"/>
      <w:marTop w:val="0"/>
      <w:marBottom w:val="0"/>
      <w:divBdr>
        <w:top w:val="none" w:sz="0" w:space="0" w:color="auto"/>
        <w:left w:val="none" w:sz="0" w:space="0" w:color="auto"/>
        <w:bottom w:val="none" w:sz="0" w:space="0" w:color="auto"/>
        <w:right w:val="none" w:sz="0" w:space="0" w:color="auto"/>
      </w:divBdr>
    </w:div>
    <w:div w:id="596905551">
      <w:bodyDiv w:val="1"/>
      <w:marLeft w:val="0"/>
      <w:marRight w:val="0"/>
      <w:marTop w:val="0"/>
      <w:marBottom w:val="0"/>
      <w:divBdr>
        <w:top w:val="none" w:sz="0" w:space="0" w:color="auto"/>
        <w:left w:val="none" w:sz="0" w:space="0" w:color="auto"/>
        <w:bottom w:val="none" w:sz="0" w:space="0" w:color="auto"/>
        <w:right w:val="none" w:sz="0" w:space="0" w:color="auto"/>
      </w:divBdr>
    </w:div>
    <w:div w:id="633757954">
      <w:bodyDiv w:val="1"/>
      <w:marLeft w:val="0"/>
      <w:marRight w:val="0"/>
      <w:marTop w:val="0"/>
      <w:marBottom w:val="0"/>
      <w:divBdr>
        <w:top w:val="none" w:sz="0" w:space="0" w:color="auto"/>
        <w:left w:val="none" w:sz="0" w:space="0" w:color="auto"/>
        <w:bottom w:val="none" w:sz="0" w:space="0" w:color="auto"/>
        <w:right w:val="none" w:sz="0" w:space="0" w:color="auto"/>
      </w:divBdr>
    </w:div>
    <w:div w:id="754672627">
      <w:bodyDiv w:val="1"/>
      <w:marLeft w:val="0"/>
      <w:marRight w:val="0"/>
      <w:marTop w:val="0"/>
      <w:marBottom w:val="0"/>
      <w:divBdr>
        <w:top w:val="none" w:sz="0" w:space="0" w:color="auto"/>
        <w:left w:val="none" w:sz="0" w:space="0" w:color="auto"/>
        <w:bottom w:val="none" w:sz="0" w:space="0" w:color="auto"/>
        <w:right w:val="none" w:sz="0" w:space="0" w:color="auto"/>
      </w:divBdr>
    </w:div>
    <w:div w:id="919830339">
      <w:bodyDiv w:val="1"/>
      <w:marLeft w:val="0"/>
      <w:marRight w:val="0"/>
      <w:marTop w:val="0"/>
      <w:marBottom w:val="0"/>
      <w:divBdr>
        <w:top w:val="none" w:sz="0" w:space="0" w:color="auto"/>
        <w:left w:val="none" w:sz="0" w:space="0" w:color="auto"/>
        <w:bottom w:val="none" w:sz="0" w:space="0" w:color="auto"/>
        <w:right w:val="none" w:sz="0" w:space="0" w:color="auto"/>
      </w:divBdr>
    </w:div>
    <w:div w:id="1165709490">
      <w:bodyDiv w:val="1"/>
      <w:marLeft w:val="0"/>
      <w:marRight w:val="0"/>
      <w:marTop w:val="0"/>
      <w:marBottom w:val="0"/>
      <w:divBdr>
        <w:top w:val="none" w:sz="0" w:space="0" w:color="auto"/>
        <w:left w:val="none" w:sz="0" w:space="0" w:color="auto"/>
        <w:bottom w:val="none" w:sz="0" w:space="0" w:color="auto"/>
        <w:right w:val="none" w:sz="0" w:space="0" w:color="auto"/>
      </w:divBdr>
    </w:div>
    <w:div w:id="15408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Fund@hant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NDcommissioning@hants.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high-needs-funding-arrangements-2026-to-2027/high-needs-funding-2026-to-2027-operational-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chool.Fund@hants.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manualpayments@hant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ibcam\OneDrive%20-%20Hampshire%20County%20Council\Documents\Custom%20Office%20Templates\Corporate%20Report%20Template%20(white%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8" ma:contentTypeDescription="Create a new document." ma:contentTypeScope="" ma:versionID="e288fbcd730059376e80fbb08afb5b85">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468d66647bc5427a6a9ab947044a52e1"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63B5F-9E67-43C3-B8DE-A27DCD82F997}">
  <ds:schemaRefs>
    <ds:schemaRef ds:uri="http://schemas.microsoft.com/sharepoint/v3/contenttype/forms"/>
  </ds:schemaRefs>
</ds:datastoreItem>
</file>

<file path=customXml/itemProps2.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3.xml><?xml version="1.0" encoding="utf-8"?>
<ds:datastoreItem xmlns:ds="http://schemas.openxmlformats.org/officeDocument/2006/customXml" ds:itemID="{AEB9C669-03DE-4A52-BFAC-5E9B1EB819E6}">
  <ds:schemaRefs>
    <ds:schemaRef ds:uri="http://purl.org/dc/elements/1.1/"/>
    <ds:schemaRef ds:uri="9f5620cb-cc21-4b3f-8fc3-aa3eb05bfe07"/>
    <ds:schemaRef ds:uri="http://purl.org/dc/terms/"/>
    <ds:schemaRef ds:uri="http://schemas.microsoft.com/office/infopath/2007/PartnerControls"/>
    <ds:schemaRef ds:uri="http://schemas.microsoft.com/office/2006/metadata/properties"/>
    <ds:schemaRef ds:uri="http://www.w3.org/XML/1998/namespace"/>
    <ds:schemaRef ds:uri="01ac84fa-f109-4e2c-b412-0b3349d73c52"/>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23FA386D-F7D0-43AC-9EA4-7FB958068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Report Template (white cover)</Template>
  <TotalTime>488</TotalTime>
  <Pages>15</Pages>
  <Words>3574</Words>
  <Characters>18055</Characters>
  <Application>Microsoft Office Word</Application>
  <DocSecurity>0</DocSecurity>
  <Lines>545</Lines>
  <Paragraphs>237</Paragraphs>
  <ScaleCrop>false</ScaleCrop>
  <Company/>
  <LinksUpToDate>false</LinksUpToDate>
  <CharactersWithSpaces>21529</CharactersWithSpaces>
  <SharedDoc>false</SharedDoc>
  <HLinks>
    <vt:vector size="30" baseType="variant">
      <vt:variant>
        <vt:i4>7864370</vt:i4>
      </vt:variant>
      <vt:variant>
        <vt:i4>15</vt:i4>
      </vt:variant>
      <vt:variant>
        <vt:i4>0</vt:i4>
      </vt:variant>
      <vt:variant>
        <vt:i4>5</vt:i4>
      </vt:variant>
      <vt:variant>
        <vt:lpwstr>https://www.gov.uk/government/publications/high-needs-funding-arrangements-2026-to-2027/high-needs-funding-2026-to-2027-operational-guide</vt:lpwstr>
      </vt:variant>
      <vt:variant>
        <vt:lpwstr>annex-4</vt:lpwstr>
      </vt:variant>
      <vt:variant>
        <vt:i4>3670040</vt:i4>
      </vt:variant>
      <vt:variant>
        <vt:i4>9</vt:i4>
      </vt:variant>
      <vt:variant>
        <vt:i4>0</vt:i4>
      </vt:variant>
      <vt:variant>
        <vt:i4>5</vt:i4>
      </vt:variant>
      <vt:variant>
        <vt:lpwstr>mailto:School.Fund@hants.gov.uk</vt:lpwstr>
      </vt:variant>
      <vt:variant>
        <vt:lpwstr/>
      </vt:variant>
      <vt:variant>
        <vt:i4>5505145</vt:i4>
      </vt:variant>
      <vt:variant>
        <vt:i4>6</vt:i4>
      </vt:variant>
      <vt:variant>
        <vt:i4>0</vt:i4>
      </vt:variant>
      <vt:variant>
        <vt:i4>5</vt:i4>
      </vt:variant>
      <vt:variant>
        <vt:lpwstr>mailto:sen.manualpayments@hants.gov.uk</vt:lpwstr>
      </vt:variant>
      <vt:variant>
        <vt:lpwstr/>
      </vt:variant>
      <vt:variant>
        <vt:i4>3670040</vt:i4>
      </vt:variant>
      <vt:variant>
        <vt:i4>3</vt:i4>
      </vt:variant>
      <vt:variant>
        <vt:i4>0</vt:i4>
      </vt:variant>
      <vt:variant>
        <vt:i4>5</vt:i4>
      </vt:variant>
      <vt:variant>
        <vt:lpwstr>mailto:School.Fund@hants.gov.uk</vt:lpwstr>
      </vt:variant>
      <vt:variant>
        <vt:lpwstr/>
      </vt:variant>
      <vt:variant>
        <vt:i4>1769577</vt:i4>
      </vt:variant>
      <vt:variant>
        <vt:i4>0</vt:i4>
      </vt:variant>
      <vt:variant>
        <vt:i4>0</vt:i4>
      </vt:variant>
      <vt:variant>
        <vt:i4>5</vt:i4>
      </vt:variant>
      <vt:variant>
        <vt:lpwstr>mailto:SENDcommissioning@hants.gov.uk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Mollart, Aimee</dc:creator>
  <cp:keywords/>
  <dc:description/>
  <cp:lastModifiedBy>Smith, Adam (Corporate Resources, Finance)</cp:lastModifiedBy>
  <cp:revision>181</cp:revision>
  <dcterms:created xsi:type="dcterms:W3CDTF">2026-01-05T17:49:00Z</dcterms:created>
  <dcterms:modified xsi:type="dcterms:W3CDTF">2026-02-18T12:48:00Z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0x0101001443DA4A4506724C8F7B650037CCADD2</vt:lpwstr>
  </property>
  <property fmtid="{D5CDD505-2E9C-101B-9397-08002B2CF9AE}" pid="3" name="_dlc_DocIdItemGuid">
    <vt:lpwstr>68164c55-a459-40f4-8cec-113d503d0bb8</vt:lpwstr>
  </property>
  <property fmtid="{D5CDD505-2E9C-101B-9397-08002B2CF9AE}" pid="4" name="TaxCatchAll">
    <vt:lpwstr/>
  </property>
  <property fmtid="{D5CDD505-2E9C-101B-9397-08002B2CF9AE}" pid="5" name="Document Type">
    <vt:lpwstr/>
  </property>
  <property fmtid="{D5CDD505-2E9C-101B-9397-08002B2CF9AE}" pid="6" name="hc632fe273cb498aa970207d30c3b1d8">
    <vt:lpwstr/>
  </property>
</Properties>
</file>