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173C" w14:textId="77777777" w:rsidR="00863A0F" w:rsidRDefault="00863A0F" w:rsidP="004D307B">
      <w:pPr>
        <w:pStyle w:val="Documenttitle"/>
        <w:spacing w:after="120" w:line="300" w:lineRule="auto"/>
        <w:ind w:left="720" w:hanging="720"/>
      </w:pPr>
    </w:p>
    <w:p w14:paraId="6C340133" w14:textId="77777777" w:rsidR="00863A0F" w:rsidRDefault="00863A0F" w:rsidP="0017616E">
      <w:pPr>
        <w:pStyle w:val="Documenttitle"/>
        <w:spacing w:after="120" w:line="300" w:lineRule="auto"/>
      </w:pPr>
    </w:p>
    <w:p w14:paraId="15E0AABE" w14:textId="2AEE27BC" w:rsidR="0000701F" w:rsidRPr="009E3347" w:rsidRDefault="00CB4CF1" w:rsidP="008447E8">
      <w:pPr>
        <w:pStyle w:val="Documenttitle"/>
        <w:spacing w:after="120" w:line="300" w:lineRule="auto"/>
        <w:jc w:val="center"/>
        <w:rPr>
          <w:color w:val="08314C"/>
          <w:sz w:val="72"/>
          <w:szCs w:val="72"/>
        </w:rPr>
      </w:pPr>
      <w:r>
        <w:rPr>
          <w:color w:val="08314C"/>
          <w:sz w:val="72"/>
          <w:szCs w:val="72"/>
        </w:rPr>
        <w:t>2026/27</w:t>
      </w:r>
      <w:r w:rsidR="00220B03">
        <w:rPr>
          <w:color w:val="08314C"/>
          <w:sz w:val="72"/>
          <w:szCs w:val="72"/>
        </w:rPr>
        <w:t xml:space="preserve"> </w:t>
      </w:r>
      <w:r w:rsidR="00321570" w:rsidRPr="009E3347">
        <w:rPr>
          <w:color w:val="08314C"/>
          <w:sz w:val="72"/>
          <w:szCs w:val="72"/>
        </w:rPr>
        <w:t>Budget Share</w:t>
      </w:r>
    </w:p>
    <w:p w14:paraId="4CE7C429" w14:textId="77777777" w:rsidR="00321570" w:rsidRPr="009E3347" w:rsidRDefault="00321570" w:rsidP="008447E8">
      <w:pPr>
        <w:pStyle w:val="Documenttitle"/>
        <w:spacing w:after="120" w:line="300" w:lineRule="auto"/>
        <w:jc w:val="center"/>
        <w:rPr>
          <w:color w:val="08314C"/>
          <w:sz w:val="72"/>
          <w:szCs w:val="72"/>
        </w:rPr>
      </w:pPr>
    </w:p>
    <w:p w14:paraId="3BC88F6A" w14:textId="14EAC5D5" w:rsidR="00321570" w:rsidRPr="009E3347" w:rsidRDefault="00321570" w:rsidP="008447E8">
      <w:pPr>
        <w:pStyle w:val="Documenttitle"/>
        <w:spacing w:after="120" w:line="300" w:lineRule="auto"/>
        <w:jc w:val="center"/>
        <w:rPr>
          <w:color w:val="08314C"/>
          <w:sz w:val="72"/>
          <w:szCs w:val="72"/>
        </w:rPr>
      </w:pPr>
      <w:r w:rsidRPr="009E3347">
        <w:rPr>
          <w:color w:val="08314C"/>
          <w:sz w:val="72"/>
          <w:szCs w:val="72"/>
        </w:rPr>
        <w:t>Guidance Notes</w:t>
      </w:r>
    </w:p>
    <w:p w14:paraId="7A50E068" w14:textId="77777777" w:rsidR="00321570" w:rsidRPr="009E3347" w:rsidRDefault="00321570" w:rsidP="008447E8">
      <w:pPr>
        <w:pStyle w:val="Documenttitle"/>
        <w:spacing w:after="120" w:line="300" w:lineRule="auto"/>
        <w:jc w:val="center"/>
        <w:rPr>
          <w:color w:val="08314C"/>
          <w:sz w:val="72"/>
          <w:szCs w:val="72"/>
        </w:rPr>
      </w:pPr>
    </w:p>
    <w:p w14:paraId="58290D5D" w14:textId="5DC56E8A" w:rsidR="00321570" w:rsidRPr="009E3347" w:rsidRDefault="00321570" w:rsidP="008447E8">
      <w:pPr>
        <w:pStyle w:val="Documenttitle"/>
        <w:spacing w:after="120" w:line="300" w:lineRule="auto"/>
        <w:jc w:val="center"/>
        <w:rPr>
          <w:color w:val="08314C"/>
          <w:sz w:val="72"/>
          <w:szCs w:val="72"/>
        </w:rPr>
      </w:pPr>
      <w:r w:rsidRPr="009E3347">
        <w:rPr>
          <w:color w:val="08314C"/>
          <w:sz w:val="72"/>
          <w:szCs w:val="72"/>
        </w:rPr>
        <w:t>Resourced Provision</w:t>
      </w:r>
    </w:p>
    <w:p w14:paraId="12C43DBC" w14:textId="77777777" w:rsidR="0005413C" w:rsidRDefault="0005413C" w:rsidP="0017616E">
      <w:pPr>
        <w:spacing w:after="120" w:line="300" w:lineRule="auto"/>
      </w:pPr>
    </w:p>
    <w:p w14:paraId="293A911D" w14:textId="77777777" w:rsidR="0005413C" w:rsidRDefault="0005413C" w:rsidP="0017616E">
      <w:pPr>
        <w:spacing w:after="120" w:line="300" w:lineRule="auto"/>
      </w:pPr>
    </w:p>
    <w:p w14:paraId="4637356C" w14:textId="77777777" w:rsidR="0005413C" w:rsidRDefault="0005413C" w:rsidP="0017616E">
      <w:pPr>
        <w:spacing w:after="120" w:line="300" w:lineRule="auto"/>
      </w:pPr>
    </w:p>
    <w:p w14:paraId="314939A3" w14:textId="77777777" w:rsidR="0005413C" w:rsidRDefault="0005413C" w:rsidP="0017616E">
      <w:pPr>
        <w:spacing w:after="120" w:line="300" w:lineRule="auto"/>
      </w:pPr>
    </w:p>
    <w:p w14:paraId="47C7E17E" w14:textId="77777777" w:rsidR="0005413C" w:rsidRDefault="0005413C" w:rsidP="0017616E">
      <w:pPr>
        <w:spacing w:after="120" w:line="300" w:lineRule="auto"/>
      </w:pPr>
    </w:p>
    <w:p w14:paraId="76ED170A" w14:textId="77777777" w:rsidR="0005413C" w:rsidRDefault="0005413C" w:rsidP="0017616E">
      <w:pPr>
        <w:spacing w:after="120" w:line="300" w:lineRule="auto"/>
      </w:pPr>
    </w:p>
    <w:p w14:paraId="2ADFE4BC" w14:textId="77777777" w:rsidR="0005413C" w:rsidRDefault="0005413C" w:rsidP="0017616E">
      <w:pPr>
        <w:spacing w:after="120" w:line="300" w:lineRule="auto"/>
      </w:pPr>
    </w:p>
    <w:p w14:paraId="2D3368AE" w14:textId="77777777" w:rsidR="0005413C" w:rsidRDefault="0005413C" w:rsidP="0017616E">
      <w:pPr>
        <w:spacing w:after="120" w:line="300" w:lineRule="auto"/>
      </w:pPr>
    </w:p>
    <w:p w14:paraId="46EA77E3" w14:textId="77777777" w:rsidR="0005413C" w:rsidRDefault="0005413C" w:rsidP="0017616E">
      <w:pPr>
        <w:spacing w:after="120" w:line="300" w:lineRule="auto"/>
      </w:pPr>
    </w:p>
    <w:p w14:paraId="6702F145" w14:textId="1F17C4F8" w:rsidR="0000701F" w:rsidRDefault="008218F0" w:rsidP="0017616E">
      <w:pPr>
        <w:spacing w:after="120" w:line="300" w:lineRule="auto"/>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5BF6BF0B" wp14:editId="2332EE2C">
            <wp:simplePos x="0" y="0"/>
            <wp:positionH relativeFrom="column">
              <wp:posOffset>-952500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05413C">
        <w:t>February 202</w:t>
      </w:r>
      <w:r w:rsidR="000F230A">
        <w:t>6</w:t>
      </w:r>
      <w:r w:rsidR="0000701F">
        <w:br w:type="page"/>
      </w:r>
    </w:p>
    <w:p w14:paraId="76EED162" w14:textId="77777777" w:rsidR="002F2A47" w:rsidRDefault="00863A0F" w:rsidP="0017616E">
      <w:pPr>
        <w:pStyle w:val="Contentsh1"/>
        <w:spacing w:after="120" w:line="300" w:lineRule="auto"/>
      </w:pPr>
      <w:r w:rsidRPr="0005413C">
        <w:rPr>
          <w:sz w:val="56"/>
          <w:szCs w:val="56"/>
        </w:rPr>
        <w:lastRenderedPageBreak/>
        <w:t>Contents</w:t>
      </w:r>
    </w:p>
    <w:p w14:paraId="42E39D54" w14:textId="77777777" w:rsidR="00655C8C" w:rsidRDefault="00655C8C" w:rsidP="0017616E">
      <w:pPr>
        <w:pStyle w:val="TOC1"/>
        <w:tabs>
          <w:tab w:val="right" w:leader="dot" w:pos="9016"/>
        </w:tabs>
        <w:spacing w:after="120" w:line="300" w:lineRule="auto"/>
      </w:pPr>
    </w:p>
    <w:p w14:paraId="62403A9F" w14:textId="7E31786A" w:rsidR="00E47BCA" w:rsidRDefault="002F2A47" w:rsidP="00DB47F1">
      <w:pPr>
        <w:pStyle w:val="TOC1"/>
        <w:tabs>
          <w:tab w:val="right" w:leader="dot" w:pos="8850"/>
        </w:tabs>
        <w:spacing w:after="120" w:line="300" w:lineRule="auto"/>
        <w:rPr>
          <w:rFonts w:asciiTheme="minorHAnsi" w:eastAsiaTheme="minorEastAsia" w:hAnsiTheme="minorHAnsi" w:cstheme="minorBidi"/>
          <w:noProof/>
          <w:lang w:eastAsia="en-GB"/>
        </w:rPr>
      </w:pPr>
      <w:r>
        <w:fldChar w:fldCharType="begin"/>
      </w:r>
      <w:r>
        <w:instrText xml:space="preserve"> TOC \o "1-2" \h \z \t "h1,1,h2,2" </w:instrText>
      </w:r>
      <w:r>
        <w:fldChar w:fldCharType="separate"/>
      </w:r>
      <w:hyperlink w:anchor="_Toc219822339" w:history="1">
        <w:r w:rsidR="00E47BCA" w:rsidRPr="00057C7B">
          <w:rPr>
            <w:rStyle w:val="Hyperlink"/>
            <w:noProof/>
          </w:rPr>
          <w:t>General Information</w:t>
        </w:r>
        <w:r w:rsidR="00E47BCA">
          <w:rPr>
            <w:noProof/>
            <w:webHidden/>
          </w:rPr>
          <w:tab/>
        </w:r>
        <w:r w:rsidR="00E47BCA">
          <w:rPr>
            <w:noProof/>
            <w:webHidden/>
          </w:rPr>
          <w:fldChar w:fldCharType="begin"/>
        </w:r>
        <w:r w:rsidR="00E47BCA">
          <w:rPr>
            <w:noProof/>
            <w:webHidden/>
          </w:rPr>
          <w:instrText xml:space="preserve"> PAGEREF _Toc219822339 \h </w:instrText>
        </w:r>
        <w:r w:rsidR="00E47BCA">
          <w:rPr>
            <w:noProof/>
            <w:webHidden/>
          </w:rPr>
        </w:r>
        <w:r w:rsidR="00E47BCA">
          <w:rPr>
            <w:noProof/>
            <w:webHidden/>
          </w:rPr>
          <w:fldChar w:fldCharType="separate"/>
        </w:r>
        <w:r w:rsidR="00E47BCA">
          <w:rPr>
            <w:noProof/>
            <w:webHidden/>
          </w:rPr>
          <w:t>3</w:t>
        </w:r>
        <w:r w:rsidR="00E47BCA">
          <w:rPr>
            <w:noProof/>
            <w:webHidden/>
          </w:rPr>
          <w:fldChar w:fldCharType="end"/>
        </w:r>
      </w:hyperlink>
    </w:p>
    <w:p w14:paraId="5515CF1C" w14:textId="62423709"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0" w:history="1">
        <w:r w:rsidRPr="00057C7B">
          <w:rPr>
            <w:rStyle w:val="Hyperlink"/>
            <w:noProof/>
          </w:rPr>
          <w:t>Changes for 2026/27</w:t>
        </w:r>
        <w:r>
          <w:rPr>
            <w:noProof/>
            <w:webHidden/>
          </w:rPr>
          <w:tab/>
        </w:r>
        <w:r>
          <w:rPr>
            <w:noProof/>
            <w:webHidden/>
          </w:rPr>
          <w:fldChar w:fldCharType="begin"/>
        </w:r>
        <w:r>
          <w:rPr>
            <w:noProof/>
            <w:webHidden/>
          </w:rPr>
          <w:instrText xml:space="preserve"> PAGEREF _Toc219822340 \h </w:instrText>
        </w:r>
        <w:r>
          <w:rPr>
            <w:noProof/>
            <w:webHidden/>
          </w:rPr>
        </w:r>
        <w:r>
          <w:rPr>
            <w:noProof/>
            <w:webHidden/>
          </w:rPr>
          <w:fldChar w:fldCharType="separate"/>
        </w:r>
        <w:r>
          <w:rPr>
            <w:noProof/>
            <w:webHidden/>
          </w:rPr>
          <w:t>4</w:t>
        </w:r>
        <w:r>
          <w:rPr>
            <w:noProof/>
            <w:webHidden/>
          </w:rPr>
          <w:fldChar w:fldCharType="end"/>
        </w:r>
      </w:hyperlink>
    </w:p>
    <w:p w14:paraId="40B74DD9" w14:textId="1EC23E8F"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1" w:history="1">
        <w:r w:rsidRPr="00057C7B">
          <w:rPr>
            <w:rStyle w:val="Hyperlink"/>
            <w:noProof/>
          </w:rPr>
          <w:t>Contacts for Queries</w:t>
        </w:r>
        <w:r>
          <w:rPr>
            <w:noProof/>
            <w:webHidden/>
          </w:rPr>
          <w:tab/>
        </w:r>
        <w:r>
          <w:rPr>
            <w:noProof/>
            <w:webHidden/>
          </w:rPr>
          <w:fldChar w:fldCharType="begin"/>
        </w:r>
        <w:r>
          <w:rPr>
            <w:noProof/>
            <w:webHidden/>
          </w:rPr>
          <w:instrText xml:space="preserve"> PAGEREF _Toc219822341 \h </w:instrText>
        </w:r>
        <w:r>
          <w:rPr>
            <w:noProof/>
            <w:webHidden/>
          </w:rPr>
        </w:r>
        <w:r>
          <w:rPr>
            <w:noProof/>
            <w:webHidden/>
          </w:rPr>
          <w:fldChar w:fldCharType="separate"/>
        </w:r>
        <w:r>
          <w:rPr>
            <w:noProof/>
            <w:webHidden/>
          </w:rPr>
          <w:t>4</w:t>
        </w:r>
        <w:r>
          <w:rPr>
            <w:noProof/>
            <w:webHidden/>
          </w:rPr>
          <w:fldChar w:fldCharType="end"/>
        </w:r>
      </w:hyperlink>
    </w:p>
    <w:p w14:paraId="53324E28" w14:textId="598C1CEE"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2" w:history="1">
        <w:r w:rsidRPr="00057C7B">
          <w:rPr>
            <w:rStyle w:val="Hyperlink"/>
            <w:noProof/>
          </w:rPr>
          <w:t>Allocation of Resourced Provision Funding</w:t>
        </w:r>
        <w:r>
          <w:rPr>
            <w:noProof/>
            <w:webHidden/>
          </w:rPr>
          <w:tab/>
        </w:r>
        <w:r>
          <w:rPr>
            <w:noProof/>
            <w:webHidden/>
          </w:rPr>
          <w:fldChar w:fldCharType="begin"/>
        </w:r>
        <w:r>
          <w:rPr>
            <w:noProof/>
            <w:webHidden/>
          </w:rPr>
          <w:instrText xml:space="preserve"> PAGEREF _Toc219822342 \h </w:instrText>
        </w:r>
        <w:r>
          <w:rPr>
            <w:noProof/>
            <w:webHidden/>
          </w:rPr>
        </w:r>
        <w:r>
          <w:rPr>
            <w:noProof/>
            <w:webHidden/>
          </w:rPr>
          <w:fldChar w:fldCharType="separate"/>
        </w:r>
        <w:r>
          <w:rPr>
            <w:noProof/>
            <w:webHidden/>
          </w:rPr>
          <w:t>5</w:t>
        </w:r>
        <w:r>
          <w:rPr>
            <w:noProof/>
            <w:webHidden/>
          </w:rPr>
          <w:fldChar w:fldCharType="end"/>
        </w:r>
      </w:hyperlink>
    </w:p>
    <w:p w14:paraId="4BED2395" w14:textId="54825A2F"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3" w:history="1">
        <w:r w:rsidRPr="00057C7B">
          <w:rPr>
            <w:rStyle w:val="Hyperlink"/>
            <w:noProof/>
          </w:rPr>
          <w:t>Budget Share and Indicative Top-up Funding</w:t>
        </w:r>
        <w:r>
          <w:rPr>
            <w:noProof/>
            <w:webHidden/>
          </w:rPr>
          <w:tab/>
        </w:r>
        <w:r>
          <w:rPr>
            <w:noProof/>
            <w:webHidden/>
          </w:rPr>
          <w:fldChar w:fldCharType="begin"/>
        </w:r>
        <w:r>
          <w:rPr>
            <w:noProof/>
            <w:webHidden/>
          </w:rPr>
          <w:instrText xml:space="preserve"> PAGEREF _Toc219822343 \h </w:instrText>
        </w:r>
        <w:r>
          <w:rPr>
            <w:noProof/>
            <w:webHidden/>
          </w:rPr>
        </w:r>
        <w:r>
          <w:rPr>
            <w:noProof/>
            <w:webHidden/>
          </w:rPr>
          <w:fldChar w:fldCharType="separate"/>
        </w:r>
        <w:r>
          <w:rPr>
            <w:noProof/>
            <w:webHidden/>
          </w:rPr>
          <w:t>6</w:t>
        </w:r>
        <w:r>
          <w:rPr>
            <w:noProof/>
            <w:webHidden/>
          </w:rPr>
          <w:fldChar w:fldCharType="end"/>
        </w:r>
      </w:hyperlink>
    </w:p>
    <w:p w14:paraId="637AD6CE" w14:textId="24DB005A"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4" w:history="1">
        <w:r w:rsidRPr="00057C7B">
          <w:rPr>
            <w:rStyle w:val="Hyperlink"/>
            <w:noProof/>
          </w:rPr>
          <w:t>Place Funding</w:t>
        </w:r>
        <w:r>
          <w:rPr>
            <w:noProof/>
            <w:webHidden/>
          </w:rPr>
          <w:tab/>
        </w:r>
        <w:r>
          <w:rPr>
            <w:noProof/>
            <w:webHidden/>
          </w:rPr>
          <w:fldChar w:fldCharType="begin"/>
        </w:r>
        <w:r>
          <w:rPr>
            <w:noProof/>
            <w:webHidden/>
          </w:rPr>
          <w:instrText xml:space="preserve"> PAGEREF _Toc219822344 \h </w:instrText>
        </w:r>
        <w:r>
          <w:rPr>
            <w:noProof/>
            <w:webHidden/>
          </w:rPr>
        </w:r>
        <w:r>
          <w:rPr>
            <w:noProof/>
            <w:webHidden/>
          </w:rPr>
          <w:fldChar w:fldCharType="separate"/>
        </w:r>
        <w:r>
          <w:rPr>
            <w:noProof/>
            <w:webHidden/>
          </w:rPr>
          <w:t>6</w:t>
        </w:r>
        <w:r>
          <w:rPr>
            <w:noProof/>
            <w:webHidden/>
          </w:rPr>
          <w:fldChar w:fldCharType="end"/>
        </w:r>
      </w:hyperlink>
    </w:p>
    <w:p w14:paraId="7A8F8834" w14:textId="766D50DC"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5" w:history="1">
        <w:r w:rsidRPr="00057C7B">
          <w:rPr>
            <w:rStyle w:val="Hyperlink"/>
            <w:noProof/>
          </w:rPr>
          <w:t>High Needs Additional Funding for 2026/27</w:t>
        </w:r>
        <w:r>
          <w:rPr>
            <w:noProof/>
            <w:webHidden/>
          </w:rPr>
          <w:tab/>
        </w:r>
        <w:r>
          <w:rPr>
            <w:noProof/>
            <w:webHidden/>
          </w:rPr>
          <w:fldChar w:fldCharType="begin"/>
        </w:r>
        <w:r>
          <w:rPr>
            <w:noProof/>
            <w:webHidden/>
          </w:rPr>
          <w:instrText xml:space="preserve"> PAGEREF _Toc219822345 \h </w:instrText>
        </w:r>
        <w:r>
          <w:rPr>
            <w:noProof/>
            <w:webHidden/>
          </w:rPr>
        </w:r>
        <w:r>
          <w:rPr>
            <w:noProof/>
            <w:webHidden/>
          </w:rPr>
          <w:fldChar w:fldCharType="separate"/>
        </w:r>
        <w:r>
          <w:rPr>
            <w:noProof/>
            <w:webHidden/>
          </w:rPr>
          <w:t>6</w:t>
        </w:r>
        <w:r>
          <w:rPr>
            <w:noProof/>
            <w:webHidden/>
          </w:rPr>
          <w:fldChar w:fldCharType="end"/>
        </w:r>
      </w:hyperlink>
    </w:p>
    <w:p w14:paraId="6F693E41" w14:textId="2BA6E5DD"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6" w:history="1">
        <w:r w:rsidRPr="00057C7B">
          <w:rPr>
            <w:rStyle w:val="Hyperlink"/>
            <w:noProof/>
          </w:rPr>
          <w:t>Legacy Funding</w:t>
        </w:r>
        <w:r>
          <w:rPr>
            <w:noProof/>
            <w:webHidden/>
          </w:rPr>
          <w:tab/>
        </w:r>
        <w:r>
          <w:rPr>
            <w:noProof/>
            <w:webHidden/>
          </w:rPr>
          <w:fldChar w:fldCharType="begin"/>
        </w:r>
        <w:r>
          <w:rPr>
            <w:noProof/>
            <w:webHidden/>
          </w:rPr>
          <w:instrText xml:space="preserve"> PAGEREF _Toc219822346 \h </w:instrText>
        </w:r>
        <w:r>
          <w:rPr>
            <w:noProof/>
            <w:webHidden/>
          </w:rPr>
        </w:r>
        <w:r>
          <w:rPr>
            <w:noProof/>
            <w:webHidden/>
          </w:rPr>
          <w:fldChar w:fldCharType="separate"/>
        </w:r>
        <w:r>
          <w:rPr>
            <w:noProof/>
            <w:webHidden/>
          </w:rPr>
          <w:t>7</w:t>
        </w:r>
        <w:r>
          <w:rPr>
            <w:noProof/>
            <w:webHidden/>
          </w:rPr>
          <w:fldChar w:fldCharType="end"/>
        </w:r>
      </w:hyperlink>
    </w:p>
    <w:p w14:paraId="33863E1F" w14:textId="2311C06F"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47" w:history="1">
        <w:r w:rsidRPr="00057C7B">
          <w:rPr>
            <w:rStyle w:val="Hyperlink"/>
            <w:noProof/>
          </w:rPr>
          <w:t>Top-up Funding</w:t>
        </w:r>
        <w:r>
          <w:rPr>
            <w:noProof/>
            <w:webHidden/>
          </w:rPr>
          <w:tab/>
        </w:r>
        <w:r>
          <w:rPr>
            <w:noProof/>
            <w:webHidden/>
          </w:rPr>
          <w:fldChar w:fldCharType="begin"/>
        </w:r>
        <w:r>
          <w:rPr>
            <w:noProof/>
            <w:webHidden/>
          </w:rPr>
          <w:instrText xml:space="preserve"> PAGEREF _Toc219822347 \h </w:instrText>
        </w:r>
        <w:r>
          <w:rPr>
            <w:noProof/>
            <w:webHidden/>
          </w:rPr>
        </w:r>
        <w:r>
          <w:rPr>
            <w:noProof/>
            <w:webHidden/>
          </w:rPr>
          <w:fldChar w:fldCharType="separate"/>
        </w:r>
        <w:r>
          <w:rPr>
            <w:noProof/>
            <w:webHidden/>
          </w:rPr>
          <w:t>7</w:t>
        </w:r>
        <w:r>
          <w:rPr>
            <w:noProof/>
            <w:webHidden/>
          </w:rPr>
          <w:fldChar w:fldCharType="end"/>
        </w:r>
      </w:hyperlink>
    </w:p>
    <w:p w14:paraId="400A0480" w14:textId="333B09FB" w:rsidR="00E47BCA" w:rsidRDefault="00E47BCA" w:rsidP="00DB47F1">
      <w:pPr>
        <w:pStyle w:val="TOC2"/>
        <w:tabs>
          <w:tab w:val="left" w:pos="720"/>
          <w:tab w:val="right" w:leader="dot" w:pos="8850"/>
        </w:tabs>
        <w:spacing w:after="120" w:line="300" w:lineRule="auto"/>
        <w:rPr>
          <w:rFonts w:asciiTheme="minorHAnsi" w:eastAsiaTheme="minorEastAsia" w:hAnsiTheme="minorHAnsi" w:cstheme="minorBidi"/>
          <w:noProof/>
          <w:lang w:eastAsia="en-GB"/>
        </w:rPr>
      </w:pPr>
      <w:hyperlink w:anchor="_Toc219822348" w:history="1">
        <w:r w:rsidRPr="00057C7B">
          <w:rPr>
            <w:rStyle w:val="Hyperlink"/>
            <w:noProof/>
          </w:rPr>
          <w:t>1)</w:t>
        </w:r>
        <w:r>
          <w:rPr>
            <w:rFonts w:asciiTheme="minorHAnsi" w:eastAsiaTheme="minorEastAsia" w:hAnsiTheme="minorHAnsi" w:cstheme="minorBidi"/>
            <w:noProof/>
            <w:lang w:eastAsia="en-GB"/>
          </w:rPr>
          <w:tab/>
        </w:r>
        <w:r w:rsidRPr="00057C7B">
          <w:rPr>
            <w:rStyle w:val="Hyperlink"/>
            <w:noProof/>
          </w:rPr>
          <w:t>Need Type</w:t>
        </w:r>
        <w:r>
          <w:rPr>
            <w:noProof/>
            <w:webHidden/>
          </w:rPr>
          <w:tab/>
        </w:r>
        <w:r>
          <w:rPr>
            <w:noProof/>
            <w:webHidden/>
          </w:rPr>
          <w:fldChar w:fldCharType="begin"/>
        </w:r>
        <w:r>
          <w:rPr>
            <w:noProof/>
            <w:webHidden/>
          </w:rPr>
          <w:instrText xml:space="preserve"> PAGEREF _Toc219822348 \h </w:instrText>
        </w:r>
        <w:r>
          <w:rPr>
            <w:noProof/>
            <w:webHidden/>
          </w:rPr>
        </w:r>
        <w:r>
          <w:rPr>
            <w:noProof/>
            <w:webHidden/>
          </w:rPr>
          <w:fldChar w:fldCharType="separate"/>
        </w:r>
        <w:r>
          <w:rPr>
            <w:noProof/>
            <w:webHidden/>
          </w:rPr>
          <w:t>8</w:t>
        </w:r>
        <w:r>
          <w:rPr>
            <w:noProof/>
            <w:webHidden/>
          </w:rPr>
          <w:fldChar w:fldCharType="end"/>
        </w:r>
      </w:hyperlink>
    </w:p>
    <w:p w14:paraId="5B5B8927" w14:textId="002E824E" w:rsidR="00E47BCA" w:rsidRDefault="00E47BCA" w:rsidP="00DB47F1">
      <w:pPr>
        <w:pStyle w:val="TOC2"/>
        <w:tabs>
          <w:tab w:val="left" w:pos="720"/>
          <w:tab w:val="right" w:leader="dot" w:pos="8850"/>
        </w:tabs>
        <w:spacing w:after="120" w:line="300" w:lineRule="auto"/>
        <w:rPr>
          <w:rFonts w:asciiTheme="minorHAnsi" w:eastAsiaTheme="minorEastAsia" w:hAnsiTheme="minorHAnsi" w:cstheme="minorBidi"/>
          <w:noProof/>
          <w:lang w:eastAsia="en-GB"/>
        </w:rPr>
      </w:pPr>
      <w:hyperlink w:anchor="_Toc219822349" w:history="1">
        <w:r w:rsidRPr="00057C7B">
          <w:rPr>
            <w:rStyle w:val="Hyperlink"/>
            <w:noProof/>
          </w:rPr>
          <w:t>2)</w:t>
        </w:r>
        <w:r>
          <w:rPr>
            <w:rFonts w:asciiTheme="minorHAnsi" w:eastAsiaTheme="minorEastAsia" w:hAnsiTheme="minorHAnsi" w:cstheme="minorBidi"/>
            <w:noProof/>
            <w:lang w:eastAsia="en-GB"/>
          </w:rPr>
          <w:tab/>
        </w:r>
        <w:r w:rsidRPr="00057C7B">
          <w:rPr>
            <w:rStyle w:val="Hyperlink"/>
            <w:noProof/>
          </w:rPr>
          <w:t>Signers / Tactile Learners</w:t>
        </w:r>
        <w:r>
          <w:rPr>
            <w:noProof/>
            <w:webHidden/>
          </w:rPr>
          <w:tab/>
        </w:r>
        <w:r>
          <w:rPr>
            <w:noProof/>
            <w:webHidden/>
          </w:rPr>
          <w:fldChar w:fldCharType="begin"/>
        </w:r>
        <w:r>
          <w:rPr>
            <w:noProof/>
            <w:webHidden/>
          </w:rPr>
          <w:instrText xml:space="preserve"> PAGEREF _Toc219822349 \h </w:instrText>
        </w:r>
        <w:r>
          <w:rPr>
            <w:noProof/>
            <w:webHidden/>
          </w:rPr>
        </w:r>
        <w:r>
          <w:rPr>
            <w:noProof/>
            <w:webHidden/>
          </w:rPr>
          <w:fldChar w:fldCharType="separate"/>
        </w:r>
        <w:r>
          <w:rPr>
            <w:noProof/>
            <w:webHidden/>
          </w:rPr>
          <w:t>8</w:t>
        </w:r>
        <w:r>
          <w:rPr>
            <w:noProof/>
            <w:webHidden/>
          </w:rPr>
          <w:fldChar w:fldCharType="end"/>
        </w:r>
      </w:hyperlink>
    </w:p>
    <w:p w14:paraId="61A97129" w14:textId="088319E6" w:rsidR="00E47BCA" w:rsidRDefault="00E47BCA" w:rsidP="00DB47F1">
      <w:pPr>
        <w:pStyle w:val="TOC2"/>
        <w:tabs>
          <w:tab w:val="left" w:pos="720"/>
          <w:tab w:val="right" w:leader="dot" w:pos="8850"/>
        </w:tabs>
        <w:spacing w:after="120" w:line="300" w:lineRule="auto"/>
        <w:rPr>
          <w:rFonts w:asciiTheme="minorHAnsi" w:eastAsiaTheme="minorEastAsia" w:hAnsiTheme="minorHAnsi" w:cstheme="minorBidi"/>
          <w:noProof/>
          <w:lang w:eastAsia="en-GB"/>
        </w:rPr>
      </w:pPr>
      <w:hyperlink w:anchor="_Toc219822350" w:history="1">
        <w:r w:rsidRPr="00057C7B">
          <w:rPr>
            <w:rStyle w:val="Hyperlink"/>
            <w:noProof/>
          </w:rPr>
          <w:t>3)</w:t>
        </w:r>
        <w:r>
          <w:rPr>
            <w:rFonts w:asciiTheme="minorHAnsi" w:eastAsiaTheme="minorEastAsia" w:hAnsiTheme="minorHAnsi" w:cstheme="minorBidi"/>
            <w:noProof/>
            <w:lang w:eastAsia="en-GB"/>
          </w:rPr>
          <w:tab/>
        </w:r>
        <w:r w:rsidRPr="00057C7B">
          <w:rPr>
            <w:rStyle w:val="Hyperlink"/>
            <w:noProof/>
          </w:rPr>
          <w:t>Minimum Funding Guarantee (MFG)</w:t>
        </w:r>
        <w:r>
          <w:rPr>
            <w:noProof/>
            <w:webHidden/>
          </w:rPr>
          <w:tab/>
        </w:r>
        <w:r>
          <w:rPr>
            <w:noProof/>
            <w:webHidden/>
          </w:rPr>
          <w:fldChar w:fldCharType="begin"/>
        </w:r>
        <w:r>
          <w:rPr>
            <w:noProof/>
            <w:webHidden/>
          </w:rPr>
          <w:instrText xml:space="preserve"> PAGEREF _Toc219822350 \h </w:instrText>
        </w:r>
        <w:r>
          <w:rPr>
            <w:noProof/>
            <w:webHidden/>
          </w:rPr>
        </w:r>
        <w:r>
          <w:rPr>
            <w:noProof/>
            <w:webHidden/>
          </w:rPr>
          <w:fldChar w:fldCharType="separate"/>
        </w:r>
        <w:r>
          <w:rPr>
            <w:noProof/>
            <w:webHidden/>
          </w:rPr>
          <w:t>8</w:t>
        </w:r>
        <w:r>
          <w:rPr>
            <w:noProof/>
            <w:webHidden/>
          </w:rPr>
          <w:fldChar w:fldCharType="end"/>
        </w:r>
      </w:hyperlink>
    </w:p>
    <w:p w14:paraId="3C67237D" w14:textId="192F610C"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51" w:history="1">
        <w:r w:rsidRPr="00057C7B">
          <w:rPr>
            <w:rStyle w:val="Hyperlink"/>
            <w:noProof/>
          </w:rPr>
          <w:t>Additional Information</w:t>
        </w:r>
        <w:r>
          <w:rPr>
            <w:noProof/>
            <w:webHidden/>
          </w:rPr>
          <w:tab/>
        </w:r>
        <w:r>
          <w:rPr>
            <w:noProof/>
            <w:webHidden/>
          </w:rPr>
          <w:fldChar w:fldCharType="begin"/>
        </w:r>
        <w:r>
          <w:rPr>
            <w:noProof/>
            <w:webHidden/>
          </w:rPr>
          <w:instrText xml:space="preserve"> PAGEREF _Toc219822351 \h </w:instrText>
        </w:r>
        <w:r>
          <w:rPr>
            <w:noProof/>
            <w:webHidden/>
          </w:rPr>
        </w:r>
        <w:r>
          <w:rPr>
            <w:noProof/>
            <w:webHidden/>
          </w:rPr>
          <w:fldChar w:fldCharType="separate"/>
        </w:r>
        <w:r>
          <w:rPr>
            <w:noProof/>
            <w:webHidden/>
          </w:rPr>
          <w:t>10</w:t>
        </w:r>
        <w:r>
          <w:rPr>
            <w:noProof/>
            <w:webHidden/>
          </w:rPr>
          <w:fldChar w:fldCharType="end"/>
        </w:r>
      </w:hyperlink>
    </w:p>
    <w:p w14:paraId="5BC933F9" w14:textId="3779DFA3" w:rsidR="00E47BCA" w:rsidRDefault="00E47BCA" w:rsidP="00DB47F1">
      <w:pPr>
        <w:pStyle w:val="TOC2"/>
        <w:tabs>
          <w:tab w:val="left" w:pos="720"/>
          <w:tab w:val="right" w:leader="dot" w:pos="8850"/>
        </w:tabs>
        <w:spacing w:after="120" w:line="300" w:lineRule="auto"/>
        <w:rPr>
          <w:rFonts w:asciiTheme="minorHAnsi" w:eastAsiaTheme="minorEastAsia" w:hAnsiTheme="minorHAnsi" w:cstheme="minorBidi"/>
          <w:noProof/>
          <w:lang w:eastAsia="en-GB"/>
        </w:rPr>
      </w:pPr>
      <w:hyperlink w:anchor="_Toc219822352" w:history="1">
        <w:r w:rsidRPr="00057C7B">
          <w:rPr>
            <w:rStyle w:val="Hyperlink"/>
            <w:noProof/>
          </w:rPr>
          <w:t>4)</w:t>
        </w:r>
        <w:r>
          <w:rPr>
            <w:rFonts w:asciiTheme="minorHAnsi" w:eastAsiaTheme="minorEastAsia" w:hAnsiTheme="minorHAnsi" w:cstheme="minorBidi"/>
            <w:noProof/>
            <w:lang w:eastAsia="en-GB"/>
          </w:rPr>
          <w:tab/>
        </w:r>
        <w:r w:rsidRPr="00057C7B">
          <w:rPr>
            <w:rStyle w:val="Hyperlink"/>
            <w:noProof/>
          </w:rPr>
          <w:t>Top-up Funding for Pupils from Other Local Authorities (OLAs)</w:t>
        </w:r>
        <w:r>
          <w:rPr>
            <w:noProof/>
            <w:webHidden/>
          </w:rPr>
          <w:tab/>
        </w:r>
        <w:r>
          <w:rPr>
            <w:noProof/>
            <w:webHidden/>
          </w:rPr>
          <w:fldChar w:fldCharType="begin"/>
        </w:r>
        <w:r>
          <w:rPr>
            <w:noProof/>
            <w:webHidden/>
          </w:rPr>
          <w:instrText xml:space="preserve"> PAGEREF _Toc219822352 \h </w:instrText>
        </w:r>
        <w:r>
          <w:rPr>
            <w:noProof/>
            <w:webHidden/>
          </w:rPr>
        </w:r>
        <w:r>
          <w:rPr>
            <w:noProof/>
            <w:webHidden/>
          </w:rPr>
          <w:fldChar w:fldCharType="separate"/>
        </w:r>
        <w:r>
          <w:rPr>
            <w:noProof/>
            <w:webHidden/>
          </w:rPr>
          <w:t>10</w:t>
        </w:r>
        <w:r>
          <w:rPr>
            <w:noProof/>
            <w:webHidden/>
          </w:rPr>
          <w:fldChar w:fldCharType="end"/>
        </w:r>
      </w:hyperlink>
    </w:p>
    <w:p w14:paraId="50DBAED3" w14:textId="68CA5484" w:rsidR="00E47BCA" w:rsidRDefault="00E47BCA" w:rsidP="00DB47F1">
      <w:pPr>
        <w:pStyle w:val="TOC2"/>
        <w:tabs>
          <w:tab w:val="left" w:pos="720"/>
          <w:tab w:val="right" w:leader="dot" w:pos="8850"/>
        </w:tabs>
        <w:spacing w:after="120" w:line="300" w:lineRule="auto"/>
        <w:rPr>
          <w:rFonts w:asciiTheme="minorHAnsi" w:eastAsiaTheme="minorEastAsia" w:hAnsiTheme="minorHAnsi" w:cstheme="minorBidi"/>
          <w:noProof/>
          <w:lang w:eastAsia="en-GB"/>
        </w:rPr>
      </w:pPr>
      <w:hyperlink w:anchor="_Toc219822353" w:history="1">
        <w:r w:rsidRPr="00057C7B">
          <w:rPr>
            <w:rStyle w:val="Hyperlink"/>
            <w:noProof/>
            <w:spacing w:val="1"/>
          </w:rPr>
          <w:t>5)</w:t>
        </w:r>
        <w:r>
          <w:rPr>
            <w:rFonts w:asciiTheme="minorHAnsi" w:eastAsiaTheme="minorEastAsia" w:hAnsiTheme="minorHAnsi" w:cstheme="minorBidi"/>
            <w:noProof/>
            <w:lang w:eastAsia="en-GB"/>
          </w:rPr>
          <w:tab/>
        </w:r>
        <w:r w:rsidRPr="00057C7B">
          <w:rPr>
            <w:rStyle w:val="Hyperlink"/>
            <w:noProof/>
          </w:rPr>
          <w:t>Over Occupancy Funding</w:t>
        </w:r>
        <w:r>
          <w:rPr>
            <w:noProof/>
            <w:webHidden/>
          </w:rPr>
          <w:tab/>
        </w:r>
        <w:r>
          <w:rPr>
            <w:noProof/>
            <w:webHidden/>
          </w:rPr>
          <w:fldChar w:fldCharType="begin"/>
        </w:r>
        <w:r>
          <w:rPr>
            <w:noProof/>
            <w:webHidden/>
          </w:rPr>
          <w:instrText xml:space="preserve"> PAGEREF _Toc219822353 \h </w:instrText>
        </w:r>
        <w:r>
          <w:rPr>
            <w:noProof/>
            <w:webHidden/>
          </w:rPr>
        </w:r>
        <w:r>
          <w:rPr>
            <w:noProof/>
            <w:webHidden/>
          </w:rPr>
          <w:fldChar w:fldCharType="separate"/>
        </w:r>
        <w:r>
          <w:rPr>
            <w:noProof/>
            <w:webHidden/>
          </w:rPr>
          <w:t>10</w:t>
        </w:r>
        <w:r>
          <w:rPr>
            <w:noProof/>
            <w:webHidden/>
          </w:rPr>
          <w:fldChar w:fldCharType="end"/>
        </w:r>
      </w:hyperlink>
    </w:p>
    <w:p w14:paraId="16CEA68D" w14:textId="2349D1B6" w:rsidR="00E47BCA" w:rsidRDefault="00E47BCA" w:rsidP="00DB47F1">
      <w:pPr>
        <w:pStyle w:val="TOC2"/>
        <w:tabs>
          <w:tab w:val="left" w:pos="720"/>
          <w:tab w:val="right" w:leader="dot" w:pos="8850"/>
        </w:tabs>
        <w:spacing w:after="120" w:line="300" w:lineRule="auto"/>
        <w:rPr>
          <w:rFonts w:asciiTheme="minorHAnsi" w:eastAsiaTheme="minorEastAsia" w:hAnsiTheme="minorHAnsi" w:cstheme="minorBidi"/>
          <w:noProof/>
          <w:lang w:eastAsia="en-GB"/>
        </w:rPr>
      </w:pPr>
      <w:hyperlink w:anchor="_Toc219822354" w:history="1">
        <w:r w:rsidRPr="00057C7B">
          <w:rPr>
            <w:rStyle w:val="Hyperlink"/>
            <w:noProof/>
            <w:spacing w:val="1"/>
          </w:rPr>
          <w:t>6)</w:t>
        </w:r>
        <w:r>
          <w:rPr>
            <w:rFonts w:asciiTheme="minorHAnsi" w:eastAsiaTheme="minorEastAsia" w:hAnsiTheme="minorHAnsi" w:cstheme="minorBidi"/>
            <w:noProof/>
            <w:lang w:eastAsia="en-GB"/>
          </w:rPr>
          <w:tab/>
        </w:r>
        <w:r w:rsidRPr="00057C7B">
          <w:rPr>
            <w:rStyle w:val="Hyperlink"/>
            <w:noProof/>
          </w:rPr>
          <w:t>Resourced Provisions Serving an Infant and Junior School</w:t>
        </w:r>
        <w:r>
          <w:rPr>
            <w:noProof/>
            <w:webHidden/>
          </w:rPr>
          <w:tab/>
        </w:r>
        <w:r>
          <w:rPr>
            <w:noProof/>
            <w:webHidden/>
          </w:rPr>
          <w:fldChar w:fldCharType="begin"/>
        </w:r>
        <w:r>
          <w:rPr>
            <w:noProof/>
            <w:webHidden/>
          </w:rPr>
          <w:instrText xml:space="preserve"> PAGEREF _Toc219822354 \h </w:instrText>
        </w:r>
        <w:r>
          <w:rPr>
            <w:noProof/>
            <w:webHidden/>
          </w:rPr>
        </w:r>
        <w:r>
          <w:rPr>
            <w:noProof/>
            <w:webHidden/>
          </w:rPr>
          <w:fldChar w:fldCharType="separate"/>
        </w:r>
        <w:r>
          <w:rPr>
            <w:noProof/>
            <w:webHidden/>
          </w:rPr>
          <w:t>11</w:t>
        </w:r>
        <w:r>
          <w:rPr>
            <w:noProof/>
            <w:webHidden/>
          </w:rPr>
          <w:fldChar w:fldCharType="end"/>
        </w:r>
      </w:hyperlink>
    </w:p>
    <w:p w14:paraId="10D83728" w14:textId="0BB01D95" w:rsidR="00E47BCA" w:rsidRDefault="00E47BCA" w:rsidP="00DB47F1">
      <w:pPr>
        <w:pStyle w:val="TOC2"/>
        <w:tabs>
          <w:tab w:val="left" w:pos="720"/>
          <w:tab w:val="right" w:leader="dot" w:pos="8850"/>
        </w:tabs>
        <w:spacing w:after="120" w:line="300" w:lineRule="auto"/>
        <w:rPr>
          <w:rFonts w:asciiTheme="minorHAnsi" w:eastAsiaTheme="minorEastAsia" w:hAnsiTheme="minorHAnsi" w:cstheme="minorBidi"/>
          <w:noProof/>
          <w:lang w:eastAsia="en-GB"/>
        </w:rPr>
      </w:pPr>
      <w:hyperlink w:anchor="_Toc219822355" w:history="1">
        <w:r w:rsidRPr="00057C7B">
          <w:rPr>
            <w:rStyle w:val="Hyperlink"/>
            <w:noProof/>
            <w:spacing w:val="1"/>
          </w:rPr>
          <w:t>7)</w:t>
        </w:r>
        <w:r>
          <w:rPr>
            <w:rFonts w:asciiTheme="minorHAnsi" w:eastAsiaTheme="minorEastAsia" w:hAnsiTheme="minorHAnsi" w:cstheme="minorBidi"/>
            <w:noProof/>
            <w:lang w:eastAsia="en-GB"/>
          </w:rPr>
          <w:tab/>
        </w:r>
        <w:r w:rsidRPr="00057C7B">
          <w:rPr>
            <w:rStyle w:val="Hyperlink"/>
            <w:noProof/>
          </w:rPr>
          <w:t>Primary Schools with a Nursery Resourced Provision</w:t>
        </w:r>
        <w:r>
          <w:rPr>
            <w:noProof/>
            <w:webHidden/>
          </w:rPr>
          <w:tab/>
        </w:r>
        <w:r>
          <w:rPr>
            <w:noProof/>
            <w:webHidden/>
          </w:rPr>
          <w:fldChar w:fldCharType="begin"/>
        </w:r>
        <w:r>
          <w:rPr>
            <w:noProof/>
            <w:webHidden/>
          </w:rPr>
          <w:instrText xml:space="preserve"> PAGEREF _Toc219822355 \h </w:instrText>
        </w:r>
        <w:r>
          <w:rPr>
            <w:noProof/>
            <w:webHidden/>
          </w:rPr>
        </w:r>
        <w:r>
          <w:rPr>
            <w:noProof/>
            <w:webHidden/>
          </w:rPr>
          <w:fldChar w:fldCharType="separate"/>
        </w:r>
        <w:r>
          <w:rPr>
            <w:noProof/>
            <w:webHidden/>
          </w:rPr>
          <w:t>11</w:t>
        </w:r>
        <w:r>
          <w:rPr>
            <w:noProof/>
            <w:webHidden/>
          </w:rPr>
          <w:fldChar w:fldCharType="end"/>
        </w:r>
      </w:hyperlink>
    </w:p>
    <w:p w14:paraId="51C8BB64" w14:textId="010D0B2C"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56" w:history="1">
        <w:r w:rsidRPr="00057C7B">
          <w:rPr>
            <w:rStyle w:val="Hyperlink"/>
            <w:noProof/>
          </w:rPr>
          <w:t>Appendix 1 – Table of Values for Resourced Provisions 2026/27</w:t>
        </w:r>
        <w:r>
          <w:rPr>
            <w:noProof/>
            <w:webHidden/>
          </w:rPr>
          <w:tab/>
        </w:r>
        <w:r>
          <w:rPr>
            <w:noProof/>
            <w:webHidden/>
          </w:rPr>
          <w:fldChar w:fldCharType="begin"/>
        </w:r>
        <w:r>
          <w:rPr>
            <w:noProof/>
            <w:webHidden/>
          </w:rPr>
          <w:instrText xml:space="preserve"> PAGEREF _Toc219822356 \h </w:instrText>
        </w:r>
        <w:r>
          <w:rPr>
            <w:noProof/>
            <w:webHidden/>
          </w:rPr>
        </w:r>
        <w:r>
          <w:rPr>
            <w:noProof/>
            <w:webHidden/>
          </w:rPr>
          <w:fldChar w:fldCharType="separate"/>
        </w:r>
        <w:r>
          <w:rPr>
            <w:noProof/>
            <w:webHidden/>
          </w:rPr>
          <w:t>12</w:t>
        </w:r>
        <w:r>
          <w:rPr>
            <w:noProof/>
            <w:webHidden/>
          </w:rPr>
          <w:fldChar w:fldCharType="end"/>
        </w:r>
      </w:hyperlink>
    </w:p>
    <w:p w14:paraId="1CC9DE92" w14:textId="77C1E0FC" w:rsidR="00E47BCA" w:rsidRDefault="00E47BCA" w:rsidP="00DB47F1">
      <w:pPr>
        <w:pStyle w:val="TOC1"/>
        <w:tabs>
          <w:tab w:val="right" w:leader="dot" w:pos="8850"/>
        </w:tabs>
        <w:spacing w:after="120" w:line="300" w:lineRule="auto"/>
        <w:rPr>
          <w:rFonts w:asciiTheme="minorHAnsi" w:eastAsiaTheme="minorEastAsia" w:hAnsiTheme="minorHAnsi" w:cstheme="minorBidi"/>
          <w:noProof/>
          <w:lang w:eastAsia="en-GB"/>
        </w:rPr>
      </w:pPr>
      <w:hyperlink w:anchor="_Toc219822357" w:history="1">
        <w:r w:rsidRPr="00057C7B">
          <w:rPr>
            <w:rStyle w:val="Hyperlink"/>
            <w:noProof/>
          </w:rPr>
          <w:t>Appendix 2 – MFG Example for Resourced Provisions 2026/27</w:t>
        </w:r>
        <w:r>
          <w:rPr>
            <w:noProof/>
            <w:webHidden/>
          </w:rPr>
          <w:tab/>
        </w:r>
        <w:r>
          <w:rPr>
            <w:noProof/>
            <w:webHidden/>
          </w:rPr>
          <w:fldChar w:fldCharType="begin"/>
        </w:r>
        <w:r>
          <w:rPr>
            <w:noProof/>
            <w:webHidden/>
          </w:rPr>
          <w:instrText xml:space="preserve"> PAGEREF _Toc219822357 \h </w:instrText>
        </w:r>
        <w:r>
          <w:rPr>
            <w:noProof/>
            <w:webHidden/>
          </w:rPr>
        </w:r>
        <w:r>
          <w:rPr>
            <w:noProof/>
            <w:webHidden/>
          </w:rPr>
          <w:fldChar w:fldCharType="separate"/>
        </w:r>
        <w:r>
          <w:rPr>
            <w:noProof/>
            <w:webHidden/>
          </w:rPr>
          <w:t>13</w:t>
        </w:r>
        <w:r>
          <w:rPr>
            <w:noProof/>
            <w:webHidden/>
          </w:rPr>
          <w:fldChar w:fldCharType="end"/>
        </w:r>
      </w:hyperlink>
    </w:p>
    <w:p w14:paraId="508D40D3" w14:textId="076C4875" w:rsidR="002F2A47" w:rsidRDefault="002F2A47" w:rsidP="00DB47F1">
      <w:pPr>
        <w:spacing w:after="120" w:line="300" w:lineRule="auto"/>
        <w:rPr>
          <w:b/>
          <w:bCs/>
          <w:sz w:val="72"/>
          <w:szCs w:val="72"/>
        </w:rPr>
      </w:pPr>
      <w:r>
        <w:fldChar w:fldCharType="end"/>
      </w:r>
      <w:r>
        <w:br w:type="page"/>
      </w:r>
    </w:p>
    <w:p w14:paraId="37AADB29" w14:textId="77777777" w:rsidR="00321570" w:rsidRPr="00EA75F2" w:rsidRDefault="00321570" w:rsidP="0017616E">
      <w:pPr>
        <w:pStyle w:val="h1"/>
        <w:spacing w:after="120" w:line="300" w:lineRule="auto"/>
        <w:rPr>
          <w:sz w:val="40"/>
          <w:szCs w:val="40"/>
        </w:rPr>
      </w:pPr>
      <w:bookmarkStart w:id="0" w:name="_Toc219822339"/>
      <w:bookmarkStart w:id="1" w:name="GeneralInformation"/>
      <w:r w:rsidRPr="00EA75F2">
        <w:rPr>
          <w:sz w:val="40"/>
          <w:szCs w:val="40"/>
        </w:rPr>
        <w:lastRenderedPageBreak/>
        <w:t>General Information</w:t>
      </w:r>
      <w:bookmarkEnd w:id="0"/>
    </w:p>
    <w:p w14:paraId="30A68C03" w14:textId="0CD971ED" w:rsidR="00321570" w:rsidRDefault="00321570" w:rsidP="0017616E">
      <w:pPr>
        <w:spacing w:after="120" w:line="300" w:lineRule="auto"/>
      </w:pPr>
      <w:bookmarkStart w:id="2" w:name="Allocations"/>
      <w:bookmarkEnd w:id="1"/>
      <w:bookmarkEnd w:id="2"/>
      <w:r>
        <w:t>Resourced provisions</w:t>
      </w:r>
      <w:r w:rsidRPr="00EE21E0">
        <w:t xml:space="preserve"> </w:t>
      </w:r>
      <w:proofErr w:type="gramStart"/>
      <w:r w:rsidRPr="00EE21E0">
        <w:t>are funded</w:t>
      </w:r>
      <w:proofErr w:type="gramEnd"/>
      <w:r w:rsidRPr="00EE21E0">
        <w:t xml:space="preserve"> on a “place plus” basis, in accordance with Department for Education (DfE) requirements</w:t>
      </w:r>
      <w:r>
        <w:t>.</w:t>
      </w:r>
      <w:r w:rsidRPr="006F6352">
        <w:t xml:space="preserve"> The principles of this approach are that resourced provision</w:t>
      </w:r>
      <w:r>
        <w:t>s</w:t>
      </w:r>
      <w:r w:rsidRPr="006F6352">
        <w:t xml:space="preserve"> will receive place funding and top-up funding.</w:t>
      </w:r>
    </w:p>
    <w:p w14:paraId="005619F3" w14:textId="1347B523" w:rsidR="00321570" w:rsidRDefault="00321570" w:rsidP="0017616E">
      <w:pPr>
        <w:spacing w:after="120" w:line="300" w:lineRule="auto"/>
      </w:pPr>
      <w:r>
        <w:t>In</w:t>
      </w:r>
      <w:r w:rsidRPr="00321570">
        <w:t xml:space="preserve"> line with DfE guidance </w:t>
      </w:r>
      <w:hyperlink r:id="rId14" w:history="1">
        <w:r w:rsidR="00591CA5">
          <w:rPr>
            <w:rStyle w:val="Hyperlink"/>
          </w:rPr>
          <w:t>High Needs Funding Operational Guide 2026 to 2027</w:t>
        </w:r>
      </w:hyperlink>
      <w:r w:rsidRPr="00321570">
        <w:t xml:space="preserve">, </w:t>
      </w:r>
      <w:r>
        <w:t>funding for places</w:t>
      </w:r>
      <w:r w:rsidRPr="005F2948">
        <w:t xml:space="preserve"> at resourced provision</w:t>
      </w:r>
      <w:r>
        <w:t xml:space="preserve">s is maintained at £6,000 per place to meet </w:t>
      </w:r>
      <w:r w:rsidRPr="006F6352">
        <w:t xml:space="preserve">additional support costs up to a specific threshold. Top-up is the funding which </w:t>
      </w:r>
      <w:proofErr w:type="gramStart"/>
      <w:r w:rsidRPr="006F6352">
        <w:t>is required</w:t>
      </w:r>
      <w:proofErr w:type="gramEnd"/>
      <w:r w:rsidRPr="006F6352">
        <w:t xml:space="preserve"> over and above </w:t>
      </w:r>
      <w:r>
        <w:t>this</w:t>
      </w:r>
      <w:r w:rsidRPr="006F6352">
        <w:t xml:space="preserve"> to enable a pupil with high needs to participate in education and learning. The place funding </w:t>
      </w:r>
      <w:proofErr w:type="gramStart"/>
      <w:r w:rsidRPr="006F6352">
        <w:t>is fixed</w:t>
      </w:r>
      <w:proofErr w:type="gramEnd"/>
      <w:r w:rsidRPr="006F6352">
        <w:t xml:space="preserve"> for each financial year wher</w:t>
      </w:r>
      <w:r>
        <w:t>eas</w:t>
      </w:r>
      <w:r w:rsidRPr="006F6352">
        <w:t xml:space="preserve"> top-up funding follows pupils in real time, so it can fluctuate throughout the financial year.</w:t>
      </w:r>
    </w:p>
    <w:p w14:paraId="022E1E01" w14:textId="77777777" w:rsidR="00321570" w:rsidRPr="00321570" w:rsidRDefault="00321570" w:rsidP="0017616E">
      <w:pPr>
        <w:spacing w:after="120" w:line="300" w:lineRule="auto"/>
      </w:pPr>
      <w:r w:rsidRPr="00321570">
        <w:t xml:space="preserve">The top-up funding </w:t>
      </w:r>
      <w:proofErr w:type="gramStart"/>
      <w:r w:rsidRPr="00321570">
        <w:t>is administered</w:t>
      </w:r>
      <w:proofErr w:type="gramEnd"/>
      <w:r w:rsidRPr="00321570">
        <w:t xml:space="preserve"> by local authorities and </w:t>
      </w:r>
      <w:proofErr w:type="gramStart"/>
      <w:r w:rsidRPr="00321570">
        <w:t>is calculated</w:t>
      </w:r>
      <w:proofErr w:type="gramEnd"/>
      <w:r w:rsidRPr="00321570">
        <w:t xml:space="preserve"> in Hampshire based on the following principles:</w:t>
      </w:r>
    </w:p>
    <w:p w14:paraId="3E41AB9C" w14:textId="77777777" w:rsidR="00321570" w:rsidRDefault="00321570" w:rsidP="0017616E">
      <w:pPr>
        <w:pStyle w:val="ListParagraph"/>
        <w:numPr>
          <w:ilvl w:val="0"/>
          <w:numId w:val="4"/>
        </w:numPr>
        <w:spacing w:after="120" w:line="300" w:lineRule="auto"/>
      </w:pPr>
      <w:r>
        <w:t>T</w:t>
      </w:r>
      <w:r w:rsidRPr="0020633F">
        <w:t>he special education needs of pupils</w:t>
      </w:r>
      <w:r>
        <w:t xml:space="preserve"> </w:t>
      </w:r>
      <w:proofErr w:type="gramStart"/>
      <w:r>
        <w:t>are recognised</w:t>
      </w:r>
      <w:proofErr w:type="gramEnd"/>
      <w:r w:rsidRPr="0020633F">
        <w:t xml:space="preserve">, based on the   </w:t>
      </w:r>
      <w:r>
        <w:t>designation of the resourced provision.</w:t>
      </w:r>
    </w:p>
    <w:p w14:paraId="78615E11" w14:textId="77777777" w:rsidR="00321570" w:rsidRPr="0020633F" w:rsidRDefault="00321570" w:rsidP="0017616E">
      <w:pPr>
        <w:pStyle w:val="ListParagraph"/>
        <w:numPr>
          <w:ilvl w:val="0"/>
          <w:numId w:val="4"/>
        </w:numPr>
        <w:spacing w:after="120" w:line="300" w:lineRule="auto"/>
      </w:pPr>
      <w:r>
        <w:t>F</w:t>
      </w:r>
      <w:r w:rsidRPr="0020633F">
        <w:t>unding turbulence for resourced provisions</w:t>
      </w:r>
      <w:r>
        <w:t xml:space="preserve"> is minimised</w:t>
      </w:r>
      <w:r w:rsidRPr="0020633F">
        <w:t>.</w:t>
      </w:r>
    </w:p>
    <w:p w14:paraId="4A62AD5C" w14:textId="77777777" w:rsidR="00321570" w:rsidRPr="00502944" w:rsidRDefault="00321570" w:rsidP="0017616E">
      <w:pPr>
        <w:spacing w:after="120" w:line="300" w:lineRule="auto"/>
      </w:pPr>
      <w:r>
        <w:t>It is important to note that the only fixed element of a resourced provision’s budget share is the place funding. The top-up funding follows pupils and is dependent on the number of pupils in the provision at any time. Therefore, the top-up element of this budget share is indicative only and will change depending on the actual number of pupils in the provision.</w:t>
      </w:r>
    </w:p>
    <w:p w14:paraId="46A16D93" w14:textId="77777777" w:rsidR="00321570" w:rsidRDefault="00321570" w:rsidP="0017616E">
      <w:pPr>
        <w:spacing w:after="120" w:line="300" w:lineRule="auto"/>
        <w:rPr>
          <w:spacing w:val="1"/>
        </w:rPr>
      </w:pPr>
      <w:r>
        <w:rPr>
          <w:spacing w:val="1"/>
        </w:rPr>
        <w:t xml:space="preserve">The DfE is not prescriptive about the approach or the values to </w:t>
      </w:r>
      <w:proofErr w:type="gramStart"/>
      <w:r>
        <w:rPr>
          <w:spacing w:val="1"/>
        </w:rPr>
        <w:t>be used</w:t>
      </w:r>
      <w:proofErr w:type="gramEnd"/>
      <w:r>
        <w:rPr>
          <w:spacing w:val="1"/>
        </w:rPr>
        <w:t xml:space="preserve"> for top-up funding. However, the DfE does state that the top-up funding paid to a resourced provision should relate to the period that the pupil is in the provision. The DfE does not prescribe whether this is calculated on a daily, weekly, monthly or longer basis, however local authorities should avoid arrangements that entail double funding when a pupil or student has moved from one provision to another, so should not enter into agreements with a resourced provision that commit top-up funding for long periods after the pupil has left.</w:t>
      </w:r>
    </w:p>
    <w:p w14:paraId="10DF2905" w14:textId="39F5815C" w:rsidR="00321570" w:rsidRDefault="00321570" w:rsidP="0017616E">
      <w:pPr>
        <w:spacing w:after="120" w:line="300" w:lineRule="auto"/>
        <w:rPr>
          <w:spacing w:val="1"/>
        </w:rPr>
      </w:pPr>
      <w:r>
        <w:t xml:space="preserve">Top-up funding will </w:t>
      </w:r>
      <w:proofErr w:type="gramStart"/>
      <w:r>
        <w:t>be paid</w:t>
      </w:r>
      <w:proofErr w:type="gramEnd"/>
      <w:r>
        <w:t xml:space="preserve"> for the period of attendance; this is irrespective of whether the pupil </w:t>
      </w:r>
      <w:proofErr w:type="gramStart"/>
      <w:r>
        <w:t>is recorded</w:t>
      </w:r>
      <w:proofErr w:type="gramEnd"/>
      <w:r>
        <w:t xml:space="preserve"> on the roll of the resourced provision. Therefore, if a pupil leaves the provision during the middle of a term, top-up funding will cease from the leaving date. Similarly, should a pupil arrive at the provision during the middle of a term, top-up funding will commence from the first day of attendance </w:t>
      </w:r>
      <w:r>
        <w:rPr>
          <w:spacing w:val="1"/>
        </w:rPr>
        <w:t>(this does not apply to non-attendance due to sickness or holidays).</w:t>
      </w:r>
    </w:p>
    <w:p w14:paraId="312BBAAC" w14:textId="77777777" w:rsidR="00603A78" w:rsidRDefault="00603A78" w:rsidP="0017616E">
      <w:pPr>
        <w:spacing w:after="120" w:line="300" w:lineRule="auto"/>
        <w:rPr>
          <w:spacing w:val="1"/>
        </w:rPr>
      </w:pPr>
    </w:p>
    <w:p w14:paraId="50192BC5" w14:textId="77777777" w:rsidR="00F70C51" w:rsidRDefault="00F70C51" w:rsidP="0017616E">
      <w:pPr>
        <w:spacing w:after="120" w:line="300" w:lineRule="auto"/>
        <w:rPr>
          <w:spacing w:val="1"/>
        </w:rPr>
      </w:pPr>
    </w:p>
    <w:p w14:paraId="5D1DD073" w14:textId="6F80F5DF" w:rsidR="00603A78" w:rsidRPr="0017616E" w:rsidRDefault="00603A78" w:rsidP="0017616E">
      <w:pPr>
        <w:pStyle w:val="h1"/>
        <w:spacing w:after="120" w:line="300" w:lineRule="auto"/>
        <w:rPr>
          <w:sz w:val="40"/>
          <w:szCs w:val="40"/>
        </w:rPr>
      </w:pPr>
      <w:bookmarkStart w:id="3" w:name="_Toc219822340"/>
      <w:r w:rsidRPr="0017616E">
        <w:rPr>
          <w:sz w:val="40"/>
          <w:szCs w:val="40"/>
        </w:rPr>
        <w:lastRenderedPageBreak/>
        <w:t xml:space="preserve">Changes for </w:t>
      </w:r>
      <w:r w:rsidR="00DC3051">
        <w:rPr>
          <w:sz w:val="40"/>
          <w:szCs w:val="40"/>
        </w:rPr>
        <w:t>2026/27</w:t>
      </w:r>
      <w:bookmarkEnd w:id="3"/>
    </w:p>
    <w:p w14:paraId="4045B708" w14:textId="1E041C9B" w:rsidR="00025340" w:rsidRDefault="00025340" w:rsidP="007F2BE9">
      <w:pPr>
        <w:pStyle w:val="ListParagraph"/>
        <w:numPr>
          <w:ilvl w:val="0"/>
          <w:numId w:val="7"/>
        </w:numPr>
        <w:spacing w:after="120" w:line="300" w:lineRule="auto"/>
        <w:contextualSpacing w:val="0"/>
      </w:pPr>
      <w:r w:rsidRPr="005646F5">
        <w:t xml:space="preserve">Additional funding </w:t>
      </w:r>
      <w:r w:rsidR="00475E4D">
        <w:t>continues</w:t>
      </w:r>
      <w:r w:rsidRPr="005646F5">
        <w:t xml:space="preserve"> to </w:t>
      </w:r>
      <w:proofErr w:type="gramStart"/>
      <w:r w:rsidRPr="005646F5">
        <w:t>be provided</w:t>
      </w:r>
      <w:proofErr w:type="gramEnd"/>
      <w:r w:rsidRPr="005646F5">
        <w:t xml:space="preserve"> equivalent to 3.4% of each resourced provision’s total place and top-up funding</w:t>
      </w:r>
      <w:r w:rsidR="005D41DB" w:rsidRPr="005646F5">
        <w:t xml:space="preserve"> in 2022/23</w:t>
      </w:r>
      <w:r w:rsidRPr="005646F5">
        <w:t xml:space="preserve">. This amount will </w:t>
      </w:r>
      <w:proofErr w:type="gramStart"/>
      <w:r w:rsidRPr="005646F5">
        <w:t>be shown</w:t>
      </w:r>
      <w:proofErr w:type="gramEnd"/>
      <w:r w:rsidRPr="005646F5">
        <w:t xml:space="preserve"> separately and paid at the start of the year as a one-off amount as opposed to as part of the top-up rate.</w:t>
      </w:r>
    </w:p>
    <w:p w14:paraId="0029C89B" w14:textId="129CF906" w:rsidR="00FA6091" w:rsidRDefault="00FA6091" w:rsidP="007F2BE9">
      <w:pPr>
        <w:pStyle w:val="ListParagraph"/>
        <w:numPr>
          <w:ilvl w:val="0"/>
          <w:numId w:val="7"/>
        </w:numPr>
        <w:spacing w:after="120" w:line="300" w:lineRule="auto"/>
        <w:contextualSpacing w:val="0"/>
      </w:pPr>
      <w:r>
        <w:t xml:space="preserve">Change of GL code for </w:t>
      </w:r>
      <w:r w:rsidR="002F26A1">
        <w:t>High Needs Additional Funding (</w:t>
      </w:r>
      <w:r>
        <w:t>HNAF</w:t>
      </w:r>
      <w:r w:rsidR="002F26A1">
        <w:t>)</w:t>
      </w:r>
      <w:r>
        <w:t xml:space="preserve"> to GL 7697</w:t>
      </w:r>
      <w:r w:rsidR="00587DCD">
        <w:t>, CFR I01.</w:t>
      </w:r>
    </w:p>
    <w:p w14:paraId="279D5275" w14:textId="6403CC37" w:rsidR="00A82A08" w:rsidRDefault="00A82A08" w:rsidP="00A82A08">
      <w:pPr>
        <w:pStyle w:val="ListParagraph"/>
        <w:numPr>
          <w:ilvl w:val="0"/>
          <w:numId w:val="7"/>
        </w:numPr>
        <w:spacing w:after="120" w:line="300" w:lineRule="auto"/>
        <w:contextualSpacing w:val="0"/>
      </w:pPr>
      <w:r w:rsidRPr="004C0B3D">
        <w:t xml:space="preserve">An amount in respect of </w:t>
      </w:r>
      <w:r>
        <w:t xml:space="preserve">2025/26 National Insurance Contributions (NICs) and Schools Budget Support Grants (SBSG) </w:t>
      </w:r>
      <w:r w:rsidRPr="004C0B3D">
        <w:t xml:space="preserve">has </w:t>
      </w:r>
      <w:proofErr w:type="gramStart"/>
      <w:r w:rsidRPr="004C0B3D">
        <w:t>been included</w:t>
      </w:r>
      <w:proofErr w:type="gramEnd"/>
      <w:r w:rsidRPr="004C0B3D">
        <w:t xml:space="preserve"> in the budget shares</w:t>
      </w:r>
      <w:r>
        <w:t xml:space="preserve"> and is known as </w:t>
      </w:r>
      <w:r w:rsidRPr="009F21BA">
        <w:rPr>
          <w:b/>
          <w:bCs/>
        </w:rPr>
        <w:t>legacy funding</w:t>
      </w:r>
      <w:r w:rsidRPr="004C0B3D">
        <w:t xml:space="preserve">. </w:t>
      </w:r>
      <w:r>
        <w:t xml:space="preserve"> </w:t>
      </w:r>
      <w:r w:rsidRPr="004C0B3D">
        <w:t>Th</w:t>
      </w:r>
      <w:r>
        <w:t>is</w:t>
      </w:r>
      <w:r w:rsidRPr="004C0B3D">
        <w:t xml:space="preserve"> amount will </w:t>
      </w:r>
      <w:proofErr w:type="gramStart"/>
      <w:r w:rsidRPr="004C0B3D">
        <w:t>be shown</w:t>
      </w:r>
      <w:proofErr w:type="gramEnd"/>
      <w:r w:rsidRPr="004C0B3D">
        <w:t xml:space="preserve"> separately and paid at the start of the year as a one-off amount as opposed to as part of the top-up rate.</w:t>
      </w:r>
      <w:r>
        <w:t xml:space="preserve"> </w:t>
      </w:r>
    </w:p>
    <w:p w14:paraId="2F466F5A" w14:textId="24112820" w:rsidR="00953AAC" w:rsidRDefault="00953AAC" w:rsidP="00A82A08">
      <w:pPr>
        <w:pStyle w:val="ListParagraph"/>
        <w:numPr>
          <w:ilvl w:val="0"/>
          <w:numId w:val="7"/>
        </w:numPr>
        <w:spacing w:after="120" w:line="300" w:lineRule="auto"/>
        <w:contextualSpacing w:val="0"/>
      </w:pPr>
      <w:r>
        <w:t xml:space="preserve">Legacy funding will </w:t>
      </w:r>
      <w:proofErr w:type="gramStart"/>
      <w:r>
        <w:t>be coded</w:t>
      </w:r>
      <w:proofErr w:type="gramEnd"/>
      <w:r>
        <w:t xml:space="preserve"> to GL 7697, CFR I01.</w:t>
      </w:r>
    </w:p>
    <w:p w14:paraId="674A8979" w14:textId="3DCAC3D6" w:rsidR="00985D17" w:rsidRPr="00395B7B" w:rsidRDefault="00985D17" w:rsidP="007F2BE9">
      <w:pPr>
        <w:pStyle w:val="ListParagraph"/>
        <w:numPr>
          <w:ilvl w:val="0"/>
          <w:numId w:val="7"/>
        </w:numPr>
        <w:spacing w:after="120" w:line="300" w:lineRule="auto"/>
        <w:ind w:left="714" w:hanging="357"/>
        <w:contextualSpacing w:val="0"/>
      </w:pPr>
      <w:r w:rsidRPr="00395B7B">
        <w:t xml:space="preserve">The Minimum Funding Guarantee (MFG) has been </w:t>
      </w:r>
      <w:r w:rsidR="00194AE2" w:rsidRPr="00395B7B">
        <w:t>set at 0</w:t>
      </w:r>
      <w:r w:rsidRPr="00395B7B">
        <w:t xml:space="preserve">% for the </w:t>
      </w:r>
      <w:r w:rsidR="00142C45">
        <w:t>2026/27</w:t>
      </w:r>
      <w:r w:rsidRPr="00395B7B">
        <w:t xml:space="preserve"> financial year, compared to </w:t>
      </w:r>
      <w:r w:rsidR="00142C45">
        <w:t>2025/26</w:t>
      </w:r>
      <w:r w:rsidRPr="00395B7B">
        <w:t xml:space="preserve"> levels.</w:t>
      </w:r>
      <w:r w:rsidR="00500F1D">
        <w:t xml:space="preserve"> </w:t>
      </w:r>
      <w:r w:rsidR="00500F1D" w:rsidRPr="009365A5">
        <w:t>The additional funding</w:t>
      </w:r>
      <w:r w:rsidR="00EB2EA3" w:rsidRPr="009365A5">
        <w:t xml:space="preserve"> and legacy funding</w:t>
      </w:r>
      <w:r w:rsidR="00500F1D" w:rsidRPr="009365A5">
        <w:t xml:space="preserve"> allocation</w:t>
      </w:r>
      <w:r w:rsidR="00EB2EA3" w:rsidRPr="009365A5">
        <w:t>s</w:t>
      </w:r>
      <w:r w:rsidR="00500F1D" w:rsidRPr="009365A5">
        <w:t xml:space="preserve"> referred to above must </w:t>
      </w:r>
      <w:proofErr w:type="gramStart"/>
      <w:r w:rsidR="00500F1D" w:rsidRPr="009365A5">
        <w:t>be excluded</w:t>
      </w:r>
      <w:proofErr w:type="gramEnd"/>
      <w:r w:rsidR="00500F1D" w:rsidRPr="009365A5">
        <w:t xml:space="preserve"> from the MFG calculations, so that schools receive both the 0% MFG</w:t>
      </w:r>
      <w:r w:rsidR="009365A5" w:rsidRPr="009365A5">
        <w:t>,</w:t>
      </w:r>
      <w:r w:rsidR="00500F1D" w:rsidRPr="009365A5">
        <w:t xml:space="preserve"> the additional 3.4% </w:t>
      </w:r>
      <w:r w:rsidR="009365A5" w:rsidRPr="009365A5">
        <w:t xml:space="preserve">and the legacy </w:t>
      </w:r>
      <w:r w:rsidR="00D57BD9">
        <w:t>funding</w:t>
      </w:r>
      <w:r w:rsidR="009365A5" w:rsidRPr="009365A5">
        <w:t xml:space="preserve"> </w:t>
      </w:r>
      <w:r w:rsidR="00500F1D" w:rsidRPr="009365A5">
        <w:t xml:space="preserve">in </w:t>
      </w:r>
      <w:r w:rsidR="00EF20AD" w:rsidRPr="009365A5">
        <w:t>2026</w:t>
      </w:r>
      <w:r w:rsidR="00EF20AD">
        <w:t>/27</w:t>
      </w:r>
      <w:r w:rsidR="00500F1D" w:rsidRPr="004C0B3D">
        <w:t>.</w:t>
      </w:r>
    </w:p>
    <w:p w14:paraId="2CC3430F" w14:textId="363B4CF6" w:rsidR="001F5D96" w:rsidRDefault="00A7010E" w:rsidP="005613F5">
      <w:pPr>
        <w:pStyle w:val="ListParagraph"/>
        <w:numPr>
          <w:ilvl w:val="0"/>
          <w:numId w:val="7"/>
        </w:numPr>
        <w:spacing w:after="120" w:line="300" w:lineRule="auto"/>
        <w:ind w:left="714" w:hanging="357"/>
        <w:contextualSpacing w:val="0"/>
      </w:pPr>
      <w:r w:rsidRPr="00A7010E">
        <w:t xml:space="preserve">Following the increase in funding of the High Needs block of the </w:t>
      </w:r>
      <w:proofErr w:type="gramStart"/>
      <w:r w:rsidRPr="00A7010E">
        <w:t>Dedicated</w:t>
      </w:r>
      <w:proofErr w:type="gramEnd"/>
      <w:r w:rsidRPr="00A7010E">
        <w:t xml:space="preserve"> Schools Grant (DSG), top-up rates have </w:t>
      </w:r>
      <w:proofErr w:type="gramStart"/>
      <w:r w:rsidRPr="00A7010E">
        <w:t>been increased</w:t>
      </w:r>
      <w:proofErr w:type="gramEnd"/>
      <w:r w:rsidRPr="00A7010E">
        <w:t xml:space="preserve"> by </w:t>
      </w:r>
      <w:r w:rsidR="00600DAC">
        <w:t>2.</w:t>
      </w:r>
      <w:r w:rsidR="00DC3051">
        <w:t>1</w:t>
      </w:r>
      <w:r w:rsidRPr="00A7010E">
        <w:t xml:space="preserve">%, plus </w:t>
      </w:r>
      <w:r w:rsidR="00600DAC">
        <w:t>2.</w:t>
      </w:r>
      <w:r w:rsidR="00DC3051">
        <w:t>1</w:t>
      </w:r>
      <w:r w:rsidRPr="00A7010E">
        <w:t>% of the place funding (a further £</w:t>
      </w:r>
      <w:r w:rsidR="000B2E91">
        <w:t>1</w:t>
      </w:r>
      <w:r w:rsidR="00DC3051">
        <w:t>26</w:t>
      </w:r>
      <w:r w:rsidRPr="00A7010E">
        <w:t>).</w:t>
      </w:r>
    </w:p>
    <w:p w14:paraId="64F25C56" w14:textId="58EF273A" w:rsidR="00A53951" w:rsidRDefault="00A53951" w:rsidP="00A53951">
      <w:pPr>
        <w:pStyle w:val="ListParagraph"/>
        <w:numPr>
          <w:ilvl w:val="0"/>
          <w:numId w:val="7"/>
        </w:numPr>
        <w:spacing w:after="120" w:line="300" w:lineRule="auto"/>
        <w:contextualSpacing w:val="0"/>
      </w:pPr>
      <w:r>
        <w:t xml:space="preserve">Some more minor clarifications, </w:t>
      </w:r>
      <w:proofErr w:type="gramStart"/>
      <w:r>
        <w:t>revisions</w:t>
      </w:r>
      <w:proofErr w:type="gramEnd"/>
      <w:r>
        <w:t xml:space="preserve"> and simplifications throughout.</w:t>
      </w:r>
    </w:p>
    <w:p w14:paraId="58AED130" w14:textId="77777777" w:rsidR="00603A78" w:rsidRDefault="00603A78" w:rsidP="0017616E">
      <w:pPr>
        <w:spacing w:after="120" w:line="300" w:lineRule="auto"/>
      </w:pPr>
    </w:p>
    <w:p w14:paraId="3E7C0556" w14:textId="77777777" w:rsidR="00603A78" w:rsidRPr="0017616E" w:rsidRDefault="00603A78" w:rsidP="0017616E">
      <w:pPr>
        <w:pStyle w:val="h1"/>
        <w:spacing w:after="120" w:line="300" w:lineRule="auto"/>
        <w:rPr>
          <w:sz w:val="40"/>
          <w:szCs w:val="40"/>
        </w:rPr>
      </w:pPr>
      <w:bookmarkStart w:id="4" w:name="_Toc219822341"/>
      <w:r w:rsidRPr="0017616E">
        <w:rPr>
          <w:sz w:val="40"/>
          <w:szCs w:val="40"/>
        </w:rPr>
        <w:t>Contacts for Queries</w:t>
      </w:r>
      <w:bookmarkEnd w:id="4"/>
    </w:p>
    <w:p w14:paraId="36E595A6" w14:textId="06617354" w:rsidR="00603A78" w:rsidRPr="00BA2314" w:rsidRDefault="00603A78" w:rsidP="0017616E">
      <w:pPr>
        <w:spacing w:after="120" w:line="300" w:lineRule="auto"/>
      </w:pPr>
      <w:bookmarkStart w:id="5" w:name="Factors"/>
      <w:bookmarkEnd w:id="5"/>
      <w:r w:rsidRPr="00BA2314">
        <w:rPr>
          <w:bCs/>
          <w:u w:val="single"/>
        </w:rPr>
        <w:t>Agreed Place Numbers (APN)</w:t>
      </w:r>
      <w:r w:rsidRPr="00BA2314">
        <w:t xml:space="preserve"> – </w:t>
      </w:r>
      <w:r w:rsidR="00B000C7" w:rsidRPr="009D67D4">
        <w:t xml:space="preserve">For queries regarding increasing/decreasing your APN, changing or adding a designation please contact </w:t>
      </w:r>
      <w:hyperlink r:id="rId15" w:history="1">
        <w:r w:rsidR="00B000C7" w:rsidRPr="009D67D4">
          <w:rPr>
            <w:rStyle w:val="Hyperlink"/>
          </w:rPr>
          <w:t>SENDcommissioning@hants.gov.uk</w:t>
        </w:r>
      </w:hyperlink>
      <w:r w:rsidR="00BA60CB">
        <w:t>.</w:t>
      </w:r>
    </w:p>
    <w:p w14:paraId="20AAE03E" w14:textId="1AAA589B" w:rsidR="00603A78" w:rsidRPr="00BA2314" w:rsidRDefault="00603A78" w:rsidP="0017616E">
      <w:pPr>
        <w:spacing w:after="120" w:line="300" w:lineRule="auto"/>
        <w:rPr>
          <w:bCs/>
        </w:rPr>
      </w:pPr>
      <w:r w:rsidRPr="00BA2314">
        <w:rPr>
          <w:bCs/>
          <w:u w:val="single"/>
        </w:rPr>
        <w:t>Place Funding Allocations</w:t>
      </w:r>
      <w:r w:rsidRPr="00BA2314">
        <w:rPr>
          <w:bCs/>
        </w:rPr>
        <w:t xml:space="preserve"> – For queries regarding place funding allocations please contact </w:t>
      </w:r>
      <w:hyperlink r:id="rId16" w:history="1">
        <w:r w:rsidR="009D5681" w:rsidRPr="009D5681">
          <w:rPr>
            <w:rStyle w:val="Hyperlink"/>
            <w:bCs/>
          </w:rPr>
          <w:t>school.fund@hants.gov.uk</w:t>
        </w:r>
      </w:hyperlink>
      <w:r w:rsidR="0078153D">
        <w:t>.</w:t>
      </w:r>
    </w:p>
    <w:p w14:paraId="56696351" w14:textId="32384283" w:rsidR="00603A78" w:rsidRDefault="00603A78" w:rsidP="0017616E">
      <w:pPr>
        <w:spacing w:after="120" w:line="300" w:lineRule="auto"/>
      </w:pPr>
      <w:r w:rsidRPr="00BA2314">
        <w:rPr>
          <w:bCs/>
          <w:u w:val="single"/>
        </w:rPr>
        <w:t>Top-up Funding Allocations</w:t>
      </w:r>
      <w:r w:rsidRPr="00BA2314">
        <w:rPr>
          <w:bCs/>
        </w:rPr>
        <w:t xml:space="preserve"> </w:t>
      </w:r>
      <w:r w:rsidR="00743082" w:rsidRPr="00743082">
        <w:t xml:space="preserve">– For queries regarding the processing of top-up funding allocations please contact </w:t>
      </w:r>
      <w:hyperlink r:id="rId17" w:history="1">
        <w:r w:rsidR="00743082" w:rsidRPr="00743082">
          <w:rPr>
            <w:rStyle w:val="Hyperlink"/>
          </w:rPr>
          <w:t>sen.manualpayments@hants.gov.uk</w:t>
        </w:r>
      </w:hyperlink>
      <w:r w:rsidR="00BA60CB">
        <w:t>.</w:t>
      </w:r>
    </w:p>
    <w:p w14:paraId="013180D9" w14:textId="1A0E605C" w:rsidR="006A6268" w:rsidRPr="00F57C0F" w:rsidRDefault="00743082" w:rsidP="006A6268">
      <w:pPr>
        <w:spacing w:after="120" w:line="300" w:lineRule="auto"/>
        <w:rPr>
          <w:u w:val="single"/>
        </w:rPr>
      </w:pPr>
      <w:r w:rsidRPr="00F57C0F">
        <w:rPr>
          <w:u w:val="single"/>
        </w:rPr>
        <w:t>Funding Level</w:t>
      </w:r>
      <w:r w:rsidR="006A6268" w:rsidRPr="00F57C0F">
        <w:rPr>
          <w:u w:val="single"/>
        </w:rPr>
        <w:t xml:space="preserve"> Queries</w:t>
      </w:r>
      <w:r w:rsidR="006A6268" w:rsidRPr="00F57C0F">
        <w:t xml:space="preserve"> – For queries regarding </w:t>
      </w:r>
      <w:r w:rsidRPr="00F57C0F">
        <w:t>the funding level</w:t>
      </w:r>
      <w:r w:rsidR="006A6268" w:rsidRPr="00F57C0F">
        <w:t xml:space="preserve"> for pupils please contact your allocated EHC</w:t>
      </w:r>
      <w:r w:rsidR="002F26A1">
        <w:t xml:space="preserve"> </w:t>
      </w:r>
      <w:r w:rsidR="006A6268" w:rsidRPr="00F57C0F">
        <w:t>C</w:t>
      </w:r>
      <w:r w:rsidR="002F26A1">
        <w:t>oordinator</w:t>
      </w:r>
      <w:r w:rsidR="006A6268" w:rsidRPr="00F57C0F">
        <w:t>.</w:t>
      </w:r>
    </w:p>
    <w:p w14:paraId="0F9D3297" w14:textId="577FB395" w:rsidR="00E126DB" w:rsidRDefault="00604121" w:rsidP="003C39D9">
      <w:pPr>
        <w:spacing w:after="120" w:line="300" w:lineRule="auto"/>
        <w:rPr>
          <w:b/>
          <w:bCs/>
          <w:sz w:val="40"/>
          <w:szCs w:val="40"/>
        </w:rPr>
      </w:pPr>
      <w:r>
        <w:rPr>
          <w:u w:val="single"/>
        </w:rPr>
        <w:t>HNAF</w:t>
      </w:r>
      <w:r w:rsidR="003F02CC">
        <w:rPr>
          <w:u w:val="single"/>
        </w:rPr>
        <w:t xml:space="preserve"> or Legacy Funding</w:t>
      </w:r>
      <w:r>
        <w:t xml:space="preserve"> – For queries regarding these funding </w:t>
      </w:r>
      <w:r w:rsidRPr="00A97BC7">
        <w:t xml:space="preserve">allocations please contact </w:t>
      </w:r>
      <w:hyperlink r:id="rId18" w:history="1">
        <w:r w:rsidR="009D5681" w:rsidRPr="009D5681">
          <w:rPr>
            <w:rStyle w:val="Hyperlink"/>
            <w:bCs/>
          </w:rPr>
          <w:t>school.fund@hants.gov.uk</w:t>
        </w:r>
      </w:hyperlink>
      <w:r>
        <w:rPr>
          <w:bCs/>
        </w:rPr>
        <w:t>.</w:t>
      </w:r>
      <w:r w:rsidR="00E126DB">
        <w:rPr>
          <w:sz w:val="40"/>
          <w:szCs w:val="40"/>
        </w:rPr>
        <w:br w:type="page"/>
      </w:r>
    </w:p>
    <w:p w14:paraId="639775B1" w14:textId="2BA689AF" w:rsidR="00603A78" w:rsidRPr="0017616E" w:rsidRDefault="00603A78" w:rsidP="0017616E">
      <w:pPr>
        <w:pStyle w:val="h1"/>
        <w:spacing w:after="120" w:line="300" w:lineRule="auto"/>
        <w:rPr>
          <w:sz w:val="40"/>
          <w:szCs w:val="40"/>
        </w:rPr>
      </w:pPr>
      <w:bookmarkStart w:id="6" w:name="_Toc219822342"/>
      <w:r w:rsidRPr="0017616E">
        <w:rPr>
          <w:sz w:val="40"/>
          <w:szCs w:val="40"/>
        </w:rPr>
        <w:lastRenderedPageBreak/>
        <w:t>Allocation of Resourced Provision Funding</w:t>
      </w:r>
      <w:bookmarkEnd w:id="6"/>
    </w:p>
    <w:p w14:paraId="448AE530" w14:textId="77777777" w:rsidR="00603A78" w:rsidRPr="00920CA7" w:rsidRDefault="00603A78" w:rsidP="0017616E">
      <w:pPr>
        <w:pStyle w:val="h4"/>
        <w:spacing w:after="120" w:line="300" w:lineRule="auto"/>
      </w:pPr>
      <w:r w:rsidRPr="00920CA7">
        <w:t>Place Funding</w:t>
      </w:r>
    </w:p>
    <w:p w14:paraId="1F872CC5" w14:textId="50FEC2E7" w:rsidR="00603A78" w:rsidRPr="00DF71DB" w:rsidRDefault="00603A78" w:rsidP="0017616E">
      <w:pPr>
        <w:spacing w:after="120" w:line="300" w:lineRule="auto"/>
        <w:rPr>
          <w:spacing w:val="1"/>
        </w:rPr>
      </w:pPr>
      <w:r>
        <w:t xml:space="preserve">The place funding for maintained schools will be allocated at the start of the financial year and will </w:t>
      </w:r>
      <w:proofErr w:type="gramStart"/>
      <w:r>
        <w:t>be clearly labelled</w:t>
      </w:r>
      <w:proofErr w:type="gramEnd"/>
      <w:r>
        <w:t xml:space="preserve"> “</w:t>
      </w:r>
      <w:r w:rsidRPr="00920CA7">
        <w:rPr>
          <w:spacing w:val="1"/>
        </w:rPr>
        <w:t>Resourced Provision Place</w:t>
      </w:r>
      <w:r>
        <w:rPr>
          <w:spacing w:val="1"/>
        </w:rPr>
        <w:t xml:space="preserve"> Funding </w:t>
      </w:r>
      <w:r w:rsidR="001066D5">
        <w:rPr>
          <w:spacing w:val="1"/>
        </w:rPr>
        <w:t>2026/27</w:t>
      </w:r>
      <w:r>
        <w:t>”.</w:t>
      </w:r>
      <w:r w:rsidRPr="004C0FDA">
        <w:t xml:space="preserve"> </w:t>
      </w:r>
      <w:r>
        <w:t>Academy schools receive their place funding from the ESFA as part of their General Annual Grant (GAG) high needs allocation.</w:t>
      </w:r>
    </w:p>
    <w:p w14:paraId="1FCD3C3D" w14:textId="77777777" w:rsidR="00603A78" w:rsidRDefault="00603A78" w:rsidP="0017616E">
      <w:pPr>
        <w:spacing w:after="120" w:line="300" w:lineRule="auto"/>
        <w:rPr>
          <w:spacing w:val="1"/>
        </w:rPr>
      </w:pPr>
      <w:r>
        <w:rPr>
          <w:spacing w:val="1"/>
        </w:rPr>
        <w:t xml:space="preserve">The allocations for place funding will </w:t>
      </w:r>
      <w:proofErr w:type="gramStart"/>
      <w:r>
        <w:rPr>
          <w:spacing w:val="1"/>
        </w:rPr>
        <w:t>be made</w:t>
      </w:r>
      <w:proofErr w:type="gramEnd"/>
      <w:r>
        <w:rPr>
          <w:spacing w:val="1"/>
        </w:rPr>
        <w:t xml:space="preserve"> to GL code 7696 (CFR code I01).</w:t>
      </w:r>
    </w:p>
    <w:p w14:paraId="6D9E26E3" w14:textId="77777777" w:rsidR="008D0B83" w:rsidRPr="0040302A" w:rsidRDefault="008D0B83" w:rsidP="0017616E">
      <w:pPr>
        <w:spacing w:after="120" w:line="300" w:lineRule="auto"/>
      </w:pPr>
    </w:p>
    <w:p w14:paraId="1F8CAC41" w14:textId="77777777" w:rsidR="00603A78" w:rsidRPr="006A076D" w:rsidRDefault="00603A78" w:rsidP="0017616E">
      <w:pPr>
        <w:pStyle w:val="h4"/>
        <w:spacing w:after="120" w:line="300" w:lineRule="auto"/>
      </w:pPr>
      <w:r w:rsidRPr="006A076D">
        <w:t>Top</w:t>
      </w:r>
      <w:r>
        <w:t>-u</w:t>
      </w:r>
      <w:r w:rsidRPr="006A076D">
        <w:t>p Funding</w:t>
      </w:r>
    </w:p>
    <w:p w14:paraId="72B90703" w14:textId="77777777" w:rsidR="00603A78" w:rsidRDefault="00603A78" w:rsidP="0017616E">
      <w:pPr>
        <w:spacing w:after="120" w:line="300" w:lineRule="auto"/>
      </w:pPr>
      <w:r>
        <w:t xml:space="preserve">Top-up funding follows the pupil; therefore, it is necessary to allocate it on a termly basis in arrears. The allocation will </w:t>
      </w:r>
      <w:proofErr w:type="gramStart"/>
      <w:r>
        <w:t>be clearly labelled</w:t>
      </w:r>
      <w:proofErr w:type="gramEnd"/>
      <w:r>
        <w:t xml:space="preserve"> “Resourced provision top-up funding – </w:t>
      </w:r>
      <w:r w:rsidRPr="003C2675">
        <w:rPr>
          <w:i/>
        </w:rPr>
        <w:t>summer</w:t>
      </w:r>
      <w:r>
        <w:rPr>
          <w:i/>
        </w:rPr>
        <w:t xml:space="preserve"> </w:t>
      </w:r>
      <w:r w:rsidRPr="003C2675">
        <w:rPr>
          <w:i/>
        </w:rPr>
        <w:t>/ autumn</w:t>
      </w:r>
      <w:r>
        <w:rPr>
          <w:i/>
        </w:rPr>
        <w:t xml:space="preserve"> / spring </w:t>
      </w:r>
      <w:r w:rsidRPr="00C5238E">
        <w:rPr>
          <w:iCs/>
        </w:rPr>
        <w:t>term</w:t>
      </w:r>
      <w:proofErr w:type="gramStart"/>
      <w:r>
        <w:t>”.</w:t>
      </w:r>
      <w:proofErr w:type="gramEnd"/>
    </w:p>
    <w:p w14:paraId="3F4EF048" w14:textId="77777777" w:rsidR="00603A78" w:rsidRDefault="00603A78" w:rsidP="0017616E">
      <w:pPr>
        <w:spacing w:after="120" w:line="300" w:lineRule="auto"/>
        <w:rPr>
          <w:spacing w:val="1"/>
        </w:rPr>
      </w:pPr>
      <w:r>
        <w:rPr>
          <w:spacing w:val="1"/>
        </w:rPr>
        <w:t xml:space="preserve">The allocations for top-up funding will </w:t>
      </w:r>
      <w:proofErr w:type="gramStart"/>
      <w:r>
        <w:rPr>
          <w:spacing w:val="1"/>
        </w:rPr>
        <w:t>be made</w:t>
      </w:r>
      <w:proofErr w:type="gramEnd"/>
      <w:r>
        <w:rPr>
          <w:spacing w:val="1"/>
        </w:rPr>
        <w:t xml:space="preserve"> to GL code 7691 (CFR code I03).</w:t>
      </w:r>
    </w:p>
    <w:p w14:paraId="5264CD1A" w14:textId="2A9B8769" w:rsidR="00603A78" w:rsidRDefault="00603A78" w:rsidP="0017616E">
      <w:pPr>
        <w:spacing w:after="120" w:line="300" w:lineRule="auto"/>
      </w:pPr>
      <w:r>
        <w:t xml:space="preserve">It is </w:t>
      </w:r>
      <w:proofErr w:type="gramStart"/>
      <w:r>
        <w:t>very important</w:t>
      </w:r>
      <w:proofErr w:type="gramEnd"/>
      <w:r>
        <w:t xml:space="preserve"> for schools to check the data on the termly top-up statement which </w:t>
      </w:r>
      <w:proofErr w:type="gramStart"/>
      <w:r>
        <w:t>is sent</w:t>
      </w:r>
      <w:proofErr w:type="gramEnd"/>
      <w:r>
        <w:t xml:space="preserve"> to them. If there are any inaccuracies in the data </w:t>
      </w:r>
      <w:proofErr w:type="gramStart"/>
      <w:r>
        <w:t>being used</w:t>
      </w:r>
      <w:proofErr w:type="gramEnd"/>
      <w:r>
        <w:t xml:space="preserve">, the SEN </w:t>
      </w:r>
      <w:r w:rsidR="00EC572D">
        <w:t>Business Support</w:t>
      </w:r>
      <w:r>
        <w:t xml:space="preserve"> Team must </w:t>
      </w:r>
      <w:proofErr w:type="gramStart"/>
      <w:r>
        <w:t>be alerted</w:t>
      </w:r>
      <w:proofErr w:type="gramEnd"/>
      <w:r>
        <w:t xml:space="preserve">, as it will have a direct impact on the amount of top-up funding that is allocated to the school. If a change to the data </w:t>
      </w:r>
      <w:proofErr w:type="gramStart"/>
      <w:r>
        <w:t>is discovered</w:t>
      </w:r>
      <w:proofErr w:type="gramEnd"/>
      <w:r>
        <w:t xml:space="preserve"> after the funding has been allocated, then an adjustment will </w:t>
      </w:r>
      <w:proofErr w:type="gramStart"/>
      <w:r>
        <w:t>be made</w:t>
      </w:r>
      <w:proofErr w:type="gramEnd"/>
      <w:r>
        <w:t xml:space="preserve"> to the allocation at the end of the spring term (or ad-hoc if the adjustment relates to the prior financial year).</w:t>
      </w:r>
    </w:p>
    <w:p w14:paraId="001D3B36" w14:textId="77777777" w:rsidR="00603A78" w:rsidRDefault="00603A78" w:rsidP="0017616E">
      <w:pPr>
        <w:spacing w:after="120" w:line="300" w:lineRule="auto"/>
      </w:pPr>
      <w:r>
        <w:t xml:space="preserve">The allocation for any adjustments to top-up funding will </w:t>
      </w:r>
      <w:proofErr w:type="gramStart"/>
      <w:r>
        <w:t>be clearly labelled</w:t>
      </w:r>
      <w:proofErr w:type="gramEnd"/>
      <w:r>
        <w:t xml:space="preserve"> “Resourced provision top-up funding –</w:t>
      </w:r>
      <w:r w:rsidRPr="000C34F5">
        <w:rPr>
          <w:i/>
        </w:rPr>
        <w:t xml:space="preserve"> summer</w:t>
      </w:r>
      <w:r>
        <w:rPr>
          <w:i/>
        </w:rPr>
        <w:t xml:space="preserve"> </w:t>
      </w:r>
      <w:r w:rsidRPr="000C34F5">
        <w:rPr>
          <w:i/>
        </w:rPr>
        <w:t xml:space="preserve">/ autumn </w:t>
      </w:r>
      <w:r>
        <w:rPr>
          <w:i/>
        </w:rPr>
        <w:t xml:space="preserve">/ spring </w:t>
      </w:r>
      <w:r w:rsidRPr="00A74D0A">
        <w:rPr>
          <w:iCs/>
        </w:rPr>
        <w:t>term</w:t>
      </w:r>
      <w:r>
        <w:t xml:space="preserve"> adjustment</w:t>
      </w:r>
      <w:proofErr w:type="gramStart"/>
      <w:r>
        <w:t>”.</w:t>
      </w:r>
      <w:proofErr w:type="gramEnd"/>
    </w:p>
    <w:p w14:paraId="7C753525" w14:textId="5DF61B22" w:rsidR="00603A78" w:rsidRDefault="00603A78" w:rsidP="0017616E">
      <w:pPr>
        <w:spacing w:after="120" w:line="300" w:lineRule="auto"/>
      </w:pPr>
      <w:r>
        <w:t xml:space="preserve">Any adjustments to top-up funding will also </w:t>
      </w:r>
      <w:proofErr w:type="gramStart"/>
      <w:r>
        <w:t>be made</w:t>
      </w:r>
      <w:proofErr w:type="gramEnd"/>
      <w:r>
        <w:t xml:space="preserve"> to GL code 7691</w:t>
      </w:r>
      <w:r w:rsidR="003C1A0C">
        <w:t xml:space="preserve"> (CFR</w:t>
      </w:r>
      <w:r w:rsidR="005E76ED">
        <w:t xml:space="preserve"> code</w:t>
      </w:r>
      <w:r w:rsidR="003C1A0C">
        <w:t xml:space="preserve"> I03)</w:t>
      </w:r>
      <w:r>
        <w:t>.</w:t>
      </w:r>
    </w:p>
    <w:p w14:paraId="5059E867" w14:textId="77777777" w:rsidR="008D0B83" w:rsidRDefault="008D0B83" w:rsidP="0017616E">
      <w:pPr>
        <w:spacing w:after="120" w:line="300" w:lineRule="auto"/>
      </w:pPr>
    </w:p>
    <w:p w14:paraId="209183EA" w14:textId="65D76BFB" w:rsidR="008D0B83" w:rsidRDefault="00603A78" w:rsidP="0017616E">
      <w:pPr>
        <w:pStyle w:val="h4"/>
        <w:spacing w:after="120" w:line="300" w:lineRule="auto"/>
      </w:pPr>
      <w:r w:rsidRPr="006A076D">
        <w:t>Other High Needs Allocations</w:t>
      </w:r>
    </w:p>
    <w:p w14:paraId="7B83A351" w14:textId="339D0A29" w:rsidR="00603A78" w:rsidRDefault="00603A78" w:rsidP="0017616E">
      <w:pPr>
        <w:spacing w:after="120" w:line="300" w:lineRule="auto"/>
      </w:pPr>
      <w:r>
        <w:t>It is important to note that top-up funding for resourced provisions must not be confused with any other High Needs funding which is allocated on GL code 7691.</w:t>
      </w:r>
    </w:p>
    <w:p w14:paraId="041D57DC" w14:textId="154282B5" w:rsidR="00603A78" w:rsidRDefault="00603A78" w:rsidP="0017616E">
      <w:pPr>
        <w:spacing w:after="120" w:line="300" w:lineRule="auto"/>
      </w:pPr>
      <w:r>
        <w:t xml:space="preserve">Other High Needs allocations for Pupils with Education Health and Care Plans (EHCPs) will </w:t>
      </w:r>
      <w:proofErr w:type="gramStart"/>
      <w:r>
        <w:t>be clearly labelled</w:t>
      </w:r>
      <w:proofErr w:type="gramEnd"/>
      <w:r>
        <w:t>.</w:t>
      </w:r>
      <w:bookmarkStart w:id="7" w:name="contacts"/>
      <w:bookmarkStart w:id="8" w:name="rescontact"/>
      <w:bookmarkStart w:id="9" w:name="OLE_LINK19"/>
      <w:bookmarkEnd w:id="7"/>
      <w:bookmarkEnd w:id="8"/>
    </w:p>
    <w:bookmarkEnd w:id="9"/>
    <w:p w14:paraId="2180C1CC" w14:textId="77777777" w:rsidR="00603A78" w:rsidRDefault="00603A78" w:rsidP="0017616E">
      <w:pPr>
        <w:spacing w:after="120" w:line="300" w:lineRule="auto"/>
      </w:pPr>
    </w:p>
    <w:p w14:paraId="7A2D44C5" w14:textId="77777777" w:rsidR="00376A8A" w:rsidRDefault="00376A8A">
      <w:pPr>
        <w:spacing w:after="160" w:line="259" w:lineRule="auto"/>
        <w:rPr>
          <w:b/>
          <w:bCs/>
          <w:sz w:val="40"/>
          <w:szCs w:val="40"/>
        </w:rPr>
      </w:pPr>
      <w:bookmarkStart w:id="10" w:name="Budgetshareandind"/>
      <w:r>
        <w:rPr>
          <w:sz w:val="40"/>
          <w:szCs w:val="40"/>
        </w:rPr>
        <w:br w:type="page"/>
      </w:r>
    </w:p>
    <w:p w14:paraId="21D96EBB" w14:textId="1788E7B2" w:rsidR="00603A78" w:rsidRPr="0017616E" w:rsidRDefault="00603A78" w:rsidP="0017616E">
      <w:pPr>
        <w:pStyle w:val="h1"/>
        <w:spacing w:after="120" w:line="300" w:lineRule="auto"/>
        <w:rPr>
          <w:sz w:val="40"/>
          <w:szCs w:val="40"/>
        </w:rPr>
      </w:pPr>
      <w:bookmarkStart w:id="11" w:name="_Toc219822343"/>
      <w:r w:rsidRPr="0017616E">
        <w:rPr>
          <w:sz w:val="40"/>
          <w:szCs w:val="40"/>
        </w:rPr>
        <w:lastRenderedPageBreak/>
        <w:t>Budget Share and Indicative Top-up Funding</w:t>
      </w:r>
      <w:bookmarkEnd w:id="11"/>
    </w:p>
    <w:p w14:paraId="2D79C331" w14:textId="77777777" w:rsidR="00603A78" w:rsidRDefault="00603A78" w:rsidP="0017616E">
      <w:pPr>
        <w:spacing w:after="120" w:line="300" w:lineRule="auto"/>
      </w:pPr>
      <w:bookmarkStart w:id="12" w:name="placefunding"/>
      <w:bookmarkEnd w:id="10"/>
      <w:r>
        <w:t xml:space="preserve">At the end of </w:t>
      </w:r>
      <w:r w:rsidRPr="005147D9">
        <w:t>February</w:t>
      </w:r>
      <w:r>
        <w:t xml:space="preserve"> each maintained school with a resourced provision is issued with a budget share for the forthcoming year. This budget share </w:t>
      </w:r>
      <w:proofErr w:type="gramStart"/>
      <w:r>
        <w:t>is broken</w:t>
      </w:r>
      <w:proofErr w:type="gramEnd"/>
      <w:r>
        <w:t xml:space="preserve"> down into two sections. The first is for the place funding plus any other fixed funding and </w:t>
      </w:r>
      <w:proofErr w:type="gramStart"/>
      <w:r>
        <w:t>is not adjusted</w:t>
      </w:r>
      <w:proofErr w:type="gramEnd"/>
      <w:r>
        <w:t xml:space="preserve"> during the year. The second is for the indicative top-up funding and is subject to change throughout the year, depending on the pupils attending the resourced provision.</w:t>
      </w:r>
    </w:p>
    <w:p w14:paraId="3341FEAD" w14:textId="77777777" w:rsidR="00603A78" w:rsidRDefault="00603A78" w:rsidP="0017616E">
      <w:pPr>
        <w:spacing w:after="120" w:line="300" w:lineRule="auto"/>
      </w:pPr>
    </w:p>
    <w:p w14:paraId="05D3FE74" w14:textId="77777777" w:rsidR="00603A78" w:rsidRPr="0017616E" w:rsidRDefault="00603A78" w:rsidP="0017616E">
      <w:pPr>
        <w:pStyle w:val="h1"/>
        <w:spacing w:after="120" w:line="300" w:lineRule="auto"/>
        <w:rPr>
          <w:sz w:val="40"/>
          <w:szCs w:val="40"/>
        </w:rPr>
      </w:pPr>
      <w:bookmarkStart w:id="13" w:name="_Toc219822344"/>
      <w:r w:rsidRPr="0017616E">
        <w:rPr>
          <w:sz w:val="40"/>
          <w:szCs w:val="40"/>
        </w:rPr>
        <w:t>Place Funding</w:t>
      </w:r>
      <w:bookmarkEnd w:id="13"/>
    </w:p>
    <w:p w14:paraId="30D5662F" w14:textId="1A0C215A" w:rsidR="00603A78" w:rsidRDefault="00603A78" w:rsidP="0017616E">
      <w:pPr>
        <w:spacing w:after="120" w:line="300" w:lineRule="auto"/>
      </w:pPr>
      <w:bookmarkStart w:id="14" w:name="AWPU"/>
      <w:bookmarkStart w:id="15" w:name="resapn"/>
      <w:bookmarkEnd w:id="12"/>
      <w:bookmarkEnd w:id="14"/>
      <w:bookmarkEnd w:id="15"/>
      <w:r>
        <w:t xml:space="preserve">The Agreed Place Number (APN) for academic year </w:t>
      </w:r>
      <w:r w:rsidR="00A85636">
        <w:t>2026/27</w:t>
      </w:r>
      <w:r>
        <w:t xml:space="preserve"> for each resourced provision has been set by the local authority to reflect commissioning activity, in accordance with DfE guidance.</w:t>
      </w:r>
    </w:p>
    <w:p w14:paraId="05BDDBD7" w14:textId="13981C45" w:rsidR="00603A78" w:rsidRDefault="00603A78" w:rsidP="0017616E">
      <w:pPr>
        <w:spacing w:after="120" w:line="300" w:lineRule="auto"/>
      </w:pPr>
      <w:r w:rsidRPr="00E14E0F">
        <w:t xml:space="preserve">The budget share will reflect the financial year APN, which </w:t>
      </w:r>
      <w:proofErr w:type="gramStart"/>
      <w:r w:rsidRPr="00E14E0F">
        <w:t>is calculated</w:t>
      </w:r>
      <w:proofErr w:type="gramEnd"/>
      <w:r w:rsidRPr="00E14E0F">
        <w:t xml:space="preserve"> </w:t>
      </w:r>
      <w:r>
        <w:t xml:space="preserve">as </w:t>
      </w:r>
      <w:r w:rsidR="006A695B">
        <w:t>five-</w:t>
      </w:r>
      <w:r w:rsidR="00CE64E9">
        <w:t>twelfths (5/12)</w:t>
      </w:r>
      <w:r w:rsidRPr="00E14E0F">
        <w:t xml:space="preserve"> </w:t>
      </w:r>
      <w:r>
        <w:t xml:space="preserve">of the </w:t>
      </w:r>
      <w:r w:rsidR="00A85636">
        <w:t>2025/26</w:t>
      </w:r>
      <w:r w:rsidRPr="00E14E0F">
        <w:t xml:space="preserve"> academic year APN </w:t>
      </w:r>
      <w:r>
        <w:t xml:space="preserve">plus </w:t>
      </w:r>
      <w:r w:rsidR="00096DDD">
        <w:t>seven-</w:t>
      </w:r>
      <w:r w:rsidR="00CE64E9">
        <w:t>twelfths</w:t>
      </w:r>
      <w:r w:rsidRPr="00E14E0F">
        <w:t xml:space="preserve"> </w:t>
      </w:r>
      <w:r w:rsidR="00CE64E9">
        <w:t xml:space="preserve">(7/12) </w:t>
      </w:r>
      <w:r>
        <w:t xml:space="preserve">of the </w:t>
      </w:r>
      <w:r w:rsidR="00A85636">
        <w:t>2026/27</w:t>
      </w:r>
      <w:r>
        <w:t xml:space="preserve"> </w:t>
      </w:r>
      <w:r w:rsidRPr="00E14E0F">
        <w:t>academic year APN</w:t>
      </w:r>
      <w:r>
        <w:t>.</w:t>
      </w:r>
    </w:p>
    <w:p w14:paraId="5FA77483" w14:textId="77777777" w:rsidR="00603A78" w:rsidRDefault="00603A78" w:rsidP="0017616E">
      <w:pPr>
        <w:spacing w:after="120" w:line="300" w:lineRule="auto"/>
        <w:rPr>
          <w:spacing w:val="-1"/>
        </w:rPr>
      </w:pPr>
      <w:r>
        <w:rPr>
          <w:spacing w:val="-1"/>
        </w:rPr>
        <w:t xml:space="preserve">Resourced provision places will </w:t>
      </w:r>
      <w:proofErr w:type="gramStart"/>
      <w:r>
        <w:rPr>
          <w:spacing w:val="-1"/>
        </w:rPr>
        <w:t>be funded</w:t>
      </w:r>
      <w:proofErr w:type="gramEnd"/>
      <w:r>
        <w:rPr>
          <w:spacing w:val="-1"/>
        </w:rPr>
        <w:t xml:space="preserve"> at £6,000. The basic entitlement (Age Weighted Pupil Unit</w:t>
      </w:r>
      <w:r w:rsidRPr="00AB29DB">
        <w:rPr>
          <w:spacing w:val="-1"/>
        </w:rPr>
        <w:t xml:space="preserve"> </w:t>
      </w:r>
      <w:r>
        <w:rPr>
          <w:spacing w:val="-1"/>
        </w:rPr>
        <w:t xml:space="preserve">– AWPU) and other pupil led funding for these places will </w:t>
      </w:r>
      <w:proofErr w:type="gramStart"/>
      <w:r>
        <w:rPr>
          <w:spacing w:val="-1"/>
        </w:rPr>
        <w:t>be included</w:t>
      </w:r>
      <w:proofErr w:type="gramEnd"/>
      <w:r>
        <w:rPr>
          <w:spacing w:val="-1"/>
        </w:rPr>
        <w:t xml:space="preserve"> within mainstream school budget allocations.</w:t>
      </w:r>
    </w:p>
    <w:p w14:paraId="362DA247" w14:textId="0C2F590A" w:rsidR="00603A78" w:rsidRPr="00D65965" w:rsidRDefault="00603A78" w:rsidP="0017616E">
      <w:pPr>
        <w:spacing w:after="120" w:line="300" w:lineRule="auto"/>
        <w:rPr>
          <w:spacing w:val="-1"/>
        </w:rPr>
      </w:pPr>
      <w:r w:rsidRPr="00786805">
        <w:rPr>
          <w:spacing w:val="-1"/>
        </w:rPr>
        <w:t xml:space="preserve">Additional place funding of £4,000 </w:t>
      </w:r>
      <w:r>
        <w:rPr>
          <w:spacing w:val="-1"/>
        </w:rPr>
        <w:t>may</w:t>
      </w:r>
      <w:r w:rsidRPr="00786805">
        <w:rPr>
          <w:spacing w:val="-1"/>
        </w:rPr>
        <w:t xml:space="preserve"> be allocated for any places which are unoccupied in autumn 20</w:t>
      </w:r>
      <w:r>
        <w:rPr>
          <w:spacing w:val="-1"/>
        </w:rPr>
        <w:t>2</w:t>
      </w:r>
      <w:r w:rsidR="00A85636">
        <w:rPr>
          <w:spacing w:val="-1"/>
        </w:rPr>
        <w:t>5</w:t>
      </w:r>
      <w:r>
        <w:rPr>
          <w:spacing w:val="-1"/>
        </w:rPr>
        <w:t xml:space="preserve"> but required in the following financial year</w:t>
      </w:r>
      <w:r w:rsidRPr="00786805">
        <w:rPr>
          <w:spacing w:val="-1"/>
        </w:rPr>
        <w:t>.</w:t>
      </w:r>
      <w:bookmarkStart w:id="16" w:name="Deprivation"/>
      <w:bookmarkStart w:id="17" w:name="resoakmore"/>
      <w:bookmarkEnd w:id="16"/>
      <w:bookmarkEnd w:id="17"/>
      <w:r>
        <w:rPr>
          <w:spacing w:val="-1"/>
        </w:rPr>
        <w:t xml:space="preserve"> Occupancy data is based on the unit information submitted to the Data and Information Team by each school with their </w:t>
      </w:r>
      <w:r w:rsidRPr="00D65965">
        <w:t>autumn</w:t>
      </w:r>
      <w:r>
        <w:rPr>
          <w:color w:val="1F497D"/>
        </w:rPr>
        <w:t xml:space="preserve"> </w:t>
      </w:r>
      <w:r w:rsidRPr="00D65965">
        <w:t>20</w:t>
      </w:r>
      <w:r>
        <w:t>2</w:t>
      </w:r>
      <w:r w:rsidR="00A85636">
        <w:t>5</w:t>
      </w:r>
      <w:r w:rsidRPr="00D65965">
        <w:t xml:space="preserve"> census return</w:t>
      </w:r>
      <w:r>
        <w:t xml:space="preserve"> and is subject to verification by the SEN team.</w:t>
      </w:r>
    </w:p>
    <w:p w14:paraId="0FB74BB9" w14:textId="77777777" w:rsidR="00603A78" w:rsidRDefault="00603A78" w:rsidP="0017616E">
      <w:pPr>
        <w:spacing w:after="120" w:line="300" w:lineRule="auto"/>
      </w:pPr>
      <w:bookmarkStart w:id="18" w:name="topupfunding"/>
    </w:p>
    <w:p w14:paraId="05E0A817" w14:textId="43936745" w:rsidR="00603A78" w:rsidRPr="0017616E" w:rsidRDefault="00603A78" w:rsidP="0017616E">
      <w:pPr>
        <w:pStyle w:val="h1"/>
        <w:spacing w:after="120" w:line="300" w:lineRule="auto"/>
        <w:rPr>
          <w:sz w:val="40"/>
          <w:szCs w:val="40"/>
        </w:rPr>
      </w:pPr>
      <w:bookmarkStart w:id="19" w:name="_Toc219822345"/>
      <w:r w:rsidRPr="005706B3">
        <w:rPr>
          <w:sz w:val="40"/>
          <w:szCs w:val="40"/>
        </w:rPr>
        <w:t xml:space="preserve">High Needs Additional Funding for </w:t>
      </w:r>
      <w:r w:rsidR="005706B3" w:rsidRPr="005706B3">
        <w:rPr>
          <w:sz w:val="40"/>
          <w:szCs w:val="40"/>
        </w:rPr>
        <w:t>2026/27</w:t>
      </w:r>
      <w:bookmarkEnd w:id="19"/>
    </w:p>
    <w:p w14:paraId="0310F9F8" w14:textId="366EC279" w:rsidR="003B1CBD" w:rsidRDefault="00BD5031" w:rsidP="0017616E">
      <w:pPr>
        <w:spacing w:after="120" w:line="300" w:lineRule="auto"/>
      </w:pPr>
      <w:r>
        <w:t>The a</w:t>
      </w:r>
      <w:r w:rsidR="003B1CBD">
        <w:t xml:space="preserve">dditional funding originally </w:t>
      </w:r>
      <w:r w:rsidRPr="00BD5031">
        <w:t>calculated as 3.4% of place and top-up funding</w:t>
      </w:r>
      <w:r>
        <w:t xml:space="preserve"> is allocated on a per place basis </w:t>
      </w:r>
      <w:r w:rsidR="00560083">
        <w:t xml:space="preserve">using the same rate </w:t>
      </w:r>
      <w:r w:rsidR="000502AD">
        <w:t>applied</w:t>
      </w:r>
      <w:r w:rsidR="00D077E9">
        <w:t xml:space="preserve"> in 2025/26 </w:t>
      </w:r>
      <w:r w:rsidR="000502AD">
        <w:t>and</w:t>
      </w:r>
      <w:r>
        <w:t xml:space="preserve"> the agreed place number</w:t>
      </w:r>
      <w:r w:rsidR="005E52C0">
        <w:t xml:space="preserve"> for 2026/27</w:t>
      </w:r>
      <w:r w:rsidR="00D077E9">
        <w:t>.</w:t>
      </w:r>
    </w:p>
    <w:p w14:paraId="69ADFF2D" w14:textId="2B74F309" w:rsidR="00EA30B7" w:rsidRPr="00EA30B7" w:rsidRDefault="00455EAA" w:rsidP="00EA30B7">
      <w:pPr>
        <w:spacing w:after="120" w:line="300" w:lineRule="auto"/>
      </w:pPr>
      <w:r>
        <w:t>For example</w:t>
      </w:r>
      <w:r w:rsidR="00677826">
        <w:t xml:space="preserve">, </w:t>
      </w:r>
      <w:r w:rsidR="00EA30B7">
        <w:t>a</w:t>
      </w:r>
      <w:r w:rsidR="00EA30B7" w:rsidRPr="00EA30B7">
        <w:t xml:space="preserve"> resourced provision received £4,800 of additional funding in 2025/26 (12 places at £400 per place). The number of agreed places is increasing to </w:t>
      </w:r>
      <w:proofErr w:type="gramStart"/>
      <w:r w:rsidR="00EA30B7" w:rsidRPr="00EA30B7">
        <w:t>15</w:t>
      </w:r>
      <w:proofErr w:type="gramEnd"/>
      <w:r w:rsidR="00EA30B7" w:rsidRPr="00EA30B7">
        <w:t xml:space="preserve"> for 2026/27.</w:t>
      </w:r>
    </w:p>
    <w:p w14:paraId="53234EAB" w14:textId="77777777" w:rsidR="00EA30B7" w:rsidRPr="00EA30B7" w:rsidRDefault="00EA30B7" w:rsidP="00EA30B7">
      <w:pPr>
        <w:spacing w:after="120" w:line="300" w:lineRule="auto"/>
      </w:pPr>
      <w:r w:rsidRPr="00EA30B7">
        <w:t>Therefore, the provision will receive:</w:t>
      </w:r>
    </w:p>
    <w:p w14:paraId="0C8DD07D" w14:textId="77777777" w:rsidR="00EA30B7" w:rsidRPr="00EA30B7" w:rsidRDefault="00EA30B7" w:rsidP="00EA30B7">
      <w:pPr>
        <w:numPr>
          <w:ilvl w:val="0"/>
          <w:numId w:val="11"/>
        </w:numPr>
        <w:spacing w:after="120" w:line="300" w:lineRule="auto"/>
      </w:pPr>
      <w:r w:rsidRPr="00EA30B7">
        <w:t>Five</w:t>
      </w:r>
      <w:r w:rsidRPr="00EA30B7">
        <w:noBreakHyphen/>
        <w:t>twelfths of the 2025/26 amount:</w:t>
      </w:r>
      <w:r w:rsidRPr="00EA30B7">
        <w:br/>
        <w:t>5/12 × £4,800 = £2,000</w:t>
      </w:r>
    </w:p>
    <w:p w14:paraId="37840122" w14:textId="77777777" w:rsidR="00EA30B7" w:rsidRPr="00EA30B7" w:rsidRDefault="00EA30B7" w:rsidP="00EA30B7">
      <w:pPr>
        <w:numPr>
          <w:ilvl w:val="0"/>
          <w:numId w:val="11"/>
        </w:numPr>
        <w:spacing w:after="120" w:line="300" w:lineRule="auto"/>
      </w:pPr>
      <w:r w:rsidRPr="00EA30B7">
        <w:lastRenderedPageBreak/>
        <w:t>Seven</w:t>
      </w:r>
      <w:r w:rsidRPr="00EA30B7">
        <w:noBreakHyphen/>
        <w:t>twelfths of 15 places at £400 per place:</w:t>
      </w:r>
      <w:r w:rsidRPr="00EA30B7">
        <w:br/>
        <w:t>7/12 × (15 × £400) = £3,500</w:t>
      </w:r>
    </w:p>
    <w:p w14:paraId="5E2C5841" w14:textId="77777777" w:rsidR="00EA30B7" w:rsidRPr="00EA30B7" w:rsidRDefault="00EA30B7" w:rsidP="00EA30B7">
      <w:pPr>
        <w:spacing w:after="120" w:line="300" w:lineRule="auto"/>
      </w:pPr>
      <w:r w:rsidRPr="00EA30B7">
        <w:t>In total, the additional funding for 2026/27 will be £5,500.</w:t>
      </w:r>
    </w:p>
    <w:p w14:paraId="5934DE82" w14:textId="4281128E" w:rsidR="00603A78" w:rsidRDefault="00603A78" w:rsidP="0017616E">
      <w:pPr>
        <w:spacing w:after="120" w:line="300" w:lineRule="auto"/>
        <w:rPr>
          <w:spacing w:val="1"/>
        </w:rPr>
      </w:pPr>
      <w:r w:rsidRPr="00D82FAA">
        <w:t>A</w:t>
      </w:r>
      <w:r w:rsidRPr="00B23666">
        <w:t xml:space="preserve"> worked example of the</w:t>
      </w:r>
      <w:r w:rsidR="00BC5582">
        <w:t xml:space="preserve"> original</w:t>
      </w:r>
      <w:r w:rsidRPr="00B23666">
        <w:t xml:space="preserve"> </w:t>
      </w:r>
      <w:r>
        <w:t>High Needs Additional Funding for 2023/24</w:t>
      </w:r>
      <w:r w:rsidRPr="00B23666">
        <w:t xml:space="preserve"> calculation can </w:t>
      </w:r>
      <w:proofErr w:type="gramStart"/>
      <w:r w:rsidRPr="00B23666">
        <w:t>be found</w:t>
      </w:r>
      <w:proofErr w:type="gramEnd"/>
      <w:r w:rsidRPr="00B23666">
        <w:t xml:space="preserve"> in Appendix </w:t>
      </w:r>
      <w:r>
        <w:t>2</w:t>
      </w:r>
      <w:r w:rsidR="00644AC6">
        <w:t xml:space="preserve"> </w:t>
      </w:r>
      <w:r w:rsidR="00644AC6" w:rsidRPr="000F7C20">
        <w:rPr>
          <w:spacing w:val="1"/>
        </w:rPr>
        <w:t xml:space="preserve">of the 2023/24 Budget Share </w:t>
      </w:r>
      <w:r w:rsidR="005259CC">
        <w:rPr>
          <w:spacing w:val="1"/>
        </w:rPr>
        <w:t>Resourced Provision</w:t>
      </w:r>
      <w:r w:rsidR="00644AC6" w:rsidRPr="000F7C20">
        <w:rPr>
          <w:spacing w:val="1"/>
        </w:rPr>
        <w:t xml:space="preserve"> Guidance Notes, and the actual calculation for each school can </w:t>
      </w:r>
      <w:proofErr w:type="gramStart"/>
      <w:r w:rsidR="00644AC6" w:rsidRPr="000F7C20">
        <w:rPr>
          <w:spacing w:val="1"/>
        </w:rPr>
        <w:t>be found</w:t>
      </w:r>
      <w:proofErr w:type="gramEnd"/>
      <w:r w:rsidR="00644AC6" w:rsidRPr="000F7C20">
        <w:rPr>
          <w:spacing w:val="1"/>
        </w:rPr>
        <w:t xml:space="preserve"> in the 2023/24 budget share itself.</w:t>
      </w:r>
    </w:p>
    <w:p w14:paraId="41A74FE4" w14:textId="77777777" w:rsidR="009125EB" w:rsidRDefault="009125EB" w:rsidP="009125EB">
      <w:pPr>
        <w:spacing w:after="120" w:line="300" w:lineRule="auto"/>
      </w:pPr>
      <w:r>
        <w:t xml:space="preserve">This funding </w:t>
      </w:r>
      <w:proofErr w:type="gramStart"/>
      <w:r>
        <w:t>is excluded</w:t>
      </w:r>
      <w:proofErr w:type="gramEnd"/>
      <w:r>
        <w:t xml:space="preserve"> from the Minimum Funding Guarantee (MFG).</w:t>
      </w:r>
    </w:p>
    <w:p w14:paraId="5C48F4EC" w14:textId="6A5A793A" w:rsidR="00603A78" w:rsidRDefault="00603A78" w:rsidP="0017616E">
      <w:pPr>
        <w:spacing w:after="120" w:line="300" w:lineRule="auto"/>
        <w:rPr>
          <w:spacing w:val="1"/>
        </w:rPr>
      </w:pPr>
      <w:r>
        <w:rPr>
          <w:spacing w:val="1"/>
        </w:rPr>
        <w:t xml:space="preserve">The allocations for High Needs Additional Funding for </w:t>
      </w:r>
      <w:r w:rsidR="00647CAB">
        <w:rPr>
          <w:spacing w:val="1"/>
        </w:rPr>
        <w:t>2026/27</w:t>
      </w:r>
      <w:r>
        <w:rPr>
          <w:spacing w:val="1"/>
        </w:rPr>
        <w:t xml:space="preserve"> will </w:t>
      </w:r>
      <w:proofErr w:type="gramStart"/>
      <w:r>
        <w:rPr>
          <w:spacing w:val="1"/>
        </w:rPr>
        <w:t>be made</w:t>
      </w:r>
      <w:proofErr w:type="gramEnd"/>
      <w:r>
        <w:rPr>
          <w:spacing w:val="1"/>
        </w:rPr>
        <w:t xml:space="preserve"> to GL code 769</w:t>
      </w:r>
      <w:r w:rsidR="00677891">
        <w:rPr>
          <w:spacing w:val="1"/>
        </w:rPr>
        <w:t>7</w:t>
      </w:r>
      <w:r>
        <w:rPr>
          <w:spacing w:val="1"/>
        </w:rPr>
        <w:t xml:space="preserve"> (CFR code I0</w:t>
      </w:r>
      <w:r w:rsidR="00677891">
        <w:rPr>
          <w:spacing w:val="1"/>
        </w:rPr>
        <w:t>1</w:t>
      </w:r>
      <w:r>
        <w:rPr>
          <w:spacing w:val="1"/>
        </w:rPr>
        <w:t>).</w:t>
      </w:r>
    </w:p>
    <w:p w14:paraId="55FFBD4C" w14:textId="77777777" w:rsidR="00A573FA" w:rsidRDefault="00A573FA" w:rsidP="0017616E">
      <w:pPr>
        <w:spacing w:after="120" w:line="300" w:lineRule="auto"/>
        <w:rPr>
          <w:spacing w:val="1"/>
        </w:rPr>
      </w:pPr>
    </w:p>
    <w:p w14:paraId="64C16AC4" w14:textId="2F0C0AA6" w:rsidR="00A573FA" w:rsidRPr="00A573FA" w:rsidRDefault="00A573FA" w:rsidP="00A573FA">
      <w:pPr>
        <w:pStyle w:val="h1"/>
        <w:spacing w:after="120" w:line="300" w:lineRule="auto"/>
        <w:rPr>
          <w:sz w:val="40"/>
          <w:szCs w:val="40"/>
        </w:rPr>
      </w:pPr>
      <w:bookmarkStart w:id="20" w:name="_Toc219822346"/>
      <w:r w:rsidRPr="00A573FA">
        <w:rPr>
          <w:sz w:val="40"/>
          <w:szCs w:val="40"/>
        </w:rPr>
        <w:t>Legacy Funding</w:t>
      </w:r>
      <w:bookmarkEnd w:id="20"/>
    </w:p>
    <w:p w14:paraId="32C635DC" w14:textId="3CF4EE2D" w:rsidR="00EF16DA" w:rsidRDefault="00255BCF" w:rsidP="00176168">
      <w:pPr>
        <w:spacing w:after="120" w:line="300" w:lineRule="auto"/>
      </w:pPr>
      <w:r w:rsidRPr="00255BCF">
        <w:t xml:space="preserve">In line with Annex 4 of the High Needs Operational Guide for 2026/27, an amount has </w:t>
      </w:r>
      <w:proofErr w:type="gramStart"/>
      <w:r w:rsidRPr="00255BCF">
        <w:t>been included</w:t>
      </w:r>
      <w:proofErr w:type="gramEnd"/>
      <w:r w:rsidRPr="00255BCF">
        <w:t xml:space="preserve"> in the school’s budget share to reflect the rolling</w:t>
      </w:r>
      <w:r w:rsidRPr="00255BCF">
        <w:rPr>
          <w:rFonts w:ascii="Cambria Math" w:hAnsi="Cambria Math" w:cs="Cambria Math"/>
        </w:rPr>
        <w:t>‑</w:t>
      </w:r>
      <w:r w:rsidRPr="00255BCF">
        <w:t>in of the National Insurance Contributions (NICs) Grant and the Schools Budget Support Grant (SBSG)</w:t>
      </w:r>
      <w:r w:rsidR="00E070AF">
        <w:t>.</w:t>
      </w:r>
    </w:p>
    <w:p w14:paraId="6049A3B1" w14:textId="0CA9CBD5" w:rsidR="0022196F" w:rsidRDefault="00B12226" w:rsidP="00176168">
      <w:pPr>
        <w:spacing w:after="120" w:line="300" w:lineRule="auto"/>
      </w:pPr>
      <w:r w:rsidRPr="00B12226">
        <w:t>As set out by the Department for Education, these allocations must continue to use the same per</w:t>
      </w:r>
      <w:r w:rsidRPr="00B12226">
        <w:rPr>
          <w:rFonts w:ascii="Cambria Math" w:hAnsi="Cambria Math" w:cs="Cambria Math"/>
        </w:rPr>
        <w:t>‑</w:t>
      </w:r>
      <w:r w:rsidRPr="00B12226">
        <w:t>place rates as those applied in the 2025/26 grant calculations:</w:t>
      </w:r>
    </w:p>
    <w:p w14:paraId="7B41402A" w14:textId="65A30CB3" w:rsidR="00CB579B" w:rsidRDefault="00CB579B" w:rsidP="00CB579B">
      <w:pPr>
        <w:pStyle w:val="ListParagraph"/>
        <w:numPr>
          <w:ilvl w:val="0"/>
          <w:numId w:val="10"/>
        </w:numPr>
        <w:spacing w:after="120" w:line="300" w:lineRule="auto"/>
      </w:pPr>
      <w:r>
        <w:t>NICs grant: £286 per place</w:t>
      </w:r>
    </w:p>
    <w:p w14:paraId="7F81017A" w14:textId="3606FE76" w:rsidR="00CB579B" w:rsidRDefault="00CB579B" w:rsidP="00CB579B">
      <w:pPr>
        <w:pStyle w:val="ListParagraph"/>
        <w:numPr>
          <w:ilvl w:val="0"/>
          <w:numId w:val="10"/>
        </w:numPr>
        <w:spacing w:after="120" w:line="300" w:lineRule="auto"/>
      </w:pPr>
      <w:r>
        <w:t>SBSG</w:t>
      </w:r>
      <w:r w:rsidR="00B12226">
        <w:t xml:space="preserve"> (annualised)</w:t>
      </w:r>
      <w:r>
        <w:t>: £253 per place</w:t>
      </w:r>
    </w:p>
    <w:p w14:paraId="02560C29" w14:textId="02B17372" w:rsidR="00A400EF" w:rsidRDefault="00A400EF" w:rsidP="004C67E5">
      <w:pPr>
        <w:spacing w:after="120" w:line="300" w:lineRule="auto"/>
      </w:pPr>
      <w:r w:rsidRPr="00A400EF">
        <w:t xml:space="preserve">This produces a combined legacy funding rate of £539 per place, which </w:t>
      </w:r>
      <w:proofErr w:type="gramStart"/>
      <w:r w:rsidRPr="00A400EF">
        <w:t>is then uplifted</w:t>
      </w:r>
      <w:proofErr w:type="gramEnd"/>
      <w:r w:rsidRPr="00A400EF">
        <w:t xml:space="preserve"> by the Area Cost Adjustment (ACA) to give an adjusted rate of £54</w:t>
      </w:r>
      <w:r w:rsidR="00DA1997">
        <w:t>6.97</w:t>
      </w:r>
      <w:r w:rsidRPr="00A400EF">
        <w:t xml:space="preserve"> per place.</w:t>
      </w:r>
    </w:p>
    <w:p w14:paraId="0A4C05A2" w14:textId="3AD7DC83" w:rsidR="004C67E5" w:rsidRPr="00B82045" w:rsidRDefault="004C67E5" w:rsidP="004C67E5">
      <w:pPr>
        <w:spacing w:after="120" w:line="300" w:lineRule="auto"/>
      </w:pPr>
      <w:r w:rsidRPr="00B82045">
        <w:t xml:space="preserve">This </w:t>
      </w:r>
      <w:r w:rsidR="00FD6CCD">
        <w:t xml:space="preserve">legacy </w:t>
      </w:r>
      <w:r w:rsidRPr="00B82045">
        <w:t xml:space="preserve">funding </w:t>
      </w:r>
      <w:proofErr w:type="gramStart"/>
      <w:r w:rsidRPr="00B82045">
        <w:t>is excluded</w:t>
      </w:r>
      <w:proofErr w:type="gramEnd"/>
      <w:r w:rsidRPr="00B82045">
        <w:t xml:space="preserve"> from the Minimum Funding Guarantee (MFG).</w:t>
      </w:r>
    </w:p>
    <w:p w14:paraId="75E8D773" w14:textId="3FE23F30" w:rsidR="00603A78" w:rsidRDefault="008C5684" w:rsidP="0017616E">
      <w:pPr>
        <w:spacing w:after="120" w:line="300" w:lineRule="auto"/>
        <w:rPr>
          <w:spacing w:val="1"/>
        </w:rPr>
      </w:pPr>
      <w:r>
        <w:rPr>
          <w:spacing w:val="1"/>
        </w:rPr>
        <w:t xml:space="preserve">The allocations for </w:t>
      </w:r>
      <w:r w:rsidR="00B93451">
        <w:rPr>
          <w:spacing w:val="1"/>
        </w:rPr>
        <w:t>Legacy</w:t>
      </w:r>
      <w:r>
        <w:rPr>
          <w:spacing w:val="1"/>
        </w:rPr>
        <w:t xml:space="preserve"> Funding for 2026/27 will </w:t>
      </w:r>
      <w:proofErr w:type="gramStart"/>
      <w:r>
        <w:rPr>
          <w:spacing w:val="1"/>
        </w:rPr>
        <w:t>be made</w:t>
      </w:r>
      <w:proofErr w:type="gramEnd"/>
      <w:r>
        <w:rPr>
          <w:spacing w:val="1"/>
        </w:rPr>
        <w:t xml:space="preserve"> to GL code </w:t>
      </w:r>
      <w:r w:rsidR="00B93451" w:rsidRPr="00B82045">
        <w:t>7697 (CFR code I01)</w:t>
      </w:r>
      <w:r w:rsidR="00B93451" w:rsidRPr="00B82045">
        <w:rPr>
          <w:spacing w:val="1"/>
        </w:rPr>
        <w:t>.</w:t>
      </w:r>
    </w:p>
    <w:p w14:paraId="1DBD64BE" w14:textId="77777777" w:rsidR="004C67E5" w:rsidRPr="004C67E5" w:rsidRDefault="004C67E5" w:rsidP="0017616E">
      <w:pPr>
        <w:spacing w:after="120" w:line="300" w:lineRule="auto"/>
        <w:rPr>
          <w:spacing w:val="1"/>
        </w:rPr>
      </w:pPr>
    </w:p>
    <w:p w14:paraId="009E4F31" w14:textId="77777777" w:rsidR="00603A78" w:rsidRPr="0017616E" w:rsidRDefault="00603A78" w:rsidP="0017616E">
      <w:pPr>
        <w:pStyle w:val="h1"/>
        <w:spacing w:after="120" w:line="300" w:lineRule="auto"/>
        <w:rPr>
          <w:sz w:val="40"/>
          <w:szCs w:val="40"/>
        </w:rPr>
      </w:pPr>
      <w:bookmarkStart w:id="21" w:name="_Toc219822347"/>
      <w:r w:rsidRPr="0017616E">
        <w:rPr>
          <w:sz w:val="40"/>
          <w:szCs w:val="40"/>
        </w:rPr>
        <w:t>Top-up Funding</w:t>
      </w:r>
      <w:bookmarkEnd w:id="21"/>
    </w:p>
    <w:bookmarkEnd w:id="18"/>
    <w:p w14:paraId="5450BA61" w14:textId="77777777" w:rsidR="00603A78" w:rsidRDefault="00603A78" w:rsidP="0017616E">
      <w:pPr>
        <w:spacing w:after="120" w:line="300" w:lineRule="auto"/>
      </w:pPr>
      <w:r>
        <w:t>Top-up</w:t>
      </w:r>
      <w:r w:rsidRPr="008F28ED">
        <w:t xml:space="preserve"> funding follows the pupil in real time</w:t>
      </w:r>
      <w:r>
        <w:t>.</w:t>
      </w:r>
      <w:r w:rsidRPr="00800A96">
        <w:t xml:space="preserve"> </w:t>
      </w:r>
      <w:r>
        <w:t>T</w:t>
      </w:r>
      <w:r w:rsidRPr="008F28ED">
        <w:t>he figures used in the budget</w:t>
      </w:r>
      <w:r>
        <w:t xml:space="preserve"> share</w:t>
      </w:r>
      <w:r w:rsidRPr="008F28ED">
        <w:t xml:space="preserve"> are </w:t>
      </w:r>
      <w:r w:rsidRPr="004D5C37">
        <w:rPr>
          <w:b/>
          <w:u w:val="single"/>
        </w:rPr>
        <w:t>indicative only</w:t>
      </w:r>
      <w:r w:rsidRPr="008F28ED">
        <w:t xml:space="preserve"> and are subject to change throughout the year.</w:t>
      </w:r>
    </w:p>
    <w:p w14:paraId="380B0231" w14:textId="657D2CF0" w:rsidR="00603A78" w:rsidRPr="00A54A21" w:rsidRDefault="00603A78" w:rsidP="0017616E">
      <w:pPr>
        <w:spacing w:after="120" w:line="300" w:lineRule="auto"/>
      </w:pPr>
      <w:r>
        <w:t>The i</w:t>
      </w:r>
      <w:r w:rsidRPr="00A54A21">
        <w:t xml:space="preserve">ndicative top-up funding </w:t>
      </w:r>
      <w:proofErr w:type="gramStart"/>
      <w:r w:rsidRPr="00A54A21">
        <w:t>is calculated</w:t>
      </w:r>
      <w:proofErr w:type="gramEnd"/>
      <w:r w:rsidRPr="00A54A21">
        <w:t xml:space="preserve"> at the start of the year and is an estimate. It </w:t>
      </w:r>
      <w:proofErr w:type="gramStart"/>
      <w:r w:rsidRPr="00A54A21">
        <w:t>is calculated</w:t>
      </w:r>
      <w:proofErr w:type="gramEnd"/>
      <w:r w:rsidRPr="00A54A21">
        <w:t xml:space="preserve"> based on the school maintaining the same numbers on roll as the APN, for the duration of the year.</w:t>
      </w:r>
    </w:p>
    <w:p w14:paraId="195FE6C6" w14:textId="0E31D57F" w:rsidR="00603A78" w:rsidRDefault="00603A78" w:rsidP="0017616E">
      <w:pPr>
        <w:spacing w:after="120" w:line="300" w:lineRule="auto"/>
      </w:pPr>
      <w:r w:rsidRPr="00A54A21">
        <w:lastRenderedPageBreak/>
        <w:t xml:space="preserve">If the actual number </w:t>
      </w:r>
      <w:r>
        <w:t>attending</w:t>
      </w:r>
      <w:r w:rsidRPr="00A54A21">
        <w:t xml:space="preserve"> is lower than the APN, the funding is likely to be lower. </w:t>
      </w:r>
      <w:r>
        <w:t>Conversely</w:t>
      </w:r>
      <w:r w:rsidRPr="00A54A21">
        <w:t xml:space="preserve">, if the number </w:t>
      </w:r>
      <w:r>
        <w:t xml:space="preserve">attending </w:t>
      </w:r>
      <w:r w:rsidRPr="00A54A21">
        <w:t>is higher than the APN, the funding is likely to be higher.</w:t>
      </w:r>
    </w:p>
    <w:p w14:paraId="0F24ECA9" w14:textId="28D8289A" w:rsidR="00603A78" w:rsidRDefault="00603A78" w:rsidP="0017616E">
      <w:pPr>
        <w:spacing w:after="120" w:line="300" w:lineRule="auto"/>
      </w:pPr>
      <w:r>
        <w:t>Top-up</w:t>
      </w:r>
      <w:r w:rsidRPr="008F28ED">
        <w:t xml:space="preserve"> funding reflects the special educational needs of the pupils</w:t>
      </w:r>
      <w:r>
        <w:t xml:space="preserve">, based on the designation of the resourced provision, with the </w:t>
      </w:r>
      <w:r w:rsidRPr="008F28ED">
        <w:t xml:space="preserve">other pupil </w:t>
      </w:r>
      <w:r>
        <w:t xml:space="preserve">led </w:t>
      </w:r>
      <w:r w:rsidRPr="008F28ED">
        <w:t xml:space="preserve">characteristics </w:t>
      </w:r>
      <w:proofErr w:type="gramStart"/>
      <w:r>
        <w:t>being funded</w:t>
      </w:r>
      <w:proofErr w:type="gramEnd"/>
      <w:r>
        <w:t xml:space="preserve"> through the mainstream funding </w:t>
      </w:r>
      <w:r w:rsidRPr="008F28ED">
        <w:t>formula.</w:t>
      </w:r>
    </w:p>
    <w:p w14:paraId="1697C1C0" w14:textId="41B48131" w:rsidR="00603A78" w:rsidRDefault="00603A78" w:rsidP="0017616E">
      <w:pPr>
        <w:spacing w:after="120" w:line="300" w:lineRule="auto"/>
      </w:pPr>
      <w:r>
        <w:t xml:space="preserve">At the end of each </w:t>
      </w:r>
      <w:r w:rsidRPr="001E2AA5">
        <w:t>term</w:t>
      </w:r>
      <w:r>
        <w:t xml:space="preserve"> the SEN </w:t>
      </w:r>
      <w:r w:rsidR="00EC572D">
        <w:t>Business Support</w:t>
      </w:r>
      <w:r>
        <w:t xml:space="preserve"> Team will email a statement to each school showing all the pupils in their resourced provision. A breakdown of the funding will </w:t>
      </w:r>
      <w:proofErr w:type="gramStart"/>
      <w:r>
        <w:t>be provided</w:t>
      </w:r>
      <w:proofErr w:type="gramEnd"/>
      <w:r>
        <w:t>, along with a full year projection to aid forecasting.</w:t>
      </w:r>
    </w:p>
    <w:p w14:paraId="56F0989F" w14:textId="079A7005" w:rsidR="00603A78" w:rsidRDefault="00603A78" w:rsidP="0017616E">
      <w:pPr>
        <w:spacing w:after="120" w:line="300" w:lineRule="auto"/>
      </w:pPr>
      <w:r>
        <w:t>It is extremely important for schools to check this data as it will have a direct impact on the top-up funding received.</w:t>
      </w:r>
    </w:p>
    <w:p w14:paraId="32798F49" w14:textId="77777777" w:rsidR="001A5793" w:rsidRDefault="001A5793" w:rsidP="0017616E">
      <w:pPr>
        <w:spacing w:after="120" w:line="300" w:lineRule="auto"/>
      </w:pPr>
    </w:p>
    <w:p w14:paraId="671BFC9A" w14:textId="77777777" w:rsidR="00603A78" w:rsidRPr="002120D7" w:rsidRDefault="00603A78" w:rsidP="0017616E">
      <w:pPr>
        <w:pStyle w:val="h2"/>
        <w:spacing w:after="120" w:line="300" w:lineRule="auto"/>
        <w:rPr>
          <w:sz w:val="32"/>
          <w:szCs w:val="32"/>
        </w:rPr>
      </w:pPr>
      <w:bookmarkStart w:id="22" w:name="_Toc219822348"/>
      <w:r w:rsidRPr="002120D7">
        <w:rPr>
          <w:sz w:val="32"/>
          <w:szCs w:val="32"/>
        </w:rPr>
        <w:t>1)</w:t>
      </w:r>
      <w:r w:rsidRPr="002120D7">
        <w:rPr>
          <w:sz w:val="32"/>
          <w:szCs w:val="32"/>
        </w:rPr>
        <w:tab/>
      </w:r>
      <w:bookmarkStart w:id="23" w:name="resneed"/>
      <w:bookmarkEnd w:id="23"/>
      <w:r w:rsidRPr="002120D7">
        <w:rPr>
          <w:sz w:val="32"/>
          <w:szCs w:val="32"/>
        </w:rPr>
        <w:t>Need Type</w:t>
      </w:r>
      <w:bookmarkEnd w:id="22"/>
    </w:p>
    <w:p w14:paraId="37B68EEA" w14:textId="77777777" w:rsidR="00603A78" w:rsidRDefault="00603A78" w:rsidP="0017616E">
      <w:pPr>
        <w:spacing w:after="120" w:line="300" w:lineRule="auto"/>
      </w:pPr>
      <w:r w:rsidRPr="008F28ED">
        <w:t xml:space="preserve">This is the </w:t>
      </w:r>
      <w:r>
        <w:t>top-up</w:t>
      </w:r>
      <w:r w:rsidRPr="008F28ED">
        <w:t xml:space="preserve"> funding that relates to the special edu</w:t>
      </w:r>
      <w:r>
        <w:t>cational needs of pupils, based on the designation of the</w:t>
      </w:r>
      <w:r w:rsidRPr="008F28ED">
        <w:t xml:space="preserve"> </w:t>
      </w:r>
      <w:r>
        <w:t>resourced provision</w:t>
      </w:r>
      <w:r w:rsidRPr="008F28ED">
        <w:t>. A full set of v</w:t>
      </w:r>
      <w:r>
        <w:t xml:space="preserve">alues for primary and secondary for different types of resourced provision </w:t>
      </w:r>
      <w:r w:rsidRPr="008F28ED">
        <w:t xml:space="preserve">can </w:t>
      </w:r>
      <w:proofErr w:type="gramStart"/>
      <w:r w:rsidRPr="008F28ED">
        <w:t>be found</w:t>
      </w:r>
      <w:proofErr w:type="gramEnd"/>
      <w:r w:rsidRPr="008F28ED">
        <w:t xml:space="preserve"> </w:t>
      </w:r>
      <w:r>
        <w:t>in Appendix 1 at the end of this document.</w:t>
      </w:r>
    </w:p>
    <w:p w14:paraId="46987054" w14:textId="77777777" w:rsidR="00B0799C" w:rsidRDefault="00B0799C" w:rsidP="0017616E">
      <w:pPr>
        <w:spacing w:after="120" w:line="300" w:lineRule="auto"/>
      </w:pPr>
    </w:p>
    <w:p w14:paraId="71958138" w14:textId="77777777" w:rsidR="00603A78" w:rsidRPr="002120D7" w:rsidRDefault="00603A78" w:rsidP="0017616E">
      <w:pPr>
        <w:pStyle w:val="h2"/>
        <w:spacing w:after="120" w:line="300" w:lineRule="auto"/>
        <w:rPr>
          <w:sz w:val="32"/>
          <w:szCs w:val="32"/>
        </w:rPr>
      </w:pPr>
      <w:bookmarkStart w:id="24" w:name="LowAttainment"/>
      <w:bookmarkStart w:id="25" w:name="_Toc219822349"/>
      <w:bookmarkEnd w:id="24"/>
      <w:r w:rsidRPr="002120D7">
        <w:rPr>
          <w:sz w:val="32"/>
          <w:szCs w:val="32"/>
        </w:rPr>
        <w:t>2)</w:t>
      </w:r>
      <w:r w:rsidRPr="002120D7">
        <w:rPr>
          <w:sz w:val="32"/>
          <w:szCs w:val="32"/>
        </w:rPr>
        <w:tab/>
      </w:r>
      <w:bookmarkStart w:id="26" w:name="ressigners"/>
      <w:bookmarkEnd w:id="26"/>
      <w:r w:rsidRPr="002120D7">
        <w:rPr>
          <w:sz w:val="32"/>
          <w:szCs w:val="32"/>
        </w:rPr>
        <w:t>Signers / Tactile Learners</w:t>
      </w:r>
      <w:bookmarkEnd w:id="25"/>
      <w:r w:rsidRPr="002120D7">
        <w:rPr>
          <w:sz w:val="32"/>
          <w:szCs w:val="32"/>
        </w:rPr>
        <w:t xml:space="preserve"> </w:t>
      </w:r>
    </w:p>
    <w:p w14:paraId="0F8B35DC" w14:textId="7BCB5912" w:rsidR="00603A78" w:rsidRDefault="00603A78" w:rsidP="0017616E">
      <w:pPr>
        <w:spacing w:after="120" w:line="300" w:lineRule="auto"/>
      </w:pPr>
      <w:r w:rsidRPr="008F28ED">
        <w:t xml:space="preserve">Additional funding for tactile learners in visual impairment units and signers in hearing impairment units will also </w:t>
      </w:r>
      <w:proofErr w:type="gramStart"/>
      <w:r w:rsidRPr="008F28ED">
        <w:t>be paid</w:t>
      </w:r>
      <w:proofErr w:type="gramEnd"/>
      <w:r w:rsidRPr="008F28ED">
        <w:t xml:space="preserve"> through this </w:t>
      </w:r>
      <w:r>
        <w:t>top-up framework</w:t>
      </w:r>
      <w:r w:rsidRPr="008F28ED">
        <w:t>.</w:t>
      </w:r>
      <w:r>
        <w:t xml:space="preserve"> The number of pupils used in the indicative top-up funding is based on the proportion of pupils in receipt of this additional funding during the autumn </w:t>
      </w:r>
      <w:r w:rsidRPr="00AD07BE">
        <w:t>20</w:t>
      </w:r>
      <w:r>
        <w:t>2</w:t>
      </w:r>
      <w:r w:rsidR="00647CAB">
        <w:t>5</w:t>
      </w:r>
      <w:r w:rsidRPr="00194510">
        <w:t xml:space="preserve"> </w:t>
      </w:r>
      <w:r>
        <w:t>t</w:t>
      </w:r>
      <w:r w:rsidRPr="00AD07BE">
        <w:t>erm.</w:t>
      </w:r>
      <w:r>
        <w:t xml:space="preserve"> Funding will </w:t>
      </w:r>
      <w:proofErr w:type="gramStart"/>
      <w:r>
        <w:t>be provided</w:t>
      </w:r>
      <w:proofErr w:type="gramEnd"/>
      <w:r>
        <w:t xml:space="preserve"> based on actual number of signers and tactile learners throughout the year.</w:t>
      </w:r>
    </w:p>
    <w:p w14:paraId="3FE850CB" w14:textId="77777777" w:rsidR="00B0799C" w:rsidRDefault="00B0799C" w:rsidP="0017616E">
      <w:pPr>
        <w:spacing w:after="120" w:line="300" w:lineRule="auto"/>
      </w:pPr>
    </w:p>
    <w:p w14:paraId="6A9DFDC7" w14:textId="77777777" w:rsidR="00603A78" w:rsidRPr="002120D7" w:rsidRDefault="00603A78" w:rsidP="0017616E">
      <w:pPr>
        <w:pStyle w:val="h2"/>
        <w:spacing w:after="120" w:line="300" w:lineRule="auto"/>
        <w:rPr>
          <w:sz w:val="32"/>
          <w:szCs w:val="32"/>
        </w:rPr>
      </w:pPr>
      <w:bookmarkStart w:id="27" w:name="LumpSum"/>
      <w:bookmarkStart w:id="28" w:name="_Toc219822350"/>
      <w:bookmarkEnd w:id="27"/>
      <w:r w:rsidRPr="00343253">
        <w:rPr>
          <w:sz w:val="32"/>
          <w:szCs w:val="32"/>
        </w:rPr>
        <w:t>3)</w:t>
      </w:r>
      <w:r w:rsidRPr="00343253">
        <w:rPr>
          <w:sz w:val="32"/>
          <w:szCs w:val="32"/>
        </w:rPr>
        <w:tab/>
      </w:r>
      <w:bookmarkStart w:id="29" w:name="resmfg"/>
      <w:bookmarkEnd w:id="29"/>
      <w:r w:rsidRPr="00343253">
        <w:rPr>
          <w:sz w:val="32"/>
          <w:szCs w:val="32"/>
        </w:rPr>
        <w:t>Minimum Funding Guarantee (MFG)</w:t>
      </w:r>
      <w:bookmarkEnd w:id="28"/>
    </w:p>
    <w:p w14:paraId="11169FB7" w14:textId="2F7A8802" w:rsidR="00EC48EE" w:rsidRPr="008E1D1F" w:rsidRDefault="00603A78" w:rsidP="00EC48EE">
      <w:pPr>
        <w:widowControl w:val="0"/>
        <w:autoSpaceDE w:val="0"/>
        <w:autoSpaceDN w:val="0"/>
        <w:adjustRightInd w:val="0"/>
        <w:spacing w:after="120" w:line="300" w:lineRule="auto"/>
        <w:outlineLvl w:val="0"/>
        <w:rPr>
          <w:bCs/>
          <w:spacing w:val="1"/>
        </w:rPr>
      </w:pPr>
      <w:r w:rsidRPr="00D23353">
        <w:rPr>
          <w:bCs/>
          <w:spacing w:val="1"/>
        </w:rPr>
        <w:t xml:space="preserve">In line with DfE guidance </w:t>
      </w:r>
      <w:r w:rsidRPr="00BD47DB">
        <w:rPr>
          <w:bCs/>
          <w:spacing w:val="1"/>
        </w:rPr>
        <w:t xml:space="preserve">for </w:t>
      </w:r>
      <w:r w:rsidR="00374763">
        <w:rPr>
          <w:bCs/>
          <w:spacing w:val="1"/>
        </w:rPr>
        <w:t>2026/27</w:t>
      </w:r>
      <w:r w:rsidRPr="00BD47DB">
        <w:rPr>
          <w:bCs/>
          <w:spacing w:val="1"/>
        </w:rPr>
        <w:t xml:space="preserve">, as shown in </w:t>
      </w:r>
      <w:r w:rsidRPr="00F172F1">
        <w:rPr>
          <w:bCs/>
          <w:spacing w:val="1"/>
        </w:rPr>
        <w:t xml:space="preserve">Annex </w:t>
      </w:r>
      <w:r w:rsidR="00F314B9" w:rsidRPr="00F172F1">
        <w:rPr>
          <w:bCs/>
          <w:spacing w:val="1"/>
        </w:rPr>
        <w:t>3</w:t>
      </w:r>
      <w:r w:rsidRPr="00F172F1">
        <w:rPr>
          <w:bCs/>
          <w:spacing w:val="1"/>
        </w:rPr>
        <w:t xml:space="preserve"> of</w:t>
      </w:r>
      <w:r>
        <w:rPr>
          <w:bCs/>
          <w:spacing w:val="1"/>
        </w:rPr>
        <w:t xml:space="preserve"> the</w:t>
      </w:r>
      <w:r>
        <w:t xml:space="preserve"> </w:t>
      </w:r>
      <w:r w:rsidR="00343253" w:rsidRPr="00F314B9">
        <w:rPr>
          <w:bCs/>
          <w:spacing w:val="1"/>
        </w:rPr>
        <w:t>High Needs Funding Operational Guide 202</w:t>
      </w:r>
      <w:r w:rsidR="00374763">
        <w:rPr>
          <w:bCs/>
          <w:spacing w:val="1"/>
        </w:rPr>
        <w:t>6</w:t>
      </w:r>
      <w:r w:rsidR="00343253" w:rsidRPr="00F314B9">
        <w:rPr>
          <w:bCs/>
          <w:spacing w:val="1"/>
        </w:rPr>
        <w:t xml:space="preserve"> to 202</w:t>
      </w:r>
      <w:r w:rsidR="00374763">
        <w:rPr>
          <w:bCs/>
          <w:spacing w:val="1"/>
        </w:rPr>
        <w:t>7</w:t>
      </w:r>
      <w:r>
        <w:rPr>
          <w:bCs/>
          <w:spacing w:val="1"/>
        </w:rPr>
        <w:t>,</w:t>
      </w:r>
      <w:r w:rsidRPr="00BD47DB">
        <w:rPr>
          <w:bCs/>
          <w:spacing w:val="1"/>
        </w:rPr>
        <w:t xml:space="preserve"> the MFG</w:t>
      </w:r>
      <w:r w:rsidRPr="00BE1BF8">
        <w:t xml:space="preserve"> </w:t>
      </w:r>
      <w:r>
        <w:t>requires that</w:t>
      </w:r>
      <w:r w:rsidRPr="00BE1BF8">
        <w:t xml:space="preserve"> </w:t>
      </w:r>
      <w:r>
        <w:t xml:space="preserve">resourced provisions receive </w:t>
      </w:r>
      <w:r w:rsidR="00EC48EE">
        <w:rPr>
          <w:bCs/>
          <w:spacing w:val="1"/>
        </w:rPr>
        <w:t xml:space="preserve">funding no less than that received in the </w:t>
      </w:r>
      <w:r w:rsidR="00374763">
        <w:rPr>
          <w:bCs/>
          <w:spacing w:val="1"/>
        </w:rPr>
        <w:t>2025/26</w:t>
      </w:r>
      <w:r w:rsidR="00EC48EE">
        <w:rPr>
          <w:bCs/>
          <w:spacing w:val="1"/>
        </w:rPr>
        <w:t xml:space="preserve"> financial year</w:t>
      </w:r>
      <w:r w:rsidR="00EC48EE" w:rsidRPr="00850AAE">
        <w:rPr>
          <w:bCs/>
          <w:spacing w:val="1"/>
        </w:rPr>
        <w:t xml:space="preserve">, assuming that the number and type of places remain the same between </w:t>
      </w:r>
      <w:r w:rsidR="00374763">
        <w:rPr>
          <w:bCs/>
          <w:spacing w:val="1"/>
        </w:rPr>
        <w:t>2025/26</w:t>
      </w:r>
      <w:r w:rsidR="00EC48EE" w:rsidRPr="00BF4314">
        <w:rPr>
          <w:bCs/>
          <w:spacing w:val="1"/>
        </w:rPr>
        <w:t xml:space="preserve"> and </w:t>
      </w:r>
      <w:r w:rsidR="00374763">
        <w:rPr>
          <w:bCs/>
          <w:spacing w:val="1"/>
        </w:rPr>
        <w:t>2026/27</w:t>
      </w:r>
      <w:r w:rsidR="00EC48EE">
        <w:rPr>
          <w:bCs/>
          <w:spacing w:val="1"/>
        </w:rPr>
        <w:t xml:space="preserve"> financial years</w:t>
      </w:r>
      <w:r w:rsidR="00EC48EE" w:rsidRPr="008E1D1F">
        <w:rPr>
          <w:bCs/>
          <w:spacing w:val="1"/>
        </w:rPr>
        <w:t>.</w:t>
      </w:r>
      <w:r w:rsidR="00EC48EE">
        <w:rPr>
          <w:bCs/>
          <w:spacing w:val="1"/>
        </w:rPr>
        <w:t xml:space="preserve"> This </w:t>
      </w:r>
      <w:proofErr w:type="gramStart"/>
      <w:r w:rsidR="00EC48EE">
        <w:rPr>
          <w:bCs/>
          <w:spacing w:val="1"/>
        </w:rPr>
        <w:t>is expressed</w:t>
      </w:r>
      <w:proofErr w:type="gramEnd"/>
      <w:r w:rsidR="00EC48EE">
        <w:rPr>
          <w:bCs/>
          <w:spacing w:val="1"/>
        </w:rPr>
        <w:t xml:space="preserve"> by an MFG of 0%.</w:t>
      </w:r>
    </w:p>
    <w:p w14:paraId="71446D97" w14:textId="12297B94" w:rsidR="00603A78" w:rsidRDefault="00603A78" w:rsidP="0017616E">
      <w:pPr>
        <w:spacing w:after="120" w:line="300" w:lineRule="auto"/>
        <w:rPr>
          <w:bCs/>
          <w:spacing w:val="1"/>
        </w:rPr>
      </w:pPr>
      <w:r>
        <w:rPr>
          <w:bCs/>
          <w:spacing w:val="1"/>
        </w:rPr>
        <w:t xml:space="preserve">The MFG is part of the top-up framework and is a per pupil amount. Therefore, it will only </w:t>
      </w:r>
      <w:proofErr w:type="gramStart"/>
      <w:r>
        <w:rPr>
          <w:bCs/>
          <w:spacing w:val="1"/>
        </w:rPr>
        <w:t>be paid</w:t>
      </w:r>
      <w:proofErr w:type="gramEnd"/>
      <w:r>
        <w:rPr>
          <w:bCs/>
          <w:spacing w:val="1"/>
        </w:rPr>
        <w:t xml:space="preserve"> for pupils attending the resourced provision. If the</w:t>
      </w:r>
      <w:r w:rsidR="00053973">
        <w:rPr>
          <w:bCs/>
          <w:spacing w:val="1"/>
        </w:rPr>
        <w:t xml:space="preserve"> actual</w:t>
      </w:r>
      <w:r>
        <w:rPr>
          <w:bCs/>
          <w:spacing w:val="1"/>
        </w:rPr>
        <w:t xml:space="preserve"> average pupil number is higher or lower than the APN, then the amount of MFG funding will increase or </w:t>
      </w:r>
      <w:proofErr w:type="gramStart"/>
      <w:r>
        <w:rPr>
          <w:bCs/>
          <w:spacing w:val="1"/>
        </w:rPr>
        <w:t>reduce</w:t>
      </w:r>
      <w:proofErr w:type="gramEnd"/>
      <w:r>
        <w:rPr>
          <w:bCs/>
          <w:spacing w:val="1"/>
        </w:rPr>
        <w:t xml:space="preserve"> </w:t>
      </w:r>
      <w:r w:rsidR="00ED3DAB">
        <w:rPr>
          <w:bCs/>
          <w:spacing w:val="1"/>
        </w:rPr>
        <w:t>respectively</w:t>
      </w:r>
      <w:r>
        <w:rPr>
          <w:bCs/>
          <w:spacing w:val="1"/>
        </w:rPr>
        <w:t>.</w:t>
      </w:r>
    </w:p>
    <w:p w14:paraId="068983BD" w14:textId="3BBCD540" w:rsidR="001826AD" w:rsidRPr="00BD47DB" w:rsidRDefault="001826AD" w:rsidP="001826AD">
      <w:pPr>
        <w:keepNext/>
        <w:widowControl w:val="0"/>
        <w:autoSpaceDE w:val="0"/>
        <w:autoSpaceDN w:val="0"/>
        <w:adjustRightInd w:val="0"/>
        <w:spacing w:after="120" w:line="300" w:lineRule="auto"/>
        <w:rPr>
          <w:bCs/>
          <w:spacing w:val="1"/>
        </w:rPr>
      </w:pPr>
      <w:r w:rsidRPr="008E1D1F">
        <w:rPr>
          <w:bCs/>
          <w:spacing w:val="1"/>
        </w:rPr>
        <w:lastRenderedPageBreak/>
        <w:t xml:space="preserve">There is no cap on gains for </w:t>
      </w:r>
      <w:r>
        <w:rPr>
          <w:bCs/>
          <w:spacing w:val="1"/>
        </w:rPr>
        <w:t>resourced provisions</w:t>
      </w:r>
      <w:r w:rsidRPr="008E1D1F">
        <w:rPr>
          <w:bCs/>
          <w:spacing w:val="1"/>
        </w:rPr>
        <w:t xml:space="preserve"> in </w:t>
      </w:r>
      <w:r w:rsidR="00374763">
        <w:rPr>
          <w:bCs/>
          <w:spacing w:val="1"/>
        </w:rPr>
        <w:t>2026/27</w:t>
      </w:r>
      <w:r w:rsidRPr="00BD47DB">
        <w:rPr>
          <w:bCs/>
          <w:spacing w:val="1"/>
        </w:rPr>
        <w:t>.</w:t>
      </w:r>
    </w:p>
    <w:p w14:paraId="692D38A2" w14:textId="77777777" w:rsidR="00603A78" w:rsidRDefault="00603A78" w:rsidP="0017616E">
      <w:pPr>
        <w:spacing w:after="120" w:line="300" w:lineRule="auto"/>
        <w:rPr>
          <w:bCs/>
          <w:spacing w:val="2"/>
        </w:rPr>
      </w:pPr>
      <w:r>
        <w:rPr>
          <w:bCs/>
          <w:spacing w:val="2"/>
        </w:rPr>
        <w:t xml:space="preserve">MFG per pupil </w:t>
      </w:r>
      <w:proofErr w:type="gramStart"/>
      <w:r>
        <w:rPr>
          <w:bCs/>
          <w:spacing w:val="2"/>
        </w:rPr>
        <w:t>is calculated</w:t>
      </w:r>
      <w:proofErr w:type="gramEnd"/>
      <w:r>
        <w:rPr>
          <w:bCs/>
          <w:spacing w:val="2"/>
        </w:rPr>
        <w:t xml:space="preserve"> at the beginning of the year along with the indicative top-up funding. It is a fixed per pupil amount and </w:t>
      </w:r>
      <w:proofErr w:type="gramStart"/>
      <w:r w:rsidRPr="00A761ED">
        <w:rPr>
          <w:spacing w:val="2"/>
        </w:rPr>
        <w:t xml:space="preserve">is not </w:t>
      </w:r>
      <w:r>
        <w:rPr>
          <w:bCs/>
          <w:spacing w:val="2"/>
        </w:rPr>
        <w:t>adjusted</w:t>
      </w:r>
      <w:proofErr w:type="gramEnd"/>
      <w:r>
        <w:rPr>
          <w:bCs/>
          <w:spacing w:val="2"/>
        </w:rPr>
        <w:t xml:space="preserve"> at the end of the year. The main reason for this is to reduce the level of turbulence for the schools and assist with forecasting of their budgets.</w:t>
      </w:r>
    </w:p>
    <w:p w14:paraId="6CC47685" w14:textId="4D59F03D" w:rsidR="00C655F2" w:rsidRPr="00D23353" w:rsidRDefault="00C655F2" w:rsidP="00C655F2">
      <w:pPr>
        <w:widowControl w:val="0"/>
        <w:autoSpaceDE w:val="0"/>
        <w:autoSpaceDN w:val="0"/>
        <w:adjustRightInd w:val="0"/>
        <w:spacing w:after="120" w:line="300" w:lineRule="auto"/>
        <w:rPr>
          <w:spacing w:val="1"/>
        </w:rPr>
      </w:pPr>
      <w:r>
        <w:rPr>
          <w:spacing w:val="1"/>
        </w:rPr>
        <w:t>Note that the High Needs Additional Funding</w:t>
      </w:r>
      <w:r w:rsidR="00374763">
        <w:rPr>
          <w:spacing w:val="1"/>
        </w:rPr>
        <w:t xml:space="preserve"> and Legacy Funding</w:t>
      </w:r>
      <w:r>
        <w:rPr>
          <w:spacing w:val="1"/>
        </w:rPr>
        <w:t xml:space="preserve"> for </w:t>
      </w:r>
      <w:r w:rsidR="00374763">
        <w:rPr>
          <w:spacing w:val="1"/>
        </w:rPr>
        <w:t>2026/27</w:t>
      </w:r>
      <w:r>
        <w:rPr>
          <w:spacing w:val="1"/>
        </w:rPr>
        <w:t xml:space="preserve"> as described on pages 6 and 7 must </w:t>
      </w:r>
      <w:proofErr w:type="gramStart"/>
      <w:r>
        <w:rPr>
          <w:spacing w:val="1"/>
        </w:rPr>
        <w:t>be excluded</w:t>
      </w:r>
      <w:proofErr w:type="gramEnd"/>
      <w:r>
        <w:rPr>
          <w:spacing w:val="1"/>
        </w:rPr>
        <w:t xml:space="preserve"> from the MFG calculation so that resourced provisions receive both the High Needs Additional Funding and the MFG 0%.</w:t>
      </w:r>
    </w:p>
    <w:p w14:paraId="3B2B59BB" w14:textId="2A12AFB6" w:rsidR="00603A78" w:rsidRPr="00124806" w:rsidRDefault="00603A78" w:rsidP="00124806">
      <w:pPr>
        <w:spacing w:after="120" w:line="300" w:lineRule="auto"/>
      </w:pPr>
      <w:r w:rsidRPr="00B23666">
        <w:t>A worked example of the MFG calculatio</w:t>
      </w:r>
      <w:r>
        <w:t xml:space="preserve">n can </w:t>
      </w:r>
      <w:proofErr w:type="gramStart"/>
      <w:r>
        <w:t>be found</w:t>
      </w:r>
      <w:proofErr w:type="gramEnd"/>
      <w:r>
        <w:t xml:space="preserve"> in Appendix </w:t>
      </w:r>
      <w:r w:rsidR="00DE7F16">
        <w:t>2</w:t>
      </w:r>
      <w:r w:rsidR="00202025">
        <w:t xml:space="preserve"> and each school’s budget share includes a separate sheet with their specific calculation</w:t>
      </w:r>
      <w:r w:rsidRPr="00B23666">
        <w:t>.</w:t>
      </w:r>
      <w:bookmarkStart w:id="30" w:name="MFG"/>
      <w:bookmarkStart w:id="31" w:name="Dedelegation"/>
      <w:bookmarkStart w:id="32" w:name="OLE_LINK1"/>
      <w:bookmarkStart w:id="33" w:name="OLE_LINK2"/>
      <w:bookmarkEnd w:id="30"/>
      <w:bookmarkEnd w:id="31"/>
    </w:p>
    <w:p w14:paraId="091E220B" w14:textId="77777777" w:rsidR="00603A78" w:rsidRDefault="00603A78" w:rsidP="0017616E">
      <w:pPr>
        <w:spacing w:after="120" w:line="300" w:lineRule="auto"/>
        <w:rPr>
          <w:b/>
          <w:bCs/>
          <w:spacing w:val="1"/>
          <w:sz w:val="28"/>
          <w:szCs w:val="28"/>
        </w:rPr>
      </w:pPr>
      <w:r>
        <w:rPr>
          <w:b/>
          <w:bCs/>
          <w:spacing w:val="1"/>
          <w:sz w:val="28"/>
          <w:szCs w:val="28"/>
        </w:rPr>
        <w:br w:type="page"/>
      </w:r>
    </w:p>
    <w:p w14:paraId="640CC1EE" w14:textId="77777777" w:rsidR="00603A78" w:rsidRPr="002120D7" w:rsidRDefault="00603A78" w:rsidP="0017616E">
      <w:pPr>
        <w:pStyle w:val="h1"/>
        <w:spacing w:after="120" w:line="300" w:lineRule="auto"/>
        <w:rPr>
          <w:sz w:val="40"/>
          <w:szCs w:val="40"/>
        </w:rPr>
      </w:pPr>
      <w:bookmarkStart w:id="34" w:name="_Toc219822351"/>
      <w:r w:rsidRPr="002120D7">
        <w:rPr>
          <w:sz w:val="40"/>
          <w:szCs w:val="40"/>
        </w:rPr>
        <w:lastRenderedPageBreak/>
        <w:t>Additional Information</w:t>
      </w:r>
      <w:bookmarkEnd w:id="34"/>
    </w:p>
    <w:p w14:paraId="5878C1AB" w14:textId="13452F80" w:rsidR="00603A78" w:rsidRPr="002120D7" w:rsidRDefault="00603A78" w:rsidP="0017616E">
      <w:pPr>
        <w:pStyle w:val="h2"/>
        <w:spacing w:after="120" w:line="300" w:lineRule="auto"/>
        <w:rPr>
          <w:sz w:val="32"/>
          <w:szCs w:val="32"/>
        </w:rPr>
      </w:pPr>
      <w:bookmarkStart w:id="35" w:name="_Toc219822352"/>
      <w:r w:rsidRPr="002120D7">
        <w:rPr>
          <w:sz w:val="32"/>
          <w:szCs w:val="32"/>
        </w:rPr>
        <w:t>4)</w:t>
      </w:r>
      <w:bookmarkStart w:id="36" w:name="resourcedprov"/>
      <w:bookmarkEnd w:id="36"/>
      <w:r w:rsidRPr="002120D7">
        <w:rPr>
          <w:sz w:val="32"/>
          <w:szCs w:val="32"/>
        </w:rPr>
        <w:tab/>
      </w:r>
      <w:bookmarkStart w:id="37" w:name="resola"/>
      <w:bookmarkEnd w:id="32"/>
      <w:bookmarkEnd w:id="33"/>
      <w:bookmarkEnd w:id="37"/>
      <w:r w:rsidRPr="002120D7">
        <w:rPr>
          <w:sz w:val="32"/>
          <w:szCs w:val="32"/>
        </w:rPr>
        <w:t>Top-up Funding for Pupils from Other Local Authorities (OLAs)</w:t>
      </w:r>
      <w:bookmarkEnd w:id="35"/>
    </w:p>
    <w:p w14:paraId="6E14F361" w14:textId="77777777" w:rsidR="005A3E9D" w:rsidRDefault="00603A78" w:rsidP="005A3E9D">
      <w:pPr>
        <w:spacing w:after="120" w:line="300" w:lineRule="auto"/>
      </w:pPr>
      <w:r>
        <w:t xml:space="preserve">Top-up funding </w:t>
      </w:r>
      <w:r w:rsidR="005F0DD1">
        <w:t xml:space="preserve">will </w:t>
      </w:r>
      <w:proofErr w:type="gramStart"/>
      <w:r w:rsidR="005F0DD1">
        <w:t>be paid</w:t>
      </w:r>
      <w:proofErr w:type="gramEnd"/>
      <w:r w:rsidR="005F0DD1">
        <w:t xml:space="preserve"> by the home local authority for pupils who attend the resourced provision but reside in an authority other than Hampshire</w:t>
      </w:r>
      <w:r>
        <w:t xml:space="preserve">. </w:t>
      </w:r>
      <w:r w:rsidR="005A3E9D">
        <w:t xml:space="preserve">The exception to this </w:t>
      </w:r>
      <w:r w:rsidR="005A3E9D" w:rsidRPr="00AD0645">
        <w:rPr>
          <w:i/>
          <w:iCs/>
          <w:u w:val="single"/>
        </w:rPr>
        <w:t>may</w:t>
      </w:r>
      <w:r w:rsidR="005A3E9D">
        <w:t xml:space="preserve"> be when a pupil is a looked after child (LAC); in this case it may depend on a local agreement between Hampshire and the other local authority, which might stipulate the authority looking after the child should maintain and fund the EHCP, regardless of where the pupil actually lives. In most cases, should a pupil from another local authority attend a Hampshire special school, the school needs to ensure that they invoice the other local authority for the relevant top-up funding.</w:t>
      </w:r>
    </w:p>
    <w:p w14:paraId="605A3F9D" w14:textId="41EC7784" w:rsidR="00B0799C" w:rsidRDefault="005A3E9D" w:rsidP="005A3E9D">
      <w:pPr>
        <w:spacing w:after="120" w:line="300" w:lineRule="auto"/>
      </w:pPr>
      <w:r w:rsidRPr="009B75BC">
        <w:t xml:space="preserve">The SEN Business Support Team offers a </w:t>
      </w:r>
      <w:r w:rsidRPr="009B75BC">
        <w:rPr>
          <w:bCs/>
          <w:spacing w:val="1"/>
        </w:rPr>
        <w:t>service level agreement</w:t>
      </w:r>
      <w:r w:rsidRPr="009B75BC">
        <w:t xml:space="preserve"> (known as the OLA SLA) which covers the process of recovering the relevant top-up funding on behalf of the school. This removes the administrative burden on the school and ensures that the correct amount of top-up funding </w:t>
      </w:r>
      <w:proofErr w:type="gramStart"/>
      <w:r w:rsidRPr="009B75BC">
        <w:t>is received</w:t>
      </w:r>
      <w:proofErr w:type="gramEnd"/>
      <w:r w:rsidRPr="009B75BC">
        <w:t xml:space="preserve"> from the other local authority. Subscribers should note that there may be a delay in receiving OLA income under the SLA because funding can only </w:t>
      </w:r>
      <w:proofErr w:type="gramStart"/>
      <w:r w:rsidRPr="009B75BC">
        <w:t>be passed</w:t>
      </w:r>
      <w:proofErr w:type="gramEnd"/>
      <w:r w:rsidRPr="009B75BC">
        <w:t xml:space="preserve"> on once received from the OLA.</w:t>
      </w:r>
    </w:p>
    <w:p w14:paraId="6DCAE1B2" w14:textId="77777777" w:rsidR="00603A78" w:rsidRPr="002120D7" w:rsidRDefault="00603A78" w:rsidP="0017616E">
      <w:pPr>
        <w:pStyle w:val="h2"/>
        <w:spacing w:after="120" w:line="300" w:lineRule="auto"/>
        <w:rPr>
          <w:sz w:val="32"/>
          <w:szCs w:val="32"/>
        </w:rPr>
      </w:pPr>
      <w:bookmarkStart w:id="38" w:name="_Toc219822353"/>
      <w:r w:rsidRPr="002120D7">
        <w:rPr>
          <w:spacing w:val="1"/>
          <w:sz w:val="32"/>
          <w:szCs w:val="32"/>
        </w:rPr>
        <w:t>5)</w:t>
      </w:r>
      <w:bookmarkStart w:id="39" w:name="resoverapn"/>
      <w:bookmarkEnd w:id="39"/>
      <w:r w:rsidRPr="002120D7">
        <w:rPr>
          <w:spacing w:val="1"/>
          <w:sz w:val="32"/>
          <w:szCs w:val="32"/>
        </w:rPr>
        <w:tab/>
      </w:r>
      <w:r w:rsidRPr="002120D7">
        <w:rPr>
          <w:sz w:val="32"/>
          <w:szCs w:val="32"/>
        </w:rPr>
        <w:t>Over Occupancy Funding</w:t>
      </w:r>
      <w:bookmarkEnd w:id="38"/>
    </w:p>
    <w:p w14:paraId="1B4168F8" w14:textId="4F99B111" w:rsidR="00603A78" w:rsidRDefault="00603A78" w:rsidP="0017616E">
      <w:pPr>
        <w:spacing w:after="120" w:line="300" w:lineRule="auto"/>
      </w:pPr>
      <w:r>
        <w:t>At the end of the financial year, t</w:t>
      </w:r>
      <w:r w:rsidRPr="00C57102">
        <w:t>he average pupil number across the year (April to March)</w:t>
      </w:r>
      <w:r>
        <w:t xml:space="preserve"> </w:t>
      </w:r>
      <w:proofErr w:type="gramStart"/>
      <w:r>
        <w:t xml:space="preserve">is </w:t>
      </w:r>
      <w:r w:rsidRPr="00C57102">
        <w:t>compared</w:t>
      </w:r>
      <w:proofErr w:type="gramEnd"/>
      <w:r w:rsidRPr="00C57102">
        <w:t xml:space="preserve"> </w:t>
      </w:r>
      <w:r>
        <w:t>with</w:t>
      </w:r>
      <w:r w:rsidRPr="00C57102">
        <w:t xml:space="preserve"> the financial year APN. If the average pupil number is greater than the APN, the additional places </w:t>
      </w:r>
      <w:proofErr w:type="gramStart"/>
      <w:r w:rsidRPr="00C57102">
        <w:t>are funded</w:t>
      </w:r>
      <w:proofErr w:type="gramEnd"/>
      <w:r w:rsidRPr="00C57102">
        <w:t xml:space="preserve"> at the place funding rate </w:t>
      </w:r>
      <w:r>
        <w:t xml:space="preserve">of £6,000. </w:t>
      </w:r>
      <w:r w:rsidRPr="00C57102">
        <w:t xml:space="preserve">The pupil numbers are the actual termly </w:t>
      </w:r>
      <w:r>
        <w:t>pupil full time equivalent (</w:t>
      </w:r>
      <w:r w:rsidRPr="00C57102">
        <w:t>FTE</w:t>
      </w:r>
      <w:r>
        <w:t>)</w:t>
      </w:r>
      <w:r w:rsidRPr="00C57102">
        <w:t xml:space="preserve"> used for the purposes of calculating top-up funding.</w:t>
      </w:r>
    </w:p>
    <w:p w14:paraId="3764BCF3" w14:textId="77777777" w:rsidR="00603A78" w:rsidRDefault="00603A78" w:rsidP="0017616E">
      <w:pPr>
        <w:spacing w:after="120" w:line="300" w:lineRule="auto"/>
      </w:pPr>
      <w:r w:rsidRPr="00144193">
        <w:rPr>
          <w:b/>
          <w:noProof/>
          <w:sz w:val="32"/>
          <w:szCs w:val="28"/>
        </w:rPr>
        <mc:AlternateContent>
          <mc:Choice Requires="wps">
            <w:drawing>
              <wp:anchor distT="45720" distB="45720" distL="114300" distR="114300" simplePos="0" relativeHeight="251658241" behindDoc="0" locked="0" layoutInCell="1" allowOverlap="1" wp14:anchorId="6009B517" wp14:editId="6F751C41">
                <wp:simplePos x="0" y="0"/>
                <wp:positionH relativeFrom="margin">
                  <wp:posOffset>67945</wp:posOffset>
                </wp:positionH>
                <wp:positionV relativeFrom="paragraph">
                  <wp:posOffset>290195</wp:posOffset>
                </wp:positionV>
                <wp:extent cx="533400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438400"/>
                        </a:xfrm>
                        <a:prstGeom prst="rect">
                          <a:avLst/>
                        </a:prstGeom>
                        <a:solidFill>
                          <a:srgbClr val="FFFFFF"/>
                        </a:solidFill>
                        <a:ln w="9525">
                          <a:solidFill>
                            <a:srgbClr val="000000"/>
                          </a:solidFill>
                          <a:miter lim="800000"/>
                          <a:headEnd/>
                          <a:tailEnd/>
                        </a:ln>
                      </wps:spPr>
                      <wps:txbx>
                        <w:txbxContent>
                          <w:p w14:paraId="371F48CD"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RP APN</w:t>
                            </w:r>
                            <w:r w:rsidRPr="00E3708B">
                              <w:rPr>
                                <w:rFonts w:ascii="Arial Rounded MT Bold" w:hAnsi="Arial Rounded MT Bold"/>
                                <w:bCs/>
                                <w:spacing w:val="1"/>
                                <w:sz w:val="20"/>
                                <w:szCs w:val="20"/>
                              </w:rPr>
                              <w:tab/>
                              <w:t>10</w:t>
                            </w:r>
                          </w:p>
                          <w:p w14:paraId="4638ABA0"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Pupil numbers each term:</w:t>
                            </w:r>
                          </w:p>
                          <w:p w14:paraId="071CFA16" w14:textId="77777777" w:rsidR="00603A78" w:rsidRPr="00E3708B" w:rsidRDefault="00603A78" w:rsidP="00603A78">
                            <w:pPr>
                              <w:spacing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Summer</w:t>
                            </w:r>
                            <w:r w:rsidRPr="00E3708B">
                              <w:rPr>
                                <w:rFonts w:ascii="Arial Rounded MT Bold" w:hAnsi="Arial Rounded MT Bold"/>
                                <w:bCs/>
                                <w:spacing w:val="1"/>
                                <w:sz w:val="20"/>
                                <w:szCs w:val="20"/>
                              </w:rPr>
                              <w:tab/>
                              <w:t>10</w:t>
                            </w:r>
                            <w:r w:rsidRPr="00E3708B">
                              <w:rPr>
                                <w:rFonts w:ascii="Arial Rounded MT Bold" w:hAnsi="Arial Rounded MT Bold"/>
                                <w:bCs/>
                                <w:spacing w:val="1"/>
                                <w:sz w:val="20"/>
                                <w:szCs w:val="20"/>
                              </w:rPr>
                              <w:tab/>
                              <w:t>(5 months)</w:t>
                            </w:r>
                          </w:p>
                          <w:p w14:paraId="7DB2D31D" w14:textId="07E5040B" w:rsidR="00603A78" w:rsidRPr="00E3708B" w:rsidRDefault="00603A78" w:rsidP="00603A78">
                            <w:pPr>
                              <w:spacing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Autumn</w:t>
                            </w:r>
                            <w:r w:rsidRPr="00E3708B">
                              <w:rPr>
                                <w:rFonts w:ascii="Arial Rounded MT Bold" w:hAnsi="Arial Rounded MT Bold"/>
                                <w:bCs/>
                                <w:spacing w:val="1"/>
                                <w:sz w:val="20"/>
                                <w:szCs w:val="20"/>
                              </w:rPr>
                              <w:tab/>
                              <w:t>11</w:t>
                            </w:r>
                            <w:r w:rsidRPr="00E3708B">
                              <w:rPr>
                                <w:rFonts w:ascii="Arial Rounded MT Bold" w:hAnsi="Arial Rounded MT Bold"/>
                                <w:bCs/>
                                <w:spacing w:val="1"/>
                                <w:sz w:val="20"/>
                                <w:szCs w:val="20"/>
                              </w:rPr>
                              <w:tab/>
                              <w:t>(4 months)</w:t>
                            </w:r>
                          </w:p>
                          <w:p w14:paraId="5059F76B" w14:textId="77777777" w:rsidR="00603A78" w:rsidRPr="00E3708B" w:rsidRDefault="00603A78" w:rsidP="00603A78">
                            <w:pPr>
                              <w:spacing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Spring</w:t>
                            </w:r>
                            <w:r w:rsidRPr="00E3708B">
                              <w:rPr>
                                <w:rFonts w:ascii="Arial Rounded MT Bold" w:hAnsi="Arial Rounded MT Bold"/>
                                <w:bCs/>
                                <w:spacing w:val="1"/>
                                <w:sz w:val="20"/>
                                <w:szCs w:val="20"/>
                              </w:rPr>
                              <w:tab/>
                            </w:r>
                            <w:r w:rsidRPr="00E3708B">
                              <w:rPr>
                                <w:rFonts w:ascii="Arial Rounded MT Bold" w:hAnsi="Arial Rounded MT Bold"/>
                                <w:bCs/>
                                <w:spacing w:val="1"/>
                                <w:sz w:val="20"/>
                                <w:szCs w:val="20"/>
                              </w:rPr>
                              <w:tab/>
                              <w:t xml:space="preserve">12 </w:t>
                            </w:r>
                            <w:r w:rsidRPr="00E3708B">
                              <w:rPr>
                                <w:rFonts w:ascii="Arial Rounded MT Bold" w:hAnsi="Arial Rounded MT Bold"/>
                                <w:bCs/>
                                <w:spacing w:val="1"/>
                                <w:sz w:val="20"/>
                                <w:szCs w:val="20"/>
                              </w:rPr>
                              <w:tab/>
                              <w:t>(3 months)</w:t>
                            </w:r>
                          </w:p>
                          <w:p w14:paraId="2675B5B0" w14:textId="77777777" w:rsidR="00603A78" w:rsidRPr="00E3708B" w:rsidRDefault="00603A78" w:rsidP="00603A78">
                            <w:pPr>
                              <w:spacing w:after="120" w:line="300" w:lineRule="auto"/>
                              <w:rPr>
                                <w:rFonts w:ascii="Arial Rounded MT Bold" w:hAnsi="Arial Rounded MT Bold"/>
                                <w:bCs/>
                                <w:spacing w:val="1"/>
                                <w:sz w:val="20"/>
                                <w:szCs w:val="20"/>
                              </w:rPr>
                            </w:pPr>
                          </w:p>
                          <w:p w14:paraId="0CC7F768"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Average pupil numbers = (5/12 x 10) + (4/12 x 11) + (3/12 x 12) = 10.83333…</w:t>
                            </w:r>
                          </w:p>
                          <w:p w14:paraId="6E6B1BC8" w14:textId="77777777" w:rsidR="00603A78" w:rsidRPr="00E3708B" w:rsidRDefault="00603A78" w:rsidP="00603A78">
                            <w:pPr>
                              <w:widowControl w:val="0"/>
                              <w:autoSpaceDE w:val="0"/>
                              <w:autoSpaceDN w:val="0"/>
                              <w:adjustRightInd w:val="0"/>
                              <w:spacing w:after="120" w:line="300" w:lineRule="auto"/>
                              <w:rPr>
                                <w:rFonts w:ascii="Arial Rounded MT Bold" w:hAnsi="Arial Rounded MT Bold"/>
                                <w:spacing w:val="1"/>
                                <w:sz w:val="20"/>
                                <w:szCs w:val="20"/>
                              </w:rPr>
                            </w:pPr>
                            <w:r w:rsidRPr="00E3708B">
                              <w:rPr>
                                <w:rFonts w:ascii="Arial Rounded MT Bold" w:hAnsi="Arial Rounded MT Bold"/>
                                <w:spacing w:val="1"/>
                                <w:sz w:val="20"/>
                                <w:szCs w:val="20"/>
                              </w:rPr>
                              <w:t>Rounded FTE (2 decimal places) = 10.83</w:t>
                            </w:r>
                          </w:p>
                          <w:p w14:paraId="1E15C10B"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Over occupancy funding = (10.83 – 10 = 0.83; 0.83 x £6,000) = £4,980</w:t>
                            </w:r>
                          </w:p>
                          <w:p w14:paraId="439B805D"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Rounded (nearest £100) = £5,000</w:t>
                            </w:r>
                          </w:p>
                          <w:p w14:paraId="3F98408F" w14:textId="77777777" w:rsidR="00603A78" w:rsidRDefault="00603A78" w:rsidP="00603A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09B517" id="_x0000_t202" coordsize="21600,21600" o:spt="202" path="m,l,21600r21600,l21600,xe">
                <v:stroke joinstyle="miter"/>
                <v:path gradientshapeok="t" o:connecttype="rect"/>
              </v:shapetype>
              <v:shape id="Text Box 2" o:spid="_x0000_s1026" type="#_x0000_t202" style="position:absolute;margin-left:5.35pt;margin-top:22.85pt;width:420pt;height:19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">
                <v:textbox>
                  <w:txbxContent>
                    <w:p w14:paraId="371F48CD"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RP APN</w:t>
                      </w:r>
                      <w:r w:rsidRPr="00E3708B">
                        <w:rPr>
                          <w:rFonts w:ascii="Arial Rounded MT Bold" w:hAnsi="Arial Rounded MT Bold"/>
                          <w:bCs/>
                          <w:spacing w:val="1"/>
                          <w:sz w:val="20"/>
                          <w:szCs w:val="20"/>
                        </w:rPr>
                        <w:tab/>
                        <w:t>10</w:t>
                      </w:r>
                    </w:p>
                    <w:p w14:paraId="4638ABA0"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Pupil numbers each term:</w:t>
                      </w:r>
                    </w:p>
                    <w:p w14:paraId="071CFA16" w14:textId="77777777" w:rsidR="00603A78" w:rsidRPr="00E3708B" w:rsidRDefault="00603A78" w:rsidP="00603A78">
                      <w:pPr>
                        <w:spacing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Summer</w:t>
                      </w:r>
                      <w:r w:rsidRPr="00E3708B">
                        <w:rPr>
                          <w:rFonts w:ascii="Arial Rounded MT Bold" w:hAnsi="Arial Rounded MT Bold"/>
                          <w:bCs/>
                          <w:spacing w:val="1"/>
                          <w:sz w:val="20"/>
                          <w:szCs w:val="20"/>
                        </w:rPr>
                        <w:tab/>
                        <w:t>10</w:t>
                      </w:r>
                      <w:r w:rsidRPr="00E3708B">
                        <w:rPr>
                          <w:rFonts w:ascii="Arial Rounded MT Bold" w:hAnsi="Arial Rounded MT Bold"/>
                          <w:bCs/>
                          <w:spacing w:val="1"/>
                          <w:sz w:val="20"/>
                          <w:szCs w:val="20"/>
                        </w:rPr>
                        <w:tab/>
                        <w:t>(5 months)</w:t>
                      </w:r>
                    </w:p>
                    <w:p w14:paraId="7DB2D31D" w14:textId="07E5040B" w:rsidR="00603A78" w:rsidRPr="00E3708B" w:rsidRDefault="00603A78" w:rsidP="00603A78">
                      <w:pPr>
                        <w:spacing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Autumn</w:t>
                      </w:r>
                      <w:r w:rsidRPr="00E3708B">
                        <w:rPr>
                          <w:rFonts w:ascii="Arial Rounded MT Bold" w:hAnsi="Arial Rounded MT Bold"/>
                          <w:bCs/>
                          <w:spacing w:val="1"/>
                          <w:sz w:val="20"/>
                          <w:szCs w:val="20"/>
                        </w:rPr>
                        <w:tab/>
                        <w:t>11</w:t>
                      </w:r>
                      <w:r w:rsidRPr="00E3708B">
                        <w:rPr>
                          <w:rFonts w:ascii="Arial Rounded MT Bold" w:hAnsi="Arial Rounded MT Bold"/>
                          <w:bCs/>
                          <w:spacing w:val="1"/>
                          <w:sz w:val="20"/>
                          <w:szCs w:val="20"/>
                        </w:rPr>
                        <w:tab/>
                        <w:t>(4 months)</w:t>
                      </w:r>
                    </w:p>
                    <w:p w14:paraId="5059F76B" w14:textId="77777777" w:rsidR="00603A78" w:rsidRPr="00E3708B" w:rsidRDefault="00603A78" w:rsidP="00603A78">
                      <w:pPr>
                        <w:spacing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Spring</w:t>
                      </w:r>
                      <w:r w:rsidRPr="00E3708B">
                        <w:rPr>
                          <w:rFonts w:ascii="Arial Rounded MT Bold" w:hAnsi="Arial Rounded MT Bold"/>
                          <w:bCs/>
                          <w:spacing w:val="1"/>
                          <w:sz w:val="20"/>
                          <w:szCs w:val="20"/>
                        </w:rPr>
                        <w:tab/>
                      </w:r>
                      <w:r w:rsidRPr="00E3708B">
                        <w:rPr>
                          <w:rFonts w:ascii="Arial Rounded MT Bold" w:hAnsi="Arial Rounded MT Bold"/>
                          <w:bCs/>
                          <w:spacing w:val="1"/>
                          <w:sz w:val="20"/>
                          <w:szCs w:val="20"/>
                        </w:rPr>
                        <w:tab/>
                        <w:t xml:space="preserve">12 </w:t>
                      </w:r>
                      <w:r w:rsidRPr="00E3708B">
                        <w:rPr>
                          <w:rFonts w:ascii="Arial Rounded MT Bold" w:hAnsi="Arial Rounded MT Bold"/>
                          <w:bCs/>
                          <w:spacing w:val="1"/>
                          <w:sz w:val="20"/>
                          <w:szCs w:val="20"/>
                        </w:rPr>
                        <w:tab/>
                        <w:t>(3 months)</w:t>
                      </w:r>
                    </w:p>
                    <w:p w14:paraId="2675B5B0" w14:textId="77777777" w:rsidR="00603A78" w:rsidRPr="00E3708B" w:rsidRDefault="00603A78" w:rsidP="00603A78">
                      <w:pPr>
                        <w:spacing w:after="120" w:line="300" w:lineRule="auto"/>
                        <w:rPr>
                          <w:rFonts w:ascii="Arial Rounded MT Bold" w:hAnsi="Arial Rounded MT Bold"/>
                          <w:bCs/>
                          <w:spacing w:val="1"/>
                          <w:sz w:val="20"/>
                          <w:szCs w:val="20"/>
                        </w:rPr>
                      </w:pPr>
                    </w:p>
                    <w:p w14:paraId="0CC7F768"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Average pupil numbers = (5/12 x 10) + (4/12 x 11) + (3/12 x 12) = 10.83333…</w:t>
                      </w:r>
                    </w:p>
                    <w:p w14:paraId="6E6B1BC8" w14:textId="77777777" w:rsidR="00603A78" w:rsidRPr="00E3708B" w:rsidRDefault="00603A78" w:rsidP="00603A78">
                      <w:pPr>
                        <w:widowControl w:val="0"/>
                        <w:autoSpaceDE w:val="0"/>
                        <w:autoSpaceDN w:val="0"/>
                        <w:adjustRightInd w:val="0"/>
                        <w:spacing w:after="120" w:line="300" w:lineRule="auto"/>
                        <w:rPr>
                          <w:rFonts w:ascii="Arial Rounded MT Bold" w:hAnsi="Arial Rounded MT Bold"/>
                          <w:spacing w:val="1"/>
                          <w:sz w:val="20"/>
                          <w:szCs w:val="20"/>
                        </w:rPr>
                      </w:pPr>
                      <w:r w:rsidRPr="00E3708B">
                        <w:rPr>
                          <w:rFonts w:ascii="Arial Rounded MT Bold" w:hAnsi="Arial Rounded MT Bold"/>
                          <w:spacing w:val="1"/>
                          <w:sz w:val="20"/>
                          <w:szCs w:val="20"/>
                        </w:rPr>
                        <w:t>Rounded FTE (2 decimal places) = 10.83</w:t>
                      </w:r>
                    </w:p>
                    <w:p w14:paraId="1E15C10B"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Over occupancy funding = (10.83 – 10 = 0.83; 0.83 x £6,000) = £4,980</w:t>
                      </w:r>
                    </w:p>
                    <w:p w14:paraId="439B805D" w14:textId="77777777" w:rsidR="00603A78" w:rsidRPr="00E3708B" w:rsidRDefault="00603A78" w:rsidP="00603A78">
                      <w:pPr>
                        <w:spacing w:after="120" w:line="300" w:lineRule="auto"/>
                        <w:rPr>
                          <w:rFonts w:ascii="Arial Rounded MT Bold" w:hAnsi="Arial Rounded MT Bold"/>
                          <w:bCs/>
                          <w:spacing w:val="1"/>
                          <w:sz w:val="20"/>
                          <w:szCs w:val="20"/>
                        </w:rPr>
                      </w:pPr>
                      <w:r w:rsidRPr="00E3708B">
                        <w:rPr>
                          <w:rFonts w:ascii="Arial Rounded MT Bold" w:hAnsi="Arial Rounded MT Bold"/>
                          <w:bCs/>
                          <w:spacing w:val="1"/>
                          <w:sz w:val="20"/>
                          <w:szCs w:val="20"/>
                        </w:rPr>
                        <w:t>Rounded (nearest £100) = £5,000</w:t>
                      </w:r>
                    </w:p>
                    <w:p w14:paraId="3F98408F" w14:textId="77777777" w:rsidR="00603A78" w:rsidRDefault="00603A78" w:rsidP="00603A78"/>
                  </w:txbxContent>
                </v:textbox>
                <w10:wrap type="square" anchorx="margin"/>
              </v:shape>
            </w:pict>
          </mc:Fallback>
        </mc:AlternateContent>
      </w:r>
      <w:r w:rsidRPr="00C57102">
        <w:t>The example below</w:t>
      </w:r>
      <w:r>
        <w:t xml:space="preserve">, for a primary school resourced provision, </w:t>
      </w:r>
      <w:r w:rsidRPr="00C57102">
        <w:t>illustrates this:</w:t>
      </w:r>
    </w:p>
    <w:p w14:paraId="2EB17B5D" w14:textId="562ABBEE" w:rsidR="00603A78" w:rsidRDefault="00603A78" w:rsidP="0017616E">
      <w:pPr>
        <w:spacing w:after="120" w:line="300" w:lineRule="auto"/>
      </w:pPr>
      <w:r w:rsidRPr="00C57102">
        <w:lastRenderedPageBreak/>
        <w:t xml:space="preserve">Funding </w:t>
      </w:r>
      <w:proofErr w:type="gramStart"/>
      <w:r w:rsidRPr="00C57102">
        <w:t>is calculated</w:t>
      </w:r>
      <w:proofErr w:type="gramEnd"/>
      <w:r w:rsidRPr="00C57102">
        <w:t xml:space="preserve"> and transferred to the school at the end of the financial year</w:t>
      </w:r>
      <w:r>
        <w:t xml:space="preserve"> </w:t>
      </w:r>
      <w:r w:rsidRPr="00C57102">
        <w:t>once the top-up funding for the spring term and pupil numbers have been finalised.</w:t>
      </w:r>
    </w:p>
    <w:p w14:paraId="69D66464" w14:textId="407882BC" w:rsidR="00603A78" w:rsidRDefault="00603A78" w:rsidP="0017616E">
      <w:pPr>
        <w:spacing w:after="120" w:line="300" w:lineRule="auto"/>
        <w:rPr>
          <w:rStyle w:val="normaltextrun"/>
        </w:rPr>
      </w:pPr>
      <w:r>
        <w:rPr>
          <w:rStyle w:val="normaltextrun"/>
        </w:rPr>
        <w:t xml:space="preserve">Please note that if the actual average pupil number throughout the year is below the APN then funding will not </w:t>
      </w:r>
      <w:proofErr w:type="gramStart"/>
      <w:r>
        <w:rPr>
          <w:rStyle w:val="normaltextrun"/>
        </w:rPr>
        <w:t>be decreased</w:t>
      </w:r>
      <w:proofErr w:type="gramEnd"/>
      <w:r>
        <w:rPr>
          <w:rStyle w:val="normaltextrun"/>
        </w:rPr>
        <w:t>.</w:t>
      </w:r>
    </w:p>
    <w:p w14:paraId="6E9DFBD6" w14:textId="77777777" w:rsidR="00B0799C" w:rsidRDefault="00B0799C" w:rsidP="0017616E">
      <w:pPr>
        <w:spacing w:after="120" w:line="300" w:lineRule="auto"/>
        <w:rPr>
          <w:b/>
        </w:rPr>
      </w:pPr>
    </w:p>
    <w:p w14:paraId="60D646B7" w14:textId="603BF1AD" w:rsidR="00603A78" w:rsidRPr="002120D7" w:rsidRDefault="00603A78" w:rsidP="0017616E">
      <w:pPr>
        <w:pStyle w:val="h2"/>
        <w:spacing w:after="120" w:line="300" w:lineRule="auto"/>
        <w:rPr>
          <w:sz w:val="32"/>
          <w:szCs w:val="32"/>
        </w:rPr>
      </w:pPr>
      <w:bookmarkStart w:id="40" w:name="_Toc219822354"/>
      <w:r w:rsidRPr="002120D7">
        <w:rPr>
          <w:spacing w:val="1"/>
          <w:sz w:val="32"/>
          <w:szCs w:val="32"/>
        </w:rPr>
        <w:t>6)</w:t>
      </w:r>
      <w:r w:rsidRPr="002120D7">
        <w:rPr>
          <w:spacing w:val="1"/>
          <w:sz w:val="32"/>
          <w:szCs w:val="32"/>
        </w:rPr>
        <w:tab/>
      </w:r>
      <w:bookmarkStart w:id="41" w:name="resinfjun"/>
      <w:bookmarkEnd w:id="41"/>
      <w:r w:rsidRPr="002120D7">
        <w:rPr>
          <w:sz w:val="32"/>
          <w:szCs w:val="32"/>
        </w:rPr>
        <w:t>Resourced Provisions Serving an Infant and Junior School</w:t>
      </w:r>
      <w:bookmarkEnd w:id="40"/>
    </w:p>
    <w:p w14:paraId="1763B406" w14:textId="77777777" w:rsidR="00603A78" w:rsidRPr="00F513F9" w:rsidRDefault="00603A78" w:rsidP="0017616E">
      <w:pPr>
        <w:spacing w:after="120" w:line="300" w:lineRule="auto"/>
      </w:pPr>
      <w:r w:rsidRPr="00F513F9">
        <w:t xml:space="preserve">In </w:t>
      </w:r>
      <w:proofErr w:type="gramStart"/>
      <w:r w:rsidRPr="00F513F9">
        <w:t>some</w:t>
      </w:r>
      <w:proofErr w:type="gramEnd"/>
      <w:r w:rsidRPr="00F513F9">
        <w:t xml:space="preserve"> cases, a resourced provision is based in an infant school but accepts pupils from a junior school or vice versa. Under the current funding arrangements this may require </w:t>
      </w:r>
      <w:proofErr w:type="gramStart"/>
      <w:r w:rsidRPr="00F513F9">
        <w:t>some</w:t>
      </w:r>
      <w:proofErr w:type="gramEnd"/>
      <w:r w:rsidRPr="00F513F9">
        <w:t xml:space="preserve"> adjustments between the schools, which need to </w:t>
      </w:r>
      <w:proofErr w:type="gramStart"/>
      <w:r w:rsidRPr="00F513F9">
        <w:t>be agreed</w:t>
      </w:r>
      <w:proofErr w:type="gramEnd"/>
      <w:r w:rsidRPr="00F513F9">
        <w:t xml:space="preserve"> between the schools. The following example uses an infant school with a resourced provision that accepts pupils from a junior school.</w:t>
      </w:r>
    </w:p>
    <w:p w14:paraId="66FDFFFA" w14:textId="77777777" w:rsidR="00603A78" w:rsidRPr="00F513F9" w:rsidRDefault="00603A78" w:rsidP="0017616E">
      <w:pPr>
        <w:spacing w:after="120" w:line="300" w:lineRule="auto"/>
      </w:pPr>
      <w:r w:rsidRPr="00F513F9">
        <w:t xml:space="preserve">The places </w:t>
      </w:r>
      <w:r>
        <w:t xml:space="preserve">in the resourced provision will </w:t>
      </w:r>
      <w:proofErr w:type="gramStart"/>
      <w:r>
        <w:t xml:space="preserve">be </w:t>
      </w:r>
      <w:r w:rsidRPr="00F513F9">
        <w:t>funded</w:t>
      </w:r>
      <w:proofErr w:type="gramEnd"/>
      <w:r w:rsidRPr="00F513F9">
        <w:t xml:space="preserve"> at £</w:t>
      </w:r>
      <w:r>
        <w:t>6</w:t>
      </w:r>
      <w:r w:rsidRPr="00F513F9">
        <w:t>,000.</w:t>
      </w:r>
    </w:p>
    <w:p w14:paraId="395203B2" w14:textId="77777777" w:rsidR="00603A78" w:rsidRPr="00F513F9" w:rsidRDefault="00603A78" w:rsidP="0017616E">
      <w:pPr>
        <w:spacing w:after="120" w:line="300" w:lineRule="auto"/>
      </w:pPr>
      <w:r>
        <w:t>I</w:t>
      </w:r>
      <w:r w:rsidRPr="00F513F9">
        <w:t>f a pupil from the junior school attends the resource</w:t>
      </w:r>
      <w:r>
        <w:t>d</w:t>
      </w:r>
      <w:r w:rsidRPr="00F513F9">
        <w:t xml:space="preserve"> provision and the junior school ha</w:t>
      </w:r>
      <w:r>
        <w:t>s</w:t>
      </w:r>
      <w:r w:rsidRPr="00F513F9">
        <w:t xml:space="preserve"> received funding for this pupil</w:t>
      </w:r>
      <w:r>
        <w:t xml:space="preserve">, </w:t>
      </w:r>
      <w:r w:rsidRPr="00F513F9">
        <w:t>the junior school will need to transfer a proportion of th</w:t>
      </w:r>
      <w:r>
        <w:t xml:space="preserve">is funding </w:t>
      </w:r>
      <w:r w:rsidRPr="00F513F9">
        <w:t xml:space="preserve">to the infant school. The amount to </w:t>
      </w:r>
      <w:proofErr w:type="gramStart"/>
      <w:r w:rsidRPr="00F513F9">
        <w:t>be transferred</w:t>
      </w:r>
      <w:proofErr w:type="gramEnd"/>
      <w:r w:rsidRPr="00F513F9">
        <w:t xml:space="preserve"> needs to </w:t>
      </w:r>
      <w:proofErr w:type="gramStart"/>
      <w:r w:rsidRPr="00F513F9">
        <w:t>be agreed</w:t>
      </w:r>
      <w:proofErr w:type="gramEnd"/>
      <w:r w:rsidRPr="00F513F9">
        <w:t xml:space="preserve"> between the two schools. It </w:t>
      </w:r>
      <w:proofErr w:type="gramStart"/>
      <w:r w:rsidRPr="00F513F9">
        <w:t>is recommended</w:t>
      </w:r>
      <w:proofErr w:type="gramEnd"/>
      <w:r w:rsidRPr="00F513F9">
        <w:t xml:space="preserve"> that it is a proportion of </w:t>
      </w:r>
      <w:r>
        <w:t>AWPU plus funding based on pupil characteristics.</w:t>
      </w:r>
      <w:r w:rsidRPr="00F513F9">
        <w:t xml:space="preserve"> For example, if the junior school pupils spend 50% of their time in the infant school resourced provision and 50% of their time in the junior school then 50% of </w:t>
      </w:r>
      <w:r>
        <w:t xml:space="preserve">AWPU, plus funding based on pupil characteristics, </w:t>
      </w:r>
      <w:r w:rsidRPr="00F513F9">
        <w:t xml:space="preserve">should </w:t>
      </w:r>
      <w:proofErr w:type="gramStart"/>
      <w:r w:rsidRPr="00F513F9">
        <w:t>be transferred</w:t>
      </w:r>
      <w:proofErr w:type="gramEnd"/>
      <w:r w:rsidRPr="00F513F9">
        <w:t xml:space="preserve"> from the junior to the infant school.</w:t>
      </w:r>
    </w:p>
    <w:p w14:paraId="1A649065" w14:textId="10F4D4A4" w:rsidR="00603A78" w:rsidRDefault="00603A78" w:rsidP="0017616E">
      <w:pPr>
        <w:spacing w:after="120" w:line="300" w:lineRule="auto"/>
        <w:rPr>
          <w:bCs/>
        </w:rPr>
      </w:pPr>
      <w:r w:rsidRPr="00F513F9">
        <w:rPr>
          <w:bCs/>
        </w:rPr>
        <w:t xml:space="preserve">The GL codes that should </w:t>
      </w:r>
      <w:proofErr w:type="gramStart"/>
      <w:r w:rsidRPr="00F513F9">
        <w:rPr>
          <w:bCs/>
        </w:rPr>
        <w:t>be used</w:t>
      </w:r>
      <w:proofErr w:type="gramEnd"/>
      <w:r w:rsidRPr="00F513F9">
        <w:rPr>
          <w:bCs/>
        </w:rPr>
        <w:t xml:space="preserve"> are 5932</w:t>
      </w:r>
      <w:r w:rsidR="00450F74">
        <w:rPr>
          <w:bCs/>
        </w:rPr>
        <w:t xml:space="preserve"> (CFR</w:t>
      </w:r>
      <w:r w:rsidR="00DA33B4">
        <w:rPr>
          <w:bCs/>
        </w:rPr>
        <w:t xml:space="preserve"> code</w:t>
      </w:r>
      <w:r w:rsidR="00450F74">
        <w:rPr>
          <w:bCs/>
        </w:rPr>
        <w:t xml:space="preserve"> E27)</w:t>
      </w:r>
      <w:r w:rsidRPr="00F513F9">
        <w:rPr>
          <w:bCs/>
        </w:rPr>
        <w:t xml:space="preserve"> for any expenditure and 7543</w:t>
      </w:r>
      <w:r w:rsidR="0026641F">
        <w:rPr>
          <w:bCs/>
        </w:rPr>
        <w:t xml:space="preserve"> (CFR</w:t>
      </w:r>
      <w:r w:rsidR="00DA33B4">
        <w:rPr>
          <w:bCs/>
        </w:rPr>
        <w:t xml:space="preserve"> code</w:t>
      </w:r>
      <w:r w:rsidR="0026641F">
        <w:rPr>
          <w:bCs/>
        </w:rPr>
        <w:t xml:space="preserve"> I08b)</w:t>
      </w:r>
      <w:r w:rsidRPr="00F513F9">
        <w:rPr>
          <w:bCs/>
        </w:rPr>
        <w:t xml:space="preserve"> for income.</w:t>
      </w:r>
    </w:p>
    <w:p w14:paraId="6AC30901" w14:textId="77777777" w:rsidR="00B0799C" w:rsidRDefault="00B0799C" w:rsidP="0017616E">
      <w:pPr>
        <w:spacing w:after="120" w:line="300" w:lineRule="auto"/>
        <w:rPr>
          <w:b/>
          <w:bCs/>
        </w:rPr>
      </w:pPr>
    </w:p>
    <w:p w14:paraId="1F04262B" w14:textId="76B3722E" w:rsidR="00603A78" w:rsidRPr="002120D7" w:rsidRDefault="00603A78" w:rsidP="0017616E">
      <w:pPr>
        <w:pStyle w:val="h2"/>
        <w:spacing w:after="120" w:line="300" w:lineRule="auto"/>
        <w:rPr>
          <w:sz w:val="32"/>
          <w:szCs w:val="32"/>
        </w:rPr>
      </w:pPr>
      <w:bookmarkStart w:id="42" w:name="_Toc219822355"/>
      <w:r w:rsidRPr="002120D7">
        <w:rPr>
          <w:spacing w:val="1"/>
          <w:sz w:val="32"/>
          <w:szCs w:val="32"/>
        </w:rPr>
        <w:t>7)</w:t>
      </w:r>
      <w:r w:rsidRPr="002120D7">
        <w:rPr>
          <w:spacing w:val="1"/>
          <w:sz w:val="32"/>
          <w:szCs w:val="32"/>
        </w:rPr>
        <w:tab/>
      </w:r>
      <w:bookmarkStart w:id="43" w:name="resprinurs"/>
      <w:bookmarkEnd w:id="43"/>
      <w:r w:rsidRPr="002120D7">
        <w:rPr>
          <w:sz w:val="32"/>
          <w:szCs w:val="32"/>
        </w:rPr>
        <w:t>Primary Schools with a Nursery Resourced Provision</w:t>
      </w:r>
      <w:bookmarkEnd w:id="42"/>
      <w:r w:rsidRPr="002120D7">
        <w:rPr>
          <w:sz w:val="32"/>
          <w:szCs w:val="32"/>
        </w:rPr>
        <w:t xml:space="preserve">  </w:t>
      </w:r>
    </w:p>
    <w:p w14:paraId="7D39114A" w14:textId="57463F91" w:rsidR="00603A78" w:rsidRPr="008B2F14" w:rsidRDefault="00603A78" w:rsidP="0017616E">
      <w:pPr>
        <w:spacing w:after="120" w:line="300" w:lineRule="auto"/>
      </w:pPr>
      <w:r w:rsidRPr="00D01020">
        <w:t>Schools with a Speech, La</w:t>
      </w:r>
      <w:r>
        <w:t>nguage and Communication Needs (SLCN) Nursery</w:t>
      </w:r>
      <w:r w:rsidRPr="00D01020">
        <w:t xml:space="preserve"> pro</w:t>
      </w:r>
      <w:r w:rsidRPr="008B2F14">
        <w:t>vision will receive an allocation of £</w:t>
      </w:r>
      <w:r w:rsidR="00461241" w:rsidRPr="008B2F14">
        <w:t>13,</w:t>
      </w:r>
      <w:r w:rsidR="00802D5B" w:rsidRPr="008B2F14">
        <w:t>47</w:t>
      </w:r>
      <w:r w:rsidR="00DE1ED5">
        <w:t>6</w:t>
      </w:r>
      <w:r w:rsidRPr="008B2F14">
        <w:t xml:space="preserve"> per agreed place.</w:t>
      </w:r>
    </w:p>
    <w:p w14:paraId="115943A4" w14:textId="5E72EE96" w:rsidR="00603A78" w:rsidRDefault="00603A78" w:rsidP="0017616E">
      <w:pPr>
        <w:spacing w:after="120" w:line="300" w:lineRule="auto"/>
      </w:pPr>
      <w:r w:rsidRPr="008B2F14">
        <w:t>Schools with a Pre-school Diagnostic Unit (PSDU) will receive an allocation of £</w:t>
      </w:r>
      <w:r w:rsidR="008B2F14" w:rsidRPr="008B2F14">
        <w:t>15</w:t>
      </w:r>
      <w:r w:rsidR="008B2F14">
        <w:t>,207</w:t>
      </w:r>
      <w:r w:rsidRPr="00461241">
        <w:t xml:space="preserve"> per </w:t>
      </w:r>
      <w:r w:rsidRPr="00D01020">
        <w:t>agreed place.</w:t>
      </w:r>
    </w:p>
    <w:p w14:paraId="28849284" w14:textId="77777777" w:rsidR="00603A78" w:rsidRDefault="00603A78" w:rsidP="0017616E">
      <w:pPr>
        <w:spacing w:after="120" w:line="300" w:lineRule="auto"/>
      </w:pPr>
      <w:r>
        <w:t xml:space="preserve">Please note that funding for these provisions </w:t>
      </w:r>
      <w:proofErr w:type="gramStart"/>
      <w:r>
        <w:t>is detailed</w:t>
      </w:r>
      <w:proofErr w:type="gramEnd"/>
      <w:r>
        <w:t xml:space="preserve"> within the main school budget share.</w:t>
      </w:r>
    </w:p>
    <w:p w14:paraId="00F5A4AE" w14:textId="45249953" w:rsidR="00603A78" w:rsidRDefault="00603A78" w:rsidP="0017616E">
      <w:pPr>
        <w:spacing w:after="120" w:line="300" w:lineRule="auto"/>
      </w:pPr>
      <w:r>
        <w:t xml:space="preserve">Allocations will </w:t>
      </w:r>
      <w:proofErr w:type="gramStart"/>
      <w:r>
        <w:t>be made</w:t>
      </w:r>
      <w:proofErr w:type="gramEnd"/>
      <w:r>
        <w:t xml:space="preserve"> to GL code 7696</w:t>
      </w:r>
      <w:r w:rsidR="00EF048C">
        <w:t xml:space="preserve"> (CFR </w:t>
      </w:r>
      <w:r w:rsidR="00DA33B4">
        <w:t xml:space="preserve">code </w:t>
      </w:r>
      <w:r w:rsidR="00EF048C">
        <w:t>I01)</w:t>
      </w:r>
      <w:r>
        <w:t>.</w:t>
      </w:r>
    </w:p>
    <w:p w14:paraId="6ABB48B4" w14:textId="48048DA2" w:rsidR="00603A78" w:rsidRPr="002120D7" w:rsidRDefault="00603A78" w:rsidP="0017616E">
      <w:pPr>
        <w:pStyle w:val="h1"/>
        <w:spacing w:after="120" w:line="300" w:lineRule="auto"/>
        <w:rPr>
          <w:sz w:val="40"/>
          <w:szCs w:val="40"/>
        </w:rPr>
      </w:pPr>
      <w:r>
        <w:rPr>
          <w:spacing w:val="1"/>
        </w:rPr>
        <w:br w:type="page"/>
      </w:r>
      <w:bookmarkStart w:id="44" w:name="appendix1"/>
      <w:bookmarkStart w:id="45" w:name="appendix2"/>
      <w:bookmarkStart w:id="46" w:name="resappen1"/>
      <w:bookmarkStart w:id="47" w:name="OLE_LINK13"/>
      <w:bookmarkStart w:id="48" w:name="OLE_LINK14"/>
      <w:bookmarkStart w:id="49" w:name="_Toc219822356"/>
      <w:bookmarkEnd w:id="44"/>
      <w:bookmarkEnd w:id="45"/>
      <w:bookmarkEnd w:id="46"/>
      <w:r w:rsidRPr="002120D7">
        <w:rPr>
          <w:sz w:val="40"/>
          <w:szCs w:val="40"/>
        </w:rPr>
        <w:lastRenderedPageBreak/>
        <w:t xml:space="preserve">Appendix 1 </w:t>
      </w:r>
      <w:bookmarkEnd w:id="47"/>
      <w:bookmarkEnd w:id="48"/>
      <w:r w:rsidRPr="002120D7">
        <w:rPr>
          <w:sz w:val="40"/>
          <w:szCs w:val="40"/>
        </w:rPr>
        <w:t xml:space="preserve">– Table of Values for Resourced Provisions </w:t>
      </w:r>
      <w:r w:rsidR="00CB4CF1">
        <w:rPr>
          <w:sz w:val="40"/>
          <w:szCs w:val="40"/>
        </w:rPr>
        <w:t>2026/27</w:t>
      </w:r>
      <w:bookmarkEnd w:id="49"/>
    </w:p>
    <w:p w14:paraId="2DE102A6" w14:textId="77777777" w:rsidR="00603A78" w:rsidRPr="003B5126" w:rsidRDefault="00603A78" w:rsidP="0017616E">
      <w:pPr>
        <w:widowControl w:val="0"/>
        <w:autoSpaceDE w:val="0"/>
        <w:autoSpaceDN w:val="0"/>
        <w:adjustRightInd w:val="0"/>
        <w:spacing w:after="120" w:line="300" w:lineRule="auto"/>
        <w:rPr>
          <w:bCs/>
        </w:rPr>
      </w:pPr>
    </w:p>
    <w:tbl>
      <w:tblPr>
        <w:tblW w:w="9089" w:type="dxa"/>
        <w:tblInd w:w="4" w:type="dxa"/>
        <w:tblLayout w:type="fixed"/>
        <w:tblCellMar>
          <w:left w:w="0" w:type="dxa"/>
          <w:right w:w="0" w:type="dxa"/>
        </w:tblCellMar>
        <w:tblLook w:val="0000" w:firstRow="0" w:lastRow="0" w:firstColumn="0" w:lastColumn="0" w:noHBand="0" w:noVBand="0"/>
      </w:tblPr>
      <w:tblGrid>
        <w:gridCol w:w="6513"/>
        <w:gridCol w:w="1276"/>
        <w:gridCol w:w="1300"/>
      </w:tblGrid>
      <w:tr w:rsidR="00603A78" w:rsidRPr="00A13E20" w14:paraId="41EA75D2" w14:textId="77777777">
        <w:trPr>
          <w:trHeight w:val="581"/>
        </w:trPr>
        <w:tc>
          <w:tcPr>
            <w:tcW w:w="6513" w:type="dxa"/>
            <w:tcBorders>
              <w:top w:val="single" w:sz="3" w:space="0" w:color="000000"/>
              <w:left w:val="single" w:sz="3" w:space="0" w:color="000000"/>
              <w:bottom w:val="single" w:sz="4" w:space="0" w:color="000000"/>
              <w:right w:val="single" w:sz="3" w:space="0" w:color="000000"/>
            </w:tcBorders>
            <w:vAlign w:val="center"/>
          </w:tcPr>
          <w:p w14:paraId="2C2F76C5" w14:textId="77777777" w:rsidR="00603A78" w:rsidRPr="00A13E20" w:rsidRDefault="00603A78" w:rsidP="00C36432">
            <w:pPr>
              <w:spacing w:before="60" w:after="60"/>
              <w:jc w:val="center"/>
              <w:rPr>
                <w:b/>
                <w:bCs/>
              </w:rPr>
            </w:pPr>
            <w:bookmarkStart w:id="50" w:name="OLE_LINK3"/>
            <w:r w:rsidRPr="00A13E20">
              <w:rPr>
                <w:b/>
                <w:bCs/>
              </w:rPr>
              <w:t>Resourced Provision Statement Reference</w:t>
            </w:r>
          </w:p>
        </w:tc>
        <w:tc>
          <w:tcPr>
            <w:tcW w:w="1276" w:type="dxa"/>
            <w:tcBorders>
              <w:top w:val="single" w:sz="3" w:space="0" w:color="000000"/>
              <w:left w:val="single" w:sz="3" w:space="0" w:color="000000"/>
              <w:bottom w:val="single" w:sz="4" w:space="0" w:color="000000"/>
              <w:right w:val="single" w:sz="3" w:space="0" w:color="000000"/>
            </w:tcBorders>
            <w:vAlign w:val="center"/>
          </w:tcPr>
          <w:p w14:paraId="26F86011" w14:textId="77777777" w:rsidR="001F6166" w:rsidRDefault="00603A78" w:rsidP="00C36432">
            <w:pPr>
              <w:jc w:val="center"/>
            </w:pPr>
            <w:r w:rsidRPr="0030605F">
              <w:t>Primary</w:t>
            </w:r>
          </w:p>
          <w:p w14:paraId="0411891A" w14:textId="0D76F096" w:rsidR="00603A78" w:rsidRPr="0030605F" w:rsidRDefault="00603A78" w:rsidP="00C36432">
            <w:pPr>
              <w:jc w:val="center"/>
            </w:pPr>
            <w:r w:rsidRPr="0030605F">
              <w:t>(£)</w:t>
            </w:r>
          </w:p>
        </w:tc>
        <w:tc>
          <w:tcPr>
            <w:tcW w:w="1300" w:type="dxa"/>
            <w:tcBorders>
              <w:top w:val="single" w:sz="3" w:space="0" w:color="000000"/>
              <w:left w:val="single" w:sz="3" w:space="0" w:color="000000"/>
              <w:bottom w:val="single" w:sz="4" w:space="0" w:color="000000"/>
              <w:right w:val="single" w:sz="3" w:space="0" w:color="000000"/>
            </w:tcBorders>
            <w:vAlign w:val="center"/>
          </w:tcPr>
          <w:p w14:paraId="4FF20188" w14:textId="77777777" w:rsidR="001F6166" w:rsidRDefault="00603A78" w:rsidP="00C36432">
            <w:pPr>
              <w:jc w:val="center"/>
            </w:pPr>
            <w:r w:rsidRPr="0030605F">
              <w:t>Secondary</w:t>
            </w:r>
          </w:p>
          <w:p w14:paraId="2FC55F6C" w14:textId="12319720" w:rsidR="00603A78" w:rsidRPr="0030605F" w:rsidRDefault="00603A78" w:rsidP="00C36432">
            <w:pPr>
              <w:jc w:val="center"/>
            </w:pPr>
            <w:r w:rsidRPr="0030605F">
              <w:t>(£)</w:t>
            </w:r>
          </w:p>
        </w:tc>
      </w:tr>
      <w:tr w:rsidR="00603A78" w:rsidRPr="00A13E20" w14:paraId="31E2B544" w14:textId="77777777">
        <w:trPr>
          <w:trHeight w:hRule="exact" w:val="510"/>
        </w:trPr>
        <w:tc>
          <w:tcPr>
            <w:tcW w:w="9089" w:type="dxa"/>
            <w:gridSpan w:val="3"/>
            <w:tcBorders>
              <w:top w:val="single" w:sz="4" w:space="0" w:color="000000"/>
              <w:left w:val="single" w:sz="4" w:space="0" w:color="000000"/>
              <w:bottom w:val="single" w:sz="4" w:space="0" w:color="000000"/>
              <w:right w:val="single" w:sz="4" w:space="0" w:color="000000"/>
            </w:tcBorders>
            <w:shd w:val="pct25" w:color="auto" w:fill="auto"/>
            <w:tcMar>
              <w:left w:w="57" w:type="dxa"/>
            </w:tcMar>
            <w:vAlign w:val="center"/>
          </w:tcPr>
          <w:p w14:paraId="5AB6CCFC" w14:textId="77777777" w:rsidR="00603A78" w:rsidRPr="00A13E20" w:rsidRDefault="00603A78" w:rsidP="00C36432">
            <w:pPr>
              <w:spacing w:before="60" w:after="60"/>
              <w:jc w:val="center"/>
              <w:rPr>
                <w:b/>
                <w:bCs/>
              </w:rPr>
            </w:pPr>
            <w:r w:rsidRPr="00A13E20">
              <w:rPr>
                <w:b/>
                <w:bCs/>
              </w:rPr>
              <w:t>Place Funding</w:t>
            </w:r>
          </w:p>
        </w:tc>
      </w:tr>
      <w:tr w:rsidR="00603A78" w:rsidRPr="00ED3F47" w14:paraId="2BA3F762" w14:textId="77777777">
        <w:trPr>
          <w:trHeight w:hRule="exact" w:val="510"/>
        </w:trPr>
        <w:tc>
          <w:tcPr>
            <w:tcW w:w="6513" w:type="dxa"/>
            <w:tcBorders>
              <w:top w:val="single" w:sz="4" w:space="0" w:color="000000"/>
              <w:left w:val="single" w:sz="4" w:space="0" w:color="000000"/>
              <w:bottom w:val="single" w:sz="4" w:space="0" w:color="000000"/>
              <w:right w:val="single" w:sz="4" w:space="0" w:color="000000"/>
            </w:tcBorders>
            <w:tcMar>
              <w:left w:w="57" w:type="dxa"/>
            </w:tcMar>
            <w:vAlign w:val="center"/>
          </w:tcPr>
          <w:p w14:paraId="6150C3BF" w14:textId="77777777" w:rsidR="00603A78" w:rsidRPr="00AC3290" w:rsidRDefault="00603A78" w:rsidP="00C36432">
            <w:pPr>
              <w:spacing w:before="60" w:after="60"/>
            </w:pPr>
            <w:r w:rsidRPr="00AC3290">
              <w:t>Agreed Place Numbers (APN)</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14:paraId="7272729D" w14:textId="77777777" w:rsidR="00603A78" w:rsidRPr="00AC3290" w:rsidRDefault="00603A78" w:rsidP="00C36432">
            <w:pPr>
              <w:spacing w:before="60" w:after="60"/>
              <w:jc w:val="center"/>
            </w:pPr>
            <w:r w:rsidRPr="00AC3290">
              <w:t>6,000</w:t>
            </w:r>
          </w:p>
        </w:tc>
      </w:tr>
      <w:tr w:rsidR="00603A78" w:rsidRPr="00ED3F47" w14:paraId="72D7B44E" w14:textId="77777777">
        <w:trPr>
          <w:trHeight w:hRule="exact" w:val="510"/>
        </w:trPr>
        <w:tc>
          <w:tcPr>
            <w:tcW w:w="6513" w:type="dxa"/>
            <w:tcBorders>
              <w:top w:val="single" w:sz="4" w:space="0" w:color="000000"/>
              <w:left w:val="single" w:sz="4" w:space="0" w:color="000000"/>
              <w:bottom w:val="single" w:sz="4" w:space="0" w:color="000000"/>
              <w:right w:val="single" w:sz="4" w:space="0" w:color="000000"/>
            </w:tcBorders>
            <w:tcMar>
              <w:left w:w="57" w:type="dxa"/>
            </w:tcMar>
            <w:vAlign w:val="center"/>
          </w:tcPr>
          <w:p w14:paraId="4C56384D" w14:textId="51D75623" w:rsidR="00603A78" w:rsidRPr="00AC3290" w:rsidRDefault="00603A78" w:rsidP="00C36432">
            <w:pPr>
              <w:spacing w:before="60" w:after="60"/>
            </w:pPr>
            <w:r w:rsidRPr="00AC3290">
              <w:t>Additional Place Funding</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14:paraId="22BAC9AD" w14:textId="77777777" w:rsidR="00603A78" w:rsidRPr="00AC3290" w:rsidRDefault="00603A78" w:rsidP="00C36432">
            <w:pPr>
              <w:spacing w:before="60" w:after="60"/>
              <w:jc w:val="center"/>
            </w:pPr>
            <w:r w:rsidRPr="00AC3290">
              <w:t>4,000</w:t>
            </w:r>
          </w:p>
        </w:tc>
      </w:tr>
      <w:tr w:rsidR="00AD2504" w:rsidRPr="00ED3F47" w14:paraId="164BCE71" w14:textId="77777777">
        <w:trPr>
          <w:trHeight w:hRule="exact" w:val="510"/>
        </w:trPr>
        <w:tc>
          <w:tcPr>
            <w:tcW w:w="6513" w:type="dxa"/>
            <w:tcBorders>
              <w:top w:val="single" w:sz="4" w:space="0" w:color="000000"/>
              <w:left w:val="single" w:sz="4" w:space="0" w:color="000000"/>
              <w:bottom w:val="single" w:sz="4" w:space="0" w:color="000000"/>
              <w:right w:val="single" w:sz="4" w:space="0" w:color="000000"/>
            </w:tcBorders>
            <w:tcMar>
              <w:left w:w="57" w:type="dxa"/>
            </w:tcMar>
            <w:vAlign w:val="center"/>
          </w:tcPr>
          <w:p w14:paraId="5DEE5669" w14:textId="7134798C" w:rsidR="00AD2504" w:rsidRPr="00AC3290" w:rsidRDefault="00AD2504" w:rsidP="00C36432">
            <w:pPr>
              <w:spacing w:before="60" w:after="60"/>
            </w:pPr>
            <w:r>
              <w:t>High Needs Additional Funding</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14:paraId="1B75EE83" w14:textId="1732A43C" w:rsidR="00AD2504" w:rsidRPr="00AC1154" w:rsidRDefault="008311AE" w:rsidP="00C36432">
            <w:pPr>
              <w:spacing w:before="60" w:after="60"/>
              <w:jc w:val="center"/>
              <w:rPr>
                <w:i/>
                <w:iCs/>
              </w:rPr>
            </w:pPr>
            <w:r w:rsidRPr="00AC1154">
              <w:rPr>
                <w:i/>
                <w:iCs/>
              </w:rPr>
              <w:t>V</w:t>
            </w:r>
            <w:r w:rsidR="00AC1154" w:rsidRPr="00AC1154">
              <w:rPr>
                <w:i/>
                <w:iCs/>
              </w:rPr>
              <w:t>aries</w:t>
            </w:r>
            <w:r>
              <w:rPr>
                <w:i/>
                <w:iCs/>
              </w:rPr>
              <w:t xml:space="preserve"> - as per </w:t>
            </w:r>
            <w:r w:rsidR="00CB4CF1">
              <w:rPr>
                <w:i/>
                <w:iCs/>
              </w:rPr>
              <w:t>2025/26</w:t>
            </w:r>
          </w:p>
        </w:tc>
      </w:tr>
      <w:tr w:rsidR="00C862EB" w:rsidRPr="00ED3F47" w14:paraId="494CC4EF" w14:textId="77777777">
        <w:trPr>
          <w:trHeight w:hRule="exact" w:val="510"/>
        </w:trPr>
        <w:tc>
          <w:tcPr>
            <w:tcW w:w="6513" w:type="dxa"/>
            <w:tcBorders>
              <w:top w:val="single" w:sz="4" w:space="0" w:color="000000"/>
              <w:left w:val="single" w:sz="4" w:space="0" w:color="000000"/>
              <w:bottom w:val="single" w:sz="4" w:space="0" w:color="000000"/>
              <w:right w:val="single" w:sz="4" w:space="0" w:color="000000"/>
            </w:tcBorders>
            <w:tcMar>
              <w:left w:w="57" w:type="dxa"/>
            </w:tcMar>
            <w:vAlign w:val="center"/>
          </w:tcPr>
          <w:p w14:paraId="3714149A" w14:textId="103273E6" w:rsidR="00C862EB" w:rsidRDefault="00C862EB" w:rsidP="00C36432">
            <w:pPr>
              <w:spacing w:before="60" w:after="60"/>
            </w:pPr>
            <w:r>
              <w:t>Legacy Funding</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14:paraId="18672D97" w14:textId="036937C6" w:rsidR="00C862EB" w:rsidRPr="00C862EB" w:rsidRDefault="001726C8" w:rsidP="00C36432">
            <w:pPr>
              <w:spacing w:before="60" w:after="60"/>
              <w:jc w:val="center"/>
            </w:pPr>
            <w:r>
              <w:t>54</w:t>
            </w:r>
            <w:r w:rsidR="00DA1997">
              <w:t>6.97</w:t>
            </w:r>
          </w:p>
        </w:tc>
      </w:tr>
      <w:tr w:rsidR="00603A78" w:rsidRPr="00A13E20" w14:paraId="55235C53" w14:textId="77777777">
        <w:trPr>
          <w:trHeight w:hRule="exact" w:val="510"/>
        </w:trPr>
        <w:tc>
          <w:tcPr>
            <w:tcW w:w="9089" w:type="dxa"/>
            <w:gridSpan w:val="3"/>
            <w:tcBorders>
              <w:top w:val="single" w:sz="3" w:space="0" w:color="000000"/>
              <w:left w:val="single" w:sz="3" w:space="0" w:color="000000"/>
              <w:bottom w:val="single" w:sz="3" w:space="0" w:color="000000"/>
              <w:right w:val="single" w:sz="3" w:space="0" w:color="000000"/>
            </w:tcBorders>
            <w:shd w:val="clear" w:color="auto" w:fill="BFBFBF" w:themeFill="background1" w:themeFillShade="BF"/>
            <w:tcMar>
              <w:left w:w="57" w:type="dxa"/>
            </w:tcMar>
            <w:vAlign w:val="center"/>
          </w:tcPr>
          <w:p w14:paraId="582D18F5" w14:textId="77777777" w:rsidR="00603A78" w:rsidRPr="00A13E20" w:rsidRDefault="00603A78" w:rsidP="00C36432">
            <w:pPr>
              <w:spacing w:before="60" w:after="60"/>
              <w:jc w:val="center"/>
              <w:rPr>
                <w:b/>
                <w:bCs/>
              </w:rPr>
            </w:pPr>
            <w:r w:rsidRPr="00A13E20">
              <w:rPr>
                <w:b/>
                <w:bCs/>
              </w:rPr>
              <w:t>Top-up Funding</w:t>
            </w:r>
          </w:p>
        </w:tc>
      </w:tr>
      <w:tr w:rsidR="00603A78" w:rsidRPr="00A13E20" w14:paraId="4BFBC20A" w14:textId="77777777">
        <w:trPr>
          <w:trHeight w:hRule="exact" w:val="510"/>
        </w:trPr>
        <w:tc>
          <w:tcPr>
            <w:tcW w:w="9089" w:type="dxa"/>
            <w:gridSpan w:val="3"/>
            <w:tcBorders>
              <w:top w:val="single" w:sz="3" w:space="0" w:color="000000"/>
              <w:left w:val="single" w:sz="3" w:space="0" w:color="000000"/>
              <w:bottom w:val="single" w:sz="3" w:space="0" w:color="000000"/>
              <w:right w:val="single" w:sz="3" w:space="0" w:color="000000"/>
            </w:tcBorders>
            <w:tcMar>
              <w:left w:w="57" w:type="dxa"/>
            </w:tcMar>
            <w:vAlign w:val="center"/>
          </w:tcPr>
          <w:p w14:paraId="4899B684" w14:textId="4B9CF76E" w:rsidR="00603A78" w:rsidRPr="00A13E20" w:rsidRDefault="00603A78" w:rsidP="00C36432">
            <w:pPr>
              <w:spacing w:before="60" w:after="60"/>
              <w:rPr>
                <w:b/>
                <w:bCs/>
              </w:rPr>
            </w:pPr>
            <w:r w:rsidRPr="00A13E20">
              <w:rPr>
                <w:b/>
                <w:bCs/>
              </w:rPr>
              <w:t xml:space="preserve">Pupil </w:t>
            </w:r>
            <w:r w:rsidR="00E1373C">
              <w:rPr>
                <w:b/>
                <w:bCs/>
              </w:rPr>
              <w:t>C</w:t>
            </w:r>
            <w:r w:rsidRPr="00A13E20">
              <w:rPr>
                <w:b/>
                <w:bCs/>
              </w:rPr>
              <w:t>haracteristics</w:t>
            </w:r>
          </w:p>
        </w:tc>
      </w:tr>
      <w:tr w:rsidR="00603A78" w:rsidRPr="006F6352" w14:paraId="41F3E94E"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793B6F34" w14:textId="77777777" w:rsidR="00603A78" w:rsidRPr="00AC3290" w:rsidRDefault="00603A78" w:rsidP="00C36432">
            <w:pPr>
              <w:spacing w:before="60" w:after="60"/>
            </w:pPr>
            <w:r>
              <w:t xml:space="preserve">     </w:t>
            </w:r>
            <w:r w:rsidRPr="00AC3290">
              <w:t>Speech, Language and Communication Needs (SLCN)</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78261792" w14:textId="19BE02AB" w:rsidR="00603A78" w:rsidRPr="009E3115" w:rsidRDefault="009E3115" w:rsidP="00C36432">
            <w:pPr>
              <w:spacing w:before="60" w:after="60"/>
              <w:jc w:val="center"/>
            </w:pPr>
            <w:r w:rsidRPr="009E3115">
              <w:t>5,256</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68633BA4" w14:textId="38D75B35" w:rsidR="00603A78" w:rsidRPr="009E3115" w:rsidRDefault="009E3115" w:rsidP="00C36432">
            <w:pPr>
              <w:spacing w:before="60" w:after="60"/>
              <w:jc w:val="center"/>
            </w:pPr>
            <w:r w:rsidRPr="009E3115">
              <w:t>5,149</w:t>
            </w:r>
          </w:p>
        </w:tc>
      </w:tr>
      <w:tr w:rsidR="00603A78" w:rsidRPr="006F6352" w14:paraId="550B0285"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454A304D" w14:textId="2A6EC233" w:rsidR="00603A78" w:rsidRPr="00AC3290" w:rsidRDefault="00603A78" w:rsidP="00C36432">
            <w:pPr>
              <w:spacing w:before="60" w:after="60"/>
            </w:pPr>
            <w:r>
              <w:t xml:space="preserve">     </w:t>
            </w:r>
            <w:r w:rsidRPr="00AC3290">
              <w:t xml:space="preserve">Moderate Learning </w:t>
            </w:r>
            <w:r w:rsidR="00E1373C">
              <w:t>D</w:t>
            </w:r>
            <w:r w:rsidRPr="00AC3290">
              <w:t>ifficulties (MLD)</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4A2BC114" w14:textId="1831FD8B" w:rsidR="00603A78" w:rsidRPr="00967E63" w:rsidRDefault="00967E63" w:rsidP="00C36432">
            <w:pPr>
              <w:spacing w:before="60" w:after="60"/>
              <w:jc w:val="center"/>
            </w:pPr>
            <w:r w:rsidRPr="00967E63">
              <w:t>1,534</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0B9B0492" w14:textId="1CCCA9BC" w:rsidR="00603A78" w:rsidRPr="00967E63" w:rsidRDefault="00967E63" w:rsidP="00C36432">
            <w:pPr>
              <w:spacing w:before="60" w:after="60"/>
              <w:jc w:val="center"/>
            </w:pPr>
            <w:r w:rsidRPr="00967E63">
              <w:t>3,059</w:t>
            </w:r>
          </w:p>
        </w:tc>
      </w:tr>
      <w:tr w:rsidR="00603A78" w:rsidRPr="00ED3F47" w14:paraId="1F0010F2"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226C8BF9" w14:textId="116C8BE1" w:rsidR="00603A78" w:rsidRPr="00AC3290" w:rsidRDefault="00603A78" w:rsidP="00C36432">
            <w:pPr>
              <w:spacing w:before="60" w:after="60"/>
            </w:pPr>
            <w:r>
              <w:t xml:space="preserve">     </w:t>
            </w:r>
            <w:r w:rsidRPr="00AC3290">
              <w:t xml:space="preserve">Severe Learning </w:t>
            </w:r>
            <w:r w:rsidR="00C36432">
              <w:t>D</w:t>
            </w:r>
            <w:r w:rsidRPr="00AC3290">
              <w:t>ifficulties (SLD)</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39429943" w14:textId="1AA125EB" w:rsidR="00603A78" w:rsidRPr="00BE4754" w:rsidRDefault="009E3115" w:rsidP="00C36432">
            <w:pPr>
              <w:spacing w:before="60" w:after="60"/>
              <w:jc w:val="center"/>
              <w:rPr>
                <w:color w:val="FF0000"/>
              </w:rPr>
            </w:pPr>
            <w:r w:rsidRPr="009E3115">
              <w:t>2,841</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4AFE75F5" w14:textId="77777777" w:rsidR="00603A78" w:rsidRPr="00BE4754" w:rsidRDefault="00603A78" w:rsidP="00C36432">
            <w:pPr>
              <w:spacing w:before="60" w:after="60"/>
              <w:jc w:val="center"/>
              <w:rPr>
                <w:color w:val="FF0000"/>
              </w:rPr>
            </w:pPr>
          </w:p>
        </w:tc>
      </w:tr>
      <w:tr w:rsidR="00603A78" w:rsidRPr="006F6352" w14:paraId="0E06AF9E"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6096DEB1" w14:textId="77777777" w:rsidR="00603A78" w:rsidRPr="00AC3290" w:rsidRDefault="00603A78" w:rsidP="00C36432">
            <w:pPr>
              <w:spacing w:before="60" w:after="60"/>
            </w:pPr>
            <w:r>
              <w:t xml:space="preserve">     </w:t>
            </w:r>
            <w:r w:rsidRPr="00AC3290">
              <w:t>Specific Learning Difficulties (SpLD)</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16EA10C8" w14:textId="77777777" w:rsidR="00603A78" w:rsidRPr="00BE4754" w:rsidRDefault="00603A78" w:rsidP="00C36432">
            <w:pPr>
              <w:spacing w:before="60" w:after="60"/>
              <w:jc w:val="center"/>
              <w:rPr>
                <w:color w:val="FF0000"/>
              </w:rPr>
            </w:pP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2C929263" w14:textId="77509342" w:rsidR="00603A78" w:rsidRPr="00BE4754" w:rsidRDefault="009E3115" w:rsidP="00C36432">
            <w:pPr>
              <w:spacing w:before="60" w:after="60"/>
              <w:jc w:val="center"/>
              <w:rPr>
                <w:color w:val="FF0000"/>
              </w:rPr>
            </w:pPr>
            <w:r w:rsidRPr="009E3115">
              <w:t>1,311</w:t>
            </w:r>
          </w:p>
        </w:tc>
      </w:tr>
      <w:tr w:rsidR="00603A78" w:rsidRPr="006F6352" w14:paraId="33E177B2"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318BF719" w14:textId="77777777" w:rsidR="00603A78" w:rsidRPr="00AC3290" w:rsidRDefault="00603A78" w:rsidP="00C36432">
            <w:pPr>
              <w:spacing w:before="60" w:after="60"/>
            </w:pPr>
            <w:r>
              <w:t xml:space="preserve">     </w:t>
            </w:r>
            <w:r w:rsidRPr="00AC3290">
              <w:t>Social, Emotional and Mental Health (SEMH)</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6193447C" w14:textId="5B8BF519" w:rsidR="00603A78" w:rsidRPr="009D1DD7" w:rsidRDefault="009D1DD7" w:rsidP="00C36432">
            <w:pPr>
              <w:spacing w:before="60" w:after="60"/>
              <w:jc w:val="center"/>
            </w:pPr>
            <w:r w:rsidRPr="009D1DD7">
              <w:t>12,838</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69B7310C" w14:textId="69C95DA8" w:rsidR="00603A78" w:rsidRPr="009D1DD7" w:rsidRDefault="009D1DD7" w:rsidP="00C36432">
            <w:pPr>
              <w:spacing w:before="60" w:after="60"/>
              <w:jc w:val="center"/>
            </w:pPr>
            <w:r w:rsidRPr="009D1DD7">
              <w:t>11,582</w:t>
            </w:r>
          </w:p>
        </w:tc>
      </w:tr>
      <w:tr w:rsidR="00603A78" w:rsidRPr="00ED3F47" w14:paraId="06523A59"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6BB9B570" w14:textId="77777777" w:rsidR="00603A78" w:rsidRPr="00AC3290" w:rsidRDefault="00603A78" w:rsidP="00C36432">
            <w:pPr>
              <w:spacing w:before="60" w:after="60"/>
            </w:pPr>
            <w:r>
              <w:t xml:space="preserve">     </w:t>
            </w:r>
            <w:r w:rsidRPr="00AC3290">
              <w:t>Physical Disability (PD) – large unit</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4E72785B" w14:textId="77777777" w:rsidR="00603A78" w:rsidRPr="00BE4754" w:rsidRDefault="00603A78" w:rsidP="00C36432">
            <w:pPr>
              <w:spacing w:before="60" w:after="60"/>
              <w:jc w:val="center"/>
              <w:rPr>
                <w:color w:val="FF0000"/>
              </w:rPr>
            </w:pP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18801FD7" w14:textId="682CC0AE" w:rsidR="00603A78" w:rsidRPr="00EE149F" w:rsidRDefault="00967E63" w:rsidP="00C36432">
            <w:pPr>
              <w:spacing w:before="60" w:after="60"/>
              <w:jc w:val="center"/>
            </w:pPr>
            <w:r w:rsidRPr="00EE149F">
              <w:t>11,804</w:t>
            </w:r>
          </w:p>
        </w:tc>
      </w:tr>
      <w:tr w:rsidR="00603A78" w:rsidRPr="00ED3F47" w14:paraId="7FEE5E45"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1B952780" w14:textId="77777777" w:rsidR="00603A78" w:rsidRPr="00AC3290" w:rsidRDefault="00603A78" w:rsidP="00C36432">
            <w:pPr>
              <w:spacing w:before="60" w:after="60"/>
            </w:pPr>
            <w:r>
              <w:t xml:space="preserve">     </w:t>
            </w:r>
            <w:r w:rsidRPr="00AC3290">
              <w:t>Physical Disability (PD) – small unit</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441911B2" w14:textId="77777777" w:rsidR="00603A78" w:rsidRPr="00BE4754" w:rsidRDefault="00603A78" w:rsidP="00C36432">
            <w:pPr>
              <w:spacing w:before="60" w:after="60"/>
              <w:jc w:val="center"/>
              <w:rPr>
                <w:color w:val="FF0000"/>
              </w:rPr>
            </w:pP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10C8BC59" w14:textId="4DD85ECC" w:rsidR="00603A78" w:rsidRPr="00EE149F" w:rsidRDefault="00967E63" w:rsidP="00C36432">
            <w:pPr>
              <w:spacing w:before="60" w:after="60"/>
              <w:jc w:val="center"/>
            </w:pPr>
            <w:r w:rsidRPr="00EE149F">
              <w:t>14,708</w:t>
            </w:r>
          </w:p>
        </w:tc>
      </w:tr>
      <w:tr w:rsidR="00603A78" w:rsidRPr="006F6352" w14:paraId="5B17003A" w14:textId="77777777">
        <w:trPr>
          <w:trHeight w:hRule="exact" w:val="510"/>
        </w:trPr>
        <w:tc>
          <w:tcPr>
            <w:tcW w:w="6513" w:type="dxa"/>
            <w:tcBorders>
              <w:top w:val="single" w:sz="3" w:space="0" w:color="000000"/>
              <w:left w:val="single" w:sz="3" w:space="0" w:color="000000"/>
              <w:bottom w:val="single" w:sz="4" w:space="0" w:color="000000"/>
              <w:right w:val="single" w:sz="3" w:space="0" w:color="000000"/>
            </w:tcBorders>
            <w:tcMar>
              <w:left w:w="57" w:type="dxa"/>
            </w:tcMar>
            <w:vAlign w:val="center"/>
          </w:tcPr>
          <w:p w14:paraId="76A38941" w14:textId="77777777" w:rsidR="00603A78" w:rsidRPr="00AC3290" w:rsidRDefault="00603A78" w:rsidP="00C36432">
            <w:pPr>
              <w:spacing w:before="60" w:after="60"/>
            </w:pPr>
            <w:r>
              <w:t xml:space="preserve">     </w:t>
            </w:r>
            <w:r w:rsidRPr="00AC3290">
              <w:t xml:space="preserve">Autistic Spectrum </w:t>
            </w:r>
            <w:r>
              <w:t>Conditions</w:t>
            </w:r>
            <w:r w:rsidRPr="00AC3290">
              <w:t xml:space="preserve"> (AS</w:t>
            </w:r>
            <w:r>
              <w:t>C</w:t>
            </w:r>
            <w:r w:rsidRPr="00AC3290">
              <w:t>)</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7AD57D1E" w14:textId="54FE187D" w:rsidR="00603A78" w:rsidRPr="00BE4754" w:rsidRDefault="00BE4754" w:rsidP="00C36432">
            <w:pPr>
              <w:spacing w:before="60" w:after="60"/>
              <w:jc w:val="center"/>
            </w:pPr>
            <w:r w:rsidRPr="00BE4754">
              <w:t>11,108</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6B2DE780" w14:textId="3444DA94" w:rsidR="00603A78" w:rsidRPr="00BE4754" w:rsidRDefault="00BE4754" w:rsidP="00C36432">
            <w:pPr>
              <w:spacing w:before="60" w:after="60"/>
              <w:jc w:val="center"/>
            </w:pPr>
            <w:r w:rsidRPr="00BE4754">
              <w:t>10,247</w:t>
            </w:r>
          </w:p>
        </w:tc>
      </w:tr>
      <w:tr w:rsidR="00603A78" w:rsidRPr="00ED3F47" w14:paraId="06E58D8B" w14:textId="77777777" w:rsidTr="00603A78">
        <w:trPr>
          <w:trHeight w:hRule="exact" w:val="459"/>
        </w:trPr>
        <w:tc>
          <w:tcPr>
            <w:tcW w:w="6513" w:type="dxa"/>
            <w:tcBorders>
              <w:top w:val="single" w:sz="4" w:space="0" w:color="000000"/>
              <w:left w:val="single" w:sz="4" w:space="0" w:color="000000"/>
              <w:bottom w:val="single" w:sz="4" w:space="0" w:color="000000"/>
              <w:right w:val="single" w:sz="4" w:space="0" w:color="000000"/>
            </w:tcBorders>
            <w:tcMar>
              <w:left w:w="57" w:type="dxa"/>
            </w:tcMar>
            <w:vAlign w:val="center"/>
          </w:tcPr>
          <w:p w14:paraId="77C0A2C2" w14:textId="24C3B96C" w:rsidR="00603A78" w:rsidRPr="00AC3290" w:rsidRDefault="00603A78" w:rsidP="00C36432">
            <w:pPr>
              <w:spacing w:before="60" w:after="60"/>
            </w:pPr>
            <w:r>
              <w:t xml:space="preserve">     </w:t>
            </w:r>
            <w:r w:rsidRPr="00AC3290">
              <w:t>Visual Impairment (VI)</w:t>
            </w:r>
          </w:p>
        </w:tc>
        <w:tc>
          <w:tcPr>
            <w:tcW w:w="1276" w:type="dxa"/>
            <w:tcBorders>
              <w:top w:val="single" w:sz="3" w:space="0" w:color="000000"/>
              <w:left w:val="single" w:sz="4" w:space="0" w:color="000000"/>
              <w:bottom w:val="single" w:sz="3" w:space="0" w:color="000000"/>
              <w:right w:val="single" w:sz="3" w:space="0" w:color="000000"/>
            </w:tcBorders>
            <w:tcMar>
              <w:right w:w="57" w:type="dxa"/>
            </w:tcMar>
            <w:vAlign w:val="center"/>
          </w:tcPr>
          <w:p w14:paraId="3430D800" w14:textId="7E4C8F63" w:rsidR="00603A78" w:rsidRPr="00BC7133" w:rsidRDefault="00BC7133" w:rsidP="00C36432">
            <w:pPr>
              <w:spacing w:before="60" w:after="60"/>
              <w:jc w:val="center"/>
            </w:pPr>
            <w:r w:rsidRPr="00BC7133">
              <w:t>13,765</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50DB44A7" w14:textId="1C60920F" w:rsidR="00603A78" w:rsidRPr="00BC7133" w:rsidRDefault="00BC7133" w:rsidP="00C36432">
            <w:pPr>
              <w:spacing w:before="60" w:after="60"/>
              <w:jc w:val="center"/>
            </w:pPr>
            <w:r w:rsidRPr="00BC7133">
              <w:t>12,733</w:t>
            </w:r>
          </w:p>
        </w:tc>
      </w:tr>
      <w:tr w:rsidR="00603A78" w:rsidRPr="006F6352" w14:paraId="39549D84" w14:textId="77777777">
        <w:trPr>
          <w:trHeight w:hRule="exact" w:val="510"/>
        </w:trPr>
        <w:tc>
          <w:tcPr>
            <w:tcW w:w="6513" w:type="dxa"/>
            <w:tcBorders>
              <w:top w:val="single" w:sz="4" w:space="0" w:color="000000"/>
              <w:left w:val="single" w:sz="4" w:space="0" w:color="000000"/>
              <w:bottom w:val="single" w:sz="4" w:space="0" w:color="000000"/>
              <w:right w:val="single" w:sz="4" w:space="0" w:color="000000"/>
            </w:tcBorders>
            <w:tcMar>
              <w:left w:w="57" w:type="dxa"/>
            </w:tcMar>
            <w:vAlign w:val="center"/>
          </w:tcPr>
          <w:p w14:paraId="2F73BCED" w14:textId="77777777" w:rsidR="00603A78" w:rsidRPr="00AC3290" w:rsidRDefault="00603A78" w:rsidP="00C36432">
            <w:pPr>
              <w:spacing w:before="60" w:after="60"/>
            </w:pPr>
            <w:r>
              <w:t xml:space="preserve">     </w:t>
            </w:r>
            <w:r w:rsidRPr="00AC3290">
              <w:t>Hearing Impairment (HI)</w:t>
            </w:r>
          </w:p>
        </w:tc>
        <w:tc>
          <w:tcPr>
            <w:tcW w:w="1276" w:type="dxa"/>
            <w:tcBorders>
              <w:top w:val="single" w:sz="3" w:space="0" w:color="000000"/>
              <w:left w:val="single" w:sz="4" w:space="0" w:color="000000"/>
              <w:bottom w:val="single" w:sz="3" w:space="0" w:color="000000"/>
              <w:right w:val="single" w:sz="3" w:space="0" w:color="000000"/>
            </w:tcBorders>
            <w:tcMar>
              <w:right w:w="57" w:type="dxa"/>
            </w:tcMar>
            <w:vAlign w:val="center"/>
          </w:tcPr>
          <w:p w14:paraId="0623A91E" w14:textId="77538BFD" w:rsidR="00603A78" w:rsidRPr="009D1DD7" w:rsidRDefault="009D1DD7" w:rsidP="00C36432">
            <w:pPr>
              <w:spacing w:before="60" w:after="60"/>
              <w:jc w:val="center"/>
            </w:pPr>
            <w:r w:rsidRPr="009D1DD7">
              <w:t>8,701</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211B8F49" w14:textId="66CD5D4B" w:rsidR="00603A78" w:rsidRPr="009D1DD7" w:rsidRDefault="009D1DD7" w:rsidP="00C36432">
            <w:pPr>
              <w:spacing w:before="60" w:after="60"/>
              <w:jc w:val="center"/>
            </w:pPr>
            <w:r w:rsidRPr="009D1DD7">
              <w:t>6,218</w:t>
            </w:r>
          </w:p>
        </w:tc>
      </w:tr>
      <w:tr w:rsidR="00603A78" w:rsidRPr="00A13E20" w14:paraId="69E85A93" w14:textId="77777777">
        <w:trPr>
          <w:trHeight w:hRule="exact" w:val="510"/>
        </w:trPr>
        <w:tc>
          <w:tcPr>
            <w:tcW w:w="9089" w:type="dxa"/>
            <w:gridSpan w:val="3"/>
            <w:tcBorders>
              <w:top w:val="single" w:sz="3" w:space="0" w:color="000000"/>
              <w:left w:val="single" w:sz="3" w:space="0" w:color="000000"/>
              <w:bottom w:val="single" w:sz="3" w:space="0" w:color="000000"/>
              <w:right w:val="single" w:sz="3" w:space="0" w:color="000000"/>
            </w:tcBorders>
            <w:tcMar>
              <w:left w:w="57" w:type="dxa"/>
            </w:tcMar>
            <w:vAlign w:val="center"/>
          </w:tcPr>
          <w:p w14:paraId="7E2B9B0E" w14:textId="77777777" w:rsidR="00603A78" w:rsidRPr="00A13E20" w:rsidRDefault="00603A78" w:rsidP="00C36432">
            <w:pPr>
              <w:spacing w:before="60" w:after="60"/>
              <w:rPr>
                <w:b/>
              </w:rPr>
            </w:pPr>
            <w:bookmarkStart w:id="51" w:name="_Hlk60744814"/>
            <w:r w:rsidRPr="00A13E20">
              <w:rPr>
                <w:b/>
                <w:spacing w:val="1"/>
              </w:rPr>
              <w:t>Signers / Tactile Learners</w:t>
            </w:r>
          </w:p>
        </w:tc>
      </w:tr>
      <w:bookmarkEnd w:id="51"/>
      <w:tr w:rsidR="00603A78" w:rsidRPr="006F6352" w14:paraId="7A4D44A8" w14:textId="77777777">
        <w:trPr>
          <w:trHeight w:hRule="exact" w:val="510"/>
        </w:trPr>
        <w:tc>
          <w:tcPr>
            <w:tcW w:w="6513" w:type="dxa"/>
            <w:tcBorders>
              <w:top w:val="single" w:sz="4" w:space="0" w:color="000000"/>
              <w:left w:val="single" w:sz="3" w:space="0" w:color="000000"/>
              <w:bottom w:val="single" w:sz="3" w:space="0" w:color="000000"/>
              <w:right w:val="single" w:sz="3" w:space="0" w:color="000000"/>
            </w:tcBorders>
            <w:tcMar>
              <w:left w:w="57" w:type="dxa"/>
            </w:tcMar>
            <w:vAlign w:val="center"/>
          </w:tcPr>
          <w:p w14:paraId="11E7A839" w14:textId="77777777" w:rsidR="00603A78" w:rsidRPr="00AC3290" w:rsidRDefault="00603A78" w:rsidP="00C36432">
            <w:pPr>
              <w:spacing w:before="60" w:after="60"/>
            </w:pPr>
            <w:r>
              <w:t xml:space="preserve">     </w:t>
            </w:r>
            <w:r w:rsidRPr="00AC3290">
              <w:t>Tactile Learner</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7F2D5EFB" w14:textId="748B5553" w:rsidR="00603A78" w:rsidRPr="00655EB3" w:rsidRDefault="00BC7133" w:rsidP="00C36432">
            <w:pPr>
              <w:spacing w:before="60" w:after="60"/>
              <w:jc w:val="center"/>
              <w:rPr>
                <w:color w:val="000000"/>
              </w:rPr>
            </w:pPr>
            <w:r>
              <w:rPr>
                <w:color w:val="000000"/>
              </w:rPr>
              <w:t>6,633</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0AA1BFF1" w14:textId="61B10A3D" w:rsidR="00603A78" w:rsidRPr="00655EB3" w:rsidRDefault="00BC7133" w:rsidP="00C36432">
            <w:pPr>
              <w:spacing w:before="60" w:after="60"/>
              <w:jc w:val="center"/>
              <w:rPr>
                <w:color w:val="000000"/>
              </w:rPr>
            </w:pPr>
            <w:r>
              <w:rPr>
                <w:color w:val="000000"/>
              </w:rPr>
              <w:t>6,633</w:t>
            </w:r>
          </w:p>
        </w:tc>
      </w:tr>
      <w:tr w:rsidR="00603A78" w:rsidRPr="006F6352" w14:paraId="752568DE"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014FE582" w14:textId="77777777" w:rsidR="00603A78" w:rsidRPr="00AC3290" w:rsidRDefault="00603A78" w:rsidP="00C36432">
            <w:pPr>
              <w:spacing w:before="60" w:after="60"/>
            </w:pPr>
            <w:r>
              <w:t xml:space="preserve">     </w:t>
            </w:r>
            <w:r w:rsidRPr="00AC3290">
              <w:t>Signers</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71246518" w14:textId="780BA8B8" w:rsidR="00603A78" w:rsidRPr="00655EB3" w:rsidRDefault="00EE149F" w:rsidP="00C36432">
            <w:pPr>
              <w:spacing w:before="60" w:after="60"/>
              <w:jc w:val="center"/>
              <w:rPr>
                <w:color w:val="000000"/>
              </w:rPr>
            </w:pPr>
            <w:r>
              <w:rPr>
                <w:color w:val="000000"/>
              </w:rPr>
              <w:t>8,494</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1C4744C1" w14:textId="1D4CF1B0" w:rsidR="00603A78" w:rsidRPr="00655EB3" w:rsidRDefault="00EE149F" w:rsidP="00C36432">
            <w:pPr>
              <w:spacing w:before="60" w:after="60"/>
              <w:jc w:val="center"/>
              <w:rPr>
                <w:color w:val="000000"/>
              </w:rPr>
            </w:pPr>
            <w:r>
              <w:rPr>
                <w:color w:val="000000"/>
              </w:rPr>
              <w:t>15,921</w:t>
            </w:r>
          </w:p>
        </w:tc>
      </w:tr>
      <w:tr w:rsidR="00603A78" w:rsidRPr="00A13E20" w14:paraId="05A02289" w14:textId="77777777">
        <w:trPr>
          <w:trHeight w:hRule="exact" w:val="510"/>
        </w:trPr>
        <w:tc>
          <w:tcPr>
            <w:tcW w:w="9089" w:type="dxa"/>
            <w:gridSpan w:val="3"/>
            <w:tcBorders>
              <w:top w:val="single" w:sz="3" w:space="0" w:color="000000"/>
              <w:left w:val="single" w:sz="3" w:space="0" w:color="000000"/>
              <w:bottom w:val="single" w:sz="3" w:space="0" w:color="000000"/>
              <w:right w:val="single" w:sz="3" w:space="0" w:color="000000"/>
            </w:tcBorders>
            <w:tcMar>
              <w:left w:w="57" w:type="dxa"/>
            </w:tcMar>
            <w:vAlign w:val="center"/>
          </w:tcPr>
          <w:p w14:paraId="3734F4CD" w14:textId="77777777" w:rsidR="00603A78" w:rsidRPr="00A13E20" w:rsidRDefault="00603A78" w:rsidP="00C36432">
            <w:pPr>
              <w:spacing w:before="60" w:after="60"/>
              <w:rPr>
                <w:b/>
              </w:rPr>
            </w:pPr>
            <w:r w:rsidRPr="00A13E20">
              <w:rPr>
                <w:b/>
                <w:spacing w:val="1"/>
              </w:rPr>
              <w:t>Minimum Funding Guarantee</w:t>
            </w:r>
          </w:p>
        </w:tc>
      </w:tr>
      <w:tr w:rsidR="00603A78" w:rsidRPr="006F6352" w14:paraId="4A1F9C77" w14:textId="77777777">
        <w:trPr>
          <w:trHeight w:hRule="exact" w:val="510"/>
        </w:trPr>
        <w:tc>
          <w:tcPr>
            <w:tcW w:w="6513" w:type="dxa"/>
            <w:tcBorders>
              <w:top w:val="single" w:sz="3" w:space="0" w:color="000000"/>
              <w:left w:val="single" w:sz="3" w:space="0" w:color="000000"/>
              <w:bottom w:val="single" w:sz="3" w:space="0" w:color="000000"/>
              <w:right w:val="single" w:sz="3" w:space="0" w:color="000000"/>
            </w:tcBorders>
            <w:tcMar>
              <w:left w:w="57" w:type="dxa"/>
            </w:tcMar>
            <w:vAlign w:val="center"/>
          </w:tcPr>
          <w:p w14:paraId="6B598EE0" w14:textId="77777777" w:rsidR="00603A78" w:rsidRPr="00AC3290" w:rsidRDefault="00603A78" w:rsidP="00C36432">
            <w:pPr>
              <w:spacing w:before="60" w:after="60"/>
            </w:pPr>
            <w:r>
              <w:t xml:space="preserve">     Minimum Funding Guarantee</w:t>
            </w:r>
          </w:p>
        </w:tc>
        <w:tc>
          <w:tcPr>
            <w:tcW w:w="1276" w:type="dxa"/>
            <w:tcBorders>
              <w:top w:val="single" w:sz="3" w:space="0" w:color="000000"/>
              <w:left w:val="single" w:sz="3" w:space="0" w:color="000000"/>
              <w:bottom w:val="single" w:sz="3" w:space="0" w:color="000000"/>
              <w:right w:val="single" w:sz="3" w:space="0" w:color="000000"/>
            </w:tcBorders>
            <w:tcMar>
              <w:right w:w="57" w:type="dxa"/>
            </w:tcMar>
            <w:vAlign w:val="center"/>
          </w:tcPr>
          <w:p w14:paraId="65CB0E8D" w14:textId="77777777" w:rsidR="00603A78" w:rsidRPr="004D1BA5" w:rsidRDefault="00603A78" w:rsidP="00C36432">
            <w:pPr>
              <w:spacing w:before="60" w:after="60"/>
              <w:jc w:val="center"/>
              <w:rPr>
                <w:i/>
                <w:iCs/>
                <w:color w:val="000000"/>
              </w:rPr>
            </w:pPr>
            <w:r w:rsidRPr="004D1BA5">
              <w:rPr>
                <w:i/>
                <w:iCs/>
                <w:color w:val="000000"/>
              </w:rPr>
              <w:t>varies</w:t>
            </w:r>
          </w:p>
        </w:tc>
        <w:tc>
          <w:tcPr>
            <w:tcW w:w="1300" w:type="dxa"/>
            <w:tcBorders>
              <w:top w:val="single" w:sz="3" w:space="0" w:color="000000"/>
              <w:left w:val="single" w:sz="3" w:space="0" w:color="000000"/>
              <w:bottom w:val="single" w:sz="3" w:space="0" w:color="000000"/>
              <w:right w:val="single" w:sz="3" w:space="0" w:color="000000"/>
            </w:tcBorders>
            <w:tcMar>
              <w:right w:w="57" w:type="dxa"/>
            </w:tcMar>
            <w:vAlign w:val="center"/>
          </w:tcPr>
          <w:p w14:paraId="39FA15B5" w14:textId="77777777" w:rsidR="00603A78" w:rsidRPr="004D1BA5" w:rsidRDefault="00603A78" w:rsidP="00C36432">
            <w:pPr>
              <w:spacing w:before="60" w:after="60"/>
              <w:jc w:val="center"/>
              <w:rPr>
                <w:i/>
                <w:iCs/>
                <w:color w:val="000000"/>
              </w:rPr>
            </w:pPr>
            <w:r w:rsidRPr="004D1BA5">
              <w:rPr>
                <w:i/>
                <w:iCs/>
                <w:color w:val="000000"/>
              </w:rPr>
              <w:t>varies</w:t>
            </w:r>
          </w:p>
        </w:tc>
      </w:tr>
    </w:tbl>
    <w:p w14:paraId="381AEC9A" w14:textId="77777777" w:rsidR="003B5126" w:rsidRDefault="003B5126" w:rsidP="003B5126">
      <w:pPr>
        <w:spacing w:after="120" w:line="300" w:lineRule="auto"/>
      </w:pPr>
      <w:bookmarkStart w:id="52" w:name="appendix3"/>
      <w:bookmarkStart w:id="53" w:name="appendix4"/>
      <w:bookmarkStart w:id="54" w:name="resappen2"/>
      <w:bookmarkEnd w:id="50"/>
      <w:bookmarkEnd w:id="52"/>
      <w:bookmarkEnd w:id="53"/>
      <w:bookmarkEnd w:id="54"/>
    </w:p>
    <w:p w14:paraId="5EC909AF" w14:textId="77777777" w:rsidR="00521F94" w:rsidRDefault="00521F94" w:rsidP="003B5126">
      <w:pPr>
        <w:spacing w:after="120" w:line="300" w:lineRule="auto"/>
      </w:pPr>
    </w:p>
    <w:p w14:paraId="5BC45B4E" w14:textId="77777777" w:rsidR="003B5126" w:rsidRDefault="003B5126" w:rsidP="003B5126">
      <w:pPr>
        <w:spacing w:after="120" w:line="300" w:lineRule="auto"/>
      </w:pPr>
    </w:p>
    <w:p w14:paraId="676726EC" w14:textId="70A6191A" w:rsidR="00A13E20" w:rsidRPr="002120D7" w:rsidRDefault="00A13E20" w:rsidP="0017616E">
      <w:pPr>
        <w:pStyle w:val="h1"/>
        <w:spacing w:after="120" w:line="300" w:lineRule="auto"/>
        <w:rPr>
          <w:spacing w:val="1"/>
          <w:sz w:val="40"/>
          <w:szCs w:val="40"/>
        </w:rPr>
      </w:pPr>
      <w:bookmarkStart w:id="55" w:name="_Toc219822357"/>
      <w:r w:rsidRPr="002120D7">
        <w:rPr>
          <w:sz w:val="40"/>
          <w:szCs w:val="40"/>
        </w:rPr>
        <w:t xml:space="preserve">Appendix </w:t>
      </w:r>
      <w:r w:rsidR="003B5126">
        <w:rPr>
          <w:sz w:val="40"/>
          <w:szCs w:val="40"/>
        </w:rPr>
        <w:t>2</w:t>
      </w:r>
      <w:r w:rsidRPr="002120D7">
        <w:rPr>
          <w:sz w:val="40"/>
          <w:szCs w:val="40"/>
        </w:rPr>
        <w:t xml:space="preserve"> – MFG Example for Resourced Provisions </w:t>
      </w:r>
      <w:r w:rsidR="00A91103">
        <w:rPr>
          <w:sz w:val="40"/>
          <w:szCs w:val="40"/>
        </w:rPr>
        <w:t>2026/27</w:t>
      </w:r>
      <w:bookmarkEnd w:id="55"/>
    </w:p>
    <w:tbl>
      <w:tblPr>
        <w:tblpPr w:leftFromText="180" w:rightFromText="180" w:vertAnchor="text" w:horzAnchor="margin" w:tblpXSpec="center" w:tblpY="395"/>
        <w:tblW w:w="10347" w:type="dxa"/>
        <w:tblLayout w:type="fixed"/>
        <w:tblLook w:val="0000" w:firstRow="0" w:lastRow="0" w:firstColumn="0" w:lastColumn="0" w:noHBand="0" w:noVBand="0"/>
      </w:tblPr>
      <w:tblGrid>
        <w:gridCol w:w="8075"/>
        <w:gridCol w:w="1183"/>
        <w:gridCol w:w="1089"/>
      </w:tblGrid>
      <w:tr w:rsidR="00A13E20" w:rsidRPr="002B1B20" w14:paraId="63924DD0" w14:textId="77777777" w:rsidTr="002B1B20">
        <w:trPr>
          <w:trHeight w:val="411"/>
        </w:trPr>
        <w:tc>
          <w:tcPr>
            <w:tcW w:w="8075" w:type="dxa"/>
            <w:tcBorders>
              <w:top w:val="single" w:sz="4" w:space="0" w:color="auto"/>
              <w:left w:val="single" w:sz="4" w:space="0" w:color="auto"/>
              <w:bottom w:val="nil"/>
              <w:right w:val="nil"/>
            </w:tcBorders>
            <w:vAlign w:val="center"/>
          </w:tcPr>
          <w:p w14:paraId="7B4D2291" w14:textId="77777777" w:rsidR="00A13E20" w:rsidRPr="002B1B20" w:rsidRDefault="00A13E20" w:rsidP="00A12E8C">
            <w:pPr>
              <w:rPr>
                <w:bCs/>
              </w:rPr>
            </w:pPr>
          </w:p>
        </w:tc>
        <w:tc>
          <w:tcPr>
            <w:tcW w:w="1183" w:type="dxa"/>
            <w:tcBorders>
              <w:top w:val="single" w:sz="4" w:space="0" w:color="auto"/>
              <w:left w:val="nil"/>
              <w:bottom w:val="nil"/>
              <w:right w:val="nil"/>
            </w:tcBorders>
            <w:vAlign w:val="center"/>
          </w:tcPr>
          <w:p w14:paraId="59341806" w14:textId="3F5D04D6" w:rsidR="00A13E20" w:rsidRPr="002B1B20" w:rsidRDefault="00A13E20" w:rsidP="00A12E8C">
            <w:pPr>
              <w:rPr>
                <w:bCs/>
              </w:rPr>
            </w:pPr>
          </w:p>
        </w:tc>
        <w:tc>
          <w:tcPr>
            <w:tcW w:w="1089" w:type="dxa"/>
            <w:tcBorders>
              <w:top w:val="single" w:sz="4" w:space="0" w:color="auto"/>
              <w:left w:val="nil"/>
              <w:bottom w:val="nil"/>
              <w:right w:val="single" w:sz="4" w:space="0" w:color="auto"/>
            </w:tcBorders>
            <w:noWrap/>
            <w:vAlign w:val="center"/>
          </w:tcPr>
          <w:p w14:paraId="3E8A880E" w14:textId="6E8F5F21" w:rsidR="00A13E20" w:rsidRPr="002B1B20" w:rsidRDefault="00A13E20" w:rsidP="00A12E8C">
            <w:pPr>
              <w:rPr>
                <w:bCs/>
              </w:rPr>
            </w:pPr>
          </w:p>
        </w:tc>
      </w:tr>
      <w:tr w:rsidR="00A13E20" w:rsidRPr="002B1B20" w14:paraId="51986B5A" w14:textId="77777777" w:rsidTr="003C2BB6">
        <w:trPr>
          <w:trHeight w:val="263"/>
        </w:trPr>
        <w:tc>
          <w:tcPr>
            <w:tcW w:w="8075" w:type="dxa"/>
            <w:tcBorders>
              <w:top w:val="nil"/>
              <w:left w:val="single" w:sz="4" w:space="0" w:color="auto"/>
              <w:bottom w:val="nil"/>
              <w:right w:val="nil"/>
            </w:tcBorders>
            <w:noWrap/>
            <w:vAlign w:val="center"/>
          </w:tcPr>
          <w:p w14:paraId="7EBFFE66" w14:textId="77777777" w:rsidR="00A13E20" w:rsidRPr="00AC3290" w:rsidRDefault="00A13E20" w:rsidP="002B1B20">
            <w:pPr>
              <w:rPr>
                <w:b/>
              </w:rPr>
            </w:pPr>
            <w:r w:rsidRPr="00AC3290">
              <w:rPr>
                <w:b/>
              </w:rPr>
              <w:t xml:space="preserve">A.  To calculate protected </w:t>
            </w:r>
            <w:r>
              <w:rPr>
                <w:b/>
              </w:rPr>
              <w:t xml:space="preserve">baseline </w:t>
            </w:r>
            <w:r w:rsidRPr="00AC3290">
              <w:rPr>
                <w:b/>
              </w:rPr>
              <w:t>funding amount:</w:t>
            </w:r>
          </w:p>
        </w:tc>
        <w:tc>
          <w:tcPr>
            <w:tcW w:w="1183" w:type="dxa"/>
            <w:tcBorders>
              <w:top w:val="nil"/>
              <w:left w:val="nil"/>
              <w:bottom w:val="nil"/>
              <w:right w:val="nil"/>
            </w:tcBorders>
            <w:noWrap/>
            <w:vAlign w:val="center"/>
          </w:tcPr>
          <w:p w14:paraId="268F8717" w14:textId="77777777" w:rsidR="00A13E20" w:rsidRPr="00AC3290" w:rsidRDefault="00A13E20" w:rsidP="002B1B20">
            <w:pPr>
              <w:rPr>
                <w:b/>
              </w:rPr>
            </w:pPr>
          </w:p>
        </w:tc>
        <w:tc>
          <w:tcPr>
            <w:tcW w:w="1089" w:type="dxa"/>
            <w:tcBorders>
              <w:top w:val="nil"/>
              <w:left w:val="nil"/>
              <w:bottom w:val="nil"/>
              <w:right w:val="single" w:sz="4" w:space="0" w:color="auto"/>
            </w:tcBorders>
            <w:noWrap/>
            <w:vAlign w:val="center"/>
          </w:tcPr>
          <w:p w14:paraId="6B3E56E4" w14:textId="77777777" w:rsidR="00A13E20" w:rsidRPr="00AC3290" w:rsidRDefault="00A13E20" w:rsidP="002B1B20">
            <w:pPr>
              <w:rPr>
                <w:b/>
              </w:rPr>
            </w:pPr>
            <w:r w:rsidRPr="00AC3290">
              <w:rPr>
                <w:b/>
              </w:rPr>
              <w:t>£</w:t>
            </w:r>
          </w:p>
        </w:tc>
      </w:tr>
      <w:tr w:rsidR="00A13E20" w:rsidRPr="00AC3290" w14:paraId="4916FB13" w14:textId="77777777" w:rsidTr="000D7C7F">
        <w:trPr>
          <w:trHeight w:val="1012"/>
        </w:trPr>
        <w:tc>
          <w:tcPr>
            <w:tcW w:w="8075" w:type="dxa"/>
            <w:tcBorders>
              <w:top w:val="nil"/>
              <w:left w:val="single" w:sz="4" w:space="0" w:color="auto"/>
              <w:bottom w:val="nil"/>
              <w:right w:val="nil"/>
            </w:tcBorders>
            <w:noWrap/>
            <w:vAlign w:val="center"/>
          </w:tcPr>
          <w:p w14:paraId="5F5B45B8" w14:textId="35D933AB" w:rsidR="00A13E20" w:rsidRPr="00AC3290" w:rsidRDefault="00A13E20" w:rsidP="00A12E8C">
            <w:r w:rsidRPr="00AC3290">
              <w:t xml:space="preserve">Total place and top-up funding calculated </w:t>
            </w:r>
            <w:proofErr w:type="gramStart"/>
            <w:r w:rsidRPr="00AC3290">
              <w:t>on the basis of</w:t>
            </w:r>
            <w:proofErr w:type="gramEnd"/>
            <w:r w:rsidRPr="00AC3290">
              <w:t xml:space="preserve"> </w:t>
            </w:r>
            <w:r w:rsidR="00A91103">
              <w:t>2025/26</w:t>
            </w:r>
            <w:r>
              <w:t xml:space="preserve"> agreed place numbers and </w:t>
            </w:r>
            <w:r w:rsidRPr="00AC3290">
              <w:t>autumn term 20</w:t>
            </w:r>
            <w:r>
              <w:t>2</w:t>
            </w:r>
            <w:r w:rsidR="00A91103">
              <w:t>5</w:t>
            </w:r>
            <w:r w:rsidRPr="00AC3290">
              <w:t xml:space="preserve"> pupil numbers and characteristics (</w:t>
            </w:r>
            <w:r w:rsidRPr="00E64FBB">
              <w:rPr>
                <w:i/>
                <w:iCs/>
              </w:rPr>
              <w:t>including</w:t>
            </w:r>
            <w:r w:rsidRPr="00AC3290">
              <w:t xml:space="preserve"> </w:t>
            </w:r>
            <w:r w:rsidR="00A91103">
              <w:t>2025/26</w:t>
            </w:r>
            <w:r w:rsidRPr="00AC3290">
              <w:t xml:space="preserve"> MFG) and </w:t>
            </w:r>
            <w:r w:rsidR="00A91103">
              <w:t>2025/26</w:t>
            </w:r>
            <w:r w:rsidRPr="00AC3290">
              <w:t xml:space="preserve"> unit values</w:t>
            </w:r>
          </w:p>
        </w:tc>
        <w:tc>
          <w:tcPr>
            <w:tcW w:w="1183" w:type="dxa"/>
            <w:tcBorders>
              <w:top w:val="nil"/>
              <w:left w:val="nil"/>
              <w:bottom w:val="nil"/>
              <w:right w:val="nil"/>
            </w:tcBorders>
            <w:noWrap/>
            <w:vAlign w:val="center"/>
          </w:tcPr>
          <w:p w14:paraId="4B8E7E82" w14:textId="77777777" w:rsidR="00A13E20" w:rsidRPr="00AC3290" w:rsidRDefault="00A13E20" w:rsidP="00A12E8C"/>
        </w:tc>
        <w:tc>
          <w:tcPr>
            <w:tcW w:w="1089" w:type="dxa"/>
            <w:tcBorders>
              <w:top w:val="nil"/>
              <w:left w:val="nil"/>
              <w:bottom w:val="nil"/>
              <w:right w:val="single" w:sz="4" w:space="0" w:color="auto"/>
            </w:tcBorders>
            <w:vAlign w:val="center"/>
          </w:tcPr>
          <w:p w14:paraId="349812D3" w14:textId="77777777" w:rsidR="00A13E20" w:rsidRPr="00AC3290" w:rsidRDefault="00A13E20" w:rsidP="00EA14BE">
            <w:pPr>
              <w:jc w:val="right"/>
              <w:rPr>
                <w:bCs/>
              </w:rPr>
            </w:pPr>
            <w:r w:rsidRPr="00AC3290">
              <w:rPr>
                <w:bCs/>
              </w:rPr>
              <w:t>300,000</w:t>
            </w:r>
          </w:p>
        </w:tc>
      </w:tr>
      <w:tr w:rsidR="00A13E20" w:rsidRPr="00AC3290" w14:paraId="5CAAC008" w14:textId="77777777" w:rsidTr="000D7C7F">
        <w:trPr>
          <w:trHeight w:val="275"/>
        </w:trPr>
        <w:tc>
          <w:tcPr>
            <w:tcW w:w="8075" w:type="dxa"/>
            <w:tcBorders>
              <w:top w:val="nil"/>
              <w:left w:val="single" w:sz="4" w:space="0" w:color="auto"/>
              <w:bottom w:val="nil"/>
              <w:right w:val="nil"/>
            </w:tcBorders>
            <w:vAlign w:val="center"/>
          </w:tcPr>
          <w:p w14:paraId="11AADA40" w14:textId="77777777" w:rsidR="00A13E20" w:rsidRPr="002B1B20" w:rsidRDefault="00A13E20" w:rsidP="00A12E8C"/>
        </w:tc>
        <w:tc>
          <w:tcPr>
            <w:tcW w:w="1183" w:type="dxa"/>
            <w:tcBorders>
              <w:top w:val="nil"/>
              <w:left w:val="nil"/>
              <w:bottom w:val="nil"/>
              <w:right w:val="nil"/>
            </w:tcBorders>
            <w:noWrap/>
            <w:vAlign w:val="center"/>
          </w:tcPr>
          <w:p w14:paraId="628394A0" w14:textId="77777777" w:rsidR="00A13E20" w:rsidRPr="00AC3290" w:rsidRDefault="00A13E20" w:rsidP="00A12E8C"/>
        </w:tc>
        <w:tc>
          <w:tcPr>
            <w:tcW w:w="1089" w:type="dxa"/>
            <w:tcBorders>
              <w:top w:val="nil"/>
              <w:left w:val="nil"/>
              <w:bottom w:val="single" w:sz="4" w:space="0" w:color="auto"/>
              <w:right w:val="single" w:sz="4" w:space="0" w:color="auto"/>
            </w:tcBorders>
            <w:noWrap/>
            <w:vAlign w:val="center"/>
          </w:tcPr>
          <w:p w14:paraId="6CE9B3FC" w14:textId="77777777" w:rsidR="00A13E20" w:rsidRPr="00AC3290" w:rsidRDefault="00A13E20" w:rsidP="002B1B20"/>
        </w:tc>
      </w:tr>
      <w:tr w:rsidR="00A13E20" w:rsidRPr="00AC3290" w14:paraId="037EC7AF" w14:textId="77777777" w:rsidTr="003C2BB6">
        <w:trPr>
          <w:trHeight w:val="428"/>
        </w:trPr>
        <w:tc>
          <w:tcPr>
            <w:tcW w:w="8075" w:type="dxa"/>
            <w:tcBorders>
              <w:top w:val="nil"/>
              <w:left w:val="single" w:sz="4" w:space="0" w:color="auto"/>
              <w:bottom w:val="nil"/>
              <w:right w:val="nil"/>
            </w:tcBorders>
            <w:vAlign w:val="center"/>
          </w:tcPr>
          <w:p w14:paraId="1D95EBEB" w14:textId="76AFBD6E" w:rsidR="00A13E20" w:rsidRPr="00AC3290" w:rsidRDefault="00A91103" w:rsidP="00A12E8C">
            <w:r>
              <w:t>2025/26</w:t>
            </w:r>
            <w:r w:rsidR="00A13E20" w:rsidRPr="00AC3290">
              <w:t xml:space="preserve"> </w:t>
            </w:r>
            <w:r w:rsidR="00A13E20">
              <w:t>baseline</w:t>
            </w:r>
            <w:r w:rsidR="00A13E20" w:rsidRPr="00AC3290">
              <w:t xml:space="preserve"> funding (multiplied by </w:t>
            </w:r>
            <w:r w:rsidR="00A13E20">
              <w:t>10</w:t>
            </w:r>
            <w:r w:rsidR="001020BD">
              <w:t>0</w:t>
            </w:r>
            <w:r w:rsidR="00A13E20">
              <w:t>.0</w:t>
            </w:r>
            <w:r w:rsidR="00A13E20" w:rsidRPr="00AC3290">
              <w:t xml:space="preserve">%) – protected amount                                                                                 </w:t>
            </w:r>
          </w:p>
        </w:tc>
        <w:tc>
          <w:tcPr>
            <w:tcW w:w="1183" w:type="dxa"/>
            <w:tcBorders>
              <w:top w:val="nil"/>
              <w:left w:val="nil"/>
              <w:bottom w:val="nil"/>
              <w:right w:val="nil"/>
            </w:tcBorders>
            <w:vAlign w:val="center"/>
          </w:tcPr>
          <w:p w14:paraId="1B885743" w14:textId="77777777" w:rsidR="00A13E20" w:rsidRPr="00AC3290" w:rsidRDefault="00A13E20" w:rsidP="00A12E8C"/>
        </w:tc>
        <w:tc>
          <w:tcPr>
            <w:tcW w:w="1089" w:type="dxa"/>
            <w:tcBorders>
              <w:top w:val="single" w:sz="4" w:space="0" w:color="auto"/>
              <w:left w:val="nil"/>
              <w:bottom w:val="single" w:sz="4" w:space="0" w:color="auto"/>
              <w:right w:val="single" w:sz="4" w:space="0" w:color="auto"/>
            </w:tcBorders>
            <w:noWrap/>
            <w:vAlign w:val="center"/>
          </w:tcPr>
          <w:p w14:paraId="5888645A" w14:textId="575BC9ED" w:rsidR="00A13E20" w:rsidRPr="00AC3290" w:rsidRDefault="00A13E20" w:rsidP="00EA14BE">
            <w:pPr>
              <w:jc w:val="right"/>
              <w:rPr>
                <w:b/>
              </w:rPr>
            </w:pPr>
            <w:r>
              <w:rPr>
                <w:b/>
              </w:rPr>
              <w:t>30</w:t>
            </w:r>
            <w:r w:rsidR="001020BD">
              <w:rPr>
                <w:b/>
              </w:rPr>
              <w:t>0</w:t>
            </w:r>
            <w:r>
              <w:rPr>
                <w:b/>
              </w:rPr>
              <w:t>,000</w:t>
            </w:r>
          </w:p>
        </w:tc>
      </w:tr>
      <w:tr w:rsidR="00A13E20" w:rsidRPr="00AC3290" w14:paraId="7161EA15" w14:textId="77777777" w:rsidTr="003C2BB6">
        <w:trPr>
          <w:trHeight w:val="325"/>
        </w:trPr>
        <w:tc>
          <w:tcPr>
            <w:tcW w:w="8075" w:type="dxa"/>
            <w:tcBorders>
              <w:top w:val="nil"/>
              <w:left w:val="single" w:sz="4" w:space="0" w:color="auto"/>
              <w:bottom w:val="single" w:sz="4" w:space="0" w:color="auto"/>
              <w:right w:val="nil"/>
            </w:tcBorders>
            <w:vAlign w:val="center"/>
          </w:tcPr>
          <w:p w14:paraId="31BF4923" w14:textId="77777777" w:rsidR="00A13E20" w:rsidRPr="00AC3290" w:rsidRDefault="00A13E20" w:rsidP="00A12E8C"/>
        </w:tc>
        <w:tc>
          <w:tcPr>
            <w:tcW w:w="1183" w:type="dxa"/>
            <w:tcBorders>
              <w:top w:val="nil"/>
              <w:left w:val="nil"/>
              <w:bottom w:val="single" w:sz="4" w:space="0" w:color="auto"/>
              <w:right w:val="nil"/>
            </w:tcBorders>
            <w:vAlign w:val="center"/>
          </w:tcPr>
          <w:p w14:paraId="12657EE9" w14:textId="77777777" w:rsidR="00A13E20" w:rsidRPr="00AC3290" w:rsidRDefault="00A13E20" w:rsidP="00A12E8C"/>
        </w:tc>
        <w:tc>
          <w:tcPr>
            <w:tcW w:w="1089" w:type="dxa"/>
            <w:tcBorders>
              <w:top w:val="single" w:sz="4" w:space="0" w:color="auto"/>
              <w:left w:val="nil"/>
              <w:bottom w:val="single" w:sz="4" w:space="0" w:color="auto"/>
              <w:right w:val="single" w:sz="4" w:space="0" w:color="auto"/>
            </w:tcBorders>
            <w:vAlign w:val="center"/>
          </w:tcPr>
          <w:p w14:paraId="5AC27727" w14:textId="77777777" w:rsidR="00A13E20" w:rsidRPr="00AC3290" w:rsidRDefault="00A13E20" w:rsidP="00EA14BE">
            <w:pPr>
              <w:jc w:val="right"/>
            </w:pPr>
          </w:p>
        </w:tc>
      </w:tr>
      <w:tr w:rsidR="00A13E20" w:rsidRPr="00AC3290" w14:paraId="54A835D4" w14:textId="77777777" w:rsidTr="003C2BB6">
        <w:trPr>
          <w:trHeight w:val="325"/>
        </w:trPr>
        <w:tc>
          <w:tcPr>
            <w:tcW w:w="8075" w:type="dxa"/>
            <w:tcBorders>
              <w:top w:val="single" w:sz="4" w:space="0" w:color="auto"/>
              <w:left w:val="single" w:sz="4" w:space="0" w:color="auto"/>
              <w:right w:val="nil"/>
            </w:tcBorders>
            <w:vAlign w:val="center"/>
          </w:tcPr>
          <w:p w14:paraId="545E1C71" w14:textId="77777777" w:rsidR="00A13E20" w:rsidRPr="00E658D6" w:rsidRDefault="00A13E20" w:rsidP="00A12E8C">
            <w:pPr>
              <w:rPr>
                <w:bCs/>
              </w:rPr>
            </w:pPr>
          </w:p>
        </w:tc>
        <w:tc>
          <w:tcPr>
            <w:tcW w:w="1183" w:type="dxa"/>
            <w:tcBorders>
              <w:top w:val="single" w:sz="4" w:space="0" w:color="auto"/>
              <w:left w:val="nil"/>
              <w:right w:val="nil"/>
            </w:tcBorders>
            <w:vAlign w:val="center"/>
          </w:tcPr>
          <w:p w14:paraId="3975FBC9" w14:textId="77777777" w:rsidR="00A13E20" w:rsidRPr="00AC3290" w:rsidRDefault="00A13E20" w:rsidP="00A12E8C"/>
        </w:tc>
        <w:tc>
          <w:tcPr>
            <w:tcW w:w="1089" w:type="dxa"/>
            <w:tcBorders>
              <w:top w:val="single" w:sz="4" w:space="0" w:color="auto"/>
              <w:left w:val="nil"/>
              <w:right w:val="single" w:sz="4" w:space="0" w:color="auto"/>
            </w:tcBorders>
            <w:vAlign w:val="center"/>
          </w:tcPr>
          <w:p w14:paraId="7E491499" w14:textId="77777777" w:rsidR="00A13E20" w:rsidRPr="00AC3290" w:rsidRDefault="00A13E20" w:rsidP="00EA14BE">
            <w:pPr>
              <w:jc w:val="right"/>
            </w:pPr>
          </w:p>
        </w:tc>
      </w:tr>
      <w:tr w:rsidR="00A13E20" w:rsidRPr="00AC3290" w14:paraId="488690EC" w14:textId="77777777" w:rsidTr="003C2BB6">
        <w:trPr>
          <w:trHeight w:val="558"/>
        </w:trPr>
        <w:tc>
          <w:tcPr>
            <w:tcW w:w="8075" w:type="dxa"/>
            <w:tcBorders>
              <w:left w:val="single" w:sz="4" w:space="0" w:color="auto"/>
              <w:bottom w:val="nil"/>
              <w:right w:val="nil"/>
            </w:tcBorders>
            <w:vAlign w:val="center"/>
          </w:tcPr>
          <w:p w14:paraId="5425F6C8" w14:textId="49D89F61" w:rsidR="00A13E20" w:rsidRPr="00AC3290" w:rsidRDefault="00A13E20" w:rsidP="00A12E8C">
            <w:pPr>
              <w:rPr>
                <w:b/>
              </w:rPr>
            </w:pPr>
            <w:r w:rsidRPr="00AC3290">
              <w:rPr>
                <w:b/>
              </w:rPr>
              <w:t xml:space="preserve">B.  To calculate </w:t>
            </w:r>
            <w:r w:rsidR="00A91103">
              <w:rPr>
                <w:b/>
              </w:rPr>
              <w:t>2026/27</w:t>
            </w:r>
            <w:r w:rsidRPr="00AC3290">
              <w:rPr>
                <w:b/>
              </w:rPr>
              <w:t xml:space="preserve"> </w:t>
            </w:r>
            <w:r>
              <w:rPr>
                <w:b/>
              </w:rPr>
              <w:t xml:space="preserve">comparison </w:t>
            </w:r>
            <w:r w:rsidRPr="00AC3290">
              <w:rPr>
                <w:b/>
              </w:rPr>
              <w:t>funding:</w:t>
            </w:r>
          </w:p>
        </w:tc>
        <w:tc>
          <w:tcPr>
            <w:tcW w:w="1183" w:type="dxa"/>
            <w:tcBorders>
              <w:left w:val="nil"/>
              <w:bottom w:val="nil"/>
              <w:right w:val="nil"/>
            </w:tcBorders>
            <w:vAlign w:val="center"/>
          </w:tcPr>
          <w:p w14:paraId="4F793EA8" w14:textId="77777777" w:rsidR="00A13E20" w:rsidRPr="00AC3290" w:rsidRDefault="00A13E20" w:rsidP="00A12E8C"/>
        </w:tc>
        <w:tc>
          <w:tcPr>
            <w:tcW w:w="1089" w:type="dxa"/>
            <w:tcBorders>
              <w:left w:val="nil"/>
              <w:bottom w:val="nil"/>
              <w:right w:val="single" w:sz="4" w:space="0" w:color="auto"/>
            </w:tcBorders>
            <w:vAlign w:val="center"/>
          </w:tcPr>
          <w:p w14:paraId="7965915D" w14:textId="77777777" w:rsidR="00A13E20" w:rsidRPr="00AC3290" w:rsidRDefault="00A13E20" w:rsidP="00EA14BE">
            <w:pPr>
              <w:jc w:val="right"/>
            </w:pPr>
          </w:p>
        </w:tc>
      </w:tr>
      <w:tr w:rsidR="00A13E20" w:rsidRPr="00AC3290" w14:paraId="3135F23A" w14:textId="77777777" w:rsidTr="003C2BB6">
        <w:trPr>
          <w:trHeight w:val="263"/>
        </w:trPr>
        <w:tc>
          <w:tcPr>
            <w:tcW w:w="8075" w:type="dxa"/>
            <w:tcBorders>
              <w:top w:val="nil"/>
              <w:left w:val="single" w:sz="4" w:space="0" w:color="auto"/>
              <w:bottom w:val="nil"/>
              <w:right w:val="nil"/>
            </w:tcBorders>
            <w:vAlign w:val="center"/>
          </w:tcPr>
          <w:p w14:paraId="2FB985F6" w14:textId="44DB7944" w:rsidR="00A13E20" w:rsidRPr="00AC3290" w:rsidRDefault="00A13E20" w:rsidP="00A12E8C">
            <w:r w:rsidRPr="00AC3290">
              <w:t xml:space="preserve">Total place and top-up funding calculated </w:t>
            </w:r>
            <w:proofErr w:type="gramStart"/>
            <w:r w:rsidRPr="00AC3290">
              <w:t>on the basis of</w:t>
            </w:r>
            <w:proofErr w:type="gramEnd"/>
            <w:r w:rsidRPr="00AC3290">
              <w:t xml:space="preserve"> </w:t>
            </w:r>
            <w:r w:rsidR="00A91103">
              <w:t>2025/26</w:t>
            </w:r>
            <w:r>
              <w:t xml:space="preserve"> agreed place numbers and </w:t>
            </w:r>
            <w:r w:rsidRPr="00AC3290">
              <w:t>autumn term 20</w:t>
            </w:r>
            <w:r>
              <w:t>2</w:t>
            </w:r>
            <w:r w:rsidR="00A91103">
              <w:t>5</w:t>
            </w:r>
            <w:r w:rsidRPr="00AC3290">
              <w:t xml:space="preserve"> pupil numbers and characteristics (</w:t>
            </w:r>
            <w:r>
              <w:rPr>
                <w:i/>
                <w:iCs/>
              </w:rPr>
              <w:t xml:space="preserve">not counting </w:t>
            </w:r>
            <w:r w:rsidR="00A91103">
              <w:t>2025/26</w:t>
            </w:r>
            <w:r w:rsidRPr="00AC3290">
              <w:t xml:space="preserve"> MFG) and </w:t>
            </w:r>
            <w:r w:rsidR="00A91103">
              <w:t>2026/27</w:t>
            </w:r>
            <w:r w:rsidRPr="00AC3290">
              <w:t xml:space="preserve"> unit values</w:t>
            </w:r>
          </w:p>
        </w:tc>
        <w:tc>
          <w:tcPr>
            <w:tcW w:w="1183" w:type="dxa"/>
            <w:tcBorders>
              <w:top w:val="nil"/>
              <w:left w:val="nil"/>
              <w:bottom w:val="nil"/>
              <w:right w:val="nil"/>
            </w:tcBorders>
            <w:vAlign w:val="center"/>
          </w:tcPr>
          <w:p w14:paraId="7B54FA0B" w14:textId="77777777" w:rsidR="00A13E20" w:rsidRPr="00AC3290" w:rsidRDefault="00A13E20" w:rsidP="00A12E8C"/>
        </w:tc>
        <w:tc>
          <w:tcPr>
            <w:tcW w:w="1089" w:type="dxa"/>
            <w:tcBorders>
              <w:top w:val="nil"/>
              <w:left w:val="nil"/>
              <w:bottom w:val="nil"/>
              <w:right w:val="single" w:sz="4" w:space="0" w:color="auto"/>
            </w:tcBorders>
            <w:vAlign w:val="center"/>
          </w:tcPr>
          <w:p w14:paraId="0609635F" w14:textId="7F70FB40" w:rsidR="00A13E20" w:rsidRPr="00AC3290" w:rsidRDefault="0058162A" w:rsidP="00EA14BE">
            <w:pPr>
              <w:jc w:val="right"/>
            </w:pPr>
            <w:r>
              <w:t>295</w:t>
            </w:r>
            <w:r w:rsidR="00A13E20" w:rsidRPr="00AC3290">
              <w:t>,000</w:t>
            </w:r>
          </w:p>
        </w:tc>
      </w:tr>
      <w:tr w:rsidR="00A13E20" w:rsidRPr="00AC3290" w14:paraId="75A6BF77" w14:textId="77777777" w:rsidTr="003C2BB6">
        <w:trPr>
          <w:trHeight w:val="395"/>
        </w:trPr>
        <w:tc>
          <w:tcPr>
            <w:tcW w:w="8075" w:type="dxa"/>
            <w:tcBorders>
              <w:top w:val="nil"/>
              <w:left w:val="single" w:sz="4" w:space="0" w:color="auto"/>
              <w:bottom w:val="nil"/>
              <w:right w:val="nil"/>
            </w:tcBorders>
            <w:vAlign w:val="center"/>
          </w:tcPr>
          <w:p w14:paraId="7D9A762E" w14:textId="496F63B9" w:rsidR="00A13E20" w:rsidRPr="00E658D6" w:rsidRDefault="00A13E20" w:rsidP="00A12E8C"/>
        </w:tc>
        <w:tc>
          <w:tcPr>
            <w:tcW w:w="1183" w:type="dxa"/>
            <w:tcBorders>
              <w:top w:val="nil"/>
              <w:left w:val="nil"/>
              <w:bottom w:val="nil"/>
              <w:right w:val="nil"/>
            </w:tcBorders>
            <w:vAlign w:val="center"/>
          </w:tcPr>
          <w:p w14:paraId="29B4BE1F" w14:textId="77777777" w:rsidR="00A13E20" w:rsidRPr="00AC3290" w:rsidRDefault="00A13E20" w:rsidP="00A12E8C"/>
        </w:tc>
        <w:tc>
          <w:tcPr>
            <w:tcW w:w="1089" w:type="dxa"/>
            <w:tcBorders>
              <w:top w:val="nil"/>
              <w:left w:val="nil"/>
              <w:bottom w:val="nil"/>
              <w:right w:val="single" w:sz="4" w:space="0" w:color="auto"/>
            </w:tcBorders>
            <w:vAlign w:val="center"/>
          </w:tcPr>
          <w:p w14:paraId="15EE6509" w14:textId="77777777" w:rsidR="00A13E20" w:rsidRPr="00AC3290" w:rsidRDefault="00A13E20" w:rsidP="00EA14BE">
            <w:pPr>
              <w:jc w:val="right"/>
            </w:pPr>
          </w:p>
        </w:tc>
      </w:tr>
      <w:tr w:rsidR="00A13E20" w:rsidRPr="00AC3290" w14:paraId="49E6D402" w14:textId="77777777" w:rsidTr="003C2BB6">
        <w:trPr>
          <w:trHeight w:val="401"/>
        </w:trPr>
        <w:tc>
          <w:tcPr>
            <w:tcW w:w="8075" w:type="dxa"/>
            <w:tcBorders>
              <w:top w:val="nil"/>
              <w:left w:val="single" w:sz="4" w:space="0" w:color="auto"/>
              <w:bottom w:val="nil"/>
              <w:right w:val="nil"/>
            </w:tcBorders>
            <w:vAlign w:val="center"/>
          </w:tcPr>
          <w:p w14:paraId="190C3716" w14:textId="65DE862A" w:rsidR="00A13E20" w:rsidRPr="00AC3290" w:rsidRDefault="00A91103" w:rsidP="00A12E8C">
            <w:r>
              <w:t>2026/27</w:t>
            </w:r>
            <w:r w:rsidR="00A13E20" w:rsidRPr="00AC3290">
              <w:t xml:space="preserve"> </w:t>
            </w:r>
            <w:r w:rsidR="00A13E20">
              <w:t>comparison</w:t>
            </w:r>
            <w:r w:rsidR="00A13E20" w:rsidRPr="00AC3290">
              <w:t xml:space="preserve"> funding</w:t>
            </w:r>
          </w:p>
        </w:tc>
        <w:tc>
          <w:tcPr>
            <w:tcW w:w="1183" w:type="dxa"/>
            <w:tcBorders>
              <w:top w:val="nil"/>
              <w:left w:val="nil"/>
              <w:bottom w:val="nil"/>
              <w:right w:val="nil"/>
            </w:tcBorders>
            <w:vAlign w:val="center"/>
          </w:tcPr>
          <w:p w14:paraId="04AA0E67" w14:textId="77777777" w:rsidR="00A13E20" w:rsidRPr="00AC3290" w:rsidRDefault="00A13E20" w:rsidP="00A12E8C"/>
        </w:tc>
        <w:tc>
          <w:tcPr>
            <w:tcW w:w="1089" w:type="dxa"/>
            <w:tcBorders>
              <w:top w:val="single" w:sz="4" w:space="0" w:color="auto"/>
              <w:left w:val="nil"/>
              <w:bottom w:val="single" w:sz="4" w:space="0" w:color="auto"/>
              <w:right w:val="single" w:sz="4" w:space="0" w:color="auto"/>
            </w:tcBorders>
            <w:vAlign w:val="center"/>
          </w:tcPr>
          <w:p w14:paraId="0AF73CDE" w14:textId="084B9E23" w:rsidR="00A13E20" w:rsidRPr="00AC3290" w:rsidRDefault="0058162A" w:rsidP="00EA14BE">
            <w:pPr>
              <w:jc w:val="right"/>
              <w:rPr>
                <w:b/>
                <w:bCs/>
              </w:rPr>
            </w:pPr>
            <w:r>
              <w:rPr>
                <w:b/>
                <w:bCs/>
              </w:rPr>
              <w:t>295</w:t>
            </w:r>
            <w:r w:rsidR="00A13E20" w:rsidRPr="00AC3290">
              <w:rPr>
                <w:b/>
                <w:bCs/>
              </w:rPr>
              <w:t>,000</w:t>
            </w:r>
          </w:p>
        </w:tc>
      </w:tr>
      <w:tr w:rsidR="00A13E20" w:rsidRPr="00AC3290" w14:paraId="5FD5A70D" w14:textId="77777777" w:rsidTr="003C2BB6">
        <w:trPr>
          <w:trHeight w:val="333"/>
        </w:trPr>
        <w:tc>
          <w:tcPr>
            <w:tcW w:w="8075" w:type="dxa"/>
            <w:tcBorders>
              <w:top w:val="nil"/>
              <w:left w:val="single" w:sz="4" w:space="0" w:color="auto"/>
              <w:bottom w:val="single" w:sz="4" w:space="0" w:color="auto"/>
              <w:right w:val="nil"/>
            </w:tcBorders>
            <w:vAlign w:val="center"/>
          </w:tcPr>
          <w:p w14:paraId="376035E1" w14:textId="51518EEA" w:rsidR="00A13E20" w:rsidRPr="00AC3290" w:rsidRDefault="00A13E20" w:rsidP="00A12E8C"/>
        </w:tc>
        <w:tc>
          <w:tcPr>
            <w:tcW w:w="1183" w:type="dxa"/>
            <w:tcBorders>
              <w:top w:val="nil"/>
              <w:left w:val="nil"/>
              <w:bottom w:val="single" w:sz="4" w:space="0" w:color="auto"/>
              <w:right w:val="nil"/>
            </w:tcBorders>
            <w:vAlign w:val="center"/>
          </w:tcPr>
          <w:p w14:paraId="00FFDAD3" w14:textId="336185F6" w:rsidR="00A13E20" w:rsidRPr="00AC3290" w:rsidRDefault="00A13E20" w:rsidP="00A12E8C"/>
        </w:tc>
        <w:tc>
          <w:tcPr>
            <w:tcW w:w="1089" w:type="dxa"/>
            <w:tcBorders>
              <w:top w:val="nil"/>
              <w:left w:val="nil"/>
              <w:bottom w:val="single" w:sz="4" w:space="0" w:color="auto"/>
              <w:right w:val="single" w:sz="4" w:space="0" w:color="auto"/>
            </w:tcBorders>
            <w:vAlign w:val="center"/>
          </w:tcPr>
          <w:p w14:paraId="727A7B35" w14:textId="77777777" w:rsidR="00A13E20" w:rsidRPr="00AC3290" w:rsidRDefault="00A13E20" w:rsidP="00EA14BE">
            <w:pPr>
              <w:jc w:val="right"/>
            </w:pPr>
          </w:p>
        </w:tc>
      </w:tr>
      <w:tr w:rsidR="00A13E20" w:rsidRPr="00AC3290" w14:paraId="58E9F91E" w14:textId="77777777" w:rsidTr="003C2BB6">
        <w:trPr>
          <w:trHeight w:val="263"/>
        </w:trPr>
        <w:tc>
          <w:tcPr>
            <w:tcW w:w="8075" w:type="dxa"/>
            <w:tcBorders>
              <w:top w:val="single" w:sz="4" w:space="0" w:color="auto"/>
              <w:left w:val="single" w:sz="4" w:space="0" w:color="auto"/>
              <w:right w:val="nil"/>
            </w:tcBorders>
            <w:vAlign w:val="center"/>
          </w:tcPr>
          <w:p w14:paraId="22767A69" w14:textId="77777777" w:rsidR="00A13E20" w:rsidRPr="00E658D6" w:rsidRDefault="00A13E20" w:rsidP="00A12E8C">
            <w:pPr>
              <w:rPr>
                <w:bCs/>
              </w:rPr>
            </w:pPr>
          </w:p>
        </w:tc>
        <w:tc>
          <w:tcPr>
            <w:tcW w:w="1183" w:type="dxa"/>
            <w:tcBorders>
              <w:top w:val="single" w:sz="4" w:space="0" w:color="auto"/>
              <w:left w:val="nil"/>
              <w:right w:val="nil"/>
            </w:tcBorders>
            <w:vAlign w:val="center"/>
          </w:tcPr>
          <w:p w14:paraId="3642DC12" w14:textId="77777777" w:rsidR="00A13E20" w:rsidRPr="00AC3290" w:rsidRDefault="00A13E20" w:rsidP="00A12E8C"/>
        </w:tc>
        <w:tc>
          <w:tcPr>
            <w:tcW w:w="1089" w:type="dxa"/>
            <w:tcBorders>
              <w:top w:val="single" w:sz="4" w:space="0" w:color="auto"/>
              <w:left w:val="nil"/>
              <w:right w:val="single" w:sz="4" w:space="0" w:color="auto"/>
            </w:tcBorders>
            <w:vAlign w:val="center"/>
          </w:tcPr>
          <w:p w14:paraId="3E0174C8" w14:textId="77777777" w:rsidR="00A13E20" w:rsidRPr="00AC3290" w:rsidRDefault="00A13E20" w:rsidP="00EA14BE">
            <w:pPr>
              <w:jc w:val="right"/>
            </w:pPr>
          </w:p>
        </w:tc>
      </w:tr>
      <w:tr w:rsidR="00A13E20" w:rsidRPr="003C2BB6" w14:paraId="38E1174C" w14:textId="77777777" w:rsidTr="003C2BB6">
        <w:trPr>
          <w:trHeight w:val="263"/>
        </w:trPr>
        <w:tc>
          <w:tcPr>
            <w:tcW w:w="8075" w:type="dxa"/>
            <w:tcBorders>
              <w:left w:val="single" w:sz="4" w:space="0" w:color="auto"/>
              <w:right w:val="nil"/>
            </w:tcBorders>
            <w:vAlign w:val="center"/>
          </w:tcPr>
          <w:p w14:paraId="2306D349" w14:textId="62BB651E" w:rsidR="00A13E20" w:rsidRPr="00AC3290" w:rsidRDefault="00A13E20" w:rsidP="003C2BB6">
            <w:pPr>
              <w:rPr>
                <w:b/>
              </w:rPr>
            </w:pPr>
            <w:r>
              <w:rPr>
                <w:b/>
              </w:rPr>
              <w:t>C</w:t>
            </w:r>
            <w:r w:rsidRPr="00AC3290">
              <w:rPr>
                <w:b/>
              </w:rPr>
              <w:t xml:space="preserve">. </w:t>
            </w:r>
            <w:r>
              <w:rPr>
                <w:b/>
              </w:rPr>
              <w:t xml:space="preserve"> </w:t>
            </w:r>
            <w:r w:rsidRPr="00AC3290">
              <w:rPr>
                <w:b/>
              </w:rPr>
              <w:t xml:space="preserve">Calculation of Minimum Funding Guarantee per pupil </w:t>
            </w:r>
            <w:r>
              <w:rPr>
                <w:b/>
              </w:rPr>
              <w:t xml:space="preserve">in </w:t>
            </w:r>
            <w:r w:rsidR="00A91103">
              <w:rPr>
                <w:b/>
              </w:rPr>
              <w:t>2026/27</w:t>
            </w:r>
            <w:r w:rsidRPr="00AC3290">
              <w:rPr>
                <w:b/>
              </w:rPr>
              <w:t>:</w:t>
            </w:r>
          </w:p>
        </w:tc>
        <w:tc>
          <w:tcPr>
            <w:tcW w:w="1183" w:type="dxa"/>
            <w:tcBorders>
              <w:left w:val="nil"/>
              <w:right w:val="nil"/>
            </w:tcBorders>
            <w:vAlign w:val="center"/>
          </w:tcPr>
          <w:p w14:paraId="57E453C3" w14:textId="005AB86B" w:rsidR="00A13E20" w:rsidRPr="00521199" w:rsidRDefault="00A13E20" w:rsidP="00A12E8C">
            <w:pPr>
              <w:rPr>
                <w:bCs/>
              </w:rPr>
            </w:pPr>
          </w:p>
        </w:tc>
        <w:tc>
          <w:tcPr>
            <w:tcW w:w="1089" w:type="dxa"/>
            <w:tcBorders>
              <w:left w:val="nil"/>
              <w:right w:val="single" w:sz="4" w:space="0" w:color="auto"/>
            </w:tcBorders>
            <w:vAlign w:val="center"/>
          </w:tcPr>
          <w:p w14:paraId="6D6E3B2D" w14:textId="77777777" w:rsidR="00A13E20" w:rsidRPr="00521199" w:rsidRDefault="00A13E20" w:rsidP="003C2BB6">
            <w:pPr>
              <w:rPr>
                <w:bCs/>
              </w:rPr>
            </w:pPr>
          </w:p>
        </w:tc>
      </w:tr>
      <w:tr w:rsidR="00A13E20" w:rsidRPr="00AC3290" w14:paraId="6D752210" w14:textId="77777777" w:rsidTr="003C2BB6">
        <w:trPr>
          <w:trHeight w:val="1168"/>
        </w:trPr>
        <w:tc>
          <w:tcPr>
            <w:tcW w:w="8075" w:type="dxa"/>
            <w:tcBorders>
              <w:top w:val="nil"/>
              <w:left w:val="single" w:sz="4" w:space="0" w:color="auto"/>
              <w:right w:val="nil"/>
            </w:tcBorders>
            <w:vAlign w:val="center"/>
          </w:tcPr>
          <w:p w14:paraId="34BABC11" w14:textId="09F3B829" w:rsidR="00A13E20" w:rsidRPr="00AC3290" w:rsidRDefault="00A13E20" w:rsidP="00A12E8C">
            <w:r w:rsidRPr="00AC3290">
              <w:t xml:space="preserve">Take protected funding amount (calculated in A) less the </w:t>
            </w:r>
            <w:r w:rsidR="002842DE">
              <w:t>2026/27</w:t>
            </w:r>
            <w:r w:rsidRPr="00AC3290">
              <w:t xml:space="preserve"> </w:t>
            </w:r>
            <w:r>
              <w:t>comparison</w:t>
            </w:r>
            <w:r w:rsidRPr="00AC3290">
              <w:t xml:space="preserve"> funding (calculated in B) – if less than zero MFG is not applicable</w:t>
            </w:r>
            <w:r>
              <w:t>.</w:t>
            </w:r>
          </w:p>
        </w:tc>
        <w:tc>
          <w:tcPr>
            <w:tcW w:w="1183" w:type="dxa"/>
            <w:tcBorders>
              <w:top w:val="nil"/>
              <w:left w:val="nil"/>
              <w:right w:val="nil"/>
            </w:tcBorders>
            <w:vAlign w:val="center"/>
          </w:tcPr>
          <w:p w14:paraId="7ACDA2F3" w14:textId="77777777" w:rsidR="00A13E20" w:rsidRPr="00AC3290" w:rsidRDefault="00A13E20" w:rsidP="00A12E8C"/>
        </w:tc>
        <w:tc>
          <w:tcPr>
            <w:tcW w:w="1089" w:type="dxa"/>
            <w:tcBorders>
              <w:top w:val="nil"/>
              <w:left w:val="nil"/>
              <w:right w:val="single" w:sz="4" w:space="0" w:color="auto"/>
            </w:tcBorders>
            <w:vAlign w:val="center"/>
          </w:tcPr>
          <w:p w14:paraId="3DF14F1F" w14:textId="567E1F75" w:rsidR="00A13E20" w:rsidRPr="00AC3290" w:rsidRDefault="0058162A" w:rsidP="00EA14BE">
            <w:pPr>
              <w:jc w:val="right"/>
            </w:pPr>
            <w:r>
              <w:t>5</w:t>
            </w:r>
            <w:r w:rsidR="00A13E20">
              <w:t>,000</w:t>
            </w:r>
          </w:p>
        </w:tc>
      </w:tr>
      <w:tr w:rsidR="00A13E20" w:rsidRPr="00AC3290" w14:paraId="59F6A2F6" w14:textId="77777777" w:rsidTr="000D7C7F">
        <w:trPr>
          <w:trHeight w:val="142"/>
        </w:trPr>
        <w:tc>
          <w:tcPr>
            <w:tcW w:w="8075" w:type="dxa"/>
            <w:tcBorders>
              <w:top w:val="nil"/>
              <w:left w:val="single" w:sz="4" w:space="0" w:color="auto"/>
              <w:right w:val="nil"/>
            </w:tcBorders>
            <w:vAlign w:val="center"/>
          </w:tcPr>
          <w:p w14:paraId="41A8BCCB" w14:textId="77777777" w:rsidR="00A13E20" w:rsidRPr="005C1A8D" w:rsidRDefault="00A13E20" w:rsidP="00A12E8C"/>
        </w:tc>
        <w:tc>
          <w:tcPr>
            <w:tcW w:w="1183" w:type="dxa"/>
            <w:tcBorders>
              <w:top w:val="nil"/>
              <w:left w:val="nil"/>
              <w:right w:val="nil"/>
            </w:tcBorders>
            <w:vAlign w:val="center"/>
          </w:tcPr>
          <w:p w14:paraId="015F90B1" w14:textId="77777777" w:rsidR="00A13E20" w:rsidRPr="00AC3290" w:rsidRDefault="00A13E20" w:rsidP="00A12E8C"/>
        </w:tc>
        <w:tc>
          <w:tcPr>
            <w:tcW w:w="1089" w:type="dxa"/>
            <w:tcBorders>
              <w:top w:val="nil"/>
              <w:left w:val="nil"/>
              <w:right w:val="single" w:sz="4" w:space="0" w:color="auto"/>
            </w:tcBorders>
            <w:vAlign w:val="center"/>
          </w:tcPr>
          <w:p w14:paraId="4A3E7AB7" w14:textId="77777777" w:rsidR="00A13E20" w:rsidRPr="00AC3290" w:rsidRDefault="00A13E20" w:rsidP="00EA14BE">
            <w:pPr>
              <w:jc w:val="right"/>
            </w:pPr>
          </w:p>
        </w:tc>
      </w:tr>
      <w:tr w:rsidR="00A13E20" w:rsidRPr="00AC3290" w14:paraId="53030D23" w14:textId="77777777" w:rsidTr="003C2BB6">
        <w:trPr>
          <w:trHeight w:val="390"/>
        </w:trPr>
        <w:tc>
          <w:tcPr>
            <w:tcW w:w="8075" w:type="dxa"/>
            <w:tcBorders>
              <w:top w:val="nil"/>
              <w:left w:val="single" w:sz="4" w:space="0" w:color="auto"/>
              <w:right w:val="nil"/>
            </w:tcBorders>
            <w:vAlign w:val="center"/>
          </w:tcPr>
          <w:p w14:paraId="65D68C8F" w14:textId="459B6E26" w:rsidR="00A13E20" w:rsidRPr="00AC3290" w:rsidRDefault="00A13E20" w:rsidP="00A12E8C">
            <w:r w:rsidRPr="00AC3290">
              <w:t>Autumn term 20</w:t>
            </w:r>
            <w:r>
              <w:t>2</w:t>
            </w:r>
            <w:r w:rsidR="002842DE">
              <w:t>5</w:t>
            </w:r>
            <w:r w:rsidRPr="00AC3290">
              <w:t xml:space="preserve"> pupil numbers</w:t>
            </w:r>
          </w:p>
        </w:tc>
        <w:tc>
          <w:tcPr>
            <w:tcW w:w="1183" w:type="dxa"/>
            <w:tcBorders>
              <w:top w:val="nil"/>
              <w:left w:val="nil"/>
              <w:right w:val="nil"/>
            </w:tcBorders>
            <w:vAlign w:val="center"/>
          </w:tcPr>
          <w:p w14:paraId="72DB37F1" w14:textId="77777777" w:rsidR="00A13E20" w:rsidRPr="00AC3290" w:rsidRDefault="00A13E20" w:rsidP="00EA0325">
            <w:pPr>
              <w:jc w:val="right"/>
            </w:pPr>
            <w:r w:rsidRPr="00AC3290">
              <w:t>20</w:t>
            </w:r>
          </w:p>
        </w:tc>
        <w:tc>
          <w:tcPr>
            <w:tcW w:w="1089" w:type="dxa"/>
            <w:tcBorders>
              <w:top w:val="nil"/>
              <w:left w:val="nil"/>
              <w:right w:val="single" w:sz="4" w:space="0" w:color="auto"/>
            </w:tcBorders>
            <w:vAlign w:val="center"/>
          </w:tcPr>
          <w:p w14:paraId="5EFE0B44" w14:textId="77777777" w:rsidR="00A13E20" w:rsidRPr="00AC3290" w:rsidRDefault="00A13E20" w:rsidP="00EA14BE">
            <w:pPr>
              <w:jc w:val="right"/>
            </w:pPr>
          </w:p>
        </w:tc>
      </w:tr>
      <w:tr w:rsidR="00402524" w:rsidRPr="00AC3290" w14:paraId="5BD781B8" w14:textId="77777777" w:rsidTr="000D7C7F">
        <w:trPr>
          <w:trHeight w:val="194"/>
        </w:trPr>
        <w:tc>
          <w:tcPr>
            <w:tcW w:w="8075" w:type="dxa"/>
            <w:tcBorders>
              <w:top w:val="nil"/>
              <w:left w:val="single" w:sz="4" w:space="0" w:color="auto"/>
              <w:right w:val="nil"/>
            </w:tcBorders>
            <w:vAlign w:val="center"/>
          </w:tcPr>
          <w:p w14:paraId="606EA4D8" w14:textId="77777777" w:rsidR="00402524" w:rsidRPr="00AB49A2" w:rsidRDefault="00402524" w:rsidP="00A12E8C"/>
        </w:tc>
        <w:tc>
          <w:tcPr>
            <w:tcW w:w="1183" w:type="dxa"/>
            <w:tcBorders>
              <w:top w:val="nil"/>
              <w:left w:val="nil"/>
              <w:right w:val="nil"/>
            </w:tcBorders>
            <w:vAlign w:val="center"/>
          </w:tcPr>
          <w:p w14:paraId="0FB6D767" w14:textId="77777777" w:rsidR="00402524" w:rsidRPr="00AC3290" w:rsidRDefault="00402524" w:rsidP="00A12E8C"/>
        </w:tc>
        <w:tc>
          <w:tcPr>
            <w:tcW w:w="1089" w:type="dxa"/>
            <w:tcBorders>
              <w:left w:val="nil"/>
              <w:bottom w:val="single" w:sz="4" w:space="0" w:color="auto"/>
              <w:right w:val="single" w:sz="4" w:space="0" w:color="auto"/>
            </w:tcBorders>
            <w:vAlign w:val="center"/>
          </w:tcPr>
          <w:p w14:paraId="7472313A" w14:textId="77777777" w:rsidR="00402524" w:rsidRPr="00CC3CFB" w:rsidRDefault="00402524" w:rsidP="00EA14BE">
            <w:pPr>
              <w:jc w:val="right"/>
              <w:rPr>
                <w:bCs/>
              </w:rPr>
            </w:pPr>
          </w:p>
        </w:tc>
      </w:tr>
      <w:tr w:rsidR="00A13E20" w:rsidRPr="00AC3290" w14:paraId="0BFAEE3D" w14:textId="77777777" w:rsidTr="003C2BB6">
        <w:trPr>
          <w:trHeight w:val="418"/>
        </w:trPr>
        <w:tc>
          <w:tcPr>
            <w:tcW w:w="8075" w:type="dxa"/>
            <w:tcBorders>
              <w:top w:val="nil"/>
              <w:left w:val="single" w:sz="4" w:space="0" w:color="auto"/>
              <w:right w:val="nil"/>
            </w:tcBorders>
            <w:vAlign w:val="center"/>
          </w:tcPr>
          <w:p w14:paraId="442B84C3" w14:textId="77777777" w:rsidR="00A13E20" w:rsidRPr="00AB49A2" w:rsidRDefault="00A13E20" w:rsidP="00A12E8C">
            <w:r w:rsidRPr="00AB49A2">
              <w:t>MFG amount per pupil</w:t>
            </w:r>
          </w:p>
        </w:tc>
        <w:tc>
          <w:tcPr>
            <w:tcW w:w="1183" w:type="dxa"/>
            <w:tcBorders>
              <w:top w:val="nil"/>
              <w:left w:val="nil"/>
              <w:right w:val="nil"/>
            </w:tcBorders>
            <w:vAlign w:val="center"/>
          </w:tcPr>
          <w:p w14:paraId="54910D0C" w14:textId="77777777" w:rsidR="00A13E20" w:rsidRPr="00AC3290" w:rsidRDefault="00A13E20" w:rsidP="00A12E8C"/>
        </w:tc>
        <w:tc>
          <w:tcPr>
            <w:tcW w:w="1089" w:type="dxa"/>
            <w:tcBorders>
              <w:top w:val="single" w:sz="4" w:space="0" w:color="auto"/>
              <w:left w:val="nil"/>
              <w:bottom w:val="single" w:sz="4" w:space="0" w:color="auto"/>
              <w:right w:val="single" w:sz="4" w:space="0" w:color="auto"/>
            </w:tcBorders>
            <w:vAlign w:val="center"/>
          </w:tcPr>
          <w:p w14:paraId="4CD46A32" w14:textId="662A8801" w:rsidR="00A13E20" w:rsidRPr="00AC3290" w:rsidRDefault="00A13E20" w:rsidP="00EA14BE">
            <w:pPr>
              <w:jc w:val="right"/>
              <w:rPr>
                <w:b/>
              </w:rPr>
            </w:pPr>
            <w:r>
              <w:rPr>
                <w:b/>
              </w:rPr>
              <w:t>2</w:t>
            </w:r>
            <w:r w:rsidR="00620AE1">
              <w:rPr>
                <w:b/>
              </w:rPr>
              <w:t>5</w:t>
            </w:r>
            <w:r>
              <w:rPr>
                <w:b/>
              </w:rPr>
              <w:t>0</w:t>
            </w:r>
          </w:p>
        </w:tc>
      </w:tr>
      <w:tr w:rsidR="00A13E20" w:rsidRPr="00AC3290" w14:paraId="763914AB" w14:textId="77777777" w:rsidTr="003C2BB6">
        <w:trPr>
          <w:trHeight w:val="323"/>
        </w:trPr>
        <w:tc>
          <w:tcPr>
            <w:tcW w:w="8075" w:type="dxa"/>
            <w:tcBorders>
              <w:top w:val="nil"/>
              <w:left w:val="single" w:sz="4" w:space="0" w:color="auto"/>
              <w:bottom w:val="single" w:sz="4" w:space="0" w:color="auto"/>
              <w:right w:val="nil"/>
            </w:tcBorders>
            <w:vAlign w:val="center"/>
          </w:tcPr>
          <w:p w14:paraId="3492471E" w14:textId="77777777" w:rsidR="00A13E20" w:rsidRPr="00AC3290" w:rsidRDefault="00A13E20" w:rsidP="00A12E8C"/>
        </w:tc>
        <w:tc>
          <w:tcPr>
            <w:tcW w:w="1183" w:type="dxa"/>
            <w:tcBorders>
              <w:top w:val="nil"/>
              <w:left w:val="nil"/>
              <w:bottom w:val="single" w:sz="4" w:space="0" w:color="auto"/>
              <w:right w:val="nil"/>
            </w:tcBorders>
            <w:vAlign w:val="center"/>
          </w:tcPr>
          <w:p w14:paraId="6ABF2323" w14:textId="77777777" w:rsidR="00A13E20" w:rsidRPr="00AC3290" w:rsidRDefault="00A13E20" w:rsidP="00A12E8C"/>
        </w:tc>
        <w:tc>
          <w:tcPr>
            <w:tcW w:w="1089" w:type="dxa"/>
            <w:tcBorders>
              <w:top w:val="single" w:sz="4" w:space="0" w:color="auto"/>
              <w:left w:val="nil"/>
              <w:bottom w:val="single" w:sz="4" w:space="0" w:color="auto"/>
              <w:right w:val="single" w:sz="4" w:space="0" w:color="auto"/>
            </w:tcBorders>
            <w:vAlign w:val="center"/>
          </w:tcPr>
          <w:p w14:paraId="2C19D625" w14:textId="77777777" w:rsidR="00A13E20" w:rsidRPr="00CC3CFB" w:rsidRDefault="00A13E20" w:rsidP="00A12E8C"/>
        </w:tc>
      </w:tr>
    </w:tbl>
    <w:p w14:paraId="06DACC0D" w14:textId="77777777" w:rsidR="00A13E20" w:rsidRDefault="00A13E20" w:rsidP="0017616E">
      <w:pPr>
        <w:spacing w:after="120" w:line="300" w:lineRule="auto"/>
      </w:pPr>
    </w:p>
    <w:p w14:paraId="51E8BD90" w14:textId="77777777" w:rsidR="00603A78" w:rsidRDefault="00603A78" w:rsidP="0017616E">
      <w:pPr>
        <w:widowControl w:val="0"/>
        <w:autoSpaceDE w:val="0"/>
        <w:autoSpaceDN w:val="0"/>
        <w:adjustRightInd w:val="0"/>
        <w:spacing w:before="120" w:after="120" w:line="300" w:lineRule="auto"/>
        <w:rPr>
          <w:b/>
          <w:bCs/>
        </w:rPr>
      </w:pPr>
    </w:p>
    <w:sectPr w:rsidR="00603A78" w:rsidSect="00DE07CF">
      <w:footerReference w:type="default" r:id="rId19"/>
      <w:pgSz w:w="11900" w:h="16840" w:code="9"/>
      <w:pgMar w:top="1276" w:right="1520" w:bottom="1276" w:left="1520" w:header="567" w:footer="35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788C" w14:textId="77777777" w:rsidR="00A36E04" w:rsidRDefault="00A36E04" w:rsidP="006503CA">
      <w:r>
        <w:separator/>
      </w:r>
    </w:p>
  </w:endnote>
  <w:endnote w:type="continuationSeparator" w:id="0">
    <w:p w14:paraId="5DFC37B8" w14:textId="77777777" w:rsidR="00A36E04" w:rsidRDefault="00A36E04" w:rsidP="0065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D210" w14:textId="04FE53AD"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69061C">
          <w:t xml:space="preserve">                                         </w:t>
        </w:r>
        <w:r w:rsidR="00F76B48">
          <w:t xml:space="preserve">Resourced Provision </w:t>
        </w:r>
        <w:r w:rsidR="00102719">
          <w:t xml:space="preserve">Budget Share Guidance </w:t>
        </w:r>
        <w:r w:rsidR="00CB4CF1">
          <w:t>2026/27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3724" w14:textId="77777777" w:rsidR="00A36E04" w:rsidRDefault="00A36E04" w:rsidP="006503CA">
      <w:r>
        <w:separator/>
      </w:r>
    </w:p>
  </w:footnote>
  <w:footnote w:type="continuationSeparator" w:id="0">
    <w:p w14:paraId="52E73EAC" w14:textId="77777777" w:rsidR="00A36E04" w:rsidRDefault="00A36E04" w:rsidP="00650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B28"/>
    <w:multiLevelType w:val="hybridMultilevel"/>
    <w:tmpl w:val="50C616A6"/>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934824"/>
    <w:multiLevelType w:val="hybridMultilevel"/>
    <w:tmpl w:val="8268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425DF"/>
    <w:multiLevelType w:val="hybridMultilevel"/>
    <w:tmpl w:val="21AA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D1657"/>
    <w:multiLevelType w:val="hybridMultilevel"/>
    <w:tmpl w:val="9582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310C68"/>
    <w:multiLevelType w:val="hybridMultilevel"/>
    <w:tmpl w:val="5DE8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34074"/>
    <w:multiLevelType w:val="hybridMultilevel"/>
    <w:tmpl w:val="A5147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29A3CC9"/>
    <w:multiLevelType w:val="hybridMultilevel"/>
    <w:tmpl w:val="388A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1D33A5"/>
    <w:multiLevelType w:val="multilevel"/>
    <w:tmpl w:val="EE8C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1195E"/>
    <w:multiLevelType w:val="multilevel"/>
    <w:tmpl w:val="C7AC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69952">
    <w:abstractNumId w:val="8"/>
  </w:num>
  <w:num w:numId="2" w16cid:durableId="2009945258">
    <w:abstractNumId w:val="3"/>
  </w:num>
  <w:num w:numId="3" w16cid:durableId="1571571830">
    <w:abstractNumId w:val="6"/>
  </w:num>
  <w:num w:numId="4" w16cid:durableId="72817492">
    <w:abstractNumId w:val="1"/>
  </w:num>
  <w:num w:numId="5" w16cid:durableId="324213495">
    <w:abstractNumId w:val="4"/>
  </w:num>
  <w:num w:numId="6" w16cid:durableId="1268389680">
    <w:abstractNumId w:val="0"/>
  </w:num>
  <w:num w:numId="7" w16cid:durableId="1003701418">
    <w:abstractNumId w:val="7"/>
  </w:num>
  <w:num w:numId="8" w16cid:durableId="754279522">
    <w:abstractNumId w:val="10"/>
  </w:num>
  <w:num w:numId="9" w16cid:durableId="720784913">
    <w:abstractNumId w:val="2"/>
  </w:num>
  <w:num w:numId="10" w16cid:durableId="1060444302">
    <w:abstractNumId w:val="5"/>
  </w:num>
  <w:num w:numId="11" w16cid:durableId="991326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0831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70"/>
    <w:rsid w:val="0000544B"/>
    <w:rsid w:val="0000645A"/>
    <w:rsid w:val="0000701F"/>
    <w:rsid w:val="0001601A"/>
    <w:rsid w:val="00021AE2"/>
    <w:rsid w:val="00025340"/>
    <w:rsid w:val="00026A78"/>
    <w:rsid w:val="00033DB1"/>
    <w:rsid w:val="000376E4"/>
    <w:rsid w:val="00041CDB"/>
    <w:rsid w:val="0004446F"/>
    <w:rsid w:val="000450FA"/>
    <w:rsid w:val="000502AD"/>
    <w:rsid w:val="00053973"/>
    <w:rsid w:val="0005413C"/>
    <w:rsid w:val="00054FF6"/>
    <w:rsid w:val="0006685F"/>
    <w:rsid w:val="000669FA"/>
    <w:rsid w:val="00066E9D"/>
    <w:rsid w:val="00074E32"/>
    <w:rsid w:val="00076A37"/>
    <w:rsid w:val="0007737C"/>
    <w:rsid w:val="00082380"/>
    <w:rsid w:val="000855DD"/>
    <w:rsid w:val="00092916"/>
    <w:rsid w:val="00096DDD"/>
    <w:rsid w:val="000B1CC0"/>
    <w:rsid w:val="000B212D"/>
    <w:rsid w:val="000B2E91"/>
    <w:rsid w:val="000B3929"/>
    <w:rsid w:val="000B5EB5"/>
    <w:rsid w:val="000C6DCF"/>
    <w:rsid w:val="000D32FC"/>
    <w:rsid w:val="000D7C7F"/>
    <w:rsid w:val="000F230A"/>
    <w:rsid w:val="000F6A5F"/>
    <w:rsid w:val="000F7C20"/>
    <w:rsid w:val="001020BD"/>
    <w:rsid w:val="00102719"/>
    <w:rsid w:val="001066D5"/>
    <w:rsid w:val="00120AF3"/>
    <w:rsid w:val="00124806"/>
    <w:rsid w:val="00130A5D"/>
    <w:rsid w:val="00132A5D"/>
    <w:rsid w:val="00133EE5"/>
    <w:rsid w:val="00141C35"/>
    <w:rsid w:val="00142C45"/>
    <w:rsid w:val="00143B56"/>
    <w:rsid w:val="00146500"/>
    <w:rsid w:val="00161AE6"/>
    <w:rsid w:val="00170FBB"/>
    <w:rsid w:val="001726C8"/>
    <w:rsid w:val="00173594"/>
    <w:rsid w:val="00176168"/>
    <w:rsid w:val="0017616E"/>
    <w:rsid w:val="00181169"/>
    <w:rsid w:val="001826AD"/>
    <w:rsid w:val="001879B6"/>
    <w:rsid w:val="00190670"/>
    <w:rsid w:val="00194AE2"/>
    <w:rsid w:val="001A0908"/>
    <w:rsid w:val="001A4F7F"/>
    <w:rsid w:val="001A5793"/>
    <w:rsid w:val="001B0CDD"/>
    <w:rsid w:val="001B5BA9"/>
    <w:rsid w:val="001C20A7"/>
    <w:rsid w:val="001E568B"/>
    <w:rsid w:val="001E5A37"/>
    <w:rsid w:val="001E7FF2"/>
    <w:rsid w:val="001F126F"/>
    <w:rsid w:val="001F5939"/>
    <w:rsid w:val="001F5D96"/>
    <w:rsid w:val="001F6166"/>
    <w:rsid w:val="001F632B"/>
    <w:rsid w:val="00202025"/>
    <w:rsid w:val="0020230F"/>
    <w:rsid w:val="002041EC"/>
    <w:rsid w:val="002120D7"/>
    <w:rsid w:val="00220B03"/>
    <w:rsid w:val="00220B13"/>
    <w:rsid w:val="0022196F"/>
    <w:rsid w:val="00222061"/>
    <w:rsid w:val="0022252B"/>
    <w:rsid w:val="002334F3"/>
    <w:rsid w:val="00235255"/>
    <w:rsid w:val="00237FDB"/>
    <w:rsid w:val="00240EE2"/>
    <w:rsid w:val="00246987"/>
    <w:rsid w:val="00253C66"/>
    <w:rsid w:val="00255BCF"/>
    <w:rsid w:val="00257569"/>
    <w:rsid w:val="00262CBA"/>
    <w:rsid w:val="00263AEC"/>
    <w:rsid w:val="0026641F"/>
    <w:rsid w:val="0026719E"/>
    <w:rsid w:val="002840BD"/>
    <w:rsid w:val="002842DE"/>
    <w:rsid w:val="00293DE1"/>
    <w:rsid w:val="00296219"/>
    <w:rsid w:val="002A1806"/>
    <w:rsid w:val="002B1AB5"/>
    <w:rsid w:val="002B1B20"/>
    <w:rsid w:val="002B359F"/>
    <w:rsid w:val="002B39E3"/>
    <w:rsid w:val="002B5178"/>
    <w:rsid w:val="002C077C"/>
    <w:rsid w:val="002D590A"/>
    <w:rsid w:val="002D5E57"/>
    <w:rsid w:val="002E36BC"/>
    <w:rsid w:val="002F0E3C"/>
    <w:rsid w:val="002F26A1"/>
    <w:rsid w:val="002F2A47"/>
    <w:rsid w:val="00305559"/>
    <w:rsid w:val="0030605F"/>
    <w:rsid w:val="00307240"/>
    <w:rsid w:val="00314FA2"/>
    <w:rsid w:val="003152CB"/>
    <w:rsid w:val="0032023C"/>
    <w:rsid w:val="00321570"/>
    <w:rsid w:val="00343253"/>
    <w:rsid w:val="0035276B"/>
    <w:rsid w:val="00353BE1"/>
    <w:rsid w:val="0036131A"/>
    <w:rsid w:val="00362311"/>
    <w:rsid w:val="00371013"/>
    <w:rsid w:val="00373718"/>
    <w:rsid w:val="00374763"/>
    <w:rsid w:val="00376A8A"/>
    <w:rsid w:val="0038069E"/>
    <w:rsid w:val="003848D4"/>
    <w:rsid w:val="00394D3E"/>
    <w:rsid w:val="00395B7B"/>
    <w:rsid w:val="003A4FF6"/>
    <w:rsid w:val="003A5548"/>
    <w:rsid w:val="003B1CBD"/>
    <w:rsid w:val="003B4DDA"/>
    <w:rsid w:val="003B5126"/>
    <w:rsid w:val="003B6B33"/>
    <w:rsid w:val="003C1A0C"/>
    <w:rsid w:val="003C2BB6"/>
    <w:rsid w:val="003C39D9"/>
    <w:rsid w:val="003C45F8"/>
    <w:rsid w:val="003D33BF"/>
    <w:rsid w:val="003E0885"/>
    <w:rsid w:val="003E2DA5"/>
    <w:rsid w:val="003F02CC"/>
    <w:rsid w:val="003F3181"/>
    <w:rsid w:val="003F48F1"/>
    <w:rsid w:val="003F5943"/>
    <w:rsid w:val="004003C6"/>
    <w:rsid w:val="00401021"/>
    <w:rsid w:val="00402524"/>
    <w:rsid w:val="00420D2B"/>
    <w:rsid w:val="00432802"/>
    <w:rsid w:val="004344F0"/>
    <w:rsid w:val="00435B61"/>
    <w:rsid w:val="00447C21"/>
    <w:rsid w:val="00450F74"/>
    <w:rsid w:val="00455020"/>
    <w:rsid w:val="00455EAA"/>
    <w:rsid w:val="00456ADE"/>
    <w:rsid w:val="00461241"/>
    <w:rsid w:val="00461431"/>
    <w:rsid w:val="00461671"/>
    <w:rsid w:val="0046735F"/>
    <w:rsid w:val="00475E4D"/>
    <w:rsid w:val="004776CB"/>
    <w:rsid w:val="0048482A"/>
    <w:rsid w:val="004A08E1"/>
    <w:rsid w:val="004A33C9"/>
    <w:rsid w:val="004A76B6"/>
    <w:rsid w:val="004C67E5"/>
    <w:rsid w:val="004D307B"/>
    <w:rsid w:val="004D7BB9"/>
    <w:rsid w:val="004F46AB"/>
    <w:rsid w:val="004F7E2D"/>
    <w:rsid w:val="00500F1D"/>
    <w:rsid w:val="00514AD3"/>
    <w:rsid w:val="00521199"/>
    <w:rsid w:val="0052152E"/>
    <w:rsid w:val="00521F94"/>
    <w:rsid w:val="00525379"/>
    <w:rsid w:val="005259CC"/>
    <w:rsid w:val="0052741F"/>
    <w:rsid w:val="00527F3A"/>
    <w:rsid w:val="00531436"/>
    <w:rsid w:val="00536782"/>
    <w:rsid w:val="00547D5D"/>
    <w:rsid w:val="00550E01"/>
    <w:rsid w:val="00560083"/>
    <w:rsid w:val="005613F5"/>
    <w:rsid w:val="005646F5"/>
    <w:rsid w:val="005706B3"/>
    <w:rsid w:val="0057493D"/>
    <w:rsid w:val="00574E24"/>
    <w:rsid w:val="0058162A"/>
    <w:rsid w:val="00582E63"/>
    <w:rsid w:val="00587DCD"/>
    <w:rsid w:val="00591CA5"/>
    <w:rsid w:val="005A3E9D"/>
    <w:rsid w:val="005A6CCD"/>
    <w:rsid w:val="005B043B"/>
    <w:rsid w:val="005B1597"/>
    <w:rsid w:val="005C1A8D"/>
    <w:rsid w:val="005C1E4F"/>
    <w:rsid w:val="005D0ACB"/>
    <w:rsid w:val="005D3246"/>
    <w:rsid w:val="005D412C"/>
    <w:rsid w:val="005D41DB"/>
    <w:rsid w:val="005E4FF9"/>
    <w:rsid w:val="005E52C0"/>
    <w:rsid w:val="005E76ED"/>
    <w:rsid w:val="005F04AA"/>
    <w:rsid w:val="005F0DD1"/>
    <w:rsid w:val="00600DAC"/>
    <w:rsid w:val="00603A78"/>
    <w:rsid w:val="00604121"/>
    <w:rsid w:val="00604736"/>
    <w:rsid w:val="0060771A"/>
    <w:rsid w:val="00620AE1"/>
    <w:rsid w:val="0062682D"/>
    <w:rsid w:val="00634D6D"/>
    <w:rsid w:val="00642934"/>
    <w:rsid w:val="00644AC6"/>
    <w:rsid w:val="00645873"/>
    <w:rsid w:val="00646031"/>
    <w:rsid w:val="00647CAB"/>
    <w:rsid w:val="006503CA"/>
    <w:rsid w:val="00654A98"/>
    <w:rsid w:val="00655C8C"/>
    <w:rsid w:val="00655D45"/>
    <w:rsid w:val="006571D4"/>
    <w:rsid w:val="0066251C"/>
    <w:rsid w:val="006773B0"/>
    <w:rsid w:val="00677826"/>
    <w:rsid w:val="00677891"/>
    <w:rsid w:val="00681FB9"/>
    <w:rsid w:val="0069061C"/>
    <w:rsid w:val="006916F4"/>
    <w:rsid w:val="006964A2"/>
    <w:rsid w:val="006A46FE"/>
    <w:rsid w:val="006A6268"/>
    <w:rsid w:val="006A695B"/>
    <w:rsid w:val="006B4B48"/>
    <w:rsid w:val="006B5068"/>
    <w:rsid w:val="006B5417"/>
    <w:rsid w:val="006C1512"/>
    <w:rsid w:val="006C2768"/>
    <w:rsid w:val="006D229D"/>
    <w:rsid w:val="006E6ED1"/>
    <w:rsid w:val="006F5451"/>
    <w:rsid w:val="006F6A05"/>
    <w:rsid w:val="0070040B"/>
    <w:rsid w:val="0070114B"/>
    <w:rsid w:val="00702DA2"/>
    <w:rsid w:val="00703F31"/>
    <w:rsid w:val="00712121"/>
    <w:rsid w:val="007268D9"/>
    <w:rsid w:val="00731E71"/>
    <w:rsid w:val="00732AF7"/>
    <w:rsid w:val="00736FD9"/>
    <w:rsid w:val="00743082"/>
    <w:rsid w:val="007464C2"/>
    <w:rsid w:val="00750D62"/>
    <w:rsid w:val="00754CC1"/>
    <w:rsid w:val="00766317"/>
    <w:rsid w:val="007752E1"/>
    <w:rsid w:val="00775E29"/>
    <w:rsid w:val="00777C10"/>
    <w:rsid w:val="00780822"/>
    <w:rsid w:val="0078153D"/>
    <w:rsid w:val="00781E57"/>
    <w:rsid w:val="00786555"/>
    <w:rsid w:val="0078670B"/>
    <w:rsid w:val="00796E06"/>
    <w:rsid w:val="00796F4B"/>
    <w:rsid w:val="007A51F7"/>
    <w:rsid w:val="007B0C65"/>
    <w:rsid w:val="007B50D6"/>
    <w:rsid w:val="007C491C"/>
    <w:rsid w:val="007C7A2F"/>
    <w:rsid w:val="007C7BD9"/>
    <w:rsid w:val="007D039D"/>
    <w:rsid w:val="007D0D4B"/>
    <w:rsid w:val="007D36D2"/>
    <w:rsid w:val="007E2B9E"/>
    <w:rsid w:val="007E641E"/>
    <w:rsid w:val="007F2BE9"/>
    <w:rsid w:val="00800D2F"/>
    <w:rsid w:val="00802D5B"/>
    <w:rsid w:val="0080751A"/>
    <w:rsid w:val="00811402"/>
    <w:rsid w:val="00813439"/>
    <w:rsid w:val="008218F0"/>
    <w:rsid w:val="00823BD4"/>
    <w:rsid w:val="008311AE"/>
    <w:rsid w:val="00833E54"/>
    <w:rsid w:val="008342C8"/>
    <w:rsid w:val="008447E8"/>
    <w:rsid w:val="0085394F"/>
    <w:rsid w:val="0085596C"/>
    <w:rsid w:val="0086357A"/>
    <w:rsid w:val="00863A0F"/>
    <w:rsid w:val="0086517A"/>
    <w:rsid w:val="008751D5"/>
    <w:rsid w:val="0087627F"/>
    <w:rsid w:val="00887613"/>
    <w:rsid w:val="00887923"/>
    <w:rsid w:val="00893900"/>
    <w:rsid w:val="008940A8"/>
    <w:rsid w:val="008A46E2"/>
    <w:rsid w:val="008A683F"/>
    <w:rsid w:val="008B22AF"/>
    <w:rsid w:val="008B2F14"/>
    <w:rsid w:val="008B615D"/>
    <w:rsid w:val="008C31C6"/>
    <w:rsid w:val="008C4BFE"/>
    <w:rsid w:val="008C5684"/>
    <w:rsid w:val="008D0B83"/>
    <w:rsid w:val="008D3A72"/>
    <w:rsid w:val="008F3DC0"/>
    <w:rsid w:val="008F53FD"/>
    <w:rsid w:val="008F59D4"/>
    <w:rsid w:val="008F749C"/>
    <w:rsid w:val="009011ED"/>
    <w:rsid w:val="009125EB"/>
    <w:rsid w:val="009136F2"/>
    <w:rsid w:val="00915E58"/>
    <w:rsid w:val="00920B16"/>
    <w:rsid w:val="009263E1"/>
    <w:rsid w:val="00930C95"/>
    <w:rsid w:val="00936037"/>
    <w:rsid w:val="009361BC"/>
    <w:rsid w:val="0093631D"/>
    <w:rsid w:val="009365A5"/>
    <w:rsid w:val="00940323"/>
    <w:rsid w:val="00950C72"/>
    <w:rsid w:val="00953800"/>
    <w:rsid w:val="00953AAC"/>
    <w:rsid w:val="0096757F"/>
    <w:rsid w:val="00967E63"/>
    <w:rsid w:val="00976E4A"/>
    <w:rsid w:val="00985D17"/>
    <w:rsid w:val="00985E9F"/>
    <w:rsid w:val="0098752E"/>
    <w:rsid w:val="0099338C"/>
    <w:rsid w:val="009A71E4"/>
    <w:rsid w:val="009B571E"/>
    <w:rsid w:val="009B75BC"/>
    <w:rsid w:val="009C2087"/>
    <w:rsid w:val="009C35A0"/>
    <w:rsid w:val="009C708D"/>
    <w:rsid w:val="009D1413"/>
    <w:rsid w:val="009D1DD7"/>
    <w:rsid w:val="009D2943"/>
    <w:rsid w:val="009D5681"/>
    <w:rsid w:val="009E3115"/>
    <w:rsid w:val="009E3347"/>
    <w:rsid w:val="009E4B2A"/>
    <w:rsid w:val="009F4135"/>
    <w:rsid w:val="00A00B79"/>
    <w:rsid w:val="00A02D53"/>
    <w:rsid w:val="00A056AB"/>
    <w:rsid w:val="00A12E8C"/>
    <w:rsid w:val="00A13E20"/>
    <w:rsid w:val="00A2587E"/>
    <w:rsid w:val="00A25FCF"/>
    <w:rsid w:val="00A2600E"/>
    <w:rsid w:val="00A33B17"/>
    <w:rsid w:val="00A3695B"/>
    <w:rsid w:val="00A36E04"/>
    <w:rsid w:val="00A400EF"/>
    <w:rsid w:val="00A403E3"/>
    <w:rsid w:val="00A43126"/>
    <w:rsid w:val="00A43364"/>
    <w:rsid w:val="00A53951"/>
    <w:rsid w:val="00A573FA"/>
    <w:rsid w:val="00A64184"/>
    <w:rsid w:val="00A7010E"/>
    <w:rsid w:val="00A74668"/>
    <w:rsid w:val="00A74E0A"/>
    <w:rsid w:val="00A82A08"/>
    <w:rsid w:val="00A83FF2"/>
    <w:rsid w:val="00A85636"/>
    <w:rsid w:val="00A86A43"/>
    <w:rsid w:val="00A91103"/>
    <w:rsid w:val="00A91639"/>
    <w:rsid w:val="00A92723"/>
    <w:rsid w:val="00A97AD7"/>
    <w:rsid w:val="00A97DFD"/>
    <w:rsid w:val="00AA27B3"/>
    <w:rsid w:val="00AB5030"/>
    <w:rsid w:val="00AB550B"/>
    <w:rsid w:val="00AB5988"/>
    <w:rsid w:val="00AC05E9"/>
    <w:rsid w:val="00AC1154"/>
    <w:rsid w:val="00AC69E9"/>
    <w:rsid w:val="00AD2504"/>
    <w:rsid w:val="00AD5978"/>
    <w:rsid w:val="00B000C7"/>
    <w:rsid w:val="00B0799C"/>
    <w:rsid w:val="00B07D53"/>
    <w:rsid w:val="00B07D7C"/>
    <w:rsid w:val="00B12226"/>
    <w:rsid w:val="00B474D3"/>
    <w:rsid w:val="00B537F5"/>
    <w:rsid w:val="00B61D10"/>
    <w:rsid w:val="00B63EC4"/>
    <w:rsid w:val="00B65ED6"/>
    <w:rsid w:val="00B74B90"/>
    <w:rsid w:val="00B80645"/>
    <w:rsid w:val="00B9156A"/>
    <w:rsid w:val="00B93451"/>
    <w:rsid w:val="00B946C6"/>
    <w:rsid w:val="00BA3947"/>
    <w:rsid w:val="00BA60CB"/>
    <w:rsid w:val="00BA61B4"/>
    <w:rsid w:val="00BA6FC4"/>
    <w:rsid w:val="00BC1E82"/>
    <w:rsid w:val="00BC4256"/>
    <w:rsid w:val="00BC5582"/>
    <w:rsid w:val="00BC6CAB"/>
    <w:rsid w:val="00BC7133"/>
    <w:rsid w:val="00BD41C2"/>
    <w:rsid w:val="00BD5031"/>
    <w:rsid w:val="00BD5991"/>
    <w:rsid w:val="00BD7CA2"/>
    <w:rsid w:val="00BE138F"/>
    <w:rsid w:val="00BE4754"/>
    <w:rsid w:val="00C040B3"/>
    <w:rsid w:val="00C12C4A"/>
    <w:rsid w:val="00C16CEC"/>
    <w:rsid w:val="00C20FF9"/>
    <w:rsid w:val="00C21569"/>
    <w:rsid w:val="00C2530F"/>
    <w:rsid w:val="00C317A9"/>
    <w:rsid w:val="00C36432"/>
    <w:rsid w:val="00C5214A"/>
    <w:rsid w:val="00C63107"/>
    <w:rsid w:val="00C6404E"/>
    <w:rsid w:val="00C655F2"/>
    <w:rsid w:val="00C75FB5"/>
    <w:rsid w:val="00C76B77"/>
    <w:rsid w:val="00C8040D"/>
    <w:rsid w:val="00C8125A"/>
    <w:rsid w:val="00C862EB"/>
    <w:rsid w:val="00C867E7"/>
    <w:rsid w:val="00C95075"/>
    <w:rsid w:val="00C97326"/>
    <w:rsid w:val="00CA2AAD"/>
    <w:rsid w:val="00CA45BB"/>
    <w:rsid w:val="00CB4CF1"/>
    <w:rsid w:val="00CB53CF"/>
    <w:rsid w:val="00CB579B"/>
    <w:rsid w:val="00CB5F17"/>
    <w:rsid w:val="00CB63AE"/>
    <w:rsid w:val="00CC3CFB"/>
    <w:rsid w:val="00CE2FC7"/>
    <w:rsid w:val="00CE61AE"/>
    <w:rsid w:val="00CE64E9"/>
    <w:rsid w:val="00CE6788"/>
    <w:rsid w:val="00CF11A5"/>
    <w:rsid w:val="00D01F30"/>
    <w:rsid w:val="00D02738"/>
    <w:rsid w:val="00D077E9"/>
    <w:rsid w:val="00D14672"/>
    <w:rsid w:val="00D20613"/>
    <w:rsid w:val="00D21113"/>
    <w:rsid w:val="00D27861"/>
    <w:rsid w:val="00D33776"/>
    <w:rsid w:val="00D33B3D"/>
    <w:rsid w:val="00D45F91"/>
    <w:rsid w:val="00D52E4B"/>
    <w:rsid w:val="00D57BD9"/>
    <w:rsid w:val="00D64681"/>
    <w:rsid w:val="00D717D5"/>
    <w:rsid w:val="00D85549"/>
    <w:rsid w:val="00D97A29"/>
    <w:rsid w:val="00DA0358"/>
    <w:rsid w:val="00DA1997"/>
    <w:rsid w:val="00DA33B4"/>
    <w:rsid w:val="00DB3051"/>
    <w:rsid w:val="00DB3DD4"/>
    <w:rsid w:val="00DB47F1"/>
    <w:rsid w:val="00DC3051"/>
    <w:rsid w:val="00DE07CF"/>
    <w:rsid w:val="00DE1ED5"/>
    <w:rsid w:val="00DE527B"/>
    <w:rsid w:val="00DE7F16"/>
    <w:rsid w:val="00DF5342"/>
    <w:rsid w:val="00DF64B9"/>
    <w:rsid w:val="00E02461"/>
    <w:rsid w:val="00E069A3"/>
    <w:rsid w:val="00E070AF"/>
    <w:rsid w:val="00E11003"/>
    <w:rsid w:val="00E126DB"/>
    <w:rsid w:val="00E1373C"/>
    <w:rsid w:val="00E23467"/>
    <w:rsid w:val="00E31781"/>
    <w:rsid w:val="00E3708B"/>
    <w:rsid w:val="00E4083D"/>
    <w:rsid w:val="00E47BCA"/>
    <w:rsid w:val="00E50A5C"/>
    <w:rsid w:val="00E527CF"/>
    <w:rsid w:val="00E658D6"/>
    <w:rsid w:val="00E701ED"/>
    <w:rsid w:val="00E7190A"/>
    <w:rsid w:val="00E7303B"/>
    <w:rsid w:val="00E84562"/>
    <w:rsid w:val="00E9391C"/>
    <w:rsid w:val="00E946BF"/>
    <w:rsid w:val="00EA0325"/>
    <w:rsid w:val="00EA14BE"/>
    <w:rsid w:val="00EA19AE"/>
    <w:rsid w:val="00EA30B7"/>
    <w:rsid w:val="00EA56AA"/>
    <w:rsid w:val="00EA75F2"/>
    <w:rsid w:val="00EB2393"/>
    <w:rsid w:val="00EB2EA3"/>
    <w:rsid w:val="00EC128B"/>
    <w:rsid w:val="00EC48EE"/>
    <w:rsid w:val="00EC572D"/>
    <w:rsid w:val="00ED2B6C"/>
    <w:rsid w:val="00ED3DAB"/>
    <w:rsid w:val="00ED6F3D"/>
    <w:rsid w:val="00EE149F"/>
    <w:rsid w:val="00EE6FD1"/>
    <w:rsid w:val="00EE7594"/>
    <w:rsid w:val="00EF0081"/>
    <w:rsid w:val="00EF0206"/>
    <w:rsid w:val="00EF048C"/>
    <w:rsid w:val="00EF084B"/>
    <w:rsid w:val="00EF14E7"/>
    <w:rsid w:val="00EF16DA"/>
    <w:rsid w:val="00EF20AD"/>
    <w:rsid w:val="00EF6255"/>
    <w:rsid w:val="00F07D32"/>
    <w:rsid w:val="00F11391"/>
    <w:rsid w:val="00F172F1"/>
    <w:rsid w:val="00F314B9"/>
    <w:rsid w:val="00F31A20"/>
    <w:rsid w:val="00F466F0"/>
    <w:rsid w:val="00F50D19"/>
    <w:rsid w:val="00F510CF"/>
    <w:rsid w:val="00F54B6C"/>
    <w:rsid w:val="00F57C0F"/>
    <w:rsid w:val="00F604B5"/>
    <w:rsid w:val="00F70C51"/>
    <w:rsid w:val="00F72545"/>
    <w:rsid w:val="00F74310"/>
    <w:rsid w:val="00F75479"/>
    <w:rsid w:val="00F76B48"/>
    <w:rsid w:val="00F82A03"/>
    <w:rsid w:val="00F92057"/>
    <w:rsid w:val="00F933AC"/>
    <w:rsid w:val="00F97A25"/>
    <w:rsid w:val="00F97F71"/>
    <w:rsid w:val="00FA253F"/>
    <w:rsid w:val="00FA3644"/>
    <w:rsid w:val="00FA6091"/>
    <w:rsid w:val="00FB0F10"/>
    <w:rsid w:val="00FB21A1"/>
    <w:rsid w:val="00FC0E93"/>
    <w:rsid w:val="00FC38B9"/>
    <w:rsid w:val="00FD6CCD"/>
    <w:rsid w:val="00FD7AB6"/>
    <w:rsid w:val="00FE0E2B"/>
    <w:rsid w:val="00FE0FFF"/>
    <w:rsid w:val="00FE131E"/>
    <w:rsid w:val="00FE1C8E"/>
    <w:rsid w:val="00FE32FC"/>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1D938BDD"/>
  <w15:chartTrackingRefBased/>
  <w15:docId w15:val="{8FE50CFF-967A-49F7-98FA-8FE86D2A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character" w:styleId="Mention">
    <w:name w:val="Mention"/>
    <w:basedOn w:val="DefaultParagraphFont"/>
    <w:uiPriority w:val="99"/>
    <w:unhideWhenUsed/>
    <w:rsid w:val="00321570"/>
    <w:rPr>
      <w:color w:val="2B579A"/>
      <w:shd w:val="clear" w:color="auto" w:fill="E1DFDD"/>
    </w:rPr>
  </w:style>
  <w:style w:type="paragraph" w:customStyle="1" w:styleId="paragraph">
    <w:name w:val="paragraph"/>
    <w:basedOn w:val="Normal"/>
    <w:rsid w:val="00603A7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rsid w:val="00603A78"/>
  </w:style>
  <w:style w:type="character" w:customStyle="1" w:styleId="eop">
    <w:name w:val="eop"/>
    <w:rsid w:val="00603A78"/>
  </w:style>
  <w:style w:type="paragraph" w:styleId="TOCHeading">
    <w:name w:val="TOC Heading"/>
    <w:basedOn w:val="Heading1"/>
    <w:next w:val="Normal"/>
    <w:uiPriority w:val="39"/>
    <w:unhideWhenUsed/>
    <w:qFormat/>
    <w:rsid w:val="00C12C4A"/>
    <w:pPr>
      <w:keepNext/>
      <w:keepLines/>
      <w:spacing w:before="24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14:ligatures w14:val="none"/>
    </w:rPr>
  </w:style>
  <w:style w:type="paragraph" w:styleId="TOC3">
    <w:name w:val="toc 3"/>
    <w:basedOn w:val="Normal"/>
    <w:next w:val="Normal"/>
    <w:autoRedefine/>
    <w:uiPriority w:val="39"/>
    <w:unhideWhenUsed/>
    <w:rsid w:val="00C12C4A"/>
    <w:pPr>
      <w:spacing w:after="100" w:line="259" w:lineRule="auto"/>
      <w:ind w:left="440"/>
    </w:pPr>
    <w:rPr>
      <w:rFonts w:asciiTheme="minorHAnsi" w:eastAsiaTheme="minorEastAsia" w:hAnsiTheme="minorHAnsi" w:cs="Times New Roman"/>
      <w:kern w:val="0"/>
      <w:sz w:val="22"/>
      <w:szCs w:val="22"/>
      <w:lang w:val="en-US"/>
      <w14:ligatures w14:val="none"/>
    </w:rPr>
  </w:style>
  <w:style w:type="character" w:styleId="UnresolvedMention">
    <w:name w:val="Unresolved Mention"/>
    <w:basedOn w:val="DefaultParagraphFont"/>
    <w:uiPriority w:val="99"/>
    <w:semiHidden/>
    <w:unhideWhenUsed/>
    <w:rsid w:val="00604736"/>
    <w:rPr>
      <w:color w:val="605E5C"/>
      <w:shd w:val="clear" w:color="auto" w:fill="E1DFDD"/>
    </w:rPr>
  </w:style>
  <w:style w:type="character" w:styleId="CommentReference">
    <w:name w:val="annotation reference"/>
    <w:basedOn w:val="DefaultParagraphFont"/>
    <w:uiPriority w:val="99"/>
    <w:semiHidden/>
    <w:unhideWhenUsed/>
    <w:rsid w:val="007752E1"/>
    <w:rPr>
      <w:sz w:val="16"/>
      <w:szCs w:val="16"/>
    </w:rPr>
  </w:style>
  <w:style w:type="paragraph" w:styleId="CommentText">
    <w:name w:val="annotation text"/>
    <w:basedOn w:val="Normal"/>
    <w:link w:val="CommentTextChar"/>
    <w:uiPriority w:val="99"/>
    <w:unhideWhenUsed/>
    <w:rsid w:val="007752E1"/>
    <w:rPr>
      <w:sz w:val="20"/>
      <w:szCs w:val="20"/>
    </w:rPr>
  </w:style>
  <w:style w:type="character" w:customStyle="1" w:styleId="CommentTextChar">
    <w:name w:val="Comment Text Char"/>
    <w:basedOn w:val="DefaultParagraphFont"/>
    <w:link w:val="CommentText"/>
    <w:uiPriority w:val="99"/>
    <w:rsid w:val="007752E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752E1"/>
    <w:rPr>
      <w:b/>
      <w:bCs/>
    </w:rPr>
  </w:style>
  <w:style w:type="character" w:customStyle="1" w:styleId="CommentSubjectChar">
    <w:name w:val="Comment Subject Char"/>
    <w:basedOn w:val="CommentTextChar"/>
    <w:link w:val="CommentSubject"/>
    <w:uiPriority w:val="99"/>
    <w:semiHidden/>
    <w:rsid w:val="007752E1"/>
    <w:rPr>
      <w:rFonts w:ascii="Arial" w:hAnsi="Arial" w:cs="Arial"/>
      <w:b/>
      <w:bCs/>
      <w:sz w:val="20"/>
      <w:szCs w:val="20"/>
    </w:rPr>
  </w:style>
  <w:style w:type="paragraph" w:styleId="NormalWeb">
    <w:name w:val="Normal (Web)"/>
    <w:basedOn w:val="Normal"/>
    <w:uiPriority w:val="99"/>
    <w:semiHidden/>
    <w:unhideWhenUsed/>
    <w:rsid w:val="00800D2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F70C51"/>
    <w:rPr>
      <w:color w:val="954F72" w:themeColor="followedHyperlink"/>
      <w:u w:val="single"/>
    </w:rPr>
  </w:style>
  <w:style w:type="table" w:styleId="TableGrid">
    <w:name w:val="Table Grid"/>
    <w:basedOn w:val="TableNormal"/>
    <w:uiPriority w:val="39"/>
    <w:rsid w:val="0078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0FFF"/>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235">
      <w:bodyDiv w:val="1"/>
      <w:marLeft w:val="0"/>
      <w:marRight w:val="0"/>
      <w:marTop w:val="0"/>
      <w:marBottom w:val="0"/>
      <w:divBdr>
        <w:top w:val="none" w:sz="0" w:space="0" w:color="auto"/>
        <w:left w:val="none" w:sz="0" w:space="0" w:color="auto"/>
        <w:bottom w:val="none" w:sz="0" w:space="0" w:color="auto"/>
        <w:right w:val="none" w:sz="0" w:space="0" w:color="auto"/>
      </w:divBdr>
    </w:div>
    <w:div w:id="10948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School.Fund@hants.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en.manualpayments@hants.gov.uk" TargetMode="External"/><Relationship Id="rId2" Type="http://schemas.openxmlformats.org/officeDocument/2006/relationships/customXml" Target="../customXml/item2.xml"/><Relationship Id="rId16" Type="http://schemas.openxmlformats.org/officeDocument/2006/relationships/hyperlink" Target="mailto:School.Fund@han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ENDcommissioning@hants.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high-needs-funding-arrangements-2026-to-2027/high-needs-funding-2026-to-2027-operational-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ibcam\OneDrive%20-%20Hampshire%20County%20Council\Documents\Custom%20Office%20Templates\Corporate%20Report%20Template%20(white%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47B3-CED4-4CA1-A4E2-674C6C339E76}">
  <ds:schemaRefs>
    <ds:schemaRef ds:uri="Microsoft.SharePoint.Taxonomy.ContentTypeSync"/>
  </ds:schemaRefs>
</ds:datastoreItem>
</file>

<file path=customXml/itemProps2.xml><?xml version="1.0" encoding="utf-8"?>
<ds:datastoreItem xmlns:ds="http://schemas.openxmlformats.org/officeDocument/2006/customXml" ds:itemID="{C7536AA6-15CF-48C3-8322-CFBE027C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D7B96-6AB5-4B4F-8CF5-CA6872D37005}">
  <ds:schemaRefs>
    <ds:schemaRef ds:uri="http://schemas.microsoft.com/sharepoint/events"/>
  </ds:schemaRefs>
</ds:datastoreItem>
</file>

<file path=customXml/itemProps4.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5.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s>
</ds:datastoreItem>
</file>

<file path=customXml/itemProps6.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Report Template (white cover)</Template>
  <TotalTime>1083</TotalTime>
  <Pages>13</Pages>
  <Words>3148</Words>
  <Characters>16208</Characters>
  <Application>Microsoft Office Word</Application>
  <DocSecurity>0</DocSecurity>
  <Lines>448</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Mollart, Aimee</dc:creator>
  <cp:keywords/>
  <dc:description/>
  <cp:lastModifiedBy>Smith, Adam (Corporate Resources, Finance)</cp:lastModifiedBy>
  <cp:revision>155</cp:revision>
  <dcterms:created xsi:type="dcterms:W3CDTF">2026-01-18T13:37:00Z</dcterms:created>
  <dcterms:modified xsi:type="dcterms:W3CDTF">2026-02-18T12:46:00Z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0x0101004E1B537BC2B2AD43A5AF5311D732D3AA001614B3EA1478AC478C025D1CAD6210AB</vt:lpwstr>
  </property>
  <property fmtid="{D5CDD505-2E9C-101B-9397-08002B2CF9AE}" pid="3" name="_dlc_DocIdItemGuid">
    <vt:lpwstr>68164c55-a459-40f4-8cec-113d503d0bb8</vt:lpwstr>
  </property>
  <property fmtid="{D5CDD505-2E9C-101B-9397-08002B2CF9AE}" pid="4" name="Document Type">
    <vt:lpwstr/>
  </property>
</Properties>
</file>