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C27A" w14:textId="77777777" w:rsidR="00863A0F" w:rsidRDefault="00863A0F" w:rsidP="006503CA">
      <w:pPr>
        <w:pStyle w:val="Documenttitle"/>
      </w:pPr>
    </w:p>
    <w:p w14:paraId="57848694" w14:textId="77777777" w:rsidR="00863A0F" w:rsidRDefault="00863A0F" w:rsidP="006503CA">
      <w:pPr>
        <w:pStyle w:val="Documenttitle"/>
      </w:pPr>
    </w:p>
    <w:p w14:paraId="122BC7D1" w14:textId="77777777" w:rsidR="00863A0F" w:rsidRDefault="00863A0F" w:rsidP="006503CA">
      <w:pPr>
        <w:pStyle w:val="Documenttitle"/>
      </w:pPr>
    </w:p>
    <w:p w14:paraId="349D4D8E" w14:textId="77777777" w:rsidR="00863A0F" w:rsidRDefault="00863A0F" w:rsidP="006503CA">
      <w:pPr>
        <w:pStyle w:val="Documenttitle"/>
      </w:pPr>
    </w:p>
    <w:p w14:paraId="11B51602" w14:textId="0F27088A" w:rsidR="0000701F" w:rsidRPr="00EF5EF0" w:rsidRDefault="00FB0194" w:rsidP="00EF5EF0">
      <w:pPr>
        <w:pStyle w:val="Documenttitle"/>
        <w:jc w:val="center"/>
        <w:rPr>
          <w:color w:val="08314C"/>
          <w:sz w:val="72"/>
          <w:szCs w:val="72"/>
        </w:rPr>
      </w:pPr>
      <w:r>
        <w:rPr>
          <w:color w:val="08314C"/>
          <w:sz w:val="72"/>
          <w:szCs w:val="72"/>
        </w:rPr>
        <w:t>2026/27</w:t>
      </w:r>
      <w:r w:rsidR="00EF5EF0" w:rsidRPr="00EF5EF0">
        <w:rPr>
          <w:color w:val="08314C"/>
          <w:sz w:val="72"/>
          <w:szCs w:val="72"/>
        </w:rPr>
        <w:t xml:space="preserve"> Budget Share</w:t>
      </w:r>
    </w:p>
    <w:p w14:paraId="1301DD4A" w14:textId="77777777" w:rsidR="00EF5EF0" w:rsidRPr="00EF5EF0" w:rsidRDefault="00EF5EF0" w:rsidP="00EF5EF0">
      <w:pPr>
        <w:pStyle w:val="Documenttitle"/>
        <w:jc w:val="center"/>
        <w:rPr>
          <w:color w:val="08314C"/>
          <w:sz w:val="72"/>
          <w:szCs w:val="72"/>
        </w:rPr>
      </w:pPr>
    </w:p>
    <w:p w14:paraId="2B90F421" w14:textId="6187A880" w:rsidR="00EF5EF0" w:rsidRPr="00EF5EF0" w:rsidRDefault="00EF5EF0" w:rsidP="00EF5EF0">
      <w:pPr>
        <w:pStyle w:val="Documenttitle"/>
        <w:jc w:val="center"/>
        <w:rPr>
          <w:color w:val="08314C"/>
          <w:sz w:val="72"/>
          <w:szCs w:val="72"/>
        </w:rPr>
      </w:pPr>
      <w:r w:rsidRPr="00EF5EF0">
        <w:rPr>
          <w:color w:val="08314C"/>
          <w:sz w:val="72"/>
          <w:szCs w:val="72"/>
        </w:rPr>
        <w:t>Guidance Notes</w:t>
      </w:r>
    </w:p>
    <w:p w14:paraId="4EAD6F45" w14:textId="06AFE363" w:rsidR="00EF5EF0" w:rsidRPr="00EF5EF0" w:rsidRDefault="00EF5EF0" w:rsidP="00EF5EF0">
      <w:pPr>
        <w:pStyle w:val="Documenttitle"/>
        <w:jc w:val="center"/>
        <w:rPr>
          <w:color w:val="08314C"/>
          <w:sz w:val="72"/>
          <w:szCs w:val="72"/>
        </w:rPr>
      </w:pPr>
    </w:p>
    <w:p w14:paraId="025E3E24" w14:textId="72194468" w:rsidR="00EF5EF0" w:rsidRPr="00EF5EF0" w:rsidRDefault="00EF5EF0" w:rsidP="00EF5EF0">
      <w:pPr>
        <w:pStyle w:val="Documenttitle"/>
        <w:jc w:val="center"/>
        <w:rPr>
          <w:color w:val="08314C"/>
          <w:sz w:val="72"/>
          <w:szCs w:val="72"/>
        </w:rPr>
      </w:pPr>
      <w:r w:rsidRPr="00EF5EF0">
        <w:rPr>
          <w:color w:val="08314C"/>
          <w:sz w:val="72"/>
          <w:szCs w:val="72"/>
        </w:rPr>
        <w:t>Education Centres</w:t>
      </w:r>
    </w:p>
    <w:p w14:paraId="2BA33B89" w14:textId="77777777" w:rsidR="00EF5EF0" w:rsidRDefault="00EF5EF0" w:rsidP="006503CA"/>
    <w:p w14:paraId="31778F7B" w14:textId="77777777" w:rsidR="00EF5EF0" w:rsidRDefault="00EF5EF0" w:rsidP="006503CA"/>
    <w:p w14:paraId="63A0D7E1" w14:textId="77777777" w:rsidR="00EF5EF0" w:rsidRDefault="00EF5EF0" w:rsidP="006503CA"/>
    <w:p w14:paraId="49716F14" w14:textId="77777777" w:rsidR="00EF5EF0" w:rsidRDefault="00EF5EF0" w:rsidP="006503CA"/>
    <w:p w14:paraId="04DDB00B" w14:textId="77777777" w:rsidR="00EF5EF0" w:rsidRDefault="00EF5EF0" w:rsidP="006503CA"/>
    <w:p w14:paraId="5E620EEE" w14:textId="77777777" w:rsidR="00EF5EF0" w:rsidRDefault="00EF5EF0" w:rsidP="006503CA"/>
    <w:p w14:paraId="203EB22C" w14:textId="77777777" w:rsidR="00EF5EF0" w:rsidRDefault="00EF5EF0" w:rsidP="006503CA"/>
    <w:p w14:paraId="3B364FE1" w14:textId="77777777" w:rsidR="00EF5EF0" w:rsidRDefault="00EF5EF0" w:rsidP="006503CA"/>
    <w:p w14:paraId="6A0984C4" w14:textId="77777777" w:rsidR="00EF5EF0" w:rsidRDefault="00EF5EF0" w:rsidP="006503CA"/>
    <w:p w14:paraId="03FB3753" w14:textId="77777777" w:rsidR="00EF5EF0" w:rsidRDefault="00EF5EF0" w:rsidP="006503CA"/>
    <w:p w14:paraId="1E5D7D70" w14:textId="77777777" w:rsidR="00A64873" w:rsidRDefault="00A64873" w:rsidP="006503CA"/>
    <w:p w14:paraId="7588066D" w14:textId="77777777" w:rsidR="00A64873" w:rsidRDefault="00A64873" w:rsidP="006503CA"/>
    <w:p w14:paraId="7C47B141" w14:textId="77777777" w:rsidR="00A64873" w:rsidRDefault="00A64873" w:rsidP="006503CA"/>
    <w:p w14:paraId="4EF01C8E" w14:textId="77777777" w:rsidR="00EF5EF0" w:rsidRDefault="00EF5EF0" w:rsidP="006503CA"/>
    <w:p w14:paraId="2E49F5DA" w14:textId="77777777" w:rsidR="00EF5EF0" w:rsidRDefault="00EF5EF0" w:rsidP="006503CA"/>
    <w:p w14:paraId="77E368FA" w14:textId="77777777" w:rsidR="00EF5EF0" w:rsidRDefault="00EF5EF0" w:rsidP="006503CA"/>
    <w:p w14:paraId="136808B6" w14:textId="77777777" w:rsidR="00EF5EF0" w:rsidRDefault="00EF5EF0" w:rsidP="006503CA"/>
    <w:p w14:paraId="6B1A00E6" w14:textId="354E01E6" w:rsidR="0000701F" w:rsidRDefault="008218F0" w:rsidP="006503CA">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4A3CB971" wp14:editId="16A30456">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EF5EF0">
        <w:t>February 202</w:t>
      </w:r>
      <w:r w:rsidR="00FB0194">
        <w:t>6</w:t>
      </w:r>
      <w:r w:rsidR="0000701F">
        <w:br w:type="page"/>
      </w:r>
    </w:p>
    <w:p w14:paraId="5FA15DE8" w14:textId="51B54F6A" w:rsidR="002F2A47" w:rsidRPr="00A64873" w:rsidRDefault="00863A0F" w:rsidP="002F2A47">
      <w:pPr>
        <w:pStyle w:val="Contentsh1"/>
        <w:rPr>
          <w:sz w:val="40"/>
          <w:szCs w:val="40"/>
        </w:rPr>
      </w:pPr>
      <w:r w:rsidRPr="00A64873">
        <w:rPr>
          <w:sz w:val="40"/>
          <w:szCs w:val="40"/>
        </w:rPr>
        <w:lastRenderedPageBreak/>
        <w:t>Contents</w:t>
      </w:r>
    </w:p>
    <w:p w14:paraId="4C9C6BEA" w14:textId="77777777" w:rsidR="00655C8C" w:rsidRDefault="00655C8C">
      <w:pPr>
        <w:pStyle w:val="TOC1"/>
        <w:tabs>
          <w:tab w:val="right" w:leader="dot" w:pos="9016"/>
        </w:tabs>
      </w:pPr>
    </w:p>
    <w:p w14:paraId="181FFE52" w14:textId="5B038C40" w:rsidR="00A64873" w:rsidRPr="00A64873" w:rsidRDefault="002F2A47" w:rsidP="00A64873">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fldChar w:fldCharType="begin"/>
      </w:r>
      <w:r>
        <w:instrText xml:space="preserve"> TOC \o "1-2" \h \z \t "h1,1,h2,2" </w:instrText>
      </w:r>
      <w:r>
        <w:fldChar w:fldCharType="separate"/>
      </w:r>
      <w:r w:rsidR="00A64873" w:rsidRPr="00A64873">
        <w:rPr>
          <w:rStyle w:val="Hyperlink"/>
          <w:noProof/>
          <w:color w:val="auto"/>
          <w:u w:val="none"/>
        </w:rPr>
        <w:t>General Information</w:t>
      </w:r>
      <w:r w:rsidR="00A64873" w:rsidRPr="00A64873">
        <w:rPr>
          <w:noProof/>
          <w:webHidden/>
        </w:rPr>
        <w:tab/>
        <w:t>3</w:t>
      </w:r>
    </w:p>
    <w:p w14:paraId="1E6C5B8B" w14:textId="1B2900F9" w:rsidR="00A64873" w:rsidRPr="00A64873" w:rsidRDefault="00A64873" w:rsidP="00A64873">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 xml:space="preserve">Changes for </w:t>
      </w:r>
      <w:r w:rsidR="00FB0194">
        <w:rPr>
          <w:rStyle w:val="Hyperlink"/>
          <w:noProof/>
          <w:color w:val="auto"/>
          <w:u w:val="none"/>
        </w:rPr>
        <w:t>2026/27</w:t>
      </w:r>
      <w:r w:rsidRPr="00A64873">
        <w:rPr>
          <w:noProof/>
          <w:webHidden/>
        </w:rPr>
        <w:tab/>
        <w:t>3</w:t>
      </w:r>
    </w:p>
    <w:p w14:paraId="3E00AF79" w14:textId="303AA2F9" w:rsidR="00A64873" w:rsidRPr="00A64873" w:rsidRDefault="00A64873" w:rsidP="00A64873">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Contacts / Queries</w:t>
      </w:r>
      <w:r w:rsidRPr="00A64873">
        <w:rPr>
          <w:noProof/>
          <w:webHidden/>
        </w:rPr>
        <w:tab/>
        <w:t>4</w:t>
      </w:r>
    </w:p>
    <w:p w14:paraId="3B5895D7" w14:textId="1CB0AAEA" w:rsidR="00A64873" w:rsidRPr="00A64873" w:rsidRDefault="00A64873" w:rsidP="00A64873">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Place Funding</w:t>
      </w:r>
      <w:r w:rsidRPr="00A64873">
        <w:rPr>
          <w:noProof/>
          <w:webHidden/>
        </w:rPr>
        <w:tab/>
        <w:t>4</w:t>
      </w:r>
    </w:p>
    <w:p w14:paraId="50792DA0" w14:textId="2C89FD43" w:rsidR="00A64873" w:rsidRPr="00A64873" w:rsidRDefault="00337828" w:rsidP="00A64873">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Pr>
          <w:rStyle w:val="Hyperlink"/>
          <w:noProof/>
          <w:color w:val="auto"/>
          <w:u w:val="none"/>
        </w:rPr>
        <w:t>Legacy Funding</w:t>
      </w:r>
      <w:r w:rsidR="00A64873" w:rsidRPr="00A64873">
        <w:rPr>
          <w:noProof/>
          <w:webHidden/>
        </w:rPr>
        <w:tab/>
        <w:t>5</w:t>
      </w:r>
    </w:p>
    <w:p w14:paraId="26A0D8A5" w14:textId="6D3590F6" w:rsidR="00A64873" w:rsidRDefault="00A64873" w:rsidP="00A64873">
      <w:pPr>
        <w:pStyle w:val="TOC1"/>
        <w:tabs>
          <w:tab w:val="right" w:leader="dot" w:pos="9016"/>
        </w:tabs>
        <w:spacing w:after="120" w:line="300" w:lineRule="auto"/>
        <w:rPr>
          <w:noProof/>
          <w:webHidden/>
        </w:rPr>
      </w:pPr>
      <w:r w:rsidRPr="00A64873">
        <w:rPr>
          <w:rStyle w:val="Hyperlink"/>
          <w:noProof/>
          <w:color w:val="auto"/>
          <w:u w:val="none"/>
        </w:rPr>
        <w:t>Central Provision Funded by Maintained Schools</w:t>
      </w:r>
      <w:r w:rsidRPr="00A64873">
        <w:rPr>
          <w:noProof/>
          <w:webHidden/>
        </w:rPr>
        <w:tab/>
      </w:r>
      <w:r w:rsidR="00542AD8">
        <w:rPr>
          <w:noProof/>
          <w:webHidden/>
        </w:rPr>
        <w:t>6</w:t>
      </w:r>
    </w:p>
    <w:p w14:paraId="385282E6" w14:textId="656B9EB5" w:rsidR="00542AD8" w:rsidRDefault="00542AD8" w:rsidP="00542AD8">
      <w:pPr>
        <w:pStyle w:val="TOC1"/>
        <w:tabs>
          <w:tab w:val="right" w:leader="dot" w:pos="9016"/>
        </w:tabs>
        <w:spacing w:after="120" w:line="300" w:lineRule="auto"/>
        <w:rPr>
          <w:noProof/>
          <w:webHidden/>
        </w:rPr>
      </w:pPr>
      <w:r>
        <w:rPr>
          <w:rStyle w:val="Hyperlink"/>
          <w:noProof/>
          <w:color w:val="auto"/>
          <w:u w:val="none"/>
        </w:rPr>
        <w:t>Commissioned E</w:t>
      </w:r>
      <w:r w:rsidR="002A0DDF">
        <w:rPr>
          <w:rStyle w:val="Hyperlink"/>
          <w:noProof/>
          <w:color w:val="auto"/>
          <w:u w:val="none"/>
        </w:rPr>
        <w:t xml:space="preserve">ducation </w:t>
      </w:r>
      <w:r>
        <w:rPr>
          <w:rStyle w:val="Hyperlink"/>
          <w:noProof/>
          <w:color w:val="auto"/>
          <w:u w:val="none"/>
        </w:rPr>
        <w:t>C</w:t>
      </w:r>
      <w:r w:rsidR="002A0DDF">
        <w:rPr>
          <w:rStyle w:val="Hyperlink"/>
          <w:noProof/>
          <w:color w:val="auto"/>
          <w:u w:val="none"/>
        </w:rPr>
        <w:t>entre</w:t>
      </w:r>
      <w:r>
        <w:rPr>
          <w:rStyle w:val="Hyperlink"/>
          <w:noProof/>
          <w:color w:val="auto"/>
          <w:u w:val="none"/>
        </w:rPr>
        <w:t xml:space="preserve"> Service</w:t>
      </w:r>
      <w:r w:rsidRPr="00A64873">
        <w:rPr>
          <w:noProof/>
          <w:webHidden/>
        </w:rPr>
        <w:tab/>
      </w:r>
      <w:r>
        <w:rPr>
          <w:noProof/>
          <w:webHidden/>
        </w:rPr>
        <w:t>6</w:t>
      </w:r>
    </w:p>
    <w:p w14:paraId="5D1948AF" w14:textId="42774429" w:rsidR="00A64873" w:rsidRPr="00A64873" w:rsidRDefault="00A64873" w:rsidP="00A64873">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Additional Information</w:t>
      </w:r>
      <w:r w:rsidRPr="00A64873">
        <w:rPr>
          <w:noProof/>
          <w:webHidden/>
        </w:rPr>
        <w:tab/>
      </w:r>
      <w:r w:rsidR="001E7BE3">
        <w:rPr>
          <w:noProof/>
          <w:webHidden/>
        </w:rPr>
        <w:t>7</w:t>
      </w:r>
    </w:p>
    <w:p w14:paraId="2E0656EA" w14:textId="3BB2A6EF" w:rsidR="00A64873" w:rsidRPr="00A64873" w:rsidRDefault="00A64873" w:rsidP="00A64873">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Additional funding when pupil numbers exceed APN</w:t>
      </w:r>
      <w:r w:rsidRPr="00A64873">
        <w:rPr>
          <w:noProof/>
          <w:webHidden/>
        </w:rPr>
        <w:tab/>
      </w:r>
      <w:r w:rsidR="001E7BE3">
        <w:rPr>
          <w:noProof/>
          <w:webHidden/>
        </w:rPr>
        <w:t>7</w:t>
      </w:r>
    </w:p>
    <w:p w14:paraId="444113B8" w14:textId="53A5DAA2" w:rsidR="00A64873" w:rsidRDefault="00D50D3E" w:rsidP="00A64873">
      <w:pPr>
        <w:pStyle w:val="TOC2"/>
        <w:tabs>
          <w:tab w:val="right" w:leader="dot" w:pos="9016"/>
        </w:tabs>
        <w:spacing w:after="120" w:line="300" w:lineRule="auto"/>
        <w:rPr>
          <w:noProof/>
          <w:webHidden/>
        </w:rPr>
      </w:pPr>
      <w:r>
        <w:rPr>
          <w:rStyle w:val="Hyperlink"/>
          <w:noProof/>
          <w:color w:val="auto"/>
          <w:u w:val="none"/>
        </w:rPr>
        <w:t xml:space="preserve">Other </w:t>
      </w:r>
      <w:r w:rsidR="004711EF">
        <w:rPr>
          <w:rStyle w:val="Hyperlink"/>
          <w:noProof/>
          <w:color w:val="auto"/>
          <w:u w:val="none"/>
        </w:rPr>
        <w:t>i</w:t>
      </w:r>
      <w:r w:rsidR="00A64873" w:rsidRPr="00A64873">
        <w:rPr>
          <w:rStyle w:val="Hyperlink"/>
          <w:noProof/>
          <w:color w:val="auto"/>
          <w:u w:val="none"/>
        </w:rPr>
        <w:t xml:space="preserve">ncome in respect of </w:t>
      </w:r>
      <w:r w:rsidR="004711EF">
        <w:rPr>
          <w:rStyle w:val="Hyperlink"/>
          <w:noProof/>
          <w:color w:val="auto"/>
          <w:u w:val="none"/>
        </w:rPr>
        <w:t>p</w:t>
      </w:r>
      <w:r w:rsidR="00A64873" w:rsidRPr="00A64873">
        <w:rPr>
          <w:rStyle w:val="Hyperlink"/>
          <w:noProof/>
          <w:color w:val="auto"/>
          <w:u w:val="none"/>
        </w:rPr>
        <w:t xml:space="preserve">laced </w:t>
      </w:r>
      <w:r w:rsidR="004711EF">
        <w:rPr>
          <w:rStyle w:val="Hyperlink"/>
          <w:noProof/>
          <w:color w:val="auto"/>
          <w:u w:val="none"/>
        </w:rPr>
        <w:t>p</w:t>
      </w:r>
      <w:r w:rsidR="00A64873" w:rsidRPr="00A64873">
        <w:rPr>
          <w:rStyle w:val="Hyperlink"/>
          <w:noProof/>
          <w:color w:val="auto"/>
          <w:u w:val="none"/>
        </w:rPr>
        <w:t>upils</w:t>
      </w:r>
      <w:r w:rsidR="00A64873" w:rsidRPr="00A64873">
        <w:rPr>
          <w:noProof/>
          <w:webHidden/>
        </w:rPr>
        <w:tab/>
      </w:r>
      <w:r w:rsidR="001E7BE3">
        <w:rPr>
          <w:noProof/>
          <w:webHidden/>
        </w:rPr>
        <w:t>7</w:t>
      </w:r>
    </w:p>
    <w:p w14:paraId="64C6C806" w14:textId="033F701B" w:rsidR="001E7BE3" w:rsidRPr="00A64873" w:rsidRDefault="001E7BE3" w:rsidP="001E7BE3">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Pr>
          <w:rStyle w:val="Hyperlink"/>
          <w:noProof/>
          <w:color w:val="auto"/>
          <w:u w:val="none"/>
        </w:rPr>
        <w:t xml:space="preserve">Money </w:t>
      </w:r>
      <w:r w:rsidR="001B2007">
        <w:rPr>
          <w:rStyle w:val="Hyperlink"/>
          <w:noProof/>
          <w:color w:val="auto"/>
          <w:u w:val="none"/>
        </w:rPr>
        <w:t>f</w:t>
      </w:r>
      <w:r>
        <w:rPr>
          <w:rStyle w:val="Hyperlink"/>
          <w:noProof/>
          <w:color w:val="auto"/>
          <w:u w:val="none"/>
        </w:rPr>
        <w:t xml:space="preserve">ollowing </w:t>
      </w:r>
      <w:r w:rsidR="001B2007">
        <w:rPr>
          <w:rStyle w:val="Hyperlink"/>
          <w:noProof/>
          <w:color w:val="auto"/>
          <w:u w:val="none"/>
        </w:rPr>
        <w:t>e</w:t>
      </w:r>
      <w:r>
        <w:rPr>
          <w:rStyle w:val="Hyperlink"/>
          <w:noProof/>
          <w:color w:val="auto"/>
          <w:u w:val="none"/>
        </w:rPr>
        <w:t xml:space="preserve">xcluded </w:t>
      </w:r>
      <w:r w:rsidR="001B2007">
        <w:rPr>
          <w:rStyle w:val="Hyperlink"/>
          <w:noProof/>
          <w:color w:val="auto"/>
          <w:u w:val="none"/>
        </w:rPr>
        <w:t>p</w:t>
      </w:r>
      <w:r>
        <w:rPr>
          <w:rStyle w:val="Hyperlink"/>
          <w:noProof/>
          <w:color w:val="auto"/>
          <w:u w:val="none"/>
        </w:rPr>
        <w:t xml:space="preserve">upils and </w:t>
      </w:r>
      <w:r w:rsidRPr="00A64873">
        <w:rPr>
          <w:rStyle w:val="Hyperlink"/>
          <w:noProof/>
          <w:color w:val="auto"/>
          <w:u w:val="none"/>
        </w:rPr>
        <w:t>Pupil Premium</w:t>
      </w:r>
      <w:r w:rsidRPr="00A64873">
        <w:rPr>
          <w:noProof/>
          <w:webHidden/>
        </w:rPr>
        <w:tab/>
      </w:r>
      <w:r>
        <w:rPr>
          <w:noProof/>
          <w:webHidden/>
        </w:rPr>
        <w:t>8</w:t>
      </w:r>
    </w:p>
    <w:p w14:paraId="0F9E42FA" w14:textId="548FC358" w:rsidR="00A64873" w:rsidRPr="00A64873" w:rsidRDefault="00A64873" w:rsidP="00A64873">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Pupil Premium</w:t>
      </w:r>
      <w:r w:rsidRPr="00A64873">
        <w:rPr>
          <w:noProof/>
          <w:webHidden/>
        </w:rPr>
        <w:tab/>
      </w:r>
      <w:r w:rsidR="001E7BE3">
        <w:rPr>
          <w:noProof/>
          <w:webHidden/>
        </w:rPr>
        <w:t>8</w:t>
      </w:r>
    </w:p>
    <w:p w14:paraId="482736A8" w14:textId="2C61CE26" w:rsidR="00A64873" w:rsidRPr="00A64873" w:rsidRDefault="00A64873" w:rsidP="00A64873">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 xml:space="preserve">Services </w:t>
      </w:r>
      <w:r w:rsidR="001B2007">
        <w:rPr>
          <w:rStyle w:val="Hyperlink"/>
          <w:noProof/>
          <w:color w:val="auto"/>
          <w:u w:val="none"/>
        </w:rPr>
        <w:t>a</w:t>
      </w:r>
      <w:r w:rsidRPr="00A64873">
        <w:rPr>
          <w:rStyle w:val="Hyperlink"/>
          <w:noProof/>
          <w:color w:val="auto"/>
          <w:u w:val="none"/>
        </w:rPr>
        <w:t xml:space="preserve">vailable to </w:t>
      </w:r>
      <w:r w:rsidR="001B2007">
        <w:rPr>
          <w:rStyle w:val="Hyperlink"/>
          <w:noProof/>
          <w:color w:val="auto"/>
          <w:u w:val="none"/>
        </w:rPr>
        <w:t>e</w:t>
      </w:r>
      <w:r w:rsidRPr="00A64873">
        <w:rPr>
          <w:rStyle w:val="Hyperlink"/>
          <w:noProof/>
          <w:color w:val="auto"/>
          <w:u w:val="none"/>
        </w:rPr>
        <w:t xml:space="preserve">ducation </w:t>
      </w:r>
      <w:r w:rsidR="001B2007">
        <w:rPr>
          <w:rStyle w:val="Hyperlink"/>
          <w:noProof/>
          <w:color w:val="auto"/>
          <w:u w:val="none"/>
        </w:rPr>
        <w:t>c</w:t>
      </w:r>
      <w:r w:rsidRPr="00A64873">
        <w:rPr>
          <w:rStyle w:val="Hyperlink"/>
          <w:noProof/>
          <w:color w:val="auto"/>
          <w:u w:val="none"/>
        </w:rPr>
        <w:t>entres</w:t>
      </w:r>
      <w:r w:rsidRPr="00A64873">
        <w:rPr>
          <w:noProof/>
          <w:webHidden/>
        </w:rPr>
        <w:tab/>
      </w:r>
      <w:r w:rsidR="00F968F8">
        <w:rPr>
          <w:noProof/>
          <w:webHidden/>
        </w:rPr>
        <w:t>8</w:t>
      </w:r>
    </w:p>
    <w:p w14:paraId="4944E0B0" w14:textId="7F8EF597" w:rsidR="00EF5EF0" w:rsidRPr="00F968F8" w:rsidRDefault="00A64873" w:rsidP="00F968F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A64873">
        <w:rPr>
          <w:rStyle w:val="Hyperlink"/>
          <w:noProof/>
          <w:color w:val="auto"/>
          <w:u w:val="none"/>
        </w:rPr>
        <w:t xml:space="preserve">Appendix 1 – Table of Values for Education Centres </w:t>
      </w:r>
      <w:r w:rsidR="00FB0194">
        <w:rPr>
          <w:rStyle w:val="Hyperlink"/>
          <w:noProof/>
          <w:color w:val="auto"/>
          <w:u w:val="none"/>
        </w:rPr>
        <w:t>2026/27</w:t>
      </w:r>
      <w:r w:rsidRPr="00A64873">
        <w:rPr>
          <w:noProof/>
          <w:webHidden/>
        </w:rPr>
        <w:tab/>
      </w:r>
      <w:r w:rsidR="00F968F8">
        <w:rPr>
          <w:noProof/>
          <w:webHidden/>
        </w:rPr>
        <w:t>9</w:t>
      </w:r>
      <w:r w:rsidR="002F2A47">
        <w:fldChar w:fldCharType="end"/>
      </w:r>
      <w:r w:rsidR="002F2A47">
        <w:br w:type="page"/>
      </w:r>
    </w:p>
    <w:p w14:paraId="7A66F814" w14:textId="6CDC7A57" w:rsidR="00EF5EF0" w:rsidRPr="00EF5EF0" w:rsidRDefault="00EF5EF0" w:rsidP="00A06812">
      <w:pPr>
        <w:pStyle w:val="h1"/>
        <w:spacing w:after="120" w:line="300" w:lineRule="auto"/>
        <w:rPr>
          <w:sz w:val="40"/>
          <w:szCs w:val="40"/>
        </w:rPr>
      </w:pPr>
      <w:bookmarkStart w:id="0" w:name="_Toc158714167"/>
      <w:r w:rsidRPr="00EF5EF0">
        <w:rPr>
          <w:sz w:val="40"/>
          <w:szCs w:val="40"/>
        </w:rPr>
        <w:lastRenderedPageBreak/>
        <w:t>General Information</w:t>
      </w:r>
      <w:bookmarkEnd w:id="0"/>
    </w:p>
    <w:p w14:paraId="5B4816A4" w14:textId="307E94E3" w:rsidR="00EF5EF0" w:rsidRDefault="00EF5EF0" w:rsidP="00A06812">
      <w:pPr>
        <w:spacing w:after="120" w:line="300" w:lineRule="auto"/>
      </w:pPr>
      <w:r w:rsidRPr="00B439FA">
        <w:t xml:space="preserve">Education </w:t>
      </w:r>
      <w:r>
        <w:t>c</w:t>
      </w:r>
      <w:r w:rsidRPr="00B439FA">
        <w:t xml:space="preserve">entres </w:t>
      </w:r>
      <w:r w:rsidR="00570779">
        <w:t xml:space="preserve">are Hampshire </w:t>
      </w:r>
      <w:r w:rsidR="009F3DF2">
        <w:t xml:space="preserve">Pupil Referral Units </w:t>
      </w:r>
      <w:r w:rsidR="007242DD">
        <w:t xml:space="preserve">or </w:t>
      </w:r>
      <w:r w:rsidR="009F3DF2">
        <w:t xml:space="preserve">AP academies </w:t>
      </w:r>
      <w:r w:rsidR="007242DD">
        <w:t xml:space="preserve">and </w:t>
      </w:r>
      <w:proofErr w:type="gramStart"/>
      <w:r w:rsidRPr="00B439FA">
        <w:t>are funded</w:t>
      </w:r>
      <w:proofErr w:type="gramEnd"/>
      <w:r w:rsidRPr="00B439FA">
        <w:t xml:space="preserve"> on a place basis, in accordance with Department for Education (DfE) requirements. </w:t>
      </w:r>
      <w:r w:rsidR="00E55697">
        <w:t xml:space="preserve">Education centres also </w:t>
      </w:r>
      <w:r w:rsidR="00C04873">
        <w:t xml:space="preserve">receive funding for </w:t>
      </w:r>
      <w:r w:rsidR="00E70FF1">
        <w:t>a Commissioned EC Service rather than top-up</w:t>
      </w:r>
      <w:r w:rsidR="00E13D0B">
        <w:t xml:space="preserve">. </w:t>
      </w:r>
      <w:r w:rsidRPr="00B439FA">
        <w:t xml:space="preserve">The principles of this approach are that </w:t>
      </w:r>
      <w:r>
        <w:t>e</w:t>
      </w:r>
      <w:r w:rsidRPr="00B439FA">
        <w:t xml:space="preserve">ducation </w:t>
      </w:r>
      <w:r>
        <w:t>c</w:t>
      </w:r>
      <w:r w:rsidRPr="00B439FA">
        <w:t xml:space="preserve">entres receive guaranteed </w:t>
      </w:r>
      <w:r w:rsidR="009A6CC1">
        <w:t xml:space="preserve">funding for </w:t>
      </w:r>
      <w:r w:rsidRPr="00B439FA">
        <w:t>the year</w:t>
      </w:r>
      <w:r w:rsidR="00064048">
        <w:t xml:space="preserve"> in exchange for delivering a servic</w:t>
      </w:r>
      <w:r w:rsidR="00181C43">
        <w:t>e level agreement.</w:t>
      </w:r>
    </w:p>
    <w:p w14:paraId="448BFEDD" w14:textId="77777777" w:rsidR="00EF5EF0" w:rsidRDefault="00EF5EF0" w:rsidP="00A06812">
      <w:pPr>
        <w:spacing w:after="120" w:line="300" w:lineRule="auto"/>
      </w:pPr>
      <w:bookmarkStart w:id="1" w:name="Changes"/>
    </w:p>
    <w:p w14:paraId="49BD3E59" w14:textId="5D92BB10" w:rsidR="00EF5EF0" w:rsidRPr="00EF5EF0" w:rsidRDefault="00EF5EF0" w:rsidP="00A06812">
      <w:pPr>
        <w:pStyle w:val="h1"/>
        <w:spacing w:after="120" w:line="300" w:lineRule="auto"/>
        <w:rPr>
          <w:sz w:val="40"/>
          <w:szCs w:val="40"/>
        </w:rPr>
      </w:pPr>
      <w:bookmarkStart w:id="2" w:name="_Toc158714168"/>
      <w:r w:rsidRPr="00EF5EF0">
        <w:rPr>
          <w:sz w:val="40"/>
          <w:szCs w:val="40"/>
        </w:rPr>
        <w:t xml:space="preserve">Changes for </w:t>
      </w:r>
      <w:r w:rsidR="00FB0194">
        <w:rPr>
          <w:sz w:val="40"/>
          <w:szCs w:val="40"/>
        </w:rPr>
        <w:t>2026/27</w:t>
      </w:r>
      <w:bookmarkEnd w:id="2"/>
    </w:p>
    <w:p w14:paraId="11A7ED8A" w14:textId="2508BC39" w:rsidR="008C2CD5" w:rsidRPr="002B55F3" w:rsidRDefault="00E23BF2" w:rsidP="6C04500C">
      <w:pPr>
        <w:pStyle w:val="ListParagraph"/>
        <w:numPr>
          <w:ilvl w:val="0"/>
          <w:numId w:val="18"/>
        </w:numPr>
        <w:spacing w:after="120" w:line="300" w:lineRule="auto"/>
        <w:ind w:left="714" w:hanging="357"/>
        <w:contextualSpacing w:val="0"/>
      </w:pPr>
      <w:bookmarkStart w:id="3" w:name="_Toc158714169"/>
      <w:bookmarkStart w:id="4" w:name="Contact"/>
      <w:bookmarkEnd w:id="1"/>
      <w:r w:rsidRPr="002B55F3">
        <w:t xml:space="preserve">Introduction of </w:t>
      </w:r>
      <w:r w:rsidR="00D46627" w:rsidRPr="002B55F3">
        <w:t>funding</w:t>
      </w:r>
      <w:r w:rsidRPr="002B55F3">
        <w:t xml:space="preserve"> a commission</w:t>
      </w:r>
      <w:r w:rsidR="00DF7EFF" w:rsidRPr="002B55F3">
        <w:t>ed</w:t>
      </w:r>
      <w:r w:rsidRPr="002B55F3">
        <w:t xml:space="preserve"> EC </w:t>
      </w:r>
      <w:r w:rsidR="008C2CD5" w:rsidRPr="002B55F3">
        <w:t>service.</w:t>
      </w:r>
    </w:p>
    <w:p w14:paraId="1528FC96" w14:textId="2FB17E73" w:rsidR="008C2CD5" w:rsidRPr="002B55F3" w:rsidRDefault="008C2CD5" w:rsidP="6C04500C">
      <w:pPr>
        <w:pStyle w:val="ListParagraph"/>
        <w:numPr>
          <w:ilvl w:val="0"/>
          <w:numId w:val="18"/>
        </w:numPr>
        <w:spacing w:after="120" w:line="300" w:lineRule="auto"/>
        <w:ind w:left="714" w:hanging="357"/>
        <w:contextualSpacing w:val="0"/>
      </w:pPr>
      <w:r w:rsidRPr="002B55F3">
        <w:t xml:space="preserve">Removal of </w:t>
      </w:r>
      <w:r w:rsidR="006B55D0" w:rsidRPr="002B55F3">
        <w:t>separate</w:t>
      </w:r>
      <w:r w:rsidR="00F036F9" w:rsidRPr="002B55F3">
        <w:t xml:space="preserve"> funding for</w:t>
      </w:r>
      <w:r w:rsidR="006B55D0" w:rsidRPr="002B55F3">
        <w:t xml:space="preserve"> </w:t>
      </w:r>
      <w:r w:rsidR="00136910" w:rsidRPr="002B55F3">
        <w:t>EV/Unwell places.</w:t>
      </w:r>
    </w:p>
    <w:p w14:paraId="448CCF42" w14:textId="7DA3EEAB" w:rsidR="00EF5F4D" w:rsidRPr="002B55F3" w:rsidRDefault="00EF5F4D" w:rsidP="6C04500C">
      <w:pPr>
        <w:pStyle w:val="ListParagraph"/>
        <w:numPr>
          <w:ilvl w:val="0"/>
          <w:numId w:val="18"/>
        </w:numPr>
        <w:spacing w:after="120" w:line="300" w:lineRule="auto"/>
        <w:ind w:left="714" w:hanging="357"/>
        <w:contextualSpacing w:val="0"/>
      </w:pPr>
      <w:r w:rsidRPr="002B55F3">
        <w:t xml:space="preserve">Removal of </w:t>
      </w:r>
      <w:r w:rsidR="006B55D0" w:rsidRPr="002B55F3">
        <w:t xml:space="preserve">separate </w:t>
      </w:r>
      <w:r w:rsidRPr="002B55F3">
        <w:t>top-up funding</w:t>
      </w:r>
      <w:r w:rsidR="00316389" w:rsidRPr="002B55F3">
        <w:t xml:space="preserve"> based on attendance</w:t>
      </w:r>
      <w:r w:rsidR="006B55D0" w:rsidRPr="002B55F3">
        <w:t>.</w:t>
      </w:r>
    </w:p>
    <w:p w14:paraId="180D5F2E" w14:textId="150801F2" w:rsidR="002207D2" w:rsidRPr="002B55F3" w:rsidRDefault="002207D2" w:rsidP="6C04500C">
      <w:pPr>
        <w:pStyle w:val="ListParagraph"/>
        <w:numPr>
          <w:ilvl w:val="0"/>
          <w:numId w:val="18"/>
        </w:numPr>
        <w:spacing w:after="120" w:line="300" w:lineRule="auto"/>
        <w:ind w:left="714" w:hanging="357"/>
        <w:contextualSpacing w:val="0"/>
      </w:pPr>
      <w:r w:rsidRPr="002B55F3">
        <w:t>Removal of separate outreach funding</w:t>
      </w:r>
      <w:r w:rsidR="00DF7EFF" w:rsidRPr="002B55F3">
        <w:t>.</w:t>
      </w:r>
    </w:p>
    <w:p w14:paraId="2FAA8645" w14:textId="5BBBE214" w:rsidR="00533B06" w:rsidRPr="002B55F3" w:rsidRDefault="00533B06" w:rsidP="6C04500C">
      <w:pPr>
        <w:pStyle w:val="ListParagraph"/>
        <w:numPr>
          <w:ilvl w:val="0"/>
          <w:numId w:val="18"/>
        </w:numPr>
        <w:spacing w:after="120" w:line="300" w:lineRule="auto"/>
        <w:ind w:left="714" w:hanging="357"/>
        <w:contextualSpacing w:val="0"/>
      </w:pPr>
      <w:r w:rsidRPr="002B55F3">
        <w:t xml:space="preserve">Removal of </w:t>
      </w:r>
      <w:r w:rsidR="00C3242C" w:rsidRPr="002B55F3">
        <w:t>charging mainstream schools</w:t>
      </w:r>
      <w:r w:rsidR="00316389" w:rsidRPr="002B55F3">
        <w:t xml:space="preserve"> (except Pupil Premium</w:t>
      </w:r>
      <w:r w:rsidR="006D7F0D" w:rsidRPr="00B84197">
        <w:t xml:space="preserve"> </w:t>
      </w:r>
      <w:r w:rsidR="0152C2C6" w:rsidRPr="00B84197">
        <w:t xml:space="preserve">- </w:t>
      </w:r>
      <w:r w:rsidR="0152C2C6" w:rsidRPr="002B55F3">
        <w:t>locally agreed</w:t>
      </w:r>
      <w:r w:rsidR="00316389" w:rsidRPr="002B55F3">
        <w:t>)</w:t>
      </w:r>
      <w:r w:rsidR="00C3242C" w:rsidRPr="002B55F3">
        <w:t>.</w:t>
      </w:r>
    </w:p>
    <w:p w14:paraId="511F02FA" w14:textId="1E8C911E" w:rsidR="00F26C59" w:rsidRPr="004C0B3D" w:rsidRDefault="00F26C59" w:rsidP="00F26C59">
      <w:pPr>
        <w:pStyle w:val="ListParagraph"/>
        <w:numPr>
          <w:ilvl w:val="0"/>
          <w:numId w:val="18"/>
        </w:numPr>
        <w:spacing w:after="120" w:line="300" w:lineRule="auto"/>
        <w:ind w:left="714" w:hanging="357"/>
        <w:contextualSpacing w:val="0"/>
      </w:pPr>
      <w:r w:rsidRPr="004C0B3D">
        <w:t>Central provision funded by maintained schools</w:t>
      </w:r>
      <w:r>
        <w:t>.</w:t>
      </w:r>
      <w:r w:rsidRPr="004C0B3D">
        <w:t xml:space="preserve"> The rate for </w:t>
      </w:r>
      <w:r>
        <w:t>2026/27</w:t>
      </w:r>
      <w:r w:rsidRPr="004C0B3D">
        <w:t xml:space="preserve"> is £</w:t>
      </w:r>
      <w:r>
        <w:t>58.57</w:t>
      </w:r>
      <w:r w:rsidRPr="004C0B3D">
        <w:t xml:space="preserve"> per place, an increase of £</w:t>
      </w:r>
      <w:r>
        <w:t>6.81</w:t>
      </w:r>
      <w:r w:rsidRPr="004C0B3D">
        <w:t>.</w:t>
      </w:r>
    </w:p>
    <w:p w14:paraId="2DC20232" w14:textId="6FD79CAB" w:rsidR="00F26C59" w:rsidRDefault="00F26C59" w:rsidP="00F26C59">
      <w:pPr>
        <w:pStyle w:val="ListParagraph"/>
        <w:numPr>
          <w:ilvl w:val="0"/>
          <w:numId w:val="18"/>
        </w:numPr>
        <w:spacing w:after="120" w:line="300" w:lineRule="auto"/>
        <w:ind w:left="714" w:hanging="357"/>
        <w:contextualSpacing w:val="0"/>
      </w:pPr>
      <w:r w:rsidRPr="004C0B3D">
        <w:t xml:space="preserve">An amount in respect of </w:t>
      </w:r>
      <w:r>
        <w:t xml:space="preserve">2025/26 Core Schools Budget Grants (CSBG) and other funding </w:t>
      </w:r>
      <w:r w:rsidRPr="004C0B3D">
        <w:t xml:space="preserve">has </w:t>
      </w:r>
      <w:proofErr w:type="gramStart"/>
      <w:r w:rsidRPr="004C0B3D">
        <w:t>been included</w:t>
      </w:r>
      <w:proofErr w:type="gramEnd"/>
      <w:r w:rsidRPr="004C0B3D">
        <w:t xml:space="preserve"> in the budget shares</w:t>
      </w:r>
      <w:r>
        <w:t xml:space="preserve"> and is known as </w:t>
      </w:r>
      <w:r w:rsidRPr="009F21BA">
        <w:rPr>
          <w:b/>
          <w:bCs/>
        </w:rPr>
        <w:t>legacy funding</w:t>
      </w:r>
      <w:r w:rsidRPr="004C0B3D">
        <w:t xml:space="preserve">. </w:t>
      </w:r>
      <w:r>
        <w:t xml:space="preserve"> </w:t>
      </w:r>
      <w:r w:rsidRPr="004C0B3D">
        <w:t>Th</w:t>
      </w:r>
      <w:r>
        <w:t>is</w:t>
      </w:r>
      <w:r w:rsidRPr="004C0B3D">
        <w:t xml:space="preserve"> amount will </w:t>
      </w:r>
      <w:proofErr w:type="gramStart"/>
      <w:r w:rsidRPr="004C0B3D">
        <w:t>be shown</w:t>
      </w:r>
      <w:proofErr w:type="gramEnd"/>
      <w:r w:rsidRPr="004C0B3D">
        <w:t xml:space="preserve"> separately and paid at the start of the year</w:t>
      </w:r>
      <w:r>
        <w:t>.</w:t>
      </w:r>
    </w:p>
    <w:p w14:paraId="06DAF5AF" w14:textId="77777777" w:rsidR="00F26C59" w:rsidRPr="004C0B3D" w:rsidRDefault="00F26C59" w:rsidP="00F26C59">
      <w:pPr>
        <w:pStyle w:val="ListParagraph"/>
        <w:numPr>
          <w:ilvl w:val="0"/>
          <w:numId w:val="18"/>
        </w:numPr>
        <w:spacing w:after="120" w:line="300" w:lineRule="auto"/>
        <w:ind w:left="714" w:hanging="357"/>
        <w:contextualSpacing w:val="0"/>
      </w:pPr>
      <w:r>
        <w:t xml:space="preserve">Legacy funding rolls in funding previously shown separately on the budget share, previously described as </w:t>
      </w:r>
      <w:r w:rsidRPr="004C0B3D">
        <w:t>Teachers’ Pay Grant (TPG)</w:t>
      </w:r>
      <w:r>
        <w:t xml:space="preserve">, </w:t>
      </w:r>
      <w:r w:rsidRPr="004C0B3D">
        <w:t>Teachers’ Pension Employer Contribution Grant (TPECG</w:t>
      </w:r>
      <w:proofErr w:type="gramStart"/>
      <w:r w:rsidRPr="004C0B3D">
        <w:t>)</w:t>
      </w:r>
      <w:proofErr w:type="gramEnd"/>
      <w:r w:rsidRPr="004C0B3D">
        <w:t xml:space="preserve"> </w:t>
      </w:r>
      <w:r>
        <w:t xml:space="preserve">and High Needs Additional Funding (HNAF). </w:t>
      </w:r>
    </w:p>
    <w:p w14:paraId="7F028BD9" w14:textId="77777777" w:rsidR="00367F9E" w:rsidRPr="00A12B20" w:rsidRDefault="00367F9E" w:rsidP="00367F9E">
      <w:pPr>
        <w:pStyle w:val="ListParagraph"/>
        <w:numPr>
          <w:ilvl w:val="0"/>
          <w:numId w:val="18"/>
        </w:numPr>
        <w:spacing w:after="120" w:line="300" w:lineRule="auto"/>
        <w:ind w:left="714" w:hanging="357"/>
        <w:contextualSpacing w:val="0"/>
      </w:pPr>
      <w:r w:rsidRPr="00A12B20">
        <w:t xml:space="preserve">Change of GL code for </w:t>
      </w:r>
      <w:r>
        <w:t>legacy funding</w:t>
      </w:r>
      <w:r w:rsidRPr="00A12B20">
        <w:t xml:space="preserve"> to 76</w:t>
      </w:r>
      <w:r>
        <w:t>97</w:t>
      </w:r>
      <w:r w:rsidRPr="00A12B20">
        <w:t xml:space="preserve">, CFR </w:t>
      </w:r>
      <w:r>
        <w:t xml:space="preserve">code </w:t>
      </w:r>
      <w:r w:rsidRPr="00A12B20">
        <w:t>I0</w:t>
      </w:r>
      <w:r>
        <w:t>1</w:t>
      </w:r>
      <w:r w:rsidRPr="00A12B20">
        <w:t>.</w:t>
      </w:r>
    </w:p>
    <w:p w14:paraId="041B52F3" w14:textId="0EDE268C" w:rsidR="00AC4BFF" w:rsidRPr="00C77BAD" w:rsidRDefault="00751EB4" w:rsidP="00A06812">
      <w:pPr>
        <w:pStyle w:val="ListParagraph"/>
        <w:numPr>
          <w:ilvl w:val="0"/>
          <w:numId w:val="18"/>
        </w:numPr>
        <w:spacing w:after="120" w:line="300" w:lineRule="auto"/>
        <w:ind w:left="714" w:hanging="357"/>
        <w:contextualSpacing w:val="0"/>
      </w:pPr>
      <w:r>
        <w:t>Identification</w:t>
      </w:r>
      <w:r w:rsidR="00367F9E" w:rsidRPr="00A12B20">
        <w:t xml:space="preserve"> of GL code for </w:t>
      </w:r>
      <w:r w:rsidR="00C77BAD">
        <w:t>commissioned EC service</w:t>
      </w:r>
      <w:r w:rsidR="00367F9E" w:rsidRPr="00A12B20">
        <w:t xml:space="preserve"> </w:t>
      </w:r>
      <w:r w:rsidR="00120BF4">
        <w:t>as</w:t>
      </w:r>
      <w:r w:rsidR="00367F9E" w:rsidRPr="00A12B20">
        <w:t xml:space="preserve"> 7556, CFR </w:t>
      </w:r>
      <w:r w:rsidR="00367F9E">
        <w:t xml:space="preserve">code </w:t>
      </w:r>
      <w:r w:rsidR="00367F9E" w:rsidRPr="00A12B20">
        <w:t>I08b.</w:t>
      </w:r>
    </w:p>
    <w:p w14:paraId="59132B5F" w14:textId="77777777" w:rsidR="00AC4BFF" w:rsidRDefault="00AC4BFF" w:rsidP="00A06812">
      <w:pPr>
        <w:pStyle w:val="h1"/>
        <w:spacing w:after="120" w:line="300" w:lineRule="auto"/>
        <w:rPr>
          <w:sz w:val="40"/>
          <w:szCs w:val="40"/>
        </w:rPr>
      </w:pPr>
    </w:p>
    <w:p w14:paraId="25CA4651" w14:textId="77777777" w:rsidR="00AC4BFF" w:rsidRDefault="00AC4BFF" w:rsidP="00A06812">
      <w:pPr>
        <w:pStyle w:val="h1"/>
        <w:spacing w:after="120" w:line="300" w:lineRule="auto"/>
        <w:rPr>
          <w:sz w:val="40"/>
          <w:szCs w:val="40"/>
        </w:rPr>
      </w:pPr>
    </w:p>
    <w:p w14:paraId="4E991271" w14:textId="77777777" w:rsidR="00DF7EFF" w:rsidRDefault="00DF7EFF" w:rsidP="00A06812">
      <w:pPr>
        <w:pStyle w:val="h1"/>
        <w:spacing w:after="120" w:line="300" w:lineRule="auto"/>
        <w:rPr>
          <w:sz w:val="40"/>
          <w:szCs w:val="40"/>
        </w:rPr>
      </w:pPr>
    </w:p>
    <w:p w14:paraId="3CB087F1" w14:textId="6BE33973" w:rsidR="00EF5EF0" w:rsidRPr="00EF5EF0" w:rsidRDefault="00EF5EF0" w:rsidP="00A06812">
      <w:pPr>
        <w:pStyle w:val="h1"/>
        <w:spacing w:after="120" w:line="300" w:lineRule="auto"/>
        <w:rPr>
          <w:sz w:val="40"/>
          <w:szCs w:val="40"/>
        </w:rPr>
      </w:pPr>
      <w:r w:rsidRPr="00EF5EF0">
        <w:rPr>
          <w:sz w:val="40"/>
          <w:szCs w:val="40"/>
        </w:rPr>
        <w:lastRenderedPageBreak/>
        <w:t>Contacts / Queries</w:t>
      </w:r>
      <w:bookmarkEnd w:id="3"/>
    </w:p>
    <w:p w14:paraId="5B5C0FBA" w14:textId="77777777" w:rsidR="00EF5EF0" w:rsidRPr="00B439FA" w:rsidRDefault="00EF5EF0" w:rsidP="00A06812">
      <w:pPr>
        <w:spacing w:after="120" w:line="300" w:lineRule="auto"/>
      </w:pPr>
      <w:bookmarkStart w:id="5" w:name="APN"/>
      <w:bookmarkEnd w:id="4"/>
      <w:r w:rsidRPr="00D53ECC">
        <w:rPr>
          <w:bCs/>
          <w:u w:val="single"/>
        </w:rPr>
        <w:t xml:space="preserve">Agreed Place Numbers (APN) </w:t>
      </w:r>
      <w:bookmarkEnd w:id="5"/>
      <w:r w:rsidRPr="00B439FA">
        <w:t xml:space="preserve">– </w:t>
      </w:r>
      <w:r>
        <w:t>For queries</w:t>
      </w:r>
      <w:r w:rsidRPr="00B439FA">
        <w:t xml:space="preserve"> regarding the number of places </w:t>
      </w:r>
      <w:r>
        <w:t xml:space="preserve">that </w:t>
      </w:r>
      <w:r w:rsidRPr="00B439FA">
        <w:t xml:space="preserve">have </w:t>
      </w:r>
      <w:proofErr w:type="gramStart"/>
      <w:r w:rsidRPr="00B439FA">
        <w:t>been funded</w:t>
      </w:r>
      <w:proofErr w:type="gramEnd"/>
      <w:r w:rsidRPr="00B439FA">
        <w:t xml:space="preserve"> please contact the Inclusion Commissioning Manager.</w:t>
      </w:r>
    </w:p>
    <w:p w14:paraId="6867E1ED" w14:textId="1EC6528F" w:rsidR="00EF5EF0" w:rsidRPr="00064048" w:rsidRDefault="00EB496E" w:rsidP="00A06812">
      <w:pPr>
        <w:spacing w:after="120" w:line="300" w:lineRule="auto"/>
        <w:rPr>
          <w:bCs/>
        </w:rPr>
      </w:pPr>
      <w:bookmarkStart w:id="6" w:name="Topup1"/>
      <w:r w:rsidRPr="00E61268">
        <w:rPr>
          <w:u w:val="single"/>
        </w:rPr>
        <w:t>Place Funding Allocations</w:t>
      </w:r>
      <w:r w:rsidRPr="00A97BC7">
        <w:t xml:space="preserve"> – For queries regarding place funding allocations please contact </w:t>
      </w:r>
      <w:hyperlink r:id="rId12" w:history="1">
        <w:r w:rsidR="00406156">
          <w:rPr>
            <w:rStyle w:val="Hyperlink"/>
            <w:bCs/>
          </w:rPr>
          <w:t>s</w:t>
        </w:r>
        <w:r w:rsidR="00406156" w:rsidRPr="00E25A38">
          <w:rPr>
            <w:rStyle w:val="Hyperlink"/>
            <w:bCs/>
          </w:rPr>
          <w:t>chool.</w:t>
        </w:r>
        <w:r w:rsidR="00406156">
          <w:rPr>
            <w:rStyle w:val="Hyperlink"/>
            <w:bCs/>
          </w:rPr>
          <w:t>f</w:t>
        </w:r>
        <w:r w:rsidR="00406156" w:rsidRPr="00E25A38">
          <w:rPr>
            <w:rStyle w:val="Hyperlink"/>
            <w:bCs/>
          </w:rPr>
          <w:t>und@hants.gov.uk</w:t>
        </w:r>
      </w:hyperlink>
      <w:bookmarkEnd w:id="6"/>
      <w:r w:rsidR="00D17587">
        <w:t>.</w:t>
      </w:r>
    </w:p>
    <w:p w14:paraId="74532BB8" w14:textId="524D7E45" w:rsidR="00EF5EF0" w:rsidRDefault="006F0D9E" w:rsidP="00A06812">
      <w:pPr>
        <w:spacing w:after="120" w:line="300" w:lineRule="auto"/>
      </w:pPr>
      <w:r>
        <w:rPr>
          <w:u w:val="single"/>
        </w:rPr>
        <w:t>C</w:t>
      </w:r>
      <w:r w:rsidR="00F85B5A">
        <w:rPr>
          <w:u w:val="single"/>
        </w:rPr>
        <w:t>ommissioned EC Service</w:t>
      </w:r>
      <w:r w:rsidR="0064358C" w:rsidRPr="00E61268">
        <w:rPr>
          <w:u w:val="single"/>
        </w:rPr>
        <w:t xml:space="preserve"> Allocations</w:t>
      </w:r>
      <w:r w:rsidR="0064358C" w:rsidRPr="00A97BC7">
        <w:t xml:space="preserve"> – For queries regarding </w:t>
      </w:r>
      <w:r w:rsidR="0064358C">
        <w:t xml:space="preserve">the processing of </w:t>
      </w:r>
      <w:r w:rsidR="0064358C" w:rsidRPr="00A97BC7">
        <w:t>top-up funding allocation</w:t>
      </w:r>
      <w:r w:rsidR="0064358C">
        <w:t xml:space="preserve">s </w:t>
      </w:r>
      <w:r w:rsidR="0064358C" w:rsidRPr="00A97BC7">
        <w:t xml:space="preserve">please contact </w:t>
      </w:r>
      <w:hyperlink r:id="rId13" w:history="1">
        <w:r w:rsidR="00406156">
          <w:rPr>
            <w:rStyle w:val="Hyperlink"/>
            <w:bCs/>
          </w:rPr>
          <w:t>s</w:t>
        </w:r>
        <w:r w:rsidR="00406156" w:rsidRPr="00E25A38">
          <w:rPr>
            <w:rStyle w:val="Hyperlink"/>
            <w:bCs/>
          </w:rPr>
          <w:t>chool.</w:t>
        </w:r>
        <w:r w:rsidR="00406156">
          <w:rPr>
            <w:rStyle w:val="Hyperlink"/>
            <w:bCs/>
          </w:rPr>
          <w:t>f</w:t>
        </w:r>
        <w:r w:rsidR="00406156" w:rsidRPr="00E25A38">
          <w:rPr>
            <w:rStyle w:val="Hyperlink"/>
            <w:bCs/>
          </w:rPr>
          <w:t>und@hants.gov.uk</w:t>
        </w:r>
      </w:hyperlink>
      <w:r w:rsidR="00D17587">
        <w:t>.</w:t>
      </w:r>
    </w:p>
    <w:p w14:paraId="64EA7DB0" w14:textId="7C2A9891" w:rsidR="008609E2" w:rsidRPr="00457913" w:rsidRDefault="00AB77B0" w:rsidP="008609E2">
      <w:pPr>
        <w:spacing w:after="120" w:line="300" w:lineRule="auto"/>
        <w:rPr>
          <w:bCs/>
        </w:rPr>
      </w:pPr>
      <w:r>
        <w:rPr>
          <w:u w:val="single"/>
        </w:rPr>
        <w:t>Legacy Funding or Grant Funding</w:t>
      </w:r>
      <w:r w:rsidR="008609E2">
        <w:t xml:space="preserve"> – For queries regarding these funding </w:t>
      </w:r>
      <w:r w:rsidR="008609E2" w:rsidRPr="00A97BC7">
        <w:t xml:space="preserve">allocations please contact </w:t>
      </w:r>
      <w:hyperlink r:id="rId14" w:history="1">
        <w:r w:rsidR="00406156" w:rsidRPr="00E25A38">
          <w:rPr>
            <w:rStyle w:val="Hyperlink"/>
            <w:bCs/>
          </w:rPr>
          <w:t>school.fund@hants.gov.uk</w:t>
        </w:r>
      </w:hyperlink>
      <w:r w:rsidR="00D17587">
        <w:rPr>
          <w:bCs/>
        </w:rPr>
        <w:t>.</w:t>
      </w:r>
    </w:p>
    <w:p w14:paraId="35C11DE4" w14:textId="77777777" w:rsidR="00EF5EF0" w:rsidRDefault="00EF5EF0" w:rsidP="00A06812">
      <w:pPr>
        <w:spacing w:after="120" w:line="300" w:lineRule="auto"/>
        <w:rPr>
          <w:b/>
          <w:sz w:val="28"/>
          <w:szCs w:val="28"/>
        </w:rPr>
      </w:pPr>
      <w:bookmarkStart w:id="7" w:name="Placefunding"/>
    </w:p>
    <w:p w14:paraId="4CA48AF8" w14:textId="5C88BC8F" w:rsidR="00EF5EF0" w:rsidRPr="00EF5EF0" w:rsidRDefault="00EF5EF0" w:rsidP="00A06812">
      <w:pPr>
        <w:pStyle w:val="h1"/>
        <w:spacing w:after="120" w:line="300" w:lineRule="auto"/>
        <w:rPr>
          <w:sz w:val="40"/>
          <w:szCs w:val="40"/>
        </w:rPr>
      </w:pPr>
      <w:bookmarkStart w:id="8" w:name="_Toc158714170"/>
      <w:r w:rsidRPr="00EF5EF0">
        <w:rPr>
          <w:sz w:val="40"/>
          <w:szCs w:val="40"/>
        </w:rPr>
        <w:t>Place Funding</w:t>
      </w:r>
      <w:bookmarkEnd w:id="8"/>
    </w:p>
    <w:bookmarkEnd w:id="7"/>
    <w:p w14:paraId="354750A4" w14:textId="4FE33EBA" w:rsidR="00EF5EF0" w:rsidRPr="00FA34C7" w:rsidRDefault="00EF5EF0" w:rsidP="00A06812">
      <w:pPr>
        <w:spacing w:after="120" w:line="300" w:lineRule="auto"/>
      </w:pPr>
      <w:r w:rsidRPr="00B439FA">
        <w:t xml:space="preserve">The Agreed Place Number (APN) for each </w:t>
      </w:r>
      <w:r>
        <w:t>e</w:t>
      </w:r>
      <w:r w:rsidRPr="00B439FA">
        <w:t xml:space="preserve">ducation </w:t>
      </w:r>
      <w:r>
        <w:t>c</w:t>
      </w:r>
      <w:r w:rsidRPr="00B439FA">
        <w:t xml:space="preserve">entre </w:t>
      </w:r>
      <w:proofErr w:type="gramStart"/>
      <w:r w:rsidRPr="00B439FA">
        <w:t>is fixed</w:t>
      </w:r>
      <w:proofErr w:type="gramEnd"/>
      <w:r w:rsidRPr="00B439FA">
        <w:t xml:space="preserve"> for the financial year</w:t>
      </w:r>
      <w:r w:rsidR="00751EB4">
        <w:t xml:space="preserve">. </w:t>
      </w:r>
      <w:r w:rsidRPr="00B439FA">
        <w:rPr>
          <w:spacing w:val="1"/>
        </w:rPr>
        <w:t>Place funding will be allocated at the start of the financial year to GL code 7696 (CFR code I01).</w:t>
      </w:r>
      <w:bookmarkStart w:id="9" w:name="ESG"/>
    </w:p>
    <w:p w14:paraId="0943AFF6" w14:textId="20F81657" w:rsidR="005D60AA" w:rsidRPr="00FA6FC4" w:rsidRDefault="005D60AA" w:rsidP="00FA6FC4">
      <w:pPr>
        <w:spacing w:after="120" w:line="300" w:lineRule="auto"/>
      </w:pPr>
      <w:r>
        <w:rPr>
          <w:sz w:val="40"/>
          <w:szCs w:val="40"/>
        </w:rPr>
        <w:br w:type="page"/>
      </w:r>
    </w:p>
    <w:p w14:paraId="55886F4C" w14:textId="63770102" w:rsidR="00EF5EF0" w:rsidRPr="00EF5EF0" w:rsidRDefault="005F11F8" w:rsidP="00A06812">
      <w:pPr>
        <w:pStyle w:val="h1"/>
        <w:spacing w:after="120" w:line="300" w:lineRule="auto"/>
        <w:rPr>
          <w:sz w:val="40"/>
          <w:szCs w:val="40"/>
        </w:rPr>
      </w:pPr>
      <w:r>
        <w:rPr>
          <w:sz w:val="40"/>
          <w:szCs w:val="40"/>
        </w:rPr>
        <w:lastRenderedPageBreak/>
        <w:t>Legacy Funding</w:t>
      </w:r>
    </w:p>
    <w:p w14:paraId="656FC3C5" w14:textId="77777777" w:rsidR="005B11B6" w:rsidRPr="00B82045" w:rsidRDefault="005B11B6" w:rsidP="005B11B6">
      <w:pPr>
        <w:spacing w:after="120" w:line="300" w:lineRule="auto"/>
      </w:pPr>
      <w:r w:rsidRPr="00B82045">
        <w:t xml:space="preserve">As per Annex 4 of the High Needs Operational Guide for 2026/27, an amount has been included </w:t>
      </w:r>
      <w:r>
        <w:t xml:space="preserve">in </w:t>
      </w:r>
      <w:r w:rsidRPr="00B82045">
        <w:t xml:space="preserve">the budget share in respect of the 2025/26 Core Schools Budget Grant (CSBG), the historic teachers’ pay and pensions funding (TPG &amp; TPECG), and other additional funding that local authorities were required to pass on to schools following the 2022 autumn statement (HNAF). The method for calculating this has </w:t>
      </w:r>
      <w:proofErr w:type="gramStart"/>
      <w:r w:rsidRPr="00B82045">
        <w:t>been prescribed</w:t>
      </w:r>
      <w:proofErr w:type="gramEnd"/>
      <w:r w:rsidRPr="00B82045">
        <w:t xml:space="preserve"> by the DfE, as set out in the example below, which maintains the individual funding amounts per place funded in 2025/26 to derive a total amount per place. This </w:t>
      </w:r>
      <w:proofErr w:type="gramStart"/>
      <w:r w:rsidRPr="00B82045">
        <w:t>is then applied</w:t>
      </w:r>
      <w:proofErr w:type="gramEnd"/>
      <w:r w:rsidRPr="00B82045">
        <w:t xml:space="preserve"> to the 2026/27 APN. </w:t>
      </w:r>
    </w:p>
    <w:p w14:paraId="0BB65175" w14:textId="7A73AF67" w:rsidR="005B11B6" w:rsidRPr="00B82045" w:rsidRDefault="005B11B6" w:rsidP="005B11B6">
      <w:pPr>
        <w:spacing w:after="120" w:line="300" w:lineRule="auto"/>
      </w:pPr>
      <w:r w:rsidRPr="00B82045">
        <w:t xml:space="preserve">The example below is for a </w:t>
      </w:r>
      <w:r w:rsidR="007B1718">
        <w:t>fictional education centre</w:t>
      </w:r>
      <w:r w:rsidRPr="00B82045">
        <w:t xml:space="preserve"> with </w:t>
      </w:r>
      <w:proofErr w:type="gramStart"/>
      <w:r w:rsidR="00FE5E0C">
        <w:t>6</w:t>
      </w:r>
      <w:r w:rsidRPr="00B82045">
        <w:t>0</w:t>
      </w:r>
      <w:proofErr w:type="gramEnd"/>
      <w:r w:rsidRPr="00B82045">
        <w:t xml:space="preserve"> places in </w:t>
      </w:r>
      <w:r>
        <w:t xml:space="preserve">the </w:t>
      </w:r>
      <w:r w:rsidRPr="00B82045">
        <w:t xml:space="preserve">2024/25 and 2025/26 academic years, increasing to </w:t>
      </w:r>
      <w:proofErr w:type="gramStart"/>
      <w:r w:rsidR="007A6177">
        <w:t>6</w:t>
      </w:r>
      <w:r w:rsidR="0059367F">
        <w:t>5</w:t>
      </w:r>
      <w:proofErr w:type="gramEnd"/>
      <w:r w:rsidRPr="00B82045">
        <w:t xml:space="preserve"> places in </w:t>
      </w:r>
      <w:r>
        <w:t xml:space="preserve">the </w:t>
      </w:r>
      <w:r w:rsidRPr="00B82045">
        <w:t xml:space="preserve">2026/27 </w:t>
      </w:r>
      <w:r w:rsidR="00606E8E">
        <w:t>financial year</w:t>
      </w:r>
      <w:r w:rsidRPr="00B82045">
        <w:t xml:space="preserve">. </w:t>
      </w:r>
    </w:p>
    <w:tbl>
      <w:tblPr>
        <w:tblStyle w:val="TableGrid"/>
        <w:tblW w:w="0" w:type="auto"/>
        <w:tblLook w:val="04A0" w:firstRow="1" w:lastRow="0" w:firstColumn="1" w:lastColumn="0" w:noHBand="0" w:noVBand="1"/>
      </w:tblPr>
      <w:tblGrid>
        <w:gridCol w:w="1232"/>
        <w:gridCol w:w="1754"/>
        <w:gridCol w:w="1551"/>
        <w:gridCol w:w="1377"/>
        <w:gridCol w:w="1551"/>
        <w:gridCol w:w="1551"/>
      </w:tblGrid>
      <w:tr w:rsidR="005B11B6" w:rsidRPr="00B82045" w14:paraId="4D0943EA" w14:textId="77777777" w:rsidTr="00534AF8">
        <w:trPr>
          <w:trHeight w:val="557"/>
        </w:trPr>
        <w:tc>
          <w:tcPr>
            <w:tcW w:w="1232" w:type="dxa"/>
            <w:tcBorders>
              <w:bottom w:val="single" w:sz="12" w:space="0" w:color="auto"/>
            </w:tcBorders>
          </w:tcPr>
          <w:p w14:paraId="6C5FB6C4" w14:textId="77777777" w:rsidR="005B11B6" w:rsidRPr="00B82045" w:rsidRDefault="005B11B6" w:rsidP="00501E0E">
            <w:pPr>
              <w:spacing w:after="120" w:line="300" w:lineRule="auto"/>
              <w:rPr>
                <w:b/>
                <w:bCs/>
              </w:rPr>
            </w:pPr>
          </w:p>
        </w:tc>
        <w:tc>
          <w:tcPr>
            <w:tcW w:w="1754" w:type="dxa"/>
            <w:tcBorders>
              <w:bottom w:val="single" w:sz="12" w:space="0" w:color="auto"/>
            </w:tcBorders>
          </w:tcPr>
          <w:p w14:paraId="2EF35F10" w14:textId="77777777" w:rsidR="005B11B6" w:rsidRPr="00B82045" w:rsidRDefault="005B11B6" w:rsidP="00501E0E">
            <w:pPr>
              <w:spacing w:after="120" w:line="300" w:lineRule="auto"/>
              <w:rPr>
                <w:b/>
                <w:bCs/>
              </w:rPr>
            </w:pPr>
            <w:r>
              <w:rPr>
                <w:b/>
                <w:bCs/>
              </w:rPr>
              <w:t>Element</w:t>
            </w:r>
          </w:p>
        </w:tc>
        <w:tc>
          <w:tcPr>
            <w:tcW w:w="1551" w:type="dxa"/>
            <w:tcBorders>
              <w:bottom w:val="single" w:sz="12" w:space="0" w:color="auto"/>
            </w:tcBorders>
          </w:tcPr>
          <w:p w14:paraId="4992A4FB" w14:textId="77777777" w:rsidR="005B11B6" w:rsidRPr="00B82045" w:rsidRDefault="005B11B6" w:rsidP="00501E0E">
            <w:pPr>
              <w:spacing w:after="120" w:line="300" w:lineRule="auto"/>
              <w:jc w:val="center"/>
              <w:rPr>
                <w:b/>
                <w:bCs/>
              </w:rPr>
            </w:pPr>
            <w:r w:rsidRPr="00B82045">
              <w:rPr>
                <w:b/>
                <w:bCs/>
              </w:rPr>
              <w:t>2025/26 FY</w:t>
            </w:r>
          </w:p>
        </w:tc>
        <w:tc>
          <w:tcPr>
            <w:tcW w:w="1377" w:type="dxa"/>
            <w:tcBorders>
              <w:bottom w:val="single" w:sz="12" w:space="0" w:color="auto"/>
            </w:tcBorders>
          </w:tcPr>
          <w:p w14:paraId="19D0058E" w14:textId="77777777" w:rsidR="005B11B6" w:rsidRPr="00B82045" w:rsidRDefault="005B11B6" w:rsidP="00501E0E">
            <w:pPr>
              <w:spacing w:after="120" w:line="300" w:lineRule="auto"/>
              <w:jc w:val="center"/>
              <w:rPr>
                <w:b/>
                <w:bCs/>
              </w:rPr>
            </w:pPr>
            <w:r w:rsidRPr="00B82045">
              <w:rPr>
                <w:b/>
                <w:bCs/>
              </w:rPr>
              <w:t>Multiplier</w:t>
            </w:r>
            <w:r>
              <w:rPr>
                <w:b/>
                <w:bCs/>
              </w:rPr>
              <w:t>*</w:t>
            </w:r>
          </w:p>
        </w:tc>
        <w:tc>
          <w:tcPr>
            <w:tcW w:w="1551" w:type="dxa"/>
            <w:tcBorders>
              <w:bottom w:val="single" w:sz="12" w:space="0" w:color="auto"/>
            </w:tcBorders>
          </w:tcPr>
          <w:p w14:paraId="5C71E04A" w14:textId="77777777" w:rsidR="005B11B6" w:rsidRPr="00B82045" w:rsidRDefault="005B11B6" w:rsidP="00501E0E">
            <w:pPr>
              <w:spacing w:after="120" w:line="300" w:lineRule="auto"/>
              <w:jc w:val="center"/>
              <w:rPr>
                <w:b/>
                <w:bCs/>
              </w:rPr>
            </w:pPr>
            <w:r w:rsidRPr="00B82045">
              <w:rPr>
                <w:b/>
                <w:bCs/>
              </w:rPr>
              <w:t xml:space="preserve">2025/26 FY </w:t>
            </w:r>
            <w:r w:rsidRPr="002B19B8">
              <w:rPr>
                <w:sz w:val="20"/>
                <w:szCs w:val="20"/>
              </w:rPr>
              <w:t>after multiplier</w:t>
            </w:r>
          </w:p>
        </w:tc>
        <w:tc>
          <w:tcPr>
            <w:tcW w:w="1551" w:type="dxa"/>
            <w:tcBorders>
              <w:bottom w:val="single" w:sz="12" w:space="0" w:color="auto"/>
            </w:tcBorders>
          </w:tcPr>
          <w:p w14:paraId="17B67092" w14:textId="77777777" w:rsidR="005B11B6" w:rsidRPr="00B82045" w:rsidRDefault="005B11B6" w:rsidP="00501E0E">
            <w:pPr>
              <w:spacing w:after="120" w:line="300" w:lineRule="auto"/>
              <w:jc w:val="center"/>
              <w:rPr>
                <w:b/>
                <w:bCs/>
              </w:rPr>
            </w:pPr>
            <w:r w:rsidRPr="00B82045">
              <w:rPr>
                <w:b/>
                <w:bCs/>
              </w:rPr>
              <w:t>2026/27 FY</w:t>
            </w:r>
          </w:p>
        </w:tc>
      </w:tr>
      <w:tr w:rsidR="005B11B6" w:rsidRPr="00B82045" w14:paraId="1BFAF838" w14:textId="77777777" w:rsidTr="00534AF8">
        <w:tc>
          <w:tcPr>
            <w:tcW w:w="1232" w:type="dxa"/>
            <w:tcBorders>
              <w:top w:val="single" w:sz="12" w:space="0" w:color="auto"/>
            </w:tcBorders>
          </w:tcPr>
          <w:p w14:paraId="777F4EA8" w14:textId="77777777" w:rsidR="005B11B6" w:rsidRPr="00B82045" w:rsidRDefault="005B11B6" w:rsidP="00501E0E">
            <w:pPr>
              <w:spacing w:after="120" w:line="300" w:lineRule="auto"/>
            </w:pPr>
            <w:r w:rsidRPr="00B82045">
              <w:t>APN</w:t>
            </w:r>
          </w:p>
        </w:tc>
        <w:tc>
          <w:tcPr>
            <w:tcW w:w="1754" w:type="dxa"/>
            <w:tcBorders>
              <w:top w:val="single" w:sz="12" w:space="0" w:color="auto"/>
            </w:tcBorders>
          </w:tcPr>
          <w:p w14:paraId="69F97D63" w14:textId="77777777" w:rsidR="005B11B6" w:rsidRPr="00B82045" w:rsidRDefault="005B11B6" w:rsidP="00501E0E">
            <w:pPr>
              <w:spacing w:after="120" w:line="300" w:lineRule="auto"/>
            </w:pPr>
          </w:p>
        </w:tc>
        <w:tc>
          <w:tcPr>
            <w:tcW w:w="1551" w:type="dxa"/>
            <w:tcBorders>
              <w:top w:val="single" w:sz="12" w:space="0" w:color="auto"/>
            </w:tcBorders>
          </w:tcPr>
          <w:p w14:paraId="234C30A2" w14:textId="7292774F" w:rsidR="005B11B6" w:rsidRPr="00B82045" w:rsidRDefault="0059367F" w:rsidP="00501E0E">
            <w:pPr>
              <w:spacing w:after="120" w:line="300" w:lineRule="auto"/>
              <w:jc w:val="center"/>
            </w:pPr>
            <w:r>
              <w:t>60</w:t>
            </w:r>
          </w:p>
        </w:tc>
        <w:tc>
          <w:tcPr>
            <w:tcW w:w="1377" w:type="dxa"/>
            <w:tcBorders>
              <w:top w:val="single" w:sz="12" w:space="0" w:color="auto"/>
            </w:tcBorders>
          </w:tcPr>
          <w:p w14:paraId="3CF27F62" w14:textId="77777777" w:rsidR="005B11B6" w:rsidRPr="00B82045" w:rsidRDefault="005B11B6" w:rsidP="00501E0E">
            <w:pPr>
              <w:spacing w:after="120" w:line="300" w:lineRule="auto"/>
              <w:jc w:val="center"/>
            </w:pPr>
          </w:p>
        </w:tc>
        <w:tc>
          <w:tcPr>
            <w:tcW w:w="1551" w:type="dxa"/>
            <w:tcBorders>
              <w:top w:val="single" w:sz="12" w:space="0" w:color="auto"/>
            </w:tcBorders>
          </w:tcPr>
          <w:p w14:paraId="3E0DA5D9" w14:textId="77777777" w:rsidR="005B11B6" w:rsidRPr="00B82045" w:rsidRDefault="005B11B6" w:rsidP="00501E0E">
            <w:pPr>
              <w:spacing w:after="120" w:line="300" w:lineRule="auto"/>
              <w:jc w:val="center"/>
            </w:pPr>
          </w:p>
        </w:tc>
        <w:tc>
          <w:tcPr>
            <w:tcW w:w="1551" w:type="dxa"/>
            <w:tcBorders>
              <w:top w:val="single" w:sz="12" w:space="0" w:color="auto"/>
            </w:tcBorders>
          </w:tcPr>
          <w:p w14:paraId="2CA0481B" w14:textId="5255EF32" w:rsidR="005B11B6" w:rsidRPr="00B82045" w:rsidRDefault="0059367F" w:rsidP="00501E0E">
            <w:pPr>
              <w:spacing w:after="120" w:line="300" w:lineRule="auto"/>
              <w:jc w:val="center"/>
            </w:pPr>
            <w:r>
              <w:t>65</w:t>
            </w:r>
          </w:p>
        </w:tc>
      </w:tr>
      <w:tr w:rsidR="005B11B6" w:rsidRPr="00B82045" w14:paraId="2C3B5604" w14:textId="77777777" w:rsidTr="00534AF8">
        <w:tc>
          <w:tcPr>
            <w:tcW w:w="1232" w:type="dxa"/>
            <w:vMerge w:val="restart"/>
          </w:tcPr>
          <w:p w14:paraId="06114FF8" w14:textId="77777777" w:rsidR="005B11B6" w:rsidRPr="00B82045" w:rsidRDefault="005B11B6" w:rsidP="00501E0E">
            <w:pPr>
              <w:spacing w:after="120" w:line="300" w:lineRule="auto"/>
            </w:pPr>
            <w:r w:rsidRPr="00B82045">
              <w:t>CSBG 2025/26</w:t>
            </w:r>
          </w:p>
        </w:tc>
        <w:tc>
          <w:tcPr>
            <w:tcW w:w="1754" w:type="dxa"/>
          </w:tcPr>
          <w:p w14:paraId="6135857A" w14:textId="77777777" w:rsidR="005B11B6" w:rsidRPr="00B82045" w:rsidRDefault="005B11B6" w:rsidP="00501E0E">
            <w:pPr>
              <w:spacing w:after="120" w:line="300" w:lineRule="auto"/>
              <w:rPr>
                <w:sz w:val="20"/>
                <w:szCs w:val="20"/>
              </w:rPr>
            </w:pPr>
            <w:r w:rsidRPr="00B82045">
              <w:rPr>
                <w:sz w:val="20"/>
                <w:szCs w:val="20"/>
              </w:rPr>
              <w:t>Staff pay</w:t>
            </w:r>
          </w:p>
        </w:tc>
        <w:tc>
          <w:tcPr>
            <w:tcW w:w="1551" w:type="dxa"/>
          </w:tcPr>
          <w:p w14:paraId="5D4E95DA" w14:textId="736C085C" w:rsidR="005B11B6" w:rsidRPr="00B82045" w:rsidRDefault="005B11B6" w:rsidP="00501E0E">
            <w:pPr>
              <w:spacing w:after="120" w:line="300" w:lineRule="auto"/>
              <w:jc w:val="right"/>
            </w:pPr>
            <w:r w:rsidRPr="00B82045">
              <w:t>£</w:t>
            </w:r>
            <w:r w:rsidR="0049273B">
              <w:t>21,596</w:t>
            </w:r>
            <w:r w:rsidRPr="00B82045">
              <w:t>.</w:t>
            </w:r>
            <w:r w:rsidR="0049273B">
              <w:t>47</w:t>
            </w:r>
          </w:p>
        </w:tc>
        <w:tc>
          <w:tcPr>
            <w:tcW w:w="1377" w:type="dxa"/>
          </w:tcPr>
          <w:p w14:paraId="2AD7A1B1" w14:textId="77777777" w:rsidR="005B11B6" w:rsidRPr="00B82045" w:rsidRDefault="005B11B6" w:rsidP="00501E0E">
            <w:pPr>
              <w:spacing w:after="120" w:line="300" w:lineRule="auto"/>
              <w:jc w:val="center"/>
            </w:pPr>
            <w:r w:rsidRPr="00B82045">
              <w:t>147%</w:t>
            </w:r>
          </w:p>
        </w:tc>
        <w:tc>
          <w:tcPr>
            <w:tcW w:w="1551" w:type="dxa"/>
          </w:tcPr>
          <w:p w14:paraId="2D62C072" w14:textId="5AAE3423" w:rsidR="005B11B6" w:rsidRPr="00B82045" w:rsidRDefault="00534AF8" w:rsidP="00501E0E">
            <w:pPr>
              <w:spacing w:after="120" w:line="300" w:lineRule="auto"/>
              <w:jc w:val="right"/>
            </w:pPr>
            <w:r>
              <w:t>£31,746.81</w:t>
            </w:r>
          </w:p>
        </w:tc>
        <w:tc>
          <w:tcPr>
            <w:tcW w:w="1551" w:type="dxa"/>
          </w:tcPr>
          <w:p w14:paraId="407D9148" w14:textId="77777777" w:rsidR="005B11B6" w:rsidRPr="00B82045" w:rsidRDefault="005B11B6" w:rsidP="00501E0E">
            <w:pPr>
              <w:spacing w:after="120" w:line="300" w:lineRule="auto"/>
            </w:pPr>
          </w:p>
        </w:tc>
      </w:tr>
      <w:tr w:rsidR="00534AF8" w:rsidRPr="00B82045" w14:paraId="4466C52C" w14:textId="77777777" w:rsidTr="00534AF8">
        <w:tc>
          <w:tcPr>
            <w:tcW w:w="1232" w:type="dxa"/>
            <w:vMerge/>
          </w:tcPr>
          <w:p w14:paraId="7B5FAFA4" w14:textId="77777777" w:rsidR="00534AF8" w:rsidRPr="00B82045" w:rsidRDefault="00534AF8" w:rsidP="00534AF8">
            <w:pPr>
              <w:spacing w:after="120" w:line="300" w:lineRule="auto"/>
            </w:pPr>
          </w:p>
        </w:tc>
        <w:tc>
          <w:tcPr>
            <w:tcW w:w="1754" w:type="dxa"/>
          </w:tcPr>
          <w:p w14:paraId="20E21EC4" w14:textId="77777777" w:rsidR="00534AF8" w:rsidRPr="00B82045" w:rsidRDefault="00534AF8" w:rsidP="00534AF8">
            <w:pPr>
              <w:spacing w:after="120" w:line="300" w:lineRule="auto"/>
              <w:rPr>
                <w:sz w:val="20"/>
                <w:szCs w:val="20"/>
              </w:rPr>
            </w:pPr>
            <w:r w:rsidRPr="00B82045">
              <w:rPr>
                <w:sz w:val="20"/>
                <w:szCs w:val="20"/>
              </w:rPr>
              <w:t>NIC increase</w:t>
            </w:r>
          </w:p>
        </w:tc>
        <w:tc>
          <w:tcPr>
            <w:tcW w:w="1551" w:type="dxa"/>
          </w:tcPr>
          <w:p w14:paraId="1DC3062B" w14:textId="12DF5AE4" w:rsidR="00534AF8" w:rsidRPr="00B82045" w:rsidRDefault="00534AF8" w:rsidP="00534AF8">
            <w:pPr>
              <w:spacing w:after="120" w:line="300" w:lineRule="auto"/>
              <w:jc w:val="right"/>
            </w:pPr>
            <w:r w:rsidRPr="00B82045">
              <w:t>£</w:t>
            </w:r>
            <w:r>
              <w:t>29,901.71</w:t>
            </w:r>
          </w:p>
        </w:tc>
        <w:tc>
          <w:tcPr>
            <w:tcW w:w="1377" w:type="dxa"/>
          </w:tcPr>
          <w:p w14:paraId="5DD0659A" w14:textId="77777777" w:rsidR="00534AF8" w:rsidRPr="00B82045" w:rsidRDefault="00534AF8" w:rsidP="00534AF8">
            <w:pPr>
              <w:spacing w:after="120" w:line="300" w:lineRule="auto"/>
              <w:jc w:val="center"/>
            </w:pPr>
            <w:r w:rsidRPr="00B82045">
              <w:t>100%</w:t>
            </w:r>
          </w:p>
        </w:tc>
        <w:tc>
          <w:tcPr>
            <w:tcW w:w="1551" w:type="dxa"/>
          </w:tcPr>
          <w:p w14:paraId="1ED6B7D0" w14:textId="1E776987" w:rsidR="00534AF8" w:rsidRPr="00B82045" w:rsidRDefault="00534AF8" w:rsidP="00534AF8">
            <w:pPr>
              <w:spacing w:after="120" w:line="300" w:lineRule="auto"/>
              <w:jc w:val="right"/>
            </w:pPr>
            <w:r w:rsidRPr="00B82045">
              <w:t>£</w:t>
            </w:r>
            <w:r>
              <w:t>29,901.71</w:t>
            </w:r>
          </w:p>
        </w:tc>
        <w:tc>
          <w:tcPr>
            <w:tcW w:w="1551" w:type="dxa"/>
          </w:tcPr>
          <w:p w14:paraId="2E566B7F" w14:textId="77777777" w:rsidR="00534AF8" w:rsidRPr="00B82045" w:rsidRDefault="00534AF8" w:rsidP="00534AF8">
            <w:pPr>
              <w:spacing w:after="120" w:line="300" w:lineRule="auto"/>
            </w:pPr>
          </w:p>
        </w:tc>
      </w:tr>
      <w:tr w:rsidR="00534AF8" w:rsidRPr="00B82045" w14:paraId="0C9F6580" w14:textId="77777777" w:rsidTr="00534AF8">
        <w:tc>
          <w:tcPr>
            <w:tcW w:w="1232" w:type="dxa"/>
            <w:vMerge/>
          </w:tcPr>
          <w:p w14:paraId="35A70140" w14:textId="77777777" w:rsidR="00534AF8" w:rsidRPr="00B82045" w:rsidRDefault="00534AF8" w:rsidP="00534AF8">
            <w:pPr>
              <w:spacing w:after="120" w:line="300" w:lineRule="auto"/>
            </w:pPr>
          </w:p>
        </w:tc>
        <w:tc>
          <w:tcPr>
            <w:tcW w:w="1754" w:type="dxa"/>
          </w:tcPr>
          <w:p w14:paraId="62E7CD0A" w14:textId="77777777" w:rsidR="00534AF8" w:rsidRPr="00B82045" w:rsidRDefault="00534AF8" w:rsidP="00534AF8">
            <w:pPr>
              <w:spacing w:after="120" w:line="300" w:lineRule="auto"/>
              <w:rPr>
                <w:sz w:val="20"/>
                <w:szCs w:val="20"/>
              </w:rPr>
            </w:pPr>
            <w:r w:rsidRPr="00B82045">
              <w:rPr>
                <w:sz w:val="20"/>
                <w:szCs w:val="20"/>
              </w:rPr>
              <w:t>2024/25 grants</w:t>
            </w:r>
          </w:p>
        </w:tc>
        <w:tc>
          <w:tcPr>
            <w:tcW w:w="1551" w:type="dxa"/>
          </w:tcPr>
          <w:p w14:paraId="71B1DBD6" w14:textId="0AD889FC" w:rsidR="00534AF8" w:rsidRPr="00B82045" w:rsidRDefault="00534AF8" w:rsidP="00534AF8">
            <w:pPr>
              <w:spacing w:after="120" w:line="300" w:lineRule="auto"/>
              <w:jc w:val="right"/>
            </w:pPr>
            <w:r w:rsidRPr="00B82045">
              <w:t>£</w:t>
            </w:r>
            <w:r>
              <w:t>123,826.84</w:t>
            </w:r>
          </w:p>
        </w:tc>
        <w:tc>
          <w:tcPr>
            <w:tcW w:w="1377" w:type="dxa"/>
          </w:tcPr>
          <w:p w14:paraId="4F4B8D76" w14:textId="77777777" w:rsidR="00534AF8" w:rsidRPr="00B82045" w:rsidRDefault="00534AF8" w:rsidP="00534AF8">
            <w:pPr>
              <w:spacing w:after="120" w:line="300" w:lineRule="auto"/>
              <w:jc w:val="center"/>
            </w:pPr>
            <w:r w:rsidRPr="00B82045">
              <w:t>100%</w:t>
            </w:r>
          </w:p>
        </w:tc>
        <w:tc>
          <w:tcPr>
            <w:tcW w:w="1551" w:type="dxa"/>
          </w:tcPr>
          <w:p w14:paraId="207ED74A" w14:textId="48BF584D" w:rsidR="00534AF8" w:rsidRPr="00B82045" w:rsidRDefault="00534AF8" w:rsidP="00534AF8">
            <w:pPr>
              <w:spacing w:after="120" w:line="300" w:lineRule="auto"/>
              <w:jc w:val="right"/>
            </w:pPr>
            <w:r w:rsidRPr="00B82045">
              <w:t>£</w:t>
            </w:r>
            <w:r>
              <w:t>123,826.84</w:t>
            </w:r>
          </w:p>
        </w:tc>
        <w:tc>
          <w:tcPr>
            <w:tcW w:w="1551" w:type="dxa"/>
          </w:tcPr>
          <w:p w14:paraId="3D15E92E" w14:textId="77777777" w:rsidR="00534AF8" w:rsidRPr="00B82045" w:rsidRDefault="00534AF8" w:rsidP="00534AF8">
            <w:pPr>
              <w:spacing w:after="120" w:line="300" w:lineRule="auto"/>
            </w:pPr>
          </w:p>
        </w:tc>
      </w:tr>
      <w:tr w:rsidR="00534AF8" w:rsidRPr="00B82045" w14:paraId="0DD36B0D" w14:textId="77777777" w:rsidTr="00534AF8">
        <w:tc>
          <w:tcPr>
            <w:tcW w:w="1232" w:type="dxa"/>
            <w:vMerge w:val="restart"/>
          </w:tcPr>
          <w:p w14:paraId="5A05A688" w14:textId="77777777" w:rsidR="00534AF8" w:rsidRPr="00B82045" w:rsidRDefault="00534AF8" w:rsidP="00534AF8">
            <w:pPr>
              <w:spacing w:after="120" w:line="300" w:lineRule="auto"/>
            </w:pPr>
            <w:r w:rsidRPr="00B82045">
              <w:t>Budget Share 2025/26</w:t>
            </w:r>
          </w:p>
        </w:tc>
        <w:tc>
          <w:tcPr>
            <w:tcW w:w="1754" w:type="dxa"/>
          </w:tcPr>
          <w:p w14:paraId="25D290BD" w14:textId="77777777" w:rsidR="00534AF8" w:rsidRPr="00B82045" w:rsidRDefault="00534AF8" w:rsidP="00534AF8">
            <w:pPr>
              <w:spacing w:after="120" w:line="300" w:lineRule="auto"/>
              <w:rPr>
                <w:sz w:val="20"/>
                <w:szCs w:val="20"/>
              </w:rPr>
            </w:pPr>
            <w:r w:rsidRPr="00B82045">
              <w:rPr>
                <w:sz w:val="20"/>
                <w:szCs w:val="20"/>
              </w:rPr>
              <w:t>TPG</w:t>
            </w:r>
          </w:p>
        </w:tc>
        <w:tc>
          <w:tcPr>
            <w:tcW w:w="1551" w:type="dxa"/>
          </w:tcPr>
          <w:p w14:paraId="1A077AA1" w14:textId="2EF1876D" w:rsidR="00534AF8" w:rsidRPr="00B82045" w:rsidRDefault="00534AF8" w:rsidP="00534AF8">
            <w:pPr>
              <w:spacing w:after="120" w:line="300" w:lineRule="auto"/>
              <w:jc w:val="right"/>
            </w:pPr>
            <w:r w:rsidRPr="00B82045">
              <w:t>£</w:t>
            </w:r>
            <w:r>
              <w:t>11,617</w:t>
            </w:r>
            <w:r w:rsidRPr="00B82045">
              <w:t>.</w:t>
            </w:r>
            <w:r>
              <w:t>15</w:t>
            </w:r>
          </w:p>
        </w:tc>
        <w:tc>
          <w:tcPr>
            <w:tcW w:w="1377" w:type="dxa"/>
          </w:tcPr>
          <w:p w14:paraId="2BF82F68" w14:textId="77777777" w:rsidR="00534AF8" w:rsidRPr="00B82045" w:rsidRDefault="00534AF8" w:rsidP="00534AF8">
            <w:pPr>
              <w:spacing w:after="120" w:line="300" w:lineRule="auto"/>
              <w:jc w:val="center"/>
            </w:pPr>
            <w:r w:rsidRPr="00B82045">
              <w:t>100%</w:t>
            </w:r>
          </w:p>
        </w:tc>
        <w:tc>
          <w:tcPr>
            <w:tcW w:w="1551" w:type="dxa"/>
          </w:tcPr>
          <w:p w14:paraId="6B3F761B" w14:textId="1D219E66" w:rsidR="00534AF8" w:rsidRPr="00B82045" w:rsidRDefault="00534AF8" w:rsidP="00534AF8">
            <w:pPr>
              <w:spacing w:after="120" w:line="300" w:lineRule="auto"/>
              <w:jc w:val="right"/>
            </w:pPr>
            <w:r w:rsidRPr="00B82045">
              <w:t>£</w:t>
            </w:r>
            <w:r>
              <w:t>11,617</w:t>
            </w:r>
            <w:r w:rsidRPr="00B82045">
              <w:t>.</w:t>
            </w:r>
            <w:r>
              <w:t>15</w:t>
            </w:r>
          </w:p>
        </w:tc>
        <w:tc>
          <w:tcPr>
            <w:tcW w:w="1551" w:type="dxa"/>
          </w:tcPr>
          <w:p w14:paraId="7CA2D507" w14:textId="77777777" w:rsidR="00534AF8" w:rsidRPr="00B82045" w:rsidRDefault="00534AF8" w:rsidP="00534AF8">
            <w:pPr>
              <w:spacing w:after="120" w:line="300" w:lineRule="auto"/>
            </w:pPr>
          </w:p>
        </w:tc>
      </w:tr>
      <w:tr w:rsidR="00534AF8" w:rsidRPr="00B82045" w14:paraId="130ABC40" w14:textId="77777777" w:rsidTr="00534AF8">
        <w:tc>
          <w:tcPr>
            <w:tcW w:w="1232" w:type="dxa"/>
            <w:vMerge/>
          </w:tcPr>
          <w:p w14:paraId="02BE8ECB" w14:textId="77777777" w:rsidR="00534AF8" w:rsidRPr="00B82045" w:rsidRDefault="00534AF8" w:rsidP="00534AF8">
            <w:pPr>
              <w:spacing w:after="120" w:line="300" w:lineRule="auto"/>
            </w:pPr>
          </w:p>
        </w:tc>
        <w:tc>
          <w:tcPr>
            <w:tcW w:w="1754" w:type="dxa"/>
          </w:tcPr>
          <w:p w14:paraId="6378B6A5" w14:textId="77777777" w:rsidR="00534AF8" w:rsidRPr="00B82045" w:rsidRDefault="00534AF8" w:rsidP="00534AF8">
            <w:pPr>
              <w:spacing w:after="120" w:line="300" w:lineRule="auto"/>
              <w:rPr>
                <w:sz w:val="20"/>
                <w:szCs w:val="20"/>
              </w:rPr>
            </w:pPr>
            <w:r w:rsidRPr="00B82045">
              <w:rPr>
                <w:sz w:val="20"/>
                <w:szCs w:val="20"/>
              </w:rPr>
              <w:t>TPECG</w:t>
            </w:r>
          </w:p>
        </w:tc>
        <w:tc>
          <w:tcPr>
            <w:tcW w:w="1551" w:type="dxa"/>
          </w:tcPr>
          <w:p w14:paraId="2903BAED" w14:textId="14048FF4" w:rsidR="00534AF8" w:rsidRPr="00B82045" w:rsidRDefault="00534AF8" w:rsidP="00534AF8">
            <w:pPr>
              <w:spacing w:after="120" w:line="300" w:lineRule="auto"/>
              <w:jc w:val="right"/>
            </w:pPr>
            <w:r w:rsidRPr="00B82045">
              <w:t>£3</w:t>
            </w:r>
            <w:r>
              <w:t>5,055.85</w:t>
            </w:r>
          </w:p>
        </w:tc>
        <w:tc>
          <w:tcPr>
            <w:tcW w:w="1377" w:type="dxa"/>
          </w:tcPr>
          <w:p w14:paraId="0F26DE8E" w14:textId="77777777" w:rsidR="00534AF8" w:rsidRPr="00B82045" w:rsidRDefault="00534AF8" w:rsidP="00534AF8">
            <w:pPr>
              <w:spacing w:after="120" w:line="300" w:lineRule="auto"/>
              <w:jc w:val="center"/>
            </w:pPr>
            <w:r w:rsidRPr="00B82045">
              <w:t>100%</w:t>
            </w:r>
          </w:p>
        </w:tc>
        <w:tc>
          <w:tcPr>
            <w:tcW w:w="1551" w:type="dxa"/>
          </w:tcPr>
          <w:p w14:paraId="6134B9DC" w14:textId="3198EC3B" w:rsidR="00534AF8" w:rsidRPr="00B82045" w:rsidRDefault="00534AF8" w:rsidP="00534AF8">
            <w:pPr>
              <w:spacing w:after="120" w:line="300" w:lineRule="auto"/>
              <w:jc w:val="right"/>
            </w:pPr>
            <w:r w:rsidRPr="00B82045">
              <w:t>£3</w:t>
            </w:r>
            <w:r>
              <w:t>5,055.85</w:t>
            </w:r>
          </w:p>
        </w:tc>
        <w:tc>
          <w:tcPr>
            <w:tcW w:w="1551" w:type="dxa"/>
          </w:tcPr>
          <w:p w14:paraId="3ECB29AE" w14:textId="77777777" w:rsidR="00534AF8" w:rsidRPr="00B82045" w:rsidRDefault="00534AF8" w:rsidP="00534AF8">
            <w:pPr>
              <w:spacing w:after="120" w:line="300" w:lineRule="auto"/>
            </w:pPr>
          </w:p>
        </w:tc>
      </w:tr>
      <w:tr w:rsidR="00534AF8" w:rsidRPr="00B82045" w14:paraId="0956BAB9" w14:textId="77777777" w:rsidTr="00534AF8">
        <w:tc>
          <w:tcPr>
            <w:tcW w:w="1232" w:type="dxa"/>
            <w:vMerge/>
            <w:tcBorders>
              <w:bottom w:val="single" w:sz="4" w:space="0" w:color="auto"/>
            </w:tcBorders>
          </w:tcPr>
          <w:p w14:paraId="1DE49408" w14:textId="77777777" w:rsidR="00534AF8" w:rsidRPr="00B82045" w:rsidRDefault="00534AF8" w:rsidP="00534AF8">
            <w:pPr>
              <w:spacing w:after="120" w:line="300" w:lineRule="auto"/>
            </w:pPr>
          </w:p>
        </w:tc>
        <w:tc>
          <w:tcPr>
            <w:tcW w:w="1754" w:type="dxa"/>
            <w:tcBorders>
              <w:bottom w:val="single" w:sz="4" w:space="0" w:color="auto"/>
            </w:tcBorders>
          </w:tcPr>
          <w:p w14:paraId="650FB3E5" w14:textId="77777777" w:rsidR="00534AF8" w:rsidRPr="00B82045" w:rsidRDefault="00534AF8" w:rsidP="00534AF8">
            <w:pPr>
              <w:spacing w:after="120" w:line="300" w:lineRule="auto"/>
              <w:rPr>
                <w:sz w:val="20"/>
                <w:szCs w:val="20"/>
              </w:rPr>
            </w:pPr>
            <w:r w:rsidRPr="00B82045">
              <w:rPr>
                <w:sz w:val="20"/>
                <w:szCs w:val="20"/>
              </w:rPr>
              <w:t>HNAF</w:t>
            </w:r>
          </w:p>
        </w:tc>
        <w:tc>
          <w:tcPr>
            <w:tcW w:w="1551" w:type="dxa"/>
            <w:tcBorders>
              <w:bottom w:val="single" w:sz="4" w:space="0" w:color="auto"/>
            </w:tcBorders>
          </w:tcPr>
          <w:p w14:paraId="267552DA" w14:textId="018589A8" w:rsidR="00534AF8" w:rsidRPr="00B82045" w:rsidRDefault="00534AF8" w:rsidP="00534AF8">
            <w:pPr>
              <w:spacing w:after="120" w:line="300" w:lineRule="auto"/>
              <w:jc w:val="right"/>
            </w:pPr>
            <w:r w:rsidRPr="00B82045">
              <w:t>£</w:t>
            </w:r>
            <w:r>
              <w:t>32,632.12</w:t>
            </w:r>
          </w:p>
        </w:tc>
        <w:tc>
          <w:tcPr>
            <w:tcW w:w="1377" w:type="dxa"/>
            <w:tcBorders>
              <w:bottom w:val="single" w:sz="4" w:space="0" w:color="auto"/>
            </w:tcBorders>
          </w:tcPr>
          <w:p w14:paraId="7DF835EE" w14:textId="77777777" w:rsidR="00534AF8" w:rsidRPr="00B82045" w:rsidRDefault="00534AF8" w:rsidP="00534AF8">
            <w:pPr>
              <w:spacing w:after="120" w:line="300" w:lineRule="auto"/>
              <w:jc w:val="center"/>
            </w:pPr>
            <w:r w:rsidRPr="00B82045">
              <w:t>100%</w:t>
            </w:r>
          </w:p>
        </w:tc>
        <w:tc>
          <w:tcPr>
            <w:tcW w:w="1551" w:type="dxa"/>
            <w:tcBorders>
              <w:bottom w:val="single" w:sz="4" w:space="0" w:color="auto"/>
            </w:tcBorders>
          </w:tcPr>
          <w:p w14:paraId="3639E944" w14:textId="13D6FBC3" w:rsidR="00534AF8" w:rsidRPr="00B82045" w:rsidRDefault="00534AF8" w:rsidP="00534AF8">
            <w:pPr>
              <w:spacing w:after="120" w:line="300" w:lineRule="auto"/>
              <w:jc w:val="right"/>
            </w:pPr>
            <w:r w:rsidRPr="00B82045">
              <w:t>£</w:t>
            </w:r>
            <w:r>
              <w:t>32,632.12</w:t>
            </w:r>
          </w:p>
        </w:tc>
        <w:tc>
          <w:tcPr>
            <w:tcW w:w="1551" w:type="dxa"/>
            <w:tcBorders>
              <w:bottom w:val="single" w:sz="4" w:space="0" w:color="auto"/>
            </w:tcBorders>
          </w:tcPr>
          <w:p w14:paraId="66B6AEA4" w14:textId="77777777" w:rsidR="00534AF8" w:rsidRPr="00B82045" w:rsidRDefault="00534AF8" w:rsidP="00534AF8">
            <w:pPr>
              <w:spacing w:after="120" w:line="300" w:lineRule="auto"/>
            </w:pPr>
          </w:p>
        </w:tc>
      </w:tr>
      <w:tr w:rsidR="005B11B6" w:rsidRPr="00B82045" w14:paraId="541569CF" w14:textId="77777777" w:rsidTr="00501E0E">
        <w:tc>
          <w:tcPr>
            <w:tcW w:w="5914" w:type="dxa"/>
            <w:gridSpan w:val="4"/>
            <w:tcBorders>
              <w:bottom w:val="single" w:sz="12" w:space="0" w:color="auto"/>
            </w:tcBorders>
          </w:tcPr>
          <w:p w14:paraId="5F460952" w14:textId="77777777" w:rsidR="005B11B6" w:rsidRPr="00B82045" w:rsidRDefault="005B11B6" w:rsidP="00501E0E">
            <w:pPr>
              <w:spacing w:after="120" w:line="300" w:lineRule="auto"/>
            </w:pPr>
            <w:r w:rsidRPr="00B82045">
              <w:t>Total 2025/26 FY funding after multiplier</w:t>
            </w:r>
          </w:p>
        </w:tc>
        <w:tc>
          <w:tcPr>
            <w:tcW w:w="1551" w:type="dxa"/>
            <w:tcBorders>
              <w:bottom w:val="single" w:sz="12" w:space="0" w:color="auto"/>
            </w:tcBorders>
          </w:tcPr>
          <w:p w14:paraId="1CE07EE2" w14:textId="3645D8B7" w:rsidR="005B11B6" w:rsidRPr="00B82045" w:rsidRDefault="005B11B6" w:rsidP="00501E0E">
            <w:pPr>
              <w:spacing w:after="120" w:line="300" w:lineRule="auto"/>
              <w:jc w:val="right"/>
            </w:pPr>
            <w:r w:rsidRPr="00B82045">
              <w:fldChar w:fldCharType="begin"/>
            </w:r>
            <w:r w:rsidRPr="00B82045">
              <w:instrText xml:space="preserve"> =SUM(ABOVE) </w:instrText>
            </w:r>
            <w:r w:rsidRPr="00B82045">
              <w:fldChar w:fldCharType="separate"/>
            </w:r>
            <w:r w:rsidR="007A4922">
              <w:rPr>
                <w:noProof/>
              </w:rPr>
              <w:t>£264,780.48</w:t>
            </w:r>
            <w:r w:rsidRPr="00B82045">
              <w:fldChar w:fldCharType="end"/>
            </w:r>
          </w:p>
        </w:tc>
        <w:tc>
          <w:tcPr>
            <w:tcW w:w="1551" w:type="dxa"/>
            <w:tcBorders>
              <w:bottom w:val="single" w:sz="12" w:space="0" w:color="auto"/>
            </w:tcBorders>
          </w:tcPr>
          <w:p w14:paraId="6B7073BF" w14:textId="77777777" w:rsidR="005B11B6" w:rsidRPr="00B82045" w:rsidRDefault="005B11B6" w:rsidP="00501E0E">
            <w:pPr>
              <w:spacing w:after="120" w:line="300" w:lineRule="auto"/>
            </w:pPr>
          </w:p>
        </w:tc>
      </w:tr>
      <w:tr w:rsidR="005B11B6" w:rsidRPr="00B82045" w14:paraId="3493BE83" w14:textId="77777777" w:rsidTr="00501E0E">
        <w:trPr>
          <w:trHeight w:val="688"/>
        </w:trPr>
        <w:tc>
          <w:tcPr>
            <w:tcW w:w="5914" w:type="dxa"/>
            <w:gridSpan w:val="4"/>
            <w:tcBorders>
              <w:top w:val="single" w:sz="12" w:space="0" w:color="auto"/>
            </w:tcBorders>
          </w:tcPr>
          <w:p w14:paraId="54891B1D" w14:textId="77777777" w:rsidR="005B11B6" w:rsidRPr="00B82045" w:rsidRDefault="005B11B6" w:rsidP="00501E0E">
            <w:pPr>
              <w:spacing w:after="120" w:line="300" w:lineRule="auto"/>
            </w:pPr>
            <w:r w:rsidRPr="00B82045">
              <w:t>Total 2025/26 FY funding after multiplier, per place</w:t>
            </w:r>
          </w:p>
          <w:p w14:paraId="2AE21D79" w14:textId="0C4B088D" w:rsidR="005B11B6" w:rsidRPr="00B82045" w:rsidRDefault="005B11B6" w:rsidP="00501E0E">
            <w:pPr>
              <w:spacing w:after="120" w:line="300" w:lineRule="auto"/>
              <w:jc w:val="right"/>
              <w:rPr>
                <w:sz w:val="20"/>
                <w:szCs w:val="20"/>
              </w:rPr>
            </w:pPr>
            <w:r w:rsidRPr="00B82045">
              <w:rPr>
                <w:sz w:val="20"/>
                <w:szCs w:val="20"/>
              </w:rPr>
              <w:t>(£</w:t>
            </w:r>
            <w:r w:rsidR="00EE1C47">
              <w:rPr>
                <w:sz w:val="20"/>
                <w:szCs w:val="20"/>
              </w:rPr>
              <w:t>264</w:t>
            </w:r>
            <w:r w:rsidR="007D338E">
              <w:rPr>
                <w:sz w:val="20"/>
                <w:szCs w:val="20"/>
              </w:rPr>
              <w:t>,780.48</w:t>
            </w:r>
            <w:r w:rsidRPr="00B82045">
              <w:rPr>
                <w:sz w:val="20"/>
                <w:szCs w:val="20"/>
              </w:rPr>
              <w:t xml:space="preserve"> / </w:t>
            </w:r>
            <w:r w:rsidR="007341A2">
              <w:rPr>
                <w:sz w:val="20"/>
                <w:szCs w:val="20"/>
              </w:rPr>
              <w:t>60</w:t>
            </w:r>
            <w:r w:rsidRPr="00B82045">
              <w:rPr>
                <w:sz w:val="20"/>
                <w:szCs w:val="20"/>
              </w:rPr>
              <w:t>)</w:t>
            </w:r>
          </w:p>
        </w:tc>
        <w:tc>
          <w:tcPr>
            <w:tcW w:w="1551" w:type="dxa"/>
            <w:tcBorders>
              <w:top w:val="single" w:sz="12" w:space="0" w:color="auto"/>
            </w:tcBorders>
          </w:tcPr>
          <w:p w14:paraId="3F91810D" w14:textId="3EF3A315" w:rsidR="005B11B6" w:rsidRPr="00B82045" w:rsidRDefault="005B11B6" w:rsidP="00501E0E">
            <w:pPr>
              <w:spacing w:after="120" w:line="300" w:lineRule="auto"/>
              <w:jc w:val="right"/>
            </w:pPr>
            <w:r w:rsidRPr="00B82045">
              <w:t>£4,</w:t>
            </w:r>
            <w:r w:rsidR="007341A2">
              <w:t>413.01</w:t>
            </w:r>
          </w:p>
        </w:tc>
        <w:tc>
          <w:tcPr>
            <w:tcW w:w="1551" w:type="dxa"/>
            <w:tcBorders>
              <w:top w:val="single" w:sz="12" w:space="0" w:color="auto"/>
            </w:tcBorders>
          </w:tcPr>
          <w:p w14:paraId="4C109E3F" w14:textId="77777777" w:rsidR="005B11B6" w:rsidRPr="00B82045" w:rsidRDefault="005B11B6" w:rsidP="00501E0E">
            <w:pPr>
              <w:spacing w:after="120" w:line="300" w:lineRule="auto"/>
            </w:pPr>
          </w:p>
        </w:tc>
      </w:tr>
      <w:tr w:rsidR="005B11B6" w:rsidRPr="00B82045" w14:paraId="7F48A48A" w14:textId="77777777" w:rsidTr="00501E0E">
        <w:tc>
          <w:tcPr>
            <w:tcW w:w="7465" w:type="dxa"/>
            <w:gridSpan w:val="5"/>
          </w:tcPr>
          <w:p w14:paraId="23008973" w14:textId="1D9FFC10" w:rsidR="005B11B6" w:rsidRPr="00B82045" w:rsidRDefault="005B11B6" w:rsidP="00501E0E">
            <w:pPr>
              <w:spacing w:after="120" w:line="300" w:lineRule="auto"/>
              <w:rPr>
                <w:b/>
                <w:bCs/>
              </w:rPr>
            </w:pPr>
            <w:r w:rsidRPr="00B82045">
              <w:rPr>
                <w:b/>
                <w:bCs/>
              </w:rPr>
              <w:t xml:space="preserve">Total 2026/27 FY funding                    </w:t>
            </w:r>
            <w:r w:rsidRPr="00B82045">
              <w:rPr>
                <w:sz w:val="20"/>
                <w:szCs w:val="20"/>
              </w:rPr>
              <w:t>(£4,</w:t>
            </w:r>
            <w:r w:rsidR="007D338E">
              <w:rPr>
                <w:sz w:val="20"/>
                <w:szCs w:val="20"/>
              </w:rPr>
              <w:t>413.01</w:t>
            </w:r>
            <w:r w:rsidRPr="00B82045">
              <w:rPr>
                <w:sz w:val="20"/>
                <w:szCs w:val="20"/>
              </w:rPr>
              <w:t xml:space="preserve"> * </w:t>
            </w:r>
            <w:r w:rsidR="007D338E">
              <w:rPr>
                <w:sz w:val="20"/>
                <w:szCs w:val="20"/>
              </w:rPr>
              <w:t>65</w:t>
            </w:r>
            <w:r w:rsidRPr="00B82045">
              <w:rPr>
                <w:sz w:val="20"/>
                <w:szCs w:val="20"/>
              </w:rPr>
              <w:t>)</w:t>
            </w:r>
          </w:p>
        </w:tc>
        <w:tc>
          <w:tcPr>
            <w:tcW w:w="1551" w:type="dxa"/>
          </w:tcPr>
          <w:p w14:paraId="66A5BCCB" w14:textId="07B2F23C" w:rsidR="005B11B6" w:rsidRPr="00B82045" w:rsidRDefault="005B11B6" w:rsidP="00501E0E">
            <w:pPr>
              <w:spacing w:after="120" w:line="300" w:lineRule="auto"/>
              <w:rPr>
                <w:b/>
                <w:bCs/>
              </w:rPr>
            </w:pPr>
            <w:r w:rsidRPr="00B82045">
              <w:rPr>
                <w:b/>
                <w:bCs/>
              </w:rPr>
              <w:t>£</w:t>
            </w:r>
            <w:r w:rsidR="00CD4408">
              <w:rPr>
                <w:b/>
                <w:bCs/>
              </w:rPr>
              <w:t>286,854.65</w:t>
            </w:r>
          </w:p>
        </w:tc>
      </w:tr>
    </w:tbl>
    <w:p w14:paraId="20DD3872" w14:textId="77777777" w:rsidR="005B11B6" w:rsidRPr="000C1B64" w:rsidRDefault="005B11B6" w:rsidP="005B11B6">
      <w:pPr>
        <w:spacing w:before="120" w:after="240" w:line="300" w:lineRule="auto"/>
        <w:rPr>
          <w:sz w:val="20"/>
          <w:szCs w:val="20"/>
        </w:rPr>
      </w:pPr>
      <w:r w:rsidRPr="000C1B64">
        <w:rPr>
          <w:sz w:val="20"/>
          <w:szCs w:val="20"/>
        </w:rPr>
        <w:t>*DfE stipulate a percentage increase of 47% must be applied to the staff pay element on the basis the CSBG supported settings with 12 months of the 2025 support staff pay award costs in 2025 to 2026 (as this pay award took effect from April 2025) and 7 months of the 2025 teachers pay award (as this pay award took effect from September 2025).</w:t>
      </w:r>
      <w:r>
        <w:rPr>
          <w:sz w:val="20"/>
          <w:szCs w:val="20"/>
        </w:rPr>
        <w:t xml:space="preserve"> Please see </w:t>
      </w:r>
      <w:hyperlink r:id="rId15" w:anchor="annex-4" w:history="1">
        <w:r w:rsidRPr="001B6471">
          <w:rPr>
            <w:rStyle w:val="Hyperlink"/>
            <w:sz w:val="20"/>
            <w:szCs w:val="20"/>
          </w:rPr>
          <w:t>High needs funding: 2026 to 2027 operational guide - GOV.UK</w:t>
        </w:r>
      </w:hyperlink>
      <w:r>
        <w:rPr>
          <w:sz w:val="20"/>
          <w:szCs w:val="20"/>
        </w:rPr>
        <w:t>, Annex 4, section 16.1 for more information.</w:t>
      </w:r>
    </w:p>
    <w:p w14:paraId="4D6566B3" w14:textId="77777777" w:rsidR="005B11B6" w:rsidRPr="00B82045" w:rsidRDefault="005B11B6" w:rsidP="005B11B6">
      <w:pPr>
        <w:spacing w:after="120" w:line="300" w:lineRule="auto"/>
      </w:pPr>
      <w:r w:rsidRPr="00B82045">
        <w:t>Legacy funding will be allocated at the start of the financial year to GL code 7697 (CFR code I01)</w:t>
      </w:r>
      <w:r w:rsidRPr="00B82045">
        <w:rPr>
          <w:spacing w:val="1"/>
        </w:rPr>
        <w:t>.</w:t>
      </w:r>
    </w:p>
    <w:p w14:paraId="754C507C" w14:textId="39DB06D9" w:rsidR="00EF5EF0" w:rsidRPr="00FC7B8F" w:rsidRDefault="005D60AA" w:rsidP="00FA34C7">
      <w:pPr>
        <w:spacing w:after="160" w:line="259" w:lineRule="auto"/>
        <w:rPr>
          <w:b/>
          <w:bCs/>
          <w:sz w:val="40"/>
          <w:szCs w:val="40"/>
        </w:rPr>
      </w:pPr>
      <w:r>
        <w:rPr>
          <w:sz w:val="40"/>
          <w:szCs w:val="40"/>
        </w:rPr>
        <w:br w:type="page"/>
      </w:r>
      <w:bookmarkStart w:id="10" w:name="_Toc158714173"/>
      <w:r w:rsidR="00EF5EF0" w:rsidRPr="00FC7B8F">
        <w:rPr>
          <w:b/>
          <w:bCs/>
          <w:sz w:val="40"/>
          <w:szCs w:val="40"/>
        </w:rPr>
        <w:lastRenderedPageBreak/>
        <w:t>Central Provision Funded by Maintained Schools</w:t>
      </w:r>
      <w:bookmarkEnd w:id="10"/>
    </w:p>
    <w:p w14:paraId="0BB896B7" w14:textId="153B4E95" w:rsidR="00EF5EF0" w:rsidRPr="00B439FA" w:rsidRDefault="00EF5EF0" w:rsidP="00A06812">
      <w:pPr>
        <w:spacing w:after="120" w:line="300" w:lineRule="auto"/>
      </w:pPr>
      <w:bookmarkStart w:id="11" w:name="OLE_LINK21"/>
      <w:bookmarkStart w:id="12" w:name="OLE_LINK22"/>
      <w:bookmarkEnd w:id="9"/>
      <w:r w:rsidRPr="00B439FA">
        <w:t xml:space="preserve">The Education Services Grant (ESG) was previously an un-ringfenced grant paid to the local authority to enable it to </w:t>
      </w:r>
      <w:proofErr w:type="gramStart"/>
      <w:r w:rsidRPr="00B439FA">
        <w:t>carry out</w:t>
      </w:r>
      <w:proofErr w:type="gramEnd"/>
      <w:r w:rsidRPr="00B439FA">
        <w:t xml:space="preserve"> its statutory functions for all schools.</w:t>
      </w:r>
    </w:p>
    <w:p w14:paraId="437AB316" w14:textId="77777777" w:rsidR="00EF5EF0" w:rsidRPr="00B439FA" w:rsidRDefault="00EF5EF0" w:rsidP="00A06812">
      <w:pPr>
        <w:spacing w:after="120" w:line="300" w:lineRule="auto"/>
      </w:pPr>
      <w:r w:rsidRPr="00B439FA">
        <w:t xml:space="preserve">The retained element of ESG now forms part of the Central School Services </w:t>
      </w:r>
      <w:r>
        <w:t>B</w:t>
      </w:r>
      <w:r w:rsidRPr="00B439FA">
        <w:t xml:space="preserve">lock to fund statutory services for all schools (including academies). The general element, which funded statutory services to maintained schools, has </w:t>
      </w:r>
      <w:proofErr w:type="gramStart"/>
      <w:r w:rsidRPr="00B439FA">
        <w:t>been cut</w:t>
      </w:r>
      <w:proofErr w:type="gramEnd"/>
      <w:r w:rsidRPr="00B439FA">
        <w:t xml:space="preserve"> by the DfE, however local authorities are able to top-slice maintained school budget shares to enable them to continue to provide (and fund) statutory functions.</w:t>
      </w:r>
    </w:p>
    <w:p w14:paraId="55352D34" w14:textId="77777777" w:rsidR="00EF5EF0" w:rsidRPr="00B439FA" w:rsidRDefault="00EF5EF0" w:rsidP="00A06812">
      <w:pPr>
        <w:spacing w:after="120" w:line="300" w:lineRule="auto"/>
      </w:pPr>
      <w:r w:rsidRPr="00B439FA">
        <w:t xml:space="preserve">The local authority has sought to identify only core statutory activities which are </w:t>
      </w:r>
      <w:proofErr w:type="gramStart"/>
      <w:r w:rsidRPr="00B439FA">
        <w:t>being delivered</w:t>
      </w:r>
      <w:proofErr w:type="gramEnd"/>
      <w:r w:rsidRPr="00B439FA">
        <w:t xml:space="preserve"> by services and these have been subject to extensive challenge to ensure efficiency.</w:t>
      </w:r>
    </w:p>
    <w:p w14:paraId="74141867" w14:textId="0C58D280" w:rsidR="00EF5EF0" w:rsidRPr="00B439FA" w:rsidRDefault="00EF5EF0" w:rsidP="00A06812">
      <w:pPr>
        <w:spacing w:after="120" w:line="300" w:lineRule="auto"/>
      </w:pPr>
      <w:r w:rsidRPr="00B439FA">
        <w:t xml:space="preserve">In </w:t>
      </w:r>
      <w:r w:rsidR="00FB0194">
        <w:t>2026/27</w:t>
      </w:r>
      <w:r>
        <w:t xml:space="preserve"> </w:t>
      </w:r>
      <w:r w:rsidRPr="00B439FA">
        <w:t>the top-slice will be £</w:t>
      </w:r>
      <w:r w:rsidR="00481879">
        <w:t>58.57</w:t>
      </w:r>
      <w:r>
        <w:t xml:space="preserve"> </w:t>
      </w:r>
      <w:r w:rsidRPr="00B439FA">
        <w:t xml:space="preserve">per </w:t>
      </w:r>
      <w:r>
        <w:t xml:space="preserve">APN </w:t>
      </w:r>
      <w:r w:rsidRPr="00B439FA">
        <w:t>p</w:t>
      </w:r>
      <w:r>
        <w:t>lace</w:t>
      </w:r>
      <w:r w:rsidRPr="00B439FA">
        <w:t>. This per p</w:t>
      </w:r>
      <w:r>
        <w:t>lace</w:t>
      </w:r>
      <w:r w:rsidRPr="00B439FA">
        <w:t xml:space="preserve"> amount has </w:t>
      </w:r>
      <w:proofErr w:type="gramStart"/>
      <w:r w:rsidRPr="00B439FA">
        <w:t>been applied</w:t>
      </w:r>
      <w:proofErr w:type="gramEnd"/>
      <w:r w:rsidRPr="00B439FA">
        <w:t xml:space="preserve"> consistently across maintained mainstream schools, special </w:t>
      </w:r>
      <w:proofErr w:type="gramStart"/>
      <w:r w:rsidRPr="00B439FA">
        <w:t>schools</w:t>
      </w:r>
      <w:proofErr w:type="gramEnd"/>
      <w:r w:rsidRPr="00B439FA">
        <w:t xml:space="preserve"> and education centres.</w:t>
      </w:r>
    </w:p>
    <w:p w14:paraId="41F91291" w14:textId="77777777" w:rsidR="00EF5EF0" w:rsidRPr="00B439FA" w:rsidRDefault="00EF5EF0" w:rsidP="008612AC">
      <w:pPr>
        <w:spacing w:after="120" w:line="300" w:lineRule="auto"/>
      </w:pPr>
      <w:r w:rsidRPr="00B439FA">
        <w:t xml:space="preserve">To comply with the Consistent Financial Reporting (CFR) standards, the gross budget share (before the Central Provision Funded by Maintained Schools deduction) will </w:t>
      </w:r>
      <w:proofErr w:type="gramStart"/>
      <w:r w:rsidRPr="00B439FA">
        <w:t>be credited</w:t>
      </w:r>
      <w:proofErr w:type="gramEnd"/>
      <w:r w:rsidRPr="00B439FA">
        <w:t xml:space="preserve"> to the </w:t>
      </w:r>
      <w:r>
        <w:t>e</w:t>
      </w:r>
      <w:r w:rsidRPr="00B439FA">
        <w:t xml:space="preserve">ducation </w:t>
      </w:r>
      <w:r>
        <w:t>c</w:t>
      </w:r>
      <w:r w:rsidRPr="00B439FA">
        <w:t xml:space="preserve">entre’s </w:t>
      </w:r>
      <w:proofErr w:type="gramStart"/>
      <w:r w:rsidRPr="00B439FA">
        <w:t>0</w:t>
      </w:r>
      <w:proofErr w:type="gramEnd"/>
      <w:r w:rsidRPr="00B439FA">
        <w:t xml:space="preserve"> cost centre on GL code 7696. The Central Provision Funded by Maintained Schools charge will then </w:t>
      </w:r>
      <w:proofErr w:type="gramStart"/>
      <w:r w:rsidRPr="00B439FA">
        <w:t>be debited</w:t>
      </w:r>
      <w:proofErr w:type="gramEnd"/>
      <w:r w:rsidRPr="00B439FA">
        <w:t xml:space="preserve"> from the same GL code, 7696 (CFR code I01).</w:t>
      </w:r>
    </w:p>
    <w:p w14:paraId="0B4A14ED" w14:textId="77777777" w:rsidR="00EF5EF0" w:rsidRDefault="00EF5EF0" w:rsidP="00A06812">
      <w:pPr>
        <w:spacing w:after="120" w:line="300" w:lineRule="auto"/>
        <w:rPr>
          <w:b/>
          <w:sz w:val="28"/>
          <w:szCs w:val="28"/>
        </w:rPr>
      </w:pPr>
      <w:bookmarkStart w:id="13" w:name="Topupmain"/>
      <w:bookmarkEnd w:id="11"/>
      <w:bookmarkEnd w:id="12"/>
    </w:p>
    <w:p w14:paraId="3411902E" w14:textId="33D29BFA" w:rsidR="00EF5EF0" w:rsidRPr="002B55F3" w:rsidRDefault="00CA517F" w:rsidP="6C04500C">
      <w:pPr>
        <w:pStyle w:val="h1"/>
        <w:spacing w:after="120" w:line="300" w:lineRule="auto"/>
        <w:rPr>
          <w:sz w:val="40"/>
          <w:szCs w:val="40"/>
        </w:rPr>
      </w:pPr>
      <w:r w:rsidRPr="002B55F3">
        <w:rPr>
          <w:sz w:val="40"/>
          <w:szCs w:val="40"/>
        </w:rPr>
        <w:t>Commissioned E</w:t>
      </w:r>
      <w:r w:rsidR="002A0DDF" w:rsidRPr="002B55F3">
        <w:rPr>
          <w:sz w:val="40"/>
          <w:szCs w:val="40"/>
        </w:rPr>
        <w:t xml:space="preserve">ducation Centre </w:t>
      </w:r>
      <w:r w:rsidRPr="002B55F3">
        <w:rPr>
          <w:sz w:val="40"/>
          <w:szCs w:val="40"/>
        </w:rPr>
        <w:t>Service</w:t>
      </w:r>
    </w:p>
    <w:bookmarkEnd w:id="13"/>
    <w:p w14:paraId="5C335E46" w14:textId="39FA2D30" w:rsidR="00EF5EF0" w:rsidRPr="002B55F3" w:rsidRDefault="00523E33" w:rsidP="6C04500C">
      <w:pPr>
        <w:spacing w:after="120" w:line="300" w:lineRule="auto"/>
      </w:pPr>
      <w:r w:rsidRPr="002B55F3">
        <w:t>From April 2026, education centres will operate under a commissioned EC service</w:t>
      </w:r>
      <w:r w:rsidR="00377229" w:rsidRPr="002B55F3">
        <w:t xml:space="preserve">. </w:t>
      </w:r>
      <w:proofErr w:type="gramStart"/>
      <w:r w:rsidR="00377229" w:rsidRPr="002B55F3">
        <w:t xml:space="preserve">The delivery of this service will be defined by a </w:t>
      </w:r>
      <w:r w:rsidR="31A6853A" w:rsidRPr="002B55F3">
        <w:t>Delivery Framework</w:t>
      </w:r>
      <w:proofErr w:type="gramEnd"/>
      <w:r w:rsidR="00377229" w:rsidRPr="002B55F3">
        <w:t xml:space="preserve"> </w:t>
      </w:r>
      <w:r w:rsidR="004F3C6E" w:rsidRPr="002B55F3">
        <w:t>between Hampshire Cou</w:t>
      </w:r>
      <w:r w:rsidR="00291204" w:rsidRPr="002B55F3">
        <w:t>n</w:t>
      </w:r>
      <w:r w:rsidR="004F3C6E" w:rsidRPr="002B55F3">
        <w:t>ty Council’s Inclusion Support Service and the education centre</w:t>
      </w:r>
      <w:r w:rsidR="00D7286C" w:rsidRPr="002B55F3">
        <w:t xml:space="preserve">. The </w:t>
      </w:r>
      <w:r w:rsidR="00B10AEC" w:rsidRPr="002B55F3">
        <w:t>commissioned EC service funding is funding over and above the place funding to enable the education centre to meet it</w:t>
      </w:r>
      <w:r w:rsidR="00B47D61" w:rsidRPr="002B55F3">
        <w:t xml:space="preserve">s obligations under the </w:t>
      </w:r>
      <w:r w:rsidR="4CDE6243" w:rsidRPr="0004407C">
        <w:t>Framework</w:t>
      </w:r>
      <w:r w:rsidR="00E8087C" w:rsidRPr="002B55F3">
        <w:t>. Those obligations are likely to include</w:t>
      </w:r>
      <w:r w:rsidR="00CB04F6" w:rsidRPr="002B55F3">
        <w:t xml:space="preserve"> the delivery of </w:t>
      </w:r>
      <w:r w:rsidR="00BC50DB" w:rsidRPr="002B55F3">
        <w:t xml:space="preserve">education for dual-rolled or </w:t>
      </w:r>
      <w:r w:rsidR="007E3F95" w:rsidRPr="002B55F3">
        <w:t>permanently</w:t>
      </w:r>
      <w:r w:rsidR="00BC50DB" w:rsidRPr="002B55F3">
        <w:t xml:space="preserve"> excluded pupils </w:t>
      </w:r>
      <w:r w:rsidR="007E3F95" w:rsidRPr="002B55F3">
        <w:t>on roll</w:t>
      </w:r>
      <w:r w:rsidR="00BC50DB" w:rsidRPr="002B55F3">
        <w:t xml:space="preserve"> at </w:t>
      </w:r>
      <w:r w:rsidR="002E300A" w:rsidRPr="002B55F3">
        <w:t>the education centre</w:t>
      </w:r>
      <w:r w:rsidR="007E3F95" w:rsidRPr="002B55F3">
        <w:t xml:space="preserve"> and provision of</w:t>
      </w:r>
      <w:r w:rsidR="002E300A" w:rsidRPr="002B55F3">
        <w:t xml:space="preserve"> outreach</w:t>
      </w:r>
      <w:r w:rsidR="00377229" w:rsidRPr="002B55F3">
        <w:t xml:space="preserve"> </w:t>
      </w:r>
      <w:r w:rsidR="007E3F95" w:rsidRPr="002B55F3">
        <w:t>service</w:t>
      </w:r>
      <w:r w:rsidR="005E26DC" w:rsidRPr="002B55F3">
        <w:t xml:space="preserve">s to </w:t>
      </w:r>
      <w:r w:rsidR="00C6590D" w:rsidRPr="002B55F3">
        <w:t xml:space="preserve">their </w:t>
      </w:r>
      <w:r w:rsidR="005E26DC" w:rsidRPr="002B55F3">
        <w:t>secondary school</w:t>
      </w:r>
      <w:r w:rsidR="00C6590D" w:rsidRPr="002B55F3">
        <w:t xml:space="preserve"> cluster</w:t>
      </w:r>
      <w:r w:rsidR="001665E3" w:rsidRPr="002B55F3">
        <w:t>.</w:t>
      </w:r>
      <w:r w:rsidR="005E26DC" w:rsidRPr="002B55F3">
        <w:t xml:space="preserve"> </w:t>
      </w:r>
    </w:p>
    <w:p w14:paraId="39B49A57" w14:textId="7F424DB8" w:rsidR="00EF5EF0" w:rsidRPr="007819D2" w:rsidRDefault="00D16C08" w:rsidP="00A06812">
      <w:pPr>
        <w:spacing w:after="120" w:line="300" w:lineRule="auto"/>
      </w:pPr>
      <w:r w:rsidRPr="002B55F3">
        <w:t>Commissioned EC service</w:t>
      </w:r>
      <w:r w:rsidR="00EF5EF0" w:rsidRPr="002B55F3">
        <w:t xml:space="preserve"> funding will be allocated to GL code 7</w:t>
      </w:r>
      <w:r w:rsidRPr="002B55F3">
        <w:t>556</w:t>
      </w:r>
      <w:r w:rsidR="00EF5EF0" w:rsidRPr="002B55F3">
        <w:t xml:space="preserve"> (CFR code I0</w:t>
      </w:r>
      <w:r w:rsidR="007819D2" w:rsidRPr="002B55F3">
        <w:t>8b</w:t>
      </w:r>
      <w:r w:rsidR="00EF5EF0" w:rsidRPr="002B55F3">
        <w:t>).</w:t>
      </w:r>
    </w:p>
    <w:p w14:paraId="6091DF8F" w14:textId="77777777" w:rsidR="00EF5EF0" w:rsidRPr="005E26DC" w:rsidRDefault="00EF5EF0" w:rsidP="00A06812">
      <w:pPr>
        <w:spacing w:after="120" w:line="300" w:lineRule="auto"/>
        <w:rPr>
          <w:b/>
          <w:sz w:val="28"/>
          <w:szCs w:val="28"/>
          <w:highlight w:val="yellow"/>
        </w:rPr>
      </w:pPr>
      <w:bookmarkStart w:id="14" w:name="Furtherinfo"/>
    </w:p>
    <w:p w14:paraId="73E7FBDA" w14:textId="77777777" w:rsidR="00E178B5" w:rsidRDefault="00E178B5" w:rsidP="00A06812">
      <w:pPr>
        <w:pStyle w:val="h1"/>
        <w:spacing w:after="120" w:line="300" w:lineRule="auto"/>
        <w:rPr>
          <w:sz w:val="40"/>
          <w:szCs w:val="40"/>
          <w:highlight w:val="yellow"/>
        </w:rPr>
      </w:pPr>
      <w:bookmarkStart w:id="15" w:name="_Toc158714176"/>
    </w:p>
    <w:p w14:paraId="573A56A0" w14:textId="11E75D03" w:rsidR="00EF5EF0" w:rsidRPr="002B55F3" w:rsidRDefault="00EF5EF0" w:rsidP="6C04500C">
      <w:pPr>
        <w:pStyle w:val="h1"/>
        <w:spacing w:after="120" w:line="300" w:lineRule="auto"/>
        <w:rPr>
          <w:sz w:val="40"/>
          <w:szCs w:val="40"/>
        </w:rPr>
      </w:pPr>
      <w:r w:rsidRPr="002B55F3">
        <w:rPr>
          <w:sz w:val="40"/>
          <w:szCs w:val="40"/>
        </w:rPr>
        <w:lastRenderedPageBreak/>
        <w:t>Additional Information</w:t>
      </w:r>
      <w:bookmarkEnd w:id="15"/>
    </w:p>
    <w:p w14:paraId="741A249E" w14:textId="36BD54B4" w:rsidR="00EF5EF0" w:rsidRPr="002B55F3" w:rsidRDefault="00EF5EF0" w:rsidP="6C04500C">
      <w:pPr>
        <w:pStyle w:val="h2"/>
        <w:spacing w:after="120" w:line="300" w:lineRule="auto"/>
        <w:rPr>
          <w:sz w:val="32"/>
          <w:szCs w:val="32"/>
        </w:rPr>
      </w:pPr>
      <w:bookmarkStart w:id="16" w:name="_Toc158714177"/>
      <w:bookmarkEnd w:id="14"/>
      <w:r w:rsidRPr="002B55F3">
        <w:rPr>
          <w:sz w:val="32"/>
          <w:szCs w:val="32"/>
        </w:rPr>
        <w:t>Additional funding when pupil numbers exceed APN</w:t>
      </w:r>
      <w:bookmarkEnd w:id="16"/>
    </w:p>
    <w:p w14:paraId="29FBC234" w14:textId="184DBA89" w:rsidR="00EF5EF0" w:rsidRPr="002B55F3" w:rsidRDefault="00AE5E9E" w:rsidP="6C04500C">
      <w:pPr>
        <w:spacing w:after="120" w:line="300" w:lineRule="auto"/>
      </w:pPr>
      <w:r w:rsidRPr="005E26DC">
        <w:rPr>
          <w:b/>
          <w:noProof/>
          <w:sz w:val="32"/>
          <w:szCs w:val="28"/>
          <w:highlight w:val="yellow"/>
        </w:rPr>
        <mc:AlternateContent>
          <mc:Choice Requires="wps">
            <w:drawing>
              <wp:anchor distT="45720" distB="45720" distL="114300" distR="114300" simplePos="0" relativeHeight="251658241" behindDoc="0" locked="0" layoutInCell="1" allowOverlap="1" wp14:anchorId="62BED4EF" wp14:editId="488C2B61">
                <wp:simplePos x="0" y="0"/>
                <wp:positionH relativeFrom="margin">
                  <wp:align>center</wp:align>
                </wp:positionH>
                <wp:positionV relativeFrom="paragraph">
                  <wp:posOffset>2074545</wp:posOffset>
                </wp:positionV>
                <wp:extent cx="5191125" cy="2152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52650"/>
                        </a:xfrm>
                        <a:prstGeom prst="rect">
                          <a:avLst/>
                        </a:prstGeom>
                        <a:solidFill>
                          <a:srgbClr val="FFFFFF"/>
                        </a:solidFill>
                        <a:ln w="9525">
                          <a:solidFill>
                            <a:srgbClr val="000000"/>
                          </a:solidFill>
                          <a:miter lim="800000"/>
                          <a:headEnd/>
                          <a:tailEnd/>
                        </a:ln>
                      </wps:spPr>
                      <wps:txbx>
                        <w:txbxContent>
                          <w:p w14:paraId="6804FAE9" w14:textId="77777777" w:rsidR="00EF5EF0" w:rsidRPr="004543F9" w:rsidRDefault="00EF5EF0" w:rsidP="00EF5EF0">
                            <w:pPr>
                              <w:widowControl w:val="0"/>
                              <w:autoSpaceDE w:val="0"/>
                              <w:autoSpaceDN w:val="0"/>
                              <w:adjustRightInd w:val="0"/>
                              <w:spacing w:after="120" w:line="300" w:lineRule="auto"/>
                              <w:rPr>
                                <w:spacing w:val="1"/>
                                <w:sz w:val="20"/>
                                <w:szCs w:val="20"/>
                              </w:rPr>
                            </w:pPr>
                            <w:r w:rsidRPr="004543F9">
                              <w:rPr>
                                <w:spacing w:val="1"/>
                                <w:sz w:val="20"/>
                                <w:szCs w:val="20"/>
                              </w:rPr>
                              <w:t>School APN</w:t>
                            </w:r>
                            <w:r>
                              <w:rPr>
                                <w:spacing w:val="1"/>
                                <w:sz w:val="20"/>
                                <w:szCs w:val="20"/>
                              </w:rPr>
                              <w:tab/>
                              <w:t>6</w:t>
                            </w:r>
                            <w:r w:rsidRPr="004543F9">
                              <w:rPr>
                                <w:spacing w:val="1"/>
                                <w:sz w:val="20"/>
                                <w:szCs w:val="20"/>
                              </w:rPr>
                              <w:t>5</w:t>
                            </w:r>
                          </w:p>
                          <w:p w14:paraId="221AA76B" w14:textId="77777777" w:rsidR="00EF5EF0" w:rsidRPr="004543F9" w:rsidRDefault="00EF5EF0" w:rsidP="00EF5EF0">
                            <w:pPr>
                              <w:widowControl w:val="0"/>
                              <w:autoSpaceDE w:val="0"/>
                              <w:autoSpaceDN w:val="0"/>
                              <w:adjustRightInd w:val="0"/>
                              <w:spacing w:after="120" w:line="300" w:lineRule="auto"/>
                              <w:rPr>
                                <w:spacing w:val="1"/>
                                <w:sz w:val="20"/>
                                <w:szCs w:val="20"/>
                              </w:rPr>
                            </w:pPr>
                            <w:r w:rsidRPr="004543F9">
                              <w:rPr>
                                <w:spacing w:val="1"/>
                                <w:sz w:val="20"/>
                                <w:szCs w:val="20"/>
                              </w:rPr>
                              <w:t>Pupil numbers each term:</w:t>
                            </w:r>
                          </w:p>
                          <w:p w14:paraId="7395877D" w14:textId="2E3CBED8" w:rsidR="00EF5EF0" w:rsidRPr="004543F9" w:rsidRDefault="00EF5EF0" w:rsidP="00EF5EF0">
                            <w:pPr>
                              <w:widowControl w:val="0"/>
                              <w:autoSpaceDE w:val="0"/>
                              <w:autoSpaceDN w:val="0"/>
                              <w:adjustRightInd w:val="0"/>
                              <w:spacing w:line="300" w:lineRule="auto"/>
                              <w:rPr>
                                <w:spacing w:val="1"/>
                                <w:sz w:val="20"/>
                                <w:szCs w:val="20"/>
                              </w:rPr>
                            </w:pPr>
                            <w:r w:rsidRPr="004543F9">
                              <w:rPr>
                                <w:spacing w:val="1"/>
                                <w:sz w:val="20"/>
                                <w:szCs w:val="20"/>
                              </w:rPr>
                              <w:t>Summer</w:t>
                            </w:r>
                            <w:r>
                              <w:rPr>
                                <w:spacing w:val="1"/>
                                <w:sz w:val="20"/>
                                <w:szCs w:val="20"/>
                              </w:rPr>
                              <w:tab/>
                              <w:t>67</w:t>
                            </w:r>
                            <w:r w:rsidRPr="004543F9">
                              <w:rPr>
                                <w:spacing w:val="1"/>
                                <w:sz w:val="20"/>
                                <w:szCs w:val="20"/>
                              </w:rPr>
                              <w:tab/>
                              <w:t>(</w:t>
                            </w:r>
                            <w:r>
                              <w:rPr>
                                <w:spacing w:val="1"/>
                                <w:sz w:val="20"/>
                                <w:szCs w:val="20"/>
                              </w:rPr>
                              <w:t>6</w:t>
                            </w:r>
                            <w:r w:rsidR="008342D5">
                              <w:rPr>
                                <w:spacing w:val="1"/>
                                <w:sz w:val="20"/>
                                <w:szCs w:val="20"/>
                              </w:rPr>
                              <w:t>1</w:t>
                            </w:r>
                            <w:r>
                              <w:rPr>
                                <w:spacing w:val="1"/>
                                <w:sz w:val="20"/>
                                <w:szCs w:val="20"/>
                              </w:rPr>
                              <w:t xml:space="preserve"> days</w:t>
                            </w:r>
                            <w:r w:rsidRPr="004543F9">
                              <w:rPr>
                                <w:spacing w:val="1"/>
                                <w:sz w:val="20"/>
                                <w:szCs w:val="20"/>
                              </w:rPr>
                              <w:t>)</w:t>
                            </w:r>
                          </w:p>
                          <w:p w14:paraId="4A7BBB86" w14:textId="144C823C" w:rsidR="00EF5EF0" w:rsidRPr="004543F9" w:rsidRDefault="00EF5EF0" w:rsidP="00EF5EF0">
                            <w:pPr>
                              <w:widowControl w:val="0"/>
                              <w:autoSpaceDE w:val="0"/>
                              <w:autoSpaceDN w:val="0"/>
                              <w:adjustRightInd w:val="0"/>
                              <w:spacing w:line="300" w:lineRule="auto"/>
                              <w:rPr>
                                <w:spacing w:val="1"/>
                                <w:sz w:val="20"/>
                                <w:szCs w:val="20"/>
                              </w:rPr>
                            </w:pPr>
                            <w:r w:rsidRPr="004543F9">
                              <w:rPr>
                                <w:spacing w:val="1"/>
                                <w:sz w:val="20"/>
                                <w:szCs w:val="20"/>
                              </w:rPr>
                              <w:t>Autumn</w:t>
                            </w:r>
                            <w:r>
                              <w:rPr>
                                <w:spacing w:val="1"/>
                                <w:sz w:val="20"/>
                                <w:szCs w:val="20"/>
                              </w:rPr>
                              <w:tab/>
                            </w:r>
                            <w:r>
                              <w:rPr>
                                <w:spacing w:val="1"/>
                                <w:sz w:val="20"/>
                                <w:szCs w:val="20"/>
                              </w:rPr>
                              <w:tab/>
                              <w:t>68</w:t>
                            </w:r>
                            <w:r w:rsidRPr="004543F9">
                              <w:rPr>
                                <w:spacing w:val="1"/>
                                <w:sz w:val="20"/>
                                <w:szCs w:val="20"/>
                              </w:rPr>
                              <w:tab/>
                              <w:t>(</w:t>
                            </w:r>
                            <w:r>
                              <w:rPr>
                                <w:spacing w:val="1"/>
                                <w:sz w:val="20"/>
                                <w:szCs w:val="20"/>
                              </w:rPr>
                              <w:t>7</w:t>
                            </w:r>
                            <w:r w:rsidR="008342D5">
                              <w:rPr>
                                <w:spacing w:val="1"/>
                                <w:sz w:val="20"/>
                                <w:szCs w:val="20"/>
                              </w:rPr>
                              <w:t>3</w:t>
                            </w:r>
                            <w:r>
                              <w:rPr>
                                <w:spacing w:val="1"/>
                                <w:sz w:val="20"/>
                                <w:szCs w:val="20"/>
                              </w:rPr>
                              <w:t xml:space="preserve"> days</w:t>
                            </w:r>
                            <w:r w:rsidRPr="004543F9">
                              <w:rPr>
                                <w:spacing w:val="1"/>
                                <w:sz w:val="20"/>
                                <w:szCs w:val="20"/>
                              </w:rPr>
                              <w:t>)</w:t>
                            </w:r>
                          </w:p>
                          <w:p w14:paraId="07D5D9ED" w14:textId="3560051E" w:rsidR="00EF5EF0" w:rsidRPr="004543F9" w:rsidRDefault="00EF5EF0" w:rsidP="00EF5EF0">
                            <w:pPr>
                              <w:widowControl w:val="0"/>
                              <w:autoSpaceDE w:val="0"/>
                              <w:autoSpaceDN w:val="0"/>
                              <w:adjustRightInd w:val="0"/>
                              <w:spacing w:line="300" w:lineRule="auto"/>
                              <w:rPr>
                                <w:spacing w:val="1"/>
                                <w:sz w:val="20"/>
                                <w:szCs w:val="20"/>
                              </w:rPr>
                            </w:pPr>
                            <w:r w:rsidRPr="004543F9">
                              <w:rPr>
                                <w:spacing w:val="1"/>
                                <w:sz w:val="20"/>
                                <w:szCs w:val="20"/>
                              </w:rPr>
                              <w:t>Spring</w:t>
                            </w:r>
                            <w:r>
                              <w:rPr>
                                <w:spacing w:val="1"/>
                                <w:sz w:val="20"/>
                                <w:szCs w:val="20"/>
                              </w:rPr>
                              <w:tab/>
                            </w:r>
                            <w:r>
                              <w:rPr>
                                <w:spacing w:val="1"/>
                                <w:sz w:val="20"/>
                                <w:szCs w:val="20"/>
                              </w:rPr>
                              <w:tab/>
                              <w:t>70</w:t>
                            </w:r>
                            <w:r w:rsidRPr="004543F9">
                              <w:rPr>
                                <w:spacing w:val="1"/>
                                <w:sz w:val="20"/>
                                <w:szCs w:val="20"/>
                              </w:rPr>
                              <w:t xml:space="preserve"> </w:t>
                            </w:r>
                            <w:r w:rsidRPr="004543F9">
                              <w:rPr>
                                <w:spacing w:val="1"/>
                                <w:sz w:val="20"/>
                                <w:szCs w:val="20"/>
                              </w:rPr>
                              <w:tab/>
                              <w:t>(</w:t>
                            </w:r>
                            <w:r w:rsidR="008342D5">
                              <w:rPr>
                                <w:spacing w:val="1"/>
                                <w:sz w:val="20"/>
                                <w:szCs w:val="20"/>
                              </w:rPr>
                              <w:t>55</w:t>
                            </w:r>
                            <w:r>
                              <w:rPr>
                                <w:spacing w:val="1"/>
                                <w:sz w:val="20"/>
                                <w:szCs w:val="20"/>
                              </w:rPr>
                              <w:t xml:space="preserve"> days</w:t>
                            </w:r>
                            <w:r w:rsidRPr="004543F9">
                              <w:rPr>
                                <w:spacing w:val="1"/>
                                <w:sz w:val="20"/>
                                <w:szCs w:val="20"/>
                              </w:rPr>
                              <w:t>)</w:t>
                            </w:r>
                          </w:p>
                          <w:p w14:paraId="32160F32" w14:textId="77777777" w:rsidR="00EF5EF0" w:rsidRPr="004543F9" w:rsidRDefault="00EF5EF0" w:rsidP="00EF5EF0">
                            <w:pPr>
                              <w:widowControl w:val="0"/>
                              <w:autoSpaceDE w:val="0"/>
                              <w:autoSpaceDN w:val="0"/>
                              <w:adjustRightInd w:val="0"/>
                              <w:spacing w:after="120" w:line="300" w:lineRule="auto"/>
                              <w:rPr>
                                <w:spacing w:val="1"/>
                                <w:sz w:val="20"/>
                                <w:szCs w:val="20"/>
                              </w:rPr>
                            </w:pPr>
                          </w:p>
                          <w:p w14:paraId="1351D08D" w14:textId="72F7BD57" w:rsidR="00EF5EF0" w:rsidRDefault="00EF5EF0" w:rsidP="00EF5EF0">
                            <w:pPr>
                              <w:widowControl w:val="0"/>
                              <w:autoSpaceDE w:val="0"/>
                              <w:autoSpaceDN w:val="0"/>
                              <w:adjustRightInd w:val="0"/>
                              <w:spacing w:after="120" w:line="300" w:lineRule="auto"/>
                              <w:rPr>
                                <w:spacing w:val="1"/>
                                <w:sz w:val="20"/>
                                <w:szCs w:val="20"/>
                              </w:rPr>
                            </w:pPr>
                            <w:r w:rsidRPr="004543F9">
                              <w:rPr>
                                <w:spacing w:val="1"/>
                                <w:sz w:val="20"/>
                                <w:szCs w:val="20"/>
                              </w:rPr>
                              <w:t>Average pupil numbers = (</w:t>
                            </w:r>
                            <w:r w:rsidR="00756070">
                              <w:rPr>
                                <w:spacing w:val="1"/>
                                <w:sz w:val="20"/>
                                <w:szCs w:val="20"/>
                              </w:rPr>
                              <w:t>61/189</w:t>
                            </w:r>
                            <w:r w:rsidRPr="004543F9">
                              <w:rPr>
                                <w:spacing w:val="1"/>
                                <w:sz w:val="20"/>
                                <w:szCs w:val="20"/>
                              </w:rPr>
                              <w:t xml:space="preserve"> x </w:t>
                            </w:r>
                            <w:r>
                              <w:rPr>
                                <w:spacing w:val="1"/>
                                <w:sz w:val="20"/>
                                <w:szCs w:val="20"/>
                              </w:rPr>
                              <w:t>67</w:t>
                            </w:r>
                            <w:r w:rsidRPr="004543F9">
                              <w:rPr>
                                <w:spacing w:val="1"/>
                                <w:sz w:val="20"/>
                                <w:szCs w:val="20"/>
                              </w:rPr>
                              <w:t>) + (</w:t>
                            </w:r>
                            <w:r w:rsidR="00EA5ABF">
                              <w:rPr>
                                <w:spacing w:val="1"/>
                                <w:sz w:val="20"/>
                                <w:szCs w:val="20"/>
                              </w:rPr>
                              <w:t>73/189</w:t>
                            </w:r>
                            <w:r w:rsidRPr="004543F9">
                              <w:rPr>
                                <w:spacing w:val="1"/>
                                <w:sz w:val="20"/>
                                <w:szCs w:val="20"/>
                              </w:rPr>
                              <w:t xml:space="preserve"> x </w:t>
                            </w:r>
                            <w:r>
                              <w:rPr>
                                <w:spacing w:val="1"/>
                                <w:sz w:val="20"/>
                                <w:szCs w:val="20"/>
                              </w:rPr>
                              <w:t>68</w:t>
                            </w:r>
                            <w:r w:rsidRPr="004543F9">
                              <w:rPr>
                                <w:spacing w:val="1"/>
                                <w:sz w:val="20"/>
                                <w:szCs w:val="20"/>
                              </w:rPr>
                              <w:t>) + (</w:t>
                            </w:r>
                            <w:r w:rsidR="00EA5ABF">
                              <w:rPr>
                                <w:spacing w:val="1"/>
                                <w:sz w:val="20"/>
                                <w:szCs w:val="20"/>
                              </w:rPr>
                              <w:t>55/189</w:t>
                            </w:r>
                            <w:r w:rsidRPr="004543F9">
                              <w:rPr>
                                <w:spacing w:val="1"/>
                                <w:sz w:val="20"/>
                                <w:szCs w:val="20"/>
                              </w:rPr>
                              <w:t xml:space="preserve"> x </w:t>
                            </w:r>
                            <w:r>
                              <w:rPr>
                                <w:spacing w:val="1"/>
                                <w:sz w:val="20"/>
                                <w:szCs w:val="20"/>
                              </w:rPr>
                              <w:t>70</w:t>
                            </w:r>
                            <w:r w:rsidRPr="004543F9">
                              <w:rPr>
                                <w:spacing w:val="1"/>
                                <w:sz w:val="20"/>
                                <w:szCs w:val="20"/>
                              </w:rPr>
                              <w:t xml:space="preserve">) = </w:t>
                            </w:r>
                            <w:r>
                              <w:rPr>
                                <w:spacing w:val="1"/>
                                <w:sz w:val="20"/>
                                <w:szCs w:val="20"/>
                              </w:rPr>
                              <w:t>68</w:t>
                            </w:r>
                            <w:r w:rsidRPr="004543F9">
                              <w:rPr>
                                <w:spacing w:val="1"/>
                                <w:sz w:val="20"/>
                                <w:szCs w:val="20"/>
                              </w:rPr>
                              <w:t>.</w:t>
                            </w:r>
                            <w:r>
                              <w:rPr>
                                <w:spacing w:val="1"/>
                                <w:sz w:val="20"/>
                                <w:szCs w:val="20"/>
                              </w:rPr>
                              <w:t>2</w:t>
                            </w:r>
                            <w:r w:rsidR="00C45B83">
                              <w:rPr>
                                <w:spacing w:val="1"/>
                                <w:sz w:val="20"/>
                                <w:szCs w:val="20"/>
                              </w:rPr>
                              <w:t>59</w:t>
                            </w:r>
                            <w:r w:rsidR="00BF708F">
                              <w:rPr>
                                <w:spacing w:val="1"/>
                                <w:sz w:val="20"/>
                                <w:szCs w:val="20"/>
                              </w:rPr>
                              <w:t>3</w:t>
                            </w:r>
                            <w:r>
                              <w:rPr>
                                <w:spacing w:val="1"/>
                                <w:sz w:val="20"/>
                                <w:szCs w:val="20"/>
                              </w:rPr>
                              <w:t>…</w:t>
                            </w:r>
                          </w:p>
                          <w:p w14:paraId="44BA6D77" w14:textId="77777777" w:rsidR="00EF5EF0" w:rsidRPr="004543F9" w:rsidRDefault="00EF5EF0" w:rsidP="00EF5EF0">
                            <w:pPr>
                              <w:widowControl w:val="0"/>
                              <w:autoSpaceDE w:val="0"/>
                              <w:autoSpaceDN w:val="0"/>
                              <w:adjustRightInd w:val="0"/>
                              <w:spacing w:after="120" w:line="300" w:lineRule="auto"/>
                              <w:rPr>
                                <w:spacing w:val="1"/>
                                <w:sz w:val="20"/>
                                <w:szCs w:val="20"/>
                              </w:rPr>
                            </w:pPr>
                            <w:r>
                              <w:rPr>
                                <w:spacing w:val="1"/>
                                <w:sz w:val="20"/>
                                <w:szCs w:val="20"/>
                              </w:rPr>
                              <w:t>Rounded FTE (2 decimal places) = 68.26</w:t>
                            </w:r>
                          </w:p>
                          <w:p w14:paraId="3F064992" w14:textId="77777777" w:rsidR="00EF5EF0" w:rsidRPr="004543F9" w:rsidRDefault="00EF5EF0" w:rsidP="00EF5EF0">
                            <w:pPr>
                              <w:widowControl w:val="0"/>
                              <w:autoSpaceDE w:val="0"/>
                              <w:autoSpaceDN w:val="0"/>
                              <w:adjustRightInd w:val="0"/>
                              <w:spacing w:after="120" w:line="300" w:lineRule="auto"/>
                              <w:rPr>
                                <w:sz w:val="20"/>
                                <w:szCs w:val="20"/>
                              </w:rPr>
                            </w:pPr>
                            <w:r w:rsidRPr="004543F9">
                              <w:rPr>
                                <w:spacing w:val="1"/>
                                <w:sz w:val="20"/>
                                <w:szCs w:val="20"/>
                              </w:rPr>
                              <w:t xml:space="preserve">Over occupancy funding = </w:t>
                            </w:r>
                            <w:r w:rsidRPr="004543F9">
                              <w:rPr>
                                <w:rFonts w:eastAsia="Arial"/>
                                <w:color w:val="000000"/>
                                <w:sz w:val="20"/>
                                <w:szCs w:val="20"/>
                              </w:rPr>
                              <w:t>(</w:t>
                            </w:r>
                            <w:r>
                              <w:rPr>
                                <w:rFonts w:eastAsia="Arial"/>
                                <w:color w:val="000000"/>
                                <w:sz w:val="20"/>
                                <w:szCs w:val="20"/>
                              </w:rPr>
                              <w:t>68.26</w:t>
                            </w:r>
                            <w:r w:rsidRPr="004543F9">
                              <w:rPr>
                                <w:rFonts w:eastAsia="Arial"/>
                                <w:color w:val="000000"/>
                                <w:sz w:val="20"/>
                                <w:szCs w:val="20"/>
                              </w:rPr>
                              <w:t xml:space="preserve"> –</w:t>
                            </w:r>
                            <w:r>
                              <w:rPr>
                                <w:rFonts w:eastAsia="Arial"/>
                                <w:color w:val="000000"/>
                                <w:sz w:val="20"/>
                                <w:szCs w:val="20"/>
                              </w:rPr>
                              <w:t xml:space="preserve"> 6</w:t>
                            </w:r>
                            <w:r w:rsidRPr="004543F9">
                              <w:rPr>
                                <w:rFonts w:eastAsia="Arial"/>
                                <w:color w:val="000000"/>
                                <w:sz w:val="20"/>
                                <w:szCs w:val="20"/>
                              </w:rPr>
                              <w:t xml:space="preserve">5 = </w:t>
                            </w:r>
                            <w:r>
                              <w:rPr>
                                <w:rFonts w:eastAsia="Arial"/>
                                <w:color w:val="000000"/>
                                <w:sz w:val="20"/>
                                <w:szCs w:val="20"/>
                              </w:rPr>
                              <w:t>3.26</w:t>
                            </w:r>
                            <w:r w:rsidRPr="004543F9">
                              <w:rPr>
                                <w:rFonts w:eastAsia="Arial"/>
                                <w:color w:val="000000"/>
                                <w:sz w:val="20"/>
                                <w:szCs w:val="20"/>
                              </w:rPr>
                              <w:t xml:space="preserve">; </w:t>
                            </w:r>
                            <w:r>
                              <w:rPr>
                                <w:rFonts w:eastAsia="Arial"/>
                                <w:color w:val="000000"/>
                                <w:sz w:val="20"/>
                                <w:szCs w:val="20"/>
                              </w:rPr>
                              <w:t>3.26</w:t>
                            </w:r>
                            <w:r w:rsidRPr="004543F9">
                              <w:rPr>
                                <w:rFonts w:eastAsia="Arial"/>
                                <w:color w:val="000000"/>
                                <w:sz w:val="20"/>
                                <w:szCs w:val="20"/>
                              </w:rPr>
                              <w:t xml:space="preserve"> x £10,000)</w:t>
                            </w:r>
                            <w:r w:rsidRPr="004543F9">
                              <w:rPr>
                                <w:spacing w:val="1"/>
                                <w:sz w:val="20"/>
                                <w:szCs w:val="20"/>
                              </w:rPr>
                              <w:t xml:space="preserve"> = </w:t>
                            </w:r>
                            <w:r w:rsidRPr="004543F9">
                              <w:rPr>
                                <w:sz w:val="20"/>
                                <w:szCs w:val="20"/>
                              </w:rPr>
                              <w:t>£</w:t>
                            </w:r>
                            <w:r>
                              <w:rPr>
                                <w:sz w:val="20"/>
                                <w:szCs w:val="20"/>
                              </w:rPr>
                              <w:t>32,6</w:t>
                            </w:r>
                            <w:r w:rsidRPr="004543F9">
                              <w:rPr>
                                <w:sz w:val="20"/>
                                <w:szCs w:val="20"/>
                              </w:rPr>
                              <w:t xml:space="preserve">00 </w:t>
                            </w:r>
                          </w:p>
                          <w:p w14:paraId="6F41299F" w14:textId="77777777" w:rsidR="00EF5EF0" w:rsidRDefault="00EF5EF0" w:rsidP="00EF5E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ED4EF" id="_x0000_t202" coordsize="21600,21600" o:spt="202" path="m,l,21600r21600,l21600,xe">
                <v:stroke joinstyle="miter"/>
                <v:path gradientshapeok="t" o:connecttype="rect"/>
              </v:shapetype>
              <v:shape id="Text Box 2" o:spid="_x0000_s1026" type="#_x0000_t202" style="position:absolute;margin-left:0;margin-top:163.35pt;width:408.75pt;height:169.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">
                <v:textbox>
                  <w:txbxContent>
                    <w:p w14:paraId="6804FAE9" w14:textId="77777777" w:rsidR="00EF5EF0" w:rsidRPr="004543F9" w:rsidRDefault="00EF5EF0" w:rsidP="00EF5EF0">
                      <w:pPr>
                        <w:widowControl w:val="0"/>
                        <w:autoSpaceDE w:val="0"/>
                        <w:autoSpaceDN w:val="0"/>
                        <w:adjustRightInd w:val="0"/>
                        <w:spacing w:after="120" w:line="300" w:lineRule="auto"/>
                        <w:rPr>
                          <w:spacing w:val="1"/>
                          <w:sz w:val="20"/>
                          <w:szCs w:val="20"/>
                        </w:rPr>
                      </w:pPr>
                      <w:r w:rsidRPr="004543F9">
                        <w:rPr>
                          <w:spacing w:val="1"/>
                          <w:sz w:val="20"/>
                          <w:szCs w:val="20"/>
                        </w:rPr>
                        <w:t>School APN</w:t>
                      </w:r>
                      <w:r>
                        <w:rPr>
                          <w:spacing w:val="1"/>
                          <w:sz w:val="20"/>
                          <w:szCs w:val="20"/>
                        </w:rPr>
                        <w:tab/>
                        <w:t>6</w:t>
                      </w:r>
                      <w:r w:rsidRPr="004543F9">
                        <w:rPr>
                          <w:spacing w:val="1"/>
                          <w:sz w:val="20"/>
                          <w:szCs w:val="20"/>
                        </w:rPr>
                        <w:t>5</w:t>
                      </w:r>
                    </w:p>
                    <w:p w14:paraId="221AA76B" w14:textId="77777777" w:rsidR="00EF5EF0" w:rsidRPr="004543F9" w:rsidRDefault="00EF5EF0" w:rsidP="00EF5EF0">
                      <w:pPr>
                        <w:widowControl w:val="0"/>
                        <w:autoSpaceDE w:val="0"/>
                        <w:autoSpaceDN w:val="0"/>
                        <w:adjustRightInd w:val="0"/>
                        <w:spacing w:after="120" w:line="300" w:lineRule="auto"/>
                        <w:rPr>
                          <w:spacing w:val="1"/>
                          <w:sz w:val="20"/>
                          <w:szCs w:val="20"/>
                        </w:rPr>
                      </w:pPr>
                      <w:r w:rsidRPr="004543F9">
                        <w:rPr>
                          <w:spacing w:val="1"/>
                          <w:sz w:val="20"/>
                          <w:szCs w:val="20"/>
                        </w:rPr>
                        <w:t>Pupil numbers each term:</w:t>
                      </w:r>
                    </w:p>
                    <w:p w14:paraId="7395877D" w14:textId="2E3CBED8" w:rsidR="00EF5EF0" w:rsidRPr="004543F9" w:rsidRDefault="00EF5EF0" w:rsidP="00EF5EF0">
                      <w:pPr>
                        <w:widowControl w:val="0"/>
                        <w:autoSpaceDE w:val="0"/>
                        <w:autoSpaceDN w:val="0"/>
                        <w:adjustRightInd w:val="0"/>
                        <w:spacing w:line="300" w:lineRule="auto"/>
                        <w:rPr>
                          <w:spacing w:val="1"/>
                          <w:sz w:val="20"/>
                          <w:szCs w:val="20"/>
                        </w:rPr>
                      </w:pPr>
                      <w:r w:rsidRPr="004543F9">
                        <w:rPr>
                          <w:spacing w:val="1"/>
                          <w:sz w:val="20"/>
                          <w:szCs w:val="20"/>
                        </w:rPr>
                        <w:t>Summer</w:t>
                      </w:r>
                      <w:r>
                        <w:rPr>
                          <w:spacing w:val="1"/>
                          <w:sz w:val="20"/>
                          <w:szCs w:val="20"/>
                        </w:rPr>
                        <w:tab/>
                        <w:t>67</w:t>
                      </w:r>
                      <w:r w:rsidRPr="004543F9">
                        <w:rPr>
                          <w:spacing w:val="1"/>
                          <w:sz w:val="20"/>
                          <w:szCs w:val="20"/>
                        </w:rPr>
                        <w:tab/>
                        <w:t>(</w:t>
                      </w:r>
                      <w:r>
                        <w:rPr>
                          <w:spacing w:val="1"/>
                          <w:sz w:val="20"/>
                          <w:szCs w:val="20"/>
                        </w:rPr>
                        <w:t>6</w:t>
                      </w:r>
                      <w:r w:rsidR="008342D5">
                        <w:rPr>
                          <w:spacing w:val="1"/>
                          <w:sz w:val="20"/>
                          <w:szCs w:val="20"/>
                        </w:rPr>
                        <w:t>1</w:t>
                      </w:r>
                      <w:r>
                        <w:rPr>
                          <w:spacing w:val="1"/>
                          <w:sz w:val="20"/>
                          <w:szCs w:val="20"/>
                        </w:rPr>
                        <w:t xml:space="preserve"> days</w:t>
                      </w:r>
                      <w:r w:rsidRPr="004543F9">
                        <w:rPr>
                          <w:spacing w:val="1"/>
                          <w:sz w:val="20"/>
                          <w:szCs w:val="20"/>
                        </w:rPr>
                        <w:t>)</w:t>
                      </w:r>
                    </w:p>
                    <w:p w14:paraId="4A7BBB86" w14:textId="144C823C" w:rsidR="00EF5EF0" w:rsidRPr="004543F9" w:rsidRDefault="00EF5EF0" w:rsidP="00EF5EF0">
                      <w:pPr>
                        <w:widowControl w:val="0"/>
                        <w:autoSpaceDE w:val="0"/>
                        <w:autoSpaceDN w:val="0"/>
                        <w:adjustRightInd w:val="0"/>
                        <w:spacing w:line="300" w:lineRule="auto"/>
                        <w:rPr>
                          <w:spacing w:val="1"/>
                          <w:sz w:val="20"/>
                          <w:szCs w:val="20"/>
                        </w:rPr>
                      </w:pPr>
                      <w:r w:rsidRPr="004543F9">
                        <w:rPr>
                          <w:spacing w:val="1"/>
                          <w:sz w:val="20"/>
                          <w:szCs w:val="20"/>
                        </w:rPr>
                        <w:t>Autumn</w:t>
                      </w:r>
                      <w:r>
                        <w:rPr>
                          <w:spacing w:val="1"/>
                          <w:sz w:val="20"/>
                          <w:szCs w:val="20"/>
                        </w:rPr>
                        <w:tab/>
                      </w:r>
                      <w:r>
                        <w:rPr>
                          <w:spacing w:val="1"/>
                          <w:sz w:val="20"/>
                          <w:szCs w:val="20"/>
                        </w:rPr>
                        <w:tab/>
                        <w:t>68</w:t>
                      </w:r>
                      <w:r w:rsidRPr="004543F9">
                        <w:rPr>
                          <w:spacing w:val="1"/>
                          <w:sz w:val="20"/>
                          <w:szCs w:val="20"/>
                        </w:rPr>
                        <w:tab/>
                        <w:t>(</w:t>
                      </w:r>
                      <w:r>
                        <w:rPr>
                          <w:spacing w:val="1"/>
                          <w:sz w:val="20"/>
                          <w:szCs w:val="20"/>
                        </w:rPr>
                        <w:t>7</w:t>
                      </w:r>
                      <w:r w:rsidR="008342D5">
                        <w:rPr>
                          <w:spacing w:val="1"/>
                          <w:sz w:val="20"/>
                          <w:szCs w:val="20"/>
                        </w:rPr>
                        <w:t>3</w:t>
                      </w:r>
                      <w:r>
                        <w:rPr>
                          <w:spacing w:val="1"/>
                          <w:sz w:val="20"/>
                          <w:szCs w:val="20"/>
                        </w:rPr>
                        <w:t xml:space="preserve"> days</w:t>
                      </w:r>
                      <w:r w:rsidRPr="004543F9">
                        <w:rPr>
                          <w:spacing w:val="1"/>
                          <w:sz w:val="20"/>
                          <w:szCs w:val="20"/>
                        </w:rPr>
                        <w:t>)</w:t>
                      </w:r>
                    </w:p>
                    <w:p w14:paraId="07D5D9ED" w14:textId="3560051E" w:rsidR="00EF5EF0" w:rsidRPr="004543F9" w:rsidRDefault="00EF5EF0" w:rsidP="00EF5EF0">
                      <w:pPr>
                        <w:widowControl w:val="0"/>
                        <w:autoSpaceDE w:val="0"/>
                        <w:autoSpaceDN w:val="0"/>
                        <w:adjustRightInd w:val="0"/>
                        <w:spacing w:line="300" w:lineRule="auto"/>
                        <w:rPr>
                          <w:spacing w:val="1"/>
                          <w:sz w:val="20"/>
                          <w:szCs w:val="20"/>
                        </w:rPr>
                      </w:pPr>
                      <w:r w:rsidRPr="004543F9">
                        <w:rPr>
                          <w:spacing w:val="1"/>
                          <w:sz w:val="20"/>
                          <w:szCs w:val="20"/>
                        </w:rPr>
                        <w:t>Spring</w:t>
                      </w:r>
                      <w:r>
                        <w:rPr>
                          <w:spacing w:val="1"/>
                          <w:sz w:val="20"/>
                          <w:szCs w:val="20"/>
                        </w:rPr>
                        <w:tab/>
                      </w:r>
                      <w:r>
                        <w:rPr>
                          <w:spacing w:val="1"/>
                          <w:sz w:val="20"/>
                          <w:szCs w:val="20"/>
                        </w:rPr>
                        <w:tab/>
                        <w:t>70</w:t>
                      </w:r>
                      <w:r w:rsidRPr="004543F9">
                        <w:rPr>
                          <w:spacing w:val="1"/>
                          <w:sz w:val="20"/>
                          <w:szCs w:val="20"/>
                        </w:rPr>
                        <w:t xml:space="preserve"> </w:t>
                      </w:r>
                      <w:r w:rsidRPr="004543F9">
                        <w:rPr>
                          <w:spacing w:val="1"/>
                          <w:sz w:val="20"/>
                          <w:szCs w:val="20"/>
                        </w:rPr>
                        <w:tab/>
                        <w:t>(</w:t>
                      </w:r>
                      <w:r w:rsidR="008342D5">
                        <w:rPr>
                          <w:spacing w:val="1"/>
                          <w:sz w:val="20"/>
                          <w:szCs w:val="20"/>
                        </w:rPr>
                        <w:t>55</w:t>
                      </w:r>
                      <w:r>
                        <w:rPr>
                          <w:spacing w:val="1"/>
                          <w:sz w:val="20"/>
                          <w:szCs w:val="20"/>
                        </w:rPr>
                        <w:t xml:space="preserve"> days</w:t>
                      </w:r>
                      <w:r w:rsidRPr="004543F9">
                        <w:rPr>
                          <w:spacing w:val="1"/>
                          <w:sz w:val="20"/>
                          <w:szCs w:val="20"/>
                        </w:rPr>
                        <w:t>)</w:t>
                      </w:r>
                    </w:p>
                    <w:p w14:paraId="32160F32" w14:textId="77777777" w:rsidR="00EF5EF0" w:rsidRPr="004543F9" w:rsidRDefault="00EF5EF0" w:rsidP="00EF5EF0">
                      <w:pPr>
                        <w:widowControl w:val="0"/>
                        <w:autoSpaceDE w:val="0"/>
                        <w:autoSpaceDN w:val="0"/>
                        <w:adjustRightInd w:val="0"/>
                        <w:spacing w:after="120" w:line="300" w:lineRule="auto"/>
                        <w:rPr>
                          <w:spacing w:val="1"/>
                          <w:sz w:val="20"/>
                          <w:szCs w:val="20"/>
                        </w:rPr>
                      </w:pPr>
                    </w:p>
                    <w:p w14:paraId="1351D08D" w14:textId="72F7BD57" w:rsidR="00EF5EF0" w:rsidRDefault="00EF5EF0" w:rsidP="00EF5EF0">
                      <w:pPr>
                        <w:widowControl w:val="0"/>
                        <w:autoSpaceDE w:val="0"/>
                        <w:autoSpaceDN w:val="0"/>
                        <w:adjustRightInd w:val="0"/>
                        <w:spacing w:after="120" w:line="300" w:lineRule="auto"/>
                        <w:rPr>
                          <w:spacing w:val="1"/>
                          <w:sz w:val="20"/>
                          <w:szCs w:val="20"/>
                        </w:rPr>
                      </w:pPr>
                      <w:r w:rsidRPr="004543F9">
                        <w:rPr>
                          <w:spacing w:val="1"/>
                          <w:sz w:val="20"/>
                          <w:szCs w:val="20"/>
                        </w:rPr>
                        <w:t>Average pupil numbers = (</w:t>
                      </w:r>
                      <w:r w:rsidR="00756070">
                        <w:rPr>
                          <w:spacing w:val="1"/>
                          <w:sz w:val="20"/>
                          <w:szCs w:val="20"/>
                        </w:rPr>
                        <w:t>61/189</w:t>
                      </w:r>
                      <w:r w:rsidRPr="004543F9">
                        <w:rPr>
                          <w:spacing w:val="1"/>
                          <w:sz w:val="20"/>
                          <w:szCs w:val="20"/>
                        </w:rPr>
                        <w:t xml:space="preserve"> x </w:t>
                      </w:r>
                      <w:r>
                        <w:rPr>
                          <w:spacing w:val="1"/>
                          <w:sz w:val="20"/>
                          <w:szCs w:val="20"/>
                        </w:rPr>
                        <w:t>67</w:t>
                      </w:r>
                      <w:r w:rsidRPr="004543F9">
                        <w:rPr>
                          <w:spacing w:val="1"/>
                          <w:sz w:val="20"/>
                          <w:szCs w:val="20"/>
                        </w:rPr>
                        <w:t>) + (</w:t>
                      </w:r>
                      <w:r w:rsidR="00EA5ABF">
                        <w:rPr>
                          <w:spacing w:val="1"/>
                          <w:sz w:val="20"/>
                          <w:szCs w:val="20"/>
                        </w:rPr>
                        <w:t>73/189</w:t>
                      </w:r>
                      <w:r w:rsidRPr="004543F9">
                        <w:rPr>
                          <w:spacing w:val="1"/>
                          <w:sz w:val="20"/>
                          <w:szCs w:val="20"/>
                        </w:rPr>
                        <w:t xml:space="preserve"> x </w:t>
                      </w:r>
                      <w:r>
                        <w:rPr>
                          <w:spacing w:val="1"/>
                          <w:sz w:val="20"/>
                          <w:szCs w:val="20"/>
                        </w:rPr>
                        <w:t>68</w:t>
                      </w:r>
                      <w:r w:rsidRPr="004543F9">
                        <w:rPr>
                          <w:spacing w:val="1"/>
                          <w:sz w:val="20"/>
                          <w:szCs w:val="20"/>
                        </w:rPr>
                        <w:t>) + (</w:t>
                      </w:r>
                      <w:r w:rsidR="00EA5ABF">
                        <w:rPr>
                          <w:spacing w:val="1"/>
                          <w:sz w:val="20"/>
                          <w:szCs w:val="20"/>
                        </w:rPr>
                        <w:t>55/189</w:t>
                      </w:r>
                      <w:r w:rsidRPr="004543F9">
                        <w:rPr>
                          <w:spacing w:val="1"/>
                          <w:sz w:val="20"/>
                          <w:szCs w:val="20"/>
                        </w:rPr>
                        <w:t xml:space="preserve"> x </w:t>
                      </w:r>
                      <w:r>
                        <w:rPr>
                          <w:spacing w:val="1"/>
                          <w:sz w:val="20"/>
                          <w:szCs w:val="20"/>
                        </w:rPr>
                        <w:t>70</w:t>
                      </w:r>
                      <w:r w:rsidRPr="004543F9">
                        <w:rPr>
                          <w:spacing w:val="1"/>
                          <w:sz w:val="20"/>
                          <w:szCs w:val="20"/>
                        </w:rPr>
                        <w:t xml:space="preserve">) = </w:t>
                      </w:r>
                      <w:r>
                        <w:rPr>
                          <w:spacing w:val="1"/>
                          <w:sz w:val="20"/>
                          <w:szCs w:val="20"/>
                        </w:rPr>
                        <w:t>68</w:t>
                      </w:r>
                      <w:r w:rsidRPr="004543F9">
                        <w:rPr>
                          <w:spacing w:val="1"/>
                          <w:sz w:val="20"/>
                          <w:szCs w:val="20"/>
                        </w:rPr>
                        <w:t>.</w:t>
                      </w:r>
                      <w:r>
                        <w:rPr>
                          <w:spacing w:val="1"/>
                          <w:sz w:val="20"/>
                          <w:szCs w:val="20"/>
                        </w:rPr>
                        <w:t>2</w:t>
                      </w:r>
                      <w:r w:rsidR="00C45B83">
                        <w:rPr>
                          <w:spacing w:val="1"/>
                          <w:sz w:val="20"/>
                          <w:szCs w:val="20"/>
                        </w:rPr>
                        <w:t>59</w:t>
                      </w:r>
                      <w:r w:rsidR="00BF708F">
                        <w:rPr>
                          <w:spacing w:val="1"/>
                          <w:sz w:val="20"/>
                          <w:szCs w:val="20"/>
                        </w:rPr>
                        <w:t>3</w:t>
                      </w:r>
                      <w:r>
                        <w:rPr>
                          <w:spacing w:val="1"/>
                          <w:sz w:val="20"/>
                          <w:szCs w:val="20"/>
                        </w:rPr>
                        <w:t>…</w:t>
                      </w:r>
                    </w:p>
                    <w:p w14:paraId="44BA6D77" w14:textId="77777777" w:rsidR="00EF5EF0" w:rsidRPr="004543F9" w:rsidRDefault="00EF5EF0" w:rsidP="00EF5EF0">
                      <w:pPr>
                        <w:widowControl w:val="0"/>
                        <w:autoSpaceDE w:val="0"/>
                        <w:autoSpaceDN w:val="0"/>
                        <w:adjustRightInd w:val="0"/>
                        <w:spacing w:after="120" w:line="300" w:lineRule="auto"/>
                        <w:rPr>
                          <w:spacing w:val="1"/>
                          <w:sz w:val="20"/>
                          <w:szCs w:val="20"/>
                        </w:rPr>
                      </w:pPr>
                      <w:r>
                        <w:rPr>
                          <w:spacing w:val="1"/>
                          <w:sz w:val="20"/>
                          <w:szCs w:val="20"/>
                        </w:rPr>
                        <w:t>Rounded FTE (2 decimal places) = 68.26</w:t>
                      </w:r>
                    </w:p>
                    <w:p w14:paraId="3F064992" w14:textId="77777777" w:rsidR="00EF5EF0" w:rsidRPr="004543F9" w:rsidRDefault="00EF5EF0" w:rsidP="00EF5EF0">
                      <w:pPr>
                        <w:widowControl w:val="0"/>
                        <w:autoSpaceDE w:val="0"/>
                        <w:autoSpaceDN w:val="0"/>
                        <w:adjustRightInd w:val="0"/>
                        <w:spacing w:after="120" w:line="300" w:lineRule="auto"/>
                        <w:rPr>
                          <w:sz w:val="20"/>
                          <w:szCs w:val="20"/>
                        </w:rPr>
                      </w:pPr>
                      <w:r w:rsidRPr="004543F9">
                        <w:rPr>
                          <w:spacing w:val="1"/>
                          <w:sz w:val="20"/>
                          <w:szCs w:val="20"/>
                        </w:rPr>
                        <w:t xml:space="preserve">Over occupancy funding = </w:t>
                      </w:r>
                      <w:r w:rsidRPr="004543F9">
                        <w:rPr>
                          <w:rFonts w:eastAsia="Arial"/>
                          <w:color w:val="000000"/>
                          <w:sz w:val="20"/>
                          <w:szCs w:val="20"/>
                        </w:rPr>
                        <w:t>(</w:t>
                      </w:r>
                      <w:r>
                        <w:rPr>
                          <w:rFonts w:eastAsia="Arial"/>
                          <w:color w:val="000000"/>
                          <w:sz w:val="20"/>
                          <w:szCs w:val="20"/>
                        </w:rPr>
                        <w:t>68.26</w:t>
                      </w:r>
                      <w:r w:rsidRPr="004543F9">
                        <w:rPr>
                          <w:rFonts w:eastAsia="Arial"/>
                          <w:color w:val="000000"/>
                          <w:sz w:val="20"/>
                          <w:szCs w:val="20"/>
                        </w:rPr>
                        <w:t xml:space="preserve"> –</w:t>
                      </w:r>
                      <w:r>
                        <w:rPr>
                          <w:rFonts w:eastAsia="Arial"/>
                          <w:color w:val="000000"/>
                          <w:sz w:val="20"/>
                          <w:szCs w:val="20"/>
                        </w:rPr>
                        <w:t xml:space="preserve"> 6</w:t>
                      </w:r>
                      <w:r w:rsidRPr="004543F9">
                        <w:rPr>
                          <w:rFonts w:eastAsia="Arial"/>
                          <w:color w:val="000000"/>
                          <w:sz w:val="20"/>
                          <w:szCs w:val="20"/>
                        </w:rPr>
                        <w:t xml:space="preserve">5 = </w:t>
                      </w:r>
                      <w:r>
                        <w:rPr>
                          <w:rFonts w:eastAsia="Arial"/>
                          <w:color w:val="000000"/>
                          <w:sz w:val="20"/>
                          <w:szCs w:val="20"/>
                        </w:rPr>
                        <w:t>3.26</w:t>
                      </w:r>
                      <w:r w:rsidRPr="004543F9">
                        <w:rPr>
                          <w:rFonts w:eastAsia="Arial"/>
                          <w:color w:val="000000"/>
                          <w:sz w:val="20"/>
                          <w:szCs w:val="20"/>
                        </w:rPr>
                        <w:t xml:space="preserve">; </w:t>
                      </w:r>
                      <w:r>
                        <w:rPr>
                          <w:rFonts w:eastAsia="Arial"/>
                          <w:color w:val="000000"/>
                          <w:sz w:val="20"/>
                          <w:szCs w:val="20"/>
                        </w:rPr>
                        <w:t>3.26</w:t>
                      </w:r>
                      <w:r w:rsidRPr="004543F9">
                        <w:rPr>
                          <w:rFonts w:eastAsia="Arial"/>
                          <w:color w:val="000000"/>
                          <w:sz w:val="20"/>
                          <w:szCs w:val="20"/>
                        </w:rPr>
                        <w:t xml:space="preserve"> x £10,000)</w:t>
                      </w:r>
                      <w:r w:rsidRPr="004543F9">
                        <w:rPr>
                          <w:spacing w:val="1"/>
                          <w:sz w:val="20"/>
                          <w:szCs w:val="20"/>
                        </w:rPr>
                        <w:t xml:space="preserve"> = </w:t>
                      </w:r>
                      <w:r w:rsidRPr="004543F9">
                        <w:rPr>
                          <w:sz w:val="20"/>
                          <w:szCs w:val="20"/>
                        </w:rPr>
                        <w:t>£</w:t>
                      </w:r>
                      <w:r>
                        <w:rPr>
                          <w:sz w:val="20"/>
                          <w:szCs w:val="20"/>
                        </w:rPr>
                        <w:t>32,6</w:t>
                      </w:r>
                      <w:r w:rsidRPr="004543F9">
                        <w:rPr>
                          <w:sz w:val="20"/>
                          <w:szCs w:val="20"/>
                        </w:rPr>
                        <w:t xml:space="preserve">00 </w:t>
                      </w:r>
                    </w:p>
                    <w:p w14:paraId="6F41299F" w14:textId="77777777" w:rsidR="00EF5EF0" w:rsidRDefault="00EF5EF0" w:rsidP="00EF5EF0"/>
                  </w:txbxContent>
                </v:textbox>
                <w10:wrap type="square" anchorx="margin"/>
              </v:shape>
            </w:pict>
          </mc:Fallback>
        </mc:AlternateContent>
      </w:r>
      <w:r w:rsidR="00EF5EF0" w:rsidRPr="002B55F3">
        <w:t xml:space="preserve">It </w:t>
      </w:r>
      <w:proofErr w:type="gramStart"/>
      <w:r w:rsidR="00EF5EF0" w:rsidRPr="002B55F3">
        <w:t>is anticipated</w:t>
      </w:r>
      <w:proofErr w:type="gramEnd"/>
      <w:r w:rsidR="00EF5EF0" w:rsidRPr="002B55F3">
        <w:t xml:space="preserve"> that attendance levels at education centres will </w:t>
      </w:r>
      <w:proofErr w:type="gramStart"/>
      <w:r w:rsidR="00EF5EF0" w:rsidRPr="002B55F3">
        <w:t>be managed</w:t>
      </w:r>
      <w:proofErr w:type="gramEnd"/>
      <w:r w:rsidR="00EF5EF0" w:rsidRPr="002B55F3">
        <w:t xml:space="preserve"> through termly reviews with the Authority so that average attendance does not exceed the APN.</w:t>
      </w:r>
      <w:r w:rsidR="00EF5EF0" w:rsidRPr="002E0FD8">
        <w:t xml:space="preserve"> </w:t>
      </w:r>
      <w:r w:rsidR="0E8B9745" w:rsidRPr="002E0FD8">
        <w:t>There is an expectation that education centres and secondary school headteacher</w:t>
      </w:r>
      <w:r w:rsidR="002E0FD8">
        <w:t>s</w:t>
      </w:r>
      <w:r w:rsidR="0E8B9745" w:rsidRPr="002E0FD8">
        <w:t xml:space="preserve"> work collaboratively to meet need within the funding made </w:t>
      </w:r>
      <w:r w:rsidR="130135DA" w:rsidRPr="002E0FD8">
        <w:t>available</w:t>
      </w:r>
      <w:r w:rsidR="0E8B9745" w:rsidRPr="002E0FD8">
        <w:t>.</w:t>
      </w:r>
      <w:r w:rsidR="7E2F4759" w:rsidRPr="002E0FD8">
        <w:t xml:space="preserve"> </w:t>
      </w:r>
      <w:r w:rsidR="00EF5EF0" w:rsidRPr="002E0FD8">
        <w:t xml:space="preserve">However, </w:t>
      </w:r>
      <w:r w:rsidR="71F2F822" w:rsidRPr="002E0FD8">
        <w:t xml:space="preserve">there may be exceptional circumstances where this is unavoidable and when, </w:t>
      </w:r>
      <w:r w:rsidR="71F2F822" w:rsidRPr="002E0FD8">
        <w:rPr>
          <w:b/>
          <w:bCs/>
        </w:rPr>
        <w:t xml:space="preserve">in agreement with the local </w:t>
      </w:r>
      <w:r w:rsidR="002E0FD8" w:rsidRPr="002E0FD8">
        <w:rPr>
          <w:b/>
          <w:bCs/>
        </w:rPr>
        <w:t>authority</w:t>
      </w:r>
      <w:r w:rsidR="002E0FD8" w:rsidRPr="002E0FD8">
        <w:t>, the</w:t>
      </w:r>
      <w:r w:rsidR="00EF5EF0" w:rsidRPr="002B55F3">
        <w:t xml:space="preserve"> number of pupils placed in the unit exceeds the APN on average throughout the financial year</w:t>
      </w:r>
      <w:r w:rsidR="2E5E0C5F" w:rsidRPr="008E2B79">
        <w:t>.</w:t>
      </w:r>
      <w:r w:rsidR="00EF5EF0" w:rsidRPr="008E2B79">
        <w:t xml:space="preserve"> </w:t>
      </w:r>
      <w:r w:rsidR="2E5E0C5F" w:rsidRPr="008E2B79">
        <w:t xml:space="preserve">In this </w:t>
      </w:r>
      <w:r w:rsidR="008E2B79" w:rsidRPr="008E2B79">
        <w:t>case a</w:t>
      </w:r>
      <w:r w:rsidR="00EF5EF0" w:rsidRPr="008E2B79">
        <w:t xml:space="preserve"> </w:t>
      </w:r>
      <w:r w:rsidR="00EF5EF0" w:rsidRPr="002B55F3">
        <w:t xml:space="preserve">pro-rata additional allocation of £10,000 per place will </w:t>
      </w:r>
      <w:proofErr w:type="gramStart"/>
      <w:r w:rsidR="00EF5EF0" w:rsidRPr="002B55F3">
        <w:t>be paid</w:t>
      </w:r>
      <w:proofErr w:type="gramEnd"/>
      <w:r w:rsidR="00EF5EF0" w:rsidRPr="002B55F3">
        <w:t xml:space="preserve"> at the end of the year. The example below illustrates this:</w:t>
      </w:r>
    </w:p>
    <w:p w14:paraId="3A5601A8" w14:textId="47E46D56" w:rsidR="00EF5EF0" w:rsidRPr="002B55F3" w:rsidRDefault="00EF5EF0" w:rsidP="6C04500C">
      <w:pPr>
        <w:spacing w:after="120" w:line="300" w:lineRule="auto"/>
      </w:pPr>
      <w:r w:rsidRPr="002B55F3">
        <w:t>Funding will be allocated to GL code 7696.</w:t>
      </w:r>
    </w:p>
    <w:p w14:paraId="154AF19F" w14:textId="77777777" w:rsidR="00EA2AC0" w:rsidRPr="002B55F3" w:rsidRDefault="00EF5EF0" w:rsidP="6C04500C">
      <w:pPr>
        <w:spacing w:after="120" w:line="300" w:lineRule="auto"/>
      </w:pPr>
      <w:r w:rsidRPr="002B55F3">
        <w:t xml:space="preserve">Please note that if the actual average pupil numbers throughout the year are below the APN then funding will not </w:t>
      </w:r>
      <w:proofErr w:type="gramStart"/>
      <w:r w:rsidRPr="002B55F3">
        <w:t>be decreased</w:t>
      </w:r>
      <w:proofErr w:type="gramEnd"/>
      <w:r w:rsidRPr="002B55F3">
        <w:t>.</w:t>
      </w:r>
    </w:p>
    <w:p w14:paraId="4D9336B3" w14:textId="77777777" w:rsidR="008612AC" w:rsidRPr="005E26DC" w:rsidRDefault="008612AC" w:rsidP="008612AC">
      <w:pPr>
        <w:spacing w:after="120" w:line="300" w:lineRule="auto"/>
        <w:rPr>
          <w:highlight w:val="yellow"/>
        </w:rPr>
      </w:pPr>
    </w:p>
    <w:p w14:paraId="29EF3F1F" w14:textId="22525F20" w:rsidR="00EF5EF0" w:rsidRPr="002B55F3" w:rsidRDefault="00CB2C31" w:rsidP="6C04500C">
      <w:pPr>
        <w:pStyle w:val="h2"/>
        <w:spacing w:after="120" w:line="300" w:lineRule="auto"/>
        <w:rPr>
          <w:sz w:val="32"/>
          <w:szCs w:val="32"/>
        </w:rPr>
      </w:pPr>
      <w:bookmarkStart w:id="17" w:name="_Toc158714178"/>
      <w:r w:rsidRPr="002B55F3">
        <w:rPr>
          <w:sz w:val="32"/>
          <w:szCs w:val="32"/>
        </w:rPr>
        <w:t xml:space="preserve">Other </w:t>
      </w:r>
      <w:r w:rsidR="004711EF" w:rsidRPr="002B55F3">
        <w:rPr>
          <w:sz w:val="32"/>
          <w:szCs w:val="32"/>
        </w:rPr>
        <w:t>i</w:t>
      </w:r>
      <w:r w:rsidR="00EF5EF0" w:rsidRPr="002B55F3">
        <w:rPr>
          <w:sz w:val="32"/>
          <w:szCs w:val="32"/>
        </w:rPr>
        <w:t xml:space="preserve">ncome in </w:t>
      </w:r>
      <w:r w:rsidR="004711EF" w:rsidRPr="002B55F3">
        <w:rPr>
          <w:sz w:val="32"/>
          <w:szCs w:val="32"/>
        </w:rPr>
        <w:t>r</w:t>
      </w:r>
      <w:r w:rsidR="00EF5EF0" w:rsidRPr="002B55F3">
        <w:rPr>
          <w:sz w:val="32"/>
          <w:szCs w:val="32"/>
        </w:rPr>
        <w:t xml:space="preserve">espect of </w:t>
      </w:r>
      <w:r w:rsidR="004711EF" w:rsidRPr="002B55F3">
        <w:rPr>
          <w:sz w:val="32"/>
          <w:szCs w:val="32"/>
        </w:rPr>
        <w:t>p</w:t>
      </w:r>
      <w:r w:rsidR="00EF5EF0" w:rsidRPr="002B55F3">
        <w:rPr>
          <w:sz w:val="32"/>
          <w:szCs w:val="32"/>
        </w:rPr>
        <w:t xml:space="preserve">laced </w:t>
      </w:r>
      <w:r w:rsidR="004711EF" w:rsidRPr="002B55F3">
        <w:rPr>
          <w:sz w:val="32"/>
          <w:szCs w:val="32"/>
        </w:rPr>
        <w:t>p</w:t>
      </w:r>
      <w:r w:rsidR="00EF5EF0" w:rsidRPr="002B55F3">
        <w:rPr>
          <w:sz w:val="32"/>
          <w:szCs w:val="32"/>
        </w:rPr>
        <w:t>upils</w:t>
      </w:r>
      <w:bookmarkEnd w:id="17"/>
    </w:p>
    <w:p w14:paraId="136643D4" w14:textId="1EEDE9D0" w:rsidR="00422579" w:rsidRPr="002B55F3" w:rsidRDefault="00577052" w:rsidP="6C04500C">
      <w:pPr>
        <w:spacing w:after="120" w:line="300" w:lineRule="auto"/>
      </w:pPr>
      <w:r w:rsidRPr="002B55F3">
        <w:t xml:space="preserve">The unit rate for </w:t>
      </w:r>
      <w:r w:rsidR="00C652DD" w:rsidRPr="002B55F3">
        <w:t>the commissioned EC service has been set such that it</w:t>
      </w:r>
      <w:r w:rsidR="007452C3" w:rsidRPr="002B55F3">
        <w:t xml:space="preserve"> adequately funds</w:t>
      </w:r>
      <w:r w:rsidR="00C652DD" w:rsidRPr="002B55F3">
        <w:t xml:space="preserve"> </w:t>
      </w:r>
      <w:r w:rsidR="000403E2" w:rsidRPr="002B55F3">
        <w:t>e</w:t>
      </w:r>
      <w:r w:rsidR="004B52DE" w:rsidRPr="002B55F3">
        <w:t xml:space="preserve">ducation </w:t>
      </w:r>
      <w:r w:rsidR="007452C3" w:rsidRPr="002B55F3">
        <w:t>c</w:t>
      </w:r>
      <w:r w:rsidR="004B52DE" w:rsidRPr="002B55F3">
        <w:t>entres</w:t>
      </w:r>
      <w:r w:rsidR="00EC176D" w:rsidRPr="002B55F3">
        <w:t xml:space="preserve"> and therefore education centres</w:t>
      </w:r>
      <w:r w:rsidR="004B52DE" w:rsidRPr="002B55F3">
        <w:t xml:space="preserve"> w</w:t>
      </w:r>
      <w:r w:rsidR="002E30B5" w:rsidRPr="002B55F3">
        <w:t xml:space="preserve">ill </w:t>
      </w:r>
      <w:r w:rsidR="002E30B5" w:rsidRPr="002B55F3">
        <w:rPr>
          <w:b/>
          <w:bCs/>
        </w:rPr>
        <w:t xml:space="preserve">no </w:t>
      </w:r>
      <w:r w:rsidR="005F2908" w:rsidRPr="005F2908">
        <w:rPr>
          <w:b/>
          <w:bCs/>
        </w:rPr>
        <w:t>longer</w:t>
      </w:r>
      <w:r w:rsidR="005F2908" w:rsidRPr="005F2908">
        <w:t xml:space="preserve"> receive</w:t>
      </w:r>
      <w:r w:rsidR="002E30B5" w:rsidRPr="002B55F3">
        <w:t xml:space="preserve"> income </w:t>
      </w:r>
      <w:r w:rsidR="000403E2" w:rsidRPr="002B55F3">
        <w:t>from commissioning mainstream schools</w:t>
      </w:r>
      <w:r w:rsidR="00EC176D" w:rsidRPr="002B55F3">
        <w:t>. This includes</w:t>
      </w:r>
      <w:r w:rsidR="00422579" w:rsidRPr="002B55F3">
        <w:t>:</w:t>
      </w:r>
    </w:p>
    <w:p w14:paraId="5A555E94" w14:textId="3A230822" w:rsidR="00EF5EF0" w:rsidRPr="002B55F3" w:rsidRDefault="00422579" w:rsidP="6C04500C">
      <w:pPr>
        <w:pStyle w:val="ListParagraph"/>
        <w:numPr>
          <w:ilvl w:val="0"/>
          <w:numId w:val="19"/>
        </w:numPr>
        <w:spacing w:after="120" w:line="300" w:lineRule="auto"/>
      </w:pPr>
      <w:r w:rsidRPr="002B55F3">
        <w:t>Amounts</w:t>
      </w:r>
      <w:r w:rsidR="00A16D76" w:rsidRPr="002B55F3">
        <w:t xml:space="preserve"> previously</w:t>
      </w:r>
      <w:r w:rsidRPr="002B55F3">
        <w:t xml:space="preserve"> payable by</w:t>
      </w:r>
      <w:r w:rsidR="00A16D76" w:rsidRPr="002B55F3">
        <w:t xml:space="preserve"> commissioning sc</w:t>
      </w:r>
      <w:r w:rsidR="0056306B" w:rsidRPr="002B55F3">
        <w:t xml:space="preserve">hools to reflect </w:t>
      </w:r>
      <w:r w:rsidR="00EF5EF0" w:rsidRPr="002B55F3">
        <w:t>the additional cost of educating a pupil who is emotionally vulnerable or medically unwell</w:t>
      </w:r>
      <w:r w:rsidR="00ED53A4" w:rsidRPr="002B55F3">
        <w:t>.</w:t>
      </w:r>
    </w:p>
    <w:p w14:paraId="163BCC79" w14:textId="1F4B9310" w:rsidR="00ED53A4" w:rsidRPr="002B55F3" w:rsidRDefault="00ED53A4" w:rsidP="6C04500C">
      <w:pPr>
        <w:pStyle w:val="ListParagraph"/>
        <w:numPr>
          <w:ilvl w:val="0"/>
          <w:numId w:val="19"/>
        </w:numPr>
        <w:spacing w:after="120" w:line="300" w:lineRule="auto"/>
      </w:pPr>
      <w:r w:rsidRPr="002B55F3">
        <w:t>Amounts previously payable b</w:t>
      </w:r>
      <w:r w:rsidR="00C57699" w:rsidRPr="002B55F3">
        <w:t xml:space="preserve">y commissioning schools under local agreements with </w:t>
      </w:r>
      <w:r w:rsidR="002A5489" w:rsidRPr="002B55F3">
        <w:t>education centres for behavioural pupils.</w:t>
      </w:r>
    </w:p>
    <w:p w14:paraId="0F2F9F84" w14:textId="44D0339B" w:rsidR="008844D5" w:rsidRPr="002B55F3" w:rsidRDefault="00565931" w:rsidP="6C04500C">
      <w:pPr>
        <w:spacing w:after="120" w:line="300" w:lineRule="auto"/>
      </w:pPr>
      <w:r w:rsidRPr="002B55F3">
        <w:t>The exception to this is Pupil Premium</w:t>
      </w:r>
      <w:r w:rsidR="357E55A8" w:rsidRPr="002B55F3">
        <w:t xml:space="preserve"> and CLA funding, which will </w:t>
      </w:r>
      <w:proofErr w:type="gramStart"/>
      <w:r w:rsidR="357E55A8" w:rsidRPr="002B55F3">
        <w:t>be locally agreed</w:t>
      </w:r>
      <w:proofErr w:type="gramEnd"/>
      <w:r w:rsidR="357E55A8" w:rsidRPr="002B55F3">
        <w:t xml:space="preserve"> between the centre and the school</w:t>
      </w:r>
      <w:r w:rsidRPr="002B55F3">
        <w:t>.</w:t>
      </w:r>
    </w:p>
    <w:p w14:paraId="6577769F" w14:textId="149DBCFD" w:rsidR="008612AC" w:rsidRPr="000630C9" w:rsidRDefault="007F4026" w:rsidP="008612AC">
      <w:pPr>
        <w:pStyle w:val="h2"/>
        <w:spacing w:after="120" w:line="300" w:lineRule="auto"/>
        <w:rPr>
          <w:sz w:val="32"/>
          <w:szCs w:val="32"/>
        </w:rPr>
      </w:pPr>
      <w:r w:rsidRPr="000630C9">
        <w:rPr>
          <w:sz w:val="32"/>
          <w:szCs w:val="32"/>
        </w:rPr>
        <w:lastRenderedPageBreak/>
        <w:t xml:space="preserve">Money </w:t>
      </w:r>
      <w:r w:rsidR="001B2007" w:rsidRPr="000630C9">
        <w:rPr>
          <w:sz w:val="32"/>
          <w:szCs w:val="32"/>
        </w:rPr>
        <w:t>f</w:t>
      </w:r>
      <w:r w:rsidRPr="000630C9">
        <w:rPr>
          <w:sz w:val="32"/>
          <w:szCs w:val="32"/>
        </w:rPr>
        <w:t xml:space="preserve">ollowing </w:t>
      </w:r>
      <w:r w:rsidR="001B2007" w:rsidRPr="000630C9">
        <w:rPr>
          <w:sz w:val="32"/>
          <w:szCs w:val="32"/>
        </w:rPr>
        <w:t>e</w:t>
      </w:r>
      <w:r w:rsidRPr="000630C9">
        <w:rPr>
          <w:sz w:val="32"/>
          <w:szCs w:val="32"/>
        </w:rPr>
        <w:t xml:space="preserve">xcluded </w:t>
      </w:r>
      <w:r w:rsidR="001B2007" w:rsidRPr="000630C9">
        <w:rPr>
          <w:sz w:val="32"/>
          <w:szCs w:val="32"/>
        </w:rPr>
        <w:t>p</w:t>
      </w:r>
      <w:r w:rsidRPr="000630C9">
        <w:rPr>
          <w:sz w:val="32"/>
          <w:szCs w:val="32"/>
        </w:rPr>
        <w:t xml:space="preserve">upils and </w:t>
      </w:r>
      <w:r w:rsidR="008612AC" w:rsidRPr="000630C9">
        <w:rPr>
          <w:sz w:val="32"/>
          <w:szCs w:val="32"/>
        </w:rPr>
        <w:t>Pupil Premium</w:t>
      </w:r>
    </w:p>
    <w:p w14:paraId="46E7BC94" w14:textId="4E58052A" w:rsidR="00EF5EF0" w:rsidRPr="005E26DC" w:rsidRDefault="00EF5EF0" w:rsidP="00A06812">
      <w:pPr>
        <w:spacing w:after="120" w:line="300" w:lineRule="auto"/>
        <w:rPr>
          <w:highlight w:val="yellow"/>
        </w:rPr>
      </w:pPr>
      <w:r>
        <w:t xml:space="preserve">Note that once a pupil has </w:t>
      </w:r>
      <w:proofErr w:type="gramStart"/>
      <w:r>
        <w:t>been permanently excluded</w:t>
      </w:r>
      <w:proofErr w:type="gramEnd"/>
      <w:r>
        <w:t xml:space="preserve"> from a mainstream school, an amount of pupil-led funding, including AWPU</w:t>
      </w:r>
      <w:r w:rsidR="006843A0">
        <w:t xml:space="preserve"> and </w:t>
      </w:r>
      <w:r w:rsidR="00BB105D">
        <w:t>Pupil Premium</w:t>
      </w:r>
      <w:r>
        <w:t xml:space="preserve">, will </w:t>
      </w:r>
      <w:proofErr w:type="gramStart"/>
      <w:r>
        <w:t>be deducted</w:t>
      </w:r>
      <w:proofErr w:type="gramEnd"/>
      <w:r>
        <w:t xml:space="preserve"> from the mainstream school for the number of complete weeks left in the funding period</w:t>
      </w:r>
      <w:r w:rsidR="00B459DF">
        <w:t>,</w:t>
      </w:r>
      <w:r>
        <w:t xml:space="preserve"> for the pupil</w:t>
      </w:r>
      <w:r w:rsidR="00B459DF">
        <w:t>,</w:t>
      </w:r>
      <w:r>
        <w:t xml:space="preserve"> from the relevant date. The relevant date is the sixth school day following the exclusion date. This pupil-led funding, including AWPU, </w:t>
      </w:r>
      <w:proofErr w:type="gramStart"/>
      <w:r>
        <w:t>is then held</w:t>
      </w:r>
      <w:proofErr w:type="gramEnd"/>
      <w:r>
        <w:t xml:space="preserve"> by the Authority until such time as the pupil </w:t>
      </w:r>
      <w:proofErr w:type="gramStart"/>
      <w:r>
        <w:t>is admitted</w:t>
      </w:r>
      <w:proofErr w:type="gramEnd"/>
      <w:r>
        <w:t xml:space="preserve"> to a mainstream school. The funding </w:t>
      </w:r>
      <w:proofErr w:type="gramStart"/>
      <w:r>
        <w:t>is then provided</w:t>
      </w:r>
      <w:proofErr w:type="gramEnd"/>
      <w:r>
        <w:t xml:space="preserve"> to the admitting school but reduced to reflect the number of complete weeks remaining in the original funding period for the pupil. </w:t>
      </w:r>
      <w:r w:rsidR="00C25241">
        <w:t>Pupil</w:t>
      </w:r>
      <w:r w:rsidR="00F328AF">
        <w:t>-</w:t>
      </w:r>
      <w:r w:rsidR="005F2908">
        <w:t>led funding</w:t>
      </w:r>
      <w:r w:rsidR="00F328AF">
        <w:t>, including AWPU</w:t>
      </w:r>
      <w:r w:rsidR="001E4291">
        <w:t xml:space="preserve"> but excluding Pupil Premium,</w:t>
      </w:r>
      <w:r>
        <w:t xml:space="preserve"> </w:t>
      </w:r>
      <w:proofErr w:type="gramStart"/>
      <w:r>
        <w:t>is not deducted</w:t>
      </w:r>
      <w:proofErr w:type="gramEnd"/>
      <w:r>
        <w:t xml:space="preserve"> or provided to excluding or admitting </w:t>
      </w:r>
      <w:r w:rsidR="00C82F6A">
        <w:t>s</w:t>
      </w:r>
      <w:r>
        <w:t xml:space="preserve">pecial </w:t>
      </w:r>
      <w:r w:rsidR="00C82F6A">
        <w:t>s</w:t>
      </w:r>
      <w:r>
        <w:t xml:space="preserve">chools or </w:t>
      </w:r>
      <w:r w:rsidR="00C82F6A">
        <w:t>e</w:t>
      </w:r>
      <w:r>
        <w:t xml:space="preserve">ducation </w:t>
      </w:r>
      <w:r w:rsidR="00C82F6A">
        <w:t>c</w:t>
      </w:r>
      <w:r>
        <w:t>entres.</w:t>
      </w:r>
      <w:r w:rsidR="004D489C">
        <w:t xml:space="preserve"> </w:t>
      </w:r>
      <w:r w:rsidR="004D489C" w:rsidRPr="002B55F3">
        <w:t xml:space="preserve">This means that Pupil Premium will </w:t>
      </w:r>
      <w:proofErr w:type="gramStart"/>
      <w:r w:rsidR="004D489C" w:rsidRPr="002B55F3">
        <w:t xml:space="preserve">be </w:t>
      </w:r>
      <w:r w:rsidR="002D7EE3" w:rsidRPr="002B55F3">
        <w:t>deducted</w:t>
      </w:r>
      <w:proofErr w:type="gramEnd"/>
      <w:r w:rsidR="004D489C" w:rsidRPr="002B55F3">
        <w:t xml:space="preserve"> </w:t>
      </w:r>
      <w:r w:rsidR="009D7BA4" w:rsidRPr="002B55F3">
        <w:t xml:space="preserve">from excluding </w:t>
      </w:r>
      <w:r w:rsidR="5C7E6DDC" w:rsidRPr="009B386C">
        <w:t>schools</w:t>
      </w:r>
      <w:r w:rsidR="009D7BA4" w:rsidRPr="009B386C">
        <w:t xml:space="preserve"> </w:t>
      </w:r>
      <w:r w:rsidR="009D7BA4" w:rsidRPr="002B55F3">
        <w:t>and</w:t>
      </w:r>
      <w:r w:rsidR="008508FF" w:rsidRPr="002B55F3">
        <w:t xml:space="preserve"> provided</w:t>
      </w:r>
      <w:r w:rsidR="009D7BA4" w:rsidRPr="002B55F3">
        <w:t xml:space="preserve"> to admitting education centres</w:t>
      </w:r>
      <w:r w:rsidR="00DD6A0B" w:rsidRPr="002B55F3">
        <w:t>.</w:t>
      </w:r>
      <w:r w:rsidR="008508FF" w:rsidRPr="002B55F3">
        <w:t xml:space="preserve"> </w:t>
      </w:r>
    </w:p>
    <w:p w14:paraId="433A5195" w14:textId="066D85A9" w:rsidR="00EF5EF0" w:rsidRPr="000630C9" w:rsidRDefault="00EF5EF0" w:rsidP="00A06812">
      <w:pPr>
        <w:spacing w:after="120" w:line="300" w:lineRule="auto"/>
      </w:pPr>
      <w:r w:rsidRPr="000630C9">
        <w:t xml:space="preserve">This is in accordance with </w:t>
      </w:r>
      <w:hyperlink r:id="rId16" w:history="1">
        <w:r w:rsidR="00F57037" w:rsidRPr="000630C9">
          <w:rPr>
            <w:rStyle w:val="Hyperlink"/>
          </w:rPr>
          <w:t>The School and Early Years Finance (England) Regulations 2025 (legislation.gov.uk)</w:t>
        </w:r>
      </w:hyperlink>
    </w:p>
    <w:p w14:paraId="74917586" w14:textId="77777777" w:rsidR="00EF5EF0" w:rsidRPr="005E26DC" w:rsidRDefault="00EF5EF0" w:rsidP="00A06812">
      <w:pPr>
        <w:spacing w:after="120" w:line="300" w:lineRule="auto"/>
        <w:rPr>
          <w:highlight w:val="yellow"/>
          <w:u w:val="single"/>
        </w:rPr>
      </w:pPr>
      <w:bookmarkStart w:id="18" w:name="OLE_LINK6"/>
      <w:bookmarkStart w:id="19" w:name="OLE_LINK7"/>
    </w:p>
    <w:p w14:paraId="0B568028" w14:textId="77777777" w:rsidR="00EF5EF0" w:rsidRPr="002B55F3" w:rsidRDefault="00EF5EF0" w:rsidP="6C04500C">
      <w:pPr>
        <w:pStyle w:val="h2"/>
        <w:spacing w:after="120" w:line="300" w:lineRule="auto"/>
        <w:rPr>
          <w:sz w:val="32"/>
          <w:szCs w:val="32"/>
        </w:rPr>
      </w:pPr>
      <w:bookmarkStart w:id="20" w:name="_Toc158714179"/>
      <w:r w:rsidRPr="002B55F3">
        <w:rPr>
          <w:sz w:val="32"/>
          <w:szCs w:val="32"/>
        </w:rPr>
        <w:t>Pupil Premium</w:t>
      </w:r>
      <w:bookmarkEnd w:id="20"/>
    </w:p>
    <w:p w14:paraId="0C8EC116" w14:textId="5FA76AA3" w:rsidR="00EF5EF0" w:rsidRPr="005E26DC" w:rsidRDefault="00EF5EF0" w:rsidP="00A06812">
      <w:pPr>
        <w:spacing w:after="120" w:line="300" w:lineRule="auto"/>
      </w:pPr>
      <w:r w:rsidRPr="00EA5F5C">
        <w:t xml:space="preserve">For all types </w:t>
      </w:r>
      <w:bookmarkEnd w:id="18"/>
      <w:bookmarkEnd w:id="19"/>
      <w:r w:rsidRPr="00EA5F5C">
        <w:t>of dual registered pupils, Pupil Premium is allocated to the home school</w:t>
      </w:r>
      <w:r w:rsidR="11201A5C" w:rsidRPr="00EA5F5C">
        <w:t>; transfer of funds to the centre will be subject to a local agreement between the centre and school.</w:t>
      </w:r>
    </w:p>
    <w:p w14:paraId="1CD32A93" w14:textId="1C910357" w:rsidR="001805E1" w:rsidRPr="00F21500" w:rsidRDefault="11201A5C" w:rsidP="00A06812">
      <w:pPr>
        <w:pStyle w:val="h2"/>
        <w:spacing w:after="120" w:line="300" w:lineRule="auto"/>
        <w:rPr>
          <w:b w:val="0"/>
          <w:bCs w:val="0"/>
          <w:color w:val="auto"/>
          <w:sz w:val="24"/>
          <w:szCs w:val="24"/>
        </w:rPr>
      </w:pPr>
      <w:r w:rsidRPr="00F21500">
        <w:rPr>
          <w:b w:val="0"/>
          <w:bCs w:val="0"/>
          <w:color w:val="auto"/>
          <w:sz w:val="24"/>
          <w:szCs w:val="24"/>
        </w:rPr>
        <w:t>For permanently excluded pupils, fund</w:t>
      </w:r>
      <w:r w:rsidR="00645EEB" w:rsidRPr="00F21500">
        <w:rPr>
          <w:b w:val="0"/>
          <w:bCs w:val="0"/>
          <w:color w:val="auto"/>
          <w:sz w:val="24"/>
          <w:szCs w:val="24"/>
        </w:rPr>
        <w:t>s</w:t>
      </w:r>
      <w:r w:rsidRPr="00F21500">
        <w:rPr>
          <w:b w:val="0"/>
          <w:bCs w:val="0"/>
          <w:color w:val="auto"/>
          <w:sz w:val="24"/>
          <w:szCs w:val="24"/>
        </w:rPr>
        <w:t xml:space="preserve"> will transfer automatically from the school to the local </w:t>
      </w:r>
      <w:r w:rsidR="3A0F8386" w:rsidRPr="00F21500">
        <w:rPr>
          <w:b w:val="0"/>
          <w:bCs w:val="0"/>
          <w:color w:val="auto"/>
          <w:sz w:val="24"/>
          <w:szCs w:val="24"/>
        </w:rPr>
        <w:t>authority</w:t>
      </w:r>
      <w:r w:rsidRPr="00F21500">
        <w:rPr>
          <w:b w:val="0"/>
          <w:bCs w:val="0"/>
          <w:color w:val="auto"/>
          <w:sz w:val="24"/>
          <w:szCs w:val="24"/>
        </w:rPr>
        <w:t xml:space="preserve"> from the relevant date (as noted earlier).</w:t>
      </w:r>
      <w:r w:rsidR="00EF5EF0" w:rsidRPr="00F21500">
        <w:rPr>
          <w:b w:val="0"/>
          <w:bCs w:val="0"/>
          <w:color w:val="auto"/>
          <w:sz w:val="24"/>
          <w:szCs w:val="24"/>
        </w:rPr>
        <w:t xml:space="preserve"> </w:t>
      </w:r>
      <w:bookmarkStart w:id="21" w:name="_Toc158714180"/>
    </w:p>
    <w:p w14:paraId="5049E66F" w14:textId="77777777" w:rsidR="00F21500" w:rsidRDefault="00F21500" w:rsidP="00A06812">
      <w:pPr>
        <w:pStyle w:val="h2"/>
        <w:spacing w:after="120" w:line="300" w:lineRule="auto"/>
        <w:rPr>
          <w:sz w:val="32"/>
          <w:szCs w:val="32"/>
        </w:rPr>
      </w:pPr>
      <w:bookmarkStart w:id="22" w:name="_Toc158714181"/>
      <w:bookmarkEnd w:id="21"/>
    </w:p>
    <w:p w14:paraId="16AAF17A" w14:textId="72CA2713" w:rsidR="00EF5EF0" w:rsidRPr="00F161A4" w:rsidRDefault="00EF5EF0" w:rsidP="00A06812">
      <w:pPr>
        <w:pStyle w:val="h2"/>
        <w:spacing w:after="120" w:line="300" w:lineRule="auto"/>
        <w:rPr>
          <w:sz w:val="32"/>
          <w:szCs w:val="32"/>
        </w:rPr>
      </w:pPr>
      <w:r w:rsidRPr="00F161A4">
        <w:rPr>
          <w:sz w:val="32"/>
          <w:szCs w:val="32"/>
        </w:rPr>
        <w:t>Services available to education centres</w:t>
      </w:r>
      <w:bookmarkEnd w:id="22"/>
    </w:p>
    <w:p w14:paraId="36FE9B9B" w14:textId="77777777" w:rsidR="00EF5EF0" w:rsidRPr="00F161A4" w:rsidRDefault="00EF5EF0" w:rsidP="00A06812">
      <w:pPr>
        <w:spacing w:after="120" w:line="300" w:lineRule="auto"/>
        <w:rPr>
          <w:bCs/>
          <w:color w:val="000000"/>
        </w:rPr>
      </w:pPr>
      <w:r w:rsidRPr="00F161A4">
        <w:t>A full range of HCC services are available to education centres for them to purchase via s</w:t>
      </w:r>
      <w:r w:rsidRPr="00F161A4">
        <w:rPr>
          <w:bCs/>
          <w:color w:val="000000"/>
        </w:rPr>
        <w:t>ervice level agreements. For full details see the link below:</w:t>
      </w:r>
    </w:p>
    <w:p w14:paraId="60A44B52" w14:textId="167D8089" w:rsidR="00EF5EF0" w:rsidRPr="00F161A4" w:rsidRDefault="0043551E" w:rsidP="00A06812">
      <w:pPr>
        <w:spacing w:after="120" w:line="300" w:lineRule="auto"/>
        <w:rPr>
          <w:bCs/>
          <w:color w:val="000000"/>
        </w:rPr>
      </w:pPr>
      <w:hyperlink r:id="rId17" w:history="1">
        <w:r w:rsidRPr="00F161A4">
          <w:rPr>
            <w:rStyle w:val="Hyperlink"/>
          </w:rPr>
          <w:t>https://hampshireservicesforschools.hants.gov.uk/</w:t>
        </w:r>
      </w:hyperlink>
    </w:p>
    <w:p w14:paraId="60E683FB" w14:textId="77777777" w:rsidR="00EA2AC0" w:rsidRPr="005E26DC" w:rsidRDefault="00EA2AC0" w:rsidP="00EA2AC0">
      <w:pPr>
        <w:rPr>
          <w:highlight w:val="yellow"/>
        </w:rPr>
      </w:pPr>
      <w:bookmarkStart w:id="23" w:name="App1"/>
      <w:r w:rsidRPr="005E26DC">
        <w:rPr>
          <w:highlight w:val="yellow"/>
        </w:rPr>
        <w:br w:type="page"/>
      </w:r>
    </w:p>
    <w:p w14:paraId="19EA639B" w14:textId="554306DF" w:rsidR="00EF5EF0" w:rsidRPr="00DC7A58" w:rsidRDefault="00EF5EF0" w:rsidP="00EF5EF0">
      <w:pPr>
        <w:pStyle w:val="h1"/>
        <w:rPr>
          <w:sz w:val="40"/>
          <w:szCs w:val="40"/>
        </w:rPr>
      </w:pPr>
      <w:bookmarkStart w:id="24" w:name="_Toc158714182"/>
      <w:r w:rsidRPr="00DC7A58">
        <w:rPr>
          <w:sz w:val="40"/>
          <w:szCs w:val="40"/>
        </w:rPr>
        <w:lastRenderedPageBreak/>
        <w:t>Appendix 1</w:t>
      </w:r>
      <w:bookmarkEnd w:id="23"/>
      <w:r w:rsidRPr="00DC7A58">
        <w:rPr>
          <w:sz w:val="40"/>
          <w:szCs w:val="40"/>
        </w:rPr>
        <w:t xml:space="preserve"> – Table of Values for Education Centres </w:t>
      </w:r>
      <w:r w:rsidR="00FB0194" w:rsidRPr="00DC7A58">
        <w:rPr>
          <w:sz w:val="40"/>
          <w:szCs w:val="40"/>
        </w:rPr>
        <w:t>2026/27</w:t>
      </w:r>
      <w:bookmarkEnd w:id="24"/>
    </w:p>
    <w:p w14:paraId="427D36EE" w14:textId="77777777" w:rsidR="00EA2AC0" w:rsidRPr="005E26DC" w:rsidRDefault="00EA2AC0" w:rsidP="00EF5EF0">
      <w:pPr>
        <w:jc w:val="center"/>
        <w:rPr>
          <w:b/>
          <w:bCs/>
          <w:sz w:val="23"/>
          <w:szCs w:val="28"/>
          <w:highlight w:val="yellow"/>
        </w:rPr>
      </w:pPr>
    </w:p>
    <w:p w14:paraId="3486BC7A" w14:textId="77777777" w:rsidR="00EF5EF0" w:rsidRPr="005E26DC" w:rsidRDefault="00EF5EF0" w:rsidP="00EF5EF0">
      <w:pPr>
        <w:jc w:val="center"/>
        <w:rPr>
          <w:b/>
          <w:sz w:val="28"/>
          <w:szCs w:val="28"/>
          <w:highlight w:val="yellow"/>
        </w:rPr>
      </w:pPr>
      <w:bookmarkStart w:id="25" w:name="App2"/>
    </w:p>
    <w:tbl>
      <w:tblPr>
        <w:tblW w:w="8931" w:type="dxa"/>
        <w:tblInd w:w="4" w:type="dxa"/>
        <w:tblLayout w:type="fixed"/>
        <w:tblCellMar>
          <w:left w:w="0" w:type="dxa"/>
          <w:right w:w="57" w:type="dxa"/>
        </w:tblCellMar>
        <w:tblLook w:val="0000" w:firstRow="0" w:lastRow="0" w:firstColumn="0" w:lastColumn="0" w:noHBand="0" w:noVBand="0"/>
      </w:tblPr>
      <w:tblGrid>
        <w:gridCol w:w="7080"/>
        <w:gridCol w:w="1851"/>
      </w:tblGrid>
      <w:tr w:rsidR="000C0483" w:rsidRPr="00F76035" w14:paraId="730E14C6" w14:textId="77777777" w:rsidTr="00860209">
        <w:trPr>
          <w:trHeight w:val="750"/>
        </w:trPr>
        <w:tc>
          <w:tcPr>
            <w:tcW w:w="7080" w:type="dxa"/>
            <w:tcBorders>
              <w:top w:val="single" w:sz="4" w:space="0" w:color="000000"/>
              <w:left w:val="single" w:sz="3" w:space="0" w:color="000000"/>
              <w:bottom w:val="single" w:sz="3" w:space="0" w:color="000000"/>
              <w:right w:val="single" w:sz="3" w:space="0" w:color="000000"/>
            </w:tcBorders>
            <w:vAlign w:val="center"/>
          </w:tcPr>
          <w:p w14:paraId="4BC4F13F" w14:textId="77777777" w:rsidR="000C0483" w:rsidRPr="00ED3F47" w:rsidRDefault="000C0483" w:rsidP="00860209">
            <w:pPr>
              <w:widowControl w:val="0"/>
              <w:autoSpaceDE w:val="0"/>
              <w:autoSpaceDN w:val="0"/>
              <w:adjustRightInd w:val="0"/>
              <w:spacing w:before="60" w:after="120" w:line="300" w:lineRule="auto"/>
              <w:jc w:val="center"/>
              <w:rPr>
                <w:b/>
                <w:bCs/>
                <w:sz w:val="20"/>
                <w:szCs w:val="20"/>
              </w:rPr>
            </w:pPr>
            <w:bookmarkStart w:id="26" w:name="_Toc158714183"/>
            <w:r w:rsidRPr="009D6141">
              <w:rPr>
                <w:b/>
                <w:sz w:val="28"/>
                <w:szCs w:val="20"/>
              </w:rPr>
              <w:t>Values</w:t>
            </w:r>
          </w:p>
        </w:tc>
        <w:tc>
          <w:tcPr>
            <w:tcW w:w="1851" w:type="dxa"/>
            <w:tcBorders>
              <w:top w:val="single" w:sz="4" w:space="0" w:color="000000"/>
              <w:left w:val="single" w:sz="3" w:space="0" w:color="000000"/>
              <w:bottom w:val="single" w:sz="4" w:space="0" w:color="000000"/>
              <w:right w:val="single" w:sz="3" w:space="0" w:color="000000"/>
            </w:tcBorders>
            <w:vAlign w:val="center"/>
          </w:tcPr>
          <w:p w14:paraId="5D67D2C7" w14:textId="77777777" w:rsidR="000C0483" w:rsidRPr="00F76035" w:rsidRDefault="000C0483" w:rsidP="00860209">
            <w:pPr>
              <w:widowControl w:val="0"/>
              <w:autoSpaceDE w:val="0"/>
              <w:autoSpaceDN w:val="0"/>
              <w:adjustRightInd w:val="0"/>
              <w:spacing w:before="60" w:after="120" w:line="300" w:lineRule="auto"/>
              <w:jc w:val="center"/>
            </w:pPr>
            <w:r w:rsidRPr="00F76035">
              <w:t>£</w:t>
            </w:r>
          </w:p>
        </w:tc>
      </w:tr>
      <w:tr w:rsidR="000C0483" w:rsidRPr="00C87BFA" w14:paraId="38B29D24" w14:textId="77777777" w:rsidTr="00860209">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7E3FF320" w14:textId="2D14506A" w:rsidR="000C0483" w:rsidRPr="00C87BFA" w:rsidRDefault="000C0483" w:rsidP="00860209">
            <w:pPr>
              <w:spacing w:before="60" w:after="120" w:line="300" w:lineRule="auto"/>
              <w:rPr>
                <w:b/>
              </w:rPr>
            </w:pPr>
            <w:r>
              <w:rPr>
                <w:b/>
              </w:rPr>
              <w:t>Place Funding</w:t>
            </w:r>
          </w:p>
        </w:tc>
        <w:tc>
          <w:tcPr>
            <w:tcW w:w="1851" w:type="dxa"/>
            <w:tcBorders>
              <w:top w:val="single" w:sz="4" w:space="0" w:color="000000"/>
              <w:bottom w:val="single" w:sz="4" w:space="0" w:color="000000"/>
              <w:right w:val="single" w:sz="4" w:space="0" w:color="000000"/>
            </w:tcBorders>
            <w:vAlign w:val="center"/>
          </w:tcPr>
          <w:p w14:paraId="765F14EC" w14:textId="77777777" w:rsidR="000C0483" w:rsidRPr="00C87BFA" w:rsidRDefault="000C0483" w:rsidP="00860209">
            <w:pPr>
              <w:spacing w:before="60" w:after="120" w:line="300" w:lineRule="auto"/>
              <w:jc w:val="center"/>
            </w:pPr>
            <w:r w:rsidRPr="004B341C">
              <w:rPr>
                <w:color w:val="FF0000"/>
                <w:sz w:val="20"/>
                <w:szCs w:val="20"/>
              </w:rPr>
              <w:t>GL 769</w:t>
            </w:r>
            <w:r>
              <w:rPr>
                <w:color w:val="FF0000"/>
                <w:sz w:val="20"/>
                <w:szCs w:val="20"/>
              </w:rPr>
              <w:t>6</w:t>
            </w:r>
            <w:r w:rsidRPr="004B341C">
              <w:rPr>
                <w:color w:val="FF0000"/>
                <w:sz w:val="20"/>
                <w:szCs w:val="20"/>
              </w:rPr>
              <w:t xml:space="preserve"> / CFR I0</w:t>
            </w:r>
            <w:r>
              <w:rPr>
                <w:color w:val="FF0000"/>
                <w:sz w:val="20"/>
                <w:szCs w:val="20"/>
              </w:rPr>
              <w:t>1</w:t>
            </w:r>
          </w:p>
        </w:tc>
      </w:tr>
      <w:tr w:rsidR="000C0483" w:rsidRPr="00C87BFA" w14:paraId="54304233" w14:textId="77777777" w:rsidTr="00860209">
        <w:trPr>
          <w:trHeight w:hRule="exact" w:val="510"/>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37434E36" w14:textId="77777777" w:rsidR="000C0483" w:rsidRPr="00C87BFA" w:rsidRDefault="000C0483" w:rsidP="00860209">
            <w:pPr>
              <w:widowControl w:val="0"/>
              <w:tabs>
                <w:tab w:val="left" w:pos="740"/>
              </w:tabs>
              <w:autoSpaceDE w:val="0"/>
              <w:autoSpaceDN w:val="0"/>
              <w:adjustRightInd w:val="0"/>
              <w:spacing w:before="60" w:after="120" w:line="300" w:lineRule="auto"/>
              <w:rPr>
                <w:b/>
              </w:rPr>
            </w:pPr>
            <w:r>
              <w:rPr>
                <w:bCs/>
              </w:rPr>
              <w:t xml:space="preserve">     </w:t>
            </w:r>
            <w:r w:rsidRPr="00EB1CAE">
              <w:rPr>
                <w:bCs/>
              </w:rPr>
              <w:t>Agreed Place Numbers (APN)</w:t>
            </w:r>
            <w:r w:rsidRPr="00F82F8A">
              <w:rPr>
                <w:bCs/>
              </w:rPr>
              <w:t xml:space="preserve">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2C1C492E" w14:textId="77777777" w:rsidR="000C0483" w:rsidRPr="00C87BFA" w:rsidRDefault="000C0483" w:rsidP="00860209">
            <w:pPr>
              <w:spacing w:before="60" w:after="120" w:line="300" w:lineRule="auto"/>
              <w:jc w:val="right"/>
            </w:pPr>
            <w:r w:rsidRPr="00C87BFA">
              <w:t>10,000</w:t>
            </w:r>
          </w:p>
        </w:tc>
      </w:tr>
      <w:tr w:rsidR="000C0483" w:rsidRPr="00C87BFA" w14:paraId="72F22DC7" w14:textId="77777777" w:rsidTr="00860209">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41BCB2C3" w14:textId="77777777" w:rsidR="000C0483" w:rsidRPr="00C87BFA" w:rsidRDefault="000C0483" w:rsidP="00860209">
            <w:pPr>
              <w:spacing w:before="60" w:after="120" w:line="300" w:lineRule="auto"/>
              <w:rPr>
                <w:b/>
              </w:rPr>
            </w:pPr>
            <w:r>
              <w:rPr>
                <w:b/>
              </w:rPr>
              <w:t xml:space="preserve">Legacy Funding </w:t>
            </w:r>
          </w:p>
        </w:tc>
        <w:tc>
          <w:tcPr>
            <w:tcW w:w="1851" w:type="dxa"/>
            <w:tcBorders>
              <w:top w:val="single" w:sz="4" w:space="0" w:color="000000"/>
              <w:bottom w:val="single" w:sz="4" w:space="0" w:color="000000"/>
              <w:right w:val="single" w:sz="4" w:space="0" w:color="000000"/>
            </w:tcBorders>
            <w:vAlign w:val="center"/>
          </w:tcPr>
          <w:p w14:paraId="7F22BE79" w14:textId="77777777" w:rsidR="000C0483" w:rsidRPr="00C87BFA" w:rsidRDefault="000C0483" w:rsidP="00860209">
            <w:pPr>
              <w:spacing w:before="60" w:after="120" w:line="300" w:lineRule="auto"/>
              <w:jc w:val="center"/>
            </w:pPr>
            <w:r w:rsidRPr="004B341C">
              <w:rPr>
                <w:color w:val="FF0000"/>
                <w:sz w:val="20"/>
                <w:szCs w:val="20"/>
              </w:rPr>
              <w:t>GL 769</w:t>
            </w:r>
            <w:r>
              <w:rPr>
                <w:color w:val="FF0000"/>
                <w:sz w:val="20"/>
                <w:szCs w:val="20"/>
              </w:rPr>
              <w:t>7</w:t>
            </w:r>
            <w:r w:rsidRPr="004B341C">
              <w:rPr>
                <w:color w:val="FF0000"/>
                <w:sz w:val="20"/>
                <w:szCs w:val="20"/>
              </w:rPr>
              <w:t xml:space="preserve"> / CFR I0</w:t>
            </w:r>
            <w:r>
              <w:rPr>
                <w:color w:val="FF0000"/>
                <w:sz w:val="20"/>
                <w:szCs w:val="20"/>
              </w:rPr>
              <w:t>1</w:t>
            </w:r>
          </w:p>
        </w:tc>
      </w:tr>
      <w:tr w:rsidR="000C0483" w:rsidRPr="00C87BFA" w14:paraId="1DFE3F43" w14:textId="77777777" w:rsidTr="00860209">
        <w:trPr>
          <w:trHeight w:hRule="exact" w:val="702"/>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4FD31504" w14:textId="77777777" w:rsidR="000C0483" w:rsidRPr="00C87BFA" w:rsidRDefault="000C0483" w:rsidP="00860209">
            <w:pPr>
              <w:widowControl w:val="0"/>
              <w:tabs>
                <w:tab w:val="left" w:pos="740"/>
              </w:tabs>
              <w:autoSpaceDE w:val="0"/>
              <w:autoSpaceDN w:val="0"/>
              <w:adjustRightInd w:val="0"/>
              <w:spacing w:before="60" w:after="120" w:line="300" w:lineRule="auto"/>
              <w:rPr>
                <w:b/>
              </w:rPr>
            </w:pPr>
            <w:r>
              <w:rPr>
                <w:bCs/>
              </w:rPr>
              <w:t xml:space="preserve">     Legacy Funding</w:t>
            </w:r>
            <w:r w:rsidRPr="00F82F8A">
              <w:rPr>
                <w:bCs/>
              </w:rPr>
              <w:t xml:space="preserve">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6FDA1FAE" w14:textId="77777777" w:rsidR="000C0483" w:rsidRPr="00C87BFA" w:rsidRDefault="000C0483" w:rsidP="00860209">
            <w:pPr>
              <w:spacing w:before="60" w:after="120" w:line="300" w:lineRule="auto"/>
              <w:jc w:val="right"/>
            </w:pPr>
            <w:r>
              <w:rPr>
                <w:i/>
                <w:iCs/>
              </w:rPr>
              <w:t>Varies – as per 2025/26</w:t>
            </w:r>
          </w:p>
        </w:tc>
      </w:tr>
      <w:tr w:rsidR="000C0483" w:rsidRPr="00C87BFA" w14:paraId="3275C0CC" w14:textId="77777777" w:rsidTr="00860209">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3DCDBA4B" w14:textId="77777777" w:rsidR="000C0483" w:rsidRPr="00C87BFA" w:rsidRDefault="000C0483" w:rsidP="00860209">
            <w:pPr>
              <w:spacing w:before="60" w:after="120" w:line="300" w:lineRule="auto"/>
              <w:rPr>
                <w:b/>
              </w:rPr>
            </w:pPr>
            <w:r>
              <w:rPr>
                <w:b/>
              </w:rPr>
              <w:t>Other Funding &amp; Deductions</w:t>
            </w:r>
          </w:p>
        </w:tc>
        <w:tc>
          <w:tcPr>
            <w:tcW w:w="1851" w:type="dxa"/>
            <w:tcBorders>
              <w:top w:val="single" w:sz="4" w:space="0" w:color="000000"/>
              <w:bottom w:val="single" w:sz="4" w:space="0" w:color="000000"/>
              <w:right w:val="single" w:sz="4" w:space="0" w:color="000000"/>
            </w:tcBorders>
            <w:vAlign w:val="center"/>
          </w:tcPr>
          <w:p w14:paraId="187097A1" w14:textId="77777777" w:rsidR="000C0483" w:rsidRPr="00C87BFA" w:rsidRDefault="000C0483" w:rsidP="00860209">
            <w:pPr>
              <w:spacing w:before="60" w:after="120" w:line="300" w:lineRule="auto"/>
              <w:jc w:val="center"/>
            </w:pPr>
            <w:r w:rsidRPr="004B341C">
              <w:rPr>
                <w:color w:val="FF0000"/>
                <w:sz w:val="20"/>
                <w:szCs w:val="20"/>
              </w:rPr>
              <w:t>GL 769</w:t>
            </w:r>
            <w:r>
              <w:rPr>
                <w:color w:val="FF0000"/>
                <w:sz w:val="20"/>
                <w:szCs w:val="20"/>
              </w:rPr>
              <w:t>6</w:t>
            </w:r>
            <w:r w:rsidRPr="004B341C">
              <w:rPr>
                <w:color w:val="FF0000"/>
                <w:sz w:val="20"/>
                <w:szCs w:val="20"/>
              </w:rPr>
              <w:t xml:space="preserve"> / CFR I0</w:t>
            </w:r>
            <w:r>
              <w:rPr>
                <w:color w:val="FF0000"/>
                <w:sz w:val="20"/>
                <w:szCs w:val="20"/>
              </w:rPr>
              <w:t>1</w:t>
            </w:r>
          </w:p>
        </w:tc>
      </w:tr>
      <w:tr w:rsidR="000C0483" w14:paraId="5F177320" w14:textId="77777777" w:rsidTr="00860209">
        <w:trPr>
          <w:trHeight w:hRule="exact" w:val="510"/>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57B5C12C" w14:textId="77777777" w:rsidR="000C0483" w:rsidRDefault="000C0483" w:rsidP="00860209">
            <w:pPr>
              <w:widowControl w:val="0"/>
              <w:tabs>
                <w:tab w:val="left" w:pos="740"/>
              </w:tabs>
              <w:autoSpaceDE w:val="0"/>
              <w:autoSpaceDN w:val="0"/>
              <w:adjustRightInd w:val="0"/>
              <w:spacing w:before="60" w:after="120" w:line="300" w:lineRule="auto"/>
            </w:pPr>
            <w:r>
              <w:t xml:space="preserve">     Central Provision Funded by Maintained Schools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72C08767" w14:textId="77777777" w:rsidR="000C0483" w:rsidRPr="000A149D" w:rsidRDefault="000C0483" w:rsidP="00860209">
            <w:pPr>
              <w:spacing w:before="60" w:after="120" w:line="300" w:lineRule="auto"/>
              <w:jc w:val="right"/>
            </w:pPr>
            <w:r w:rsidRPr="000A149D">
              <w:t>(</w:t>
            </w:r>
            <w:r>
              <w:t>58.57</w:t>
            </w:r>
            <w:r w:rsidRPr="000A149D">
              <w:t>)</w:t>
            </w:r>
          </w:p>
        </w:tc>
      </w:tr>
      <w:tr w:rsidR="000C0483" w:rsidRPr="004B341C" w14:paraId="32F2EE52" w14:textId="77777777" w:rsidTr="00860209">
        <w:trPr>
          <w:trHeight w:hRule="exact" w:val="510"/>
        </w:trPr>
        <w:tc>
          <w:tcPr>
            <w:tcW w:w="7080" w:type="dxa"/>
            <w:tcBorders>
              <w:top w:val="single" w:sz="3" w:space="0" w:color="000000"/>
              <w:left w:val="single" w:sz="4" w:space="0" w:color="000000"/>
              <w:bottom w:val="single" w:sz="3" w:space="0" w:color="000000"/>
            </w:tcBorders>
            <w:tcMar>
              <w:left w:w="57" w:type="dxa"/>
            </w:tcMar>
            <w:vAlign w:val="center"/>
          </w:tcPr>
          <w:p w14:paraId="21A88471" w14:textId="42E3E5B2" w:rsidR="000C0483" w:rsidRPr="00C87BFA" w:rsidRDefault="00506B54" w:rsidP="00860209">
            <w:pPr>
              <w:widowControl w:val="0"/>
              <w:tabs>
                <w:tab w:val="left" w:pos="740"/>
              </w:tabs>
              <w:autoSpaceDE w:val="0"/>
              <w:autoSpaceDN w:val="0"/>
              <w:adjustRightInd w:val="0"/>
              <w:spacing w:before="60" w:after="120" w:line="300" w:lineRule="auto"/>
              <w:rPr>
                <w:b/>
              </w:rPr>
            </w:pPr>
            <w:r>
              <w:rPr>
                <w:b/>
              </w:rPr>
              <w:t>Commissioned EC Ser</w:t>
            </w:r>
            <w:r w:rsidR="00F65127">
              <w:rPr>
                <w:b/>
              </w:rPr>
              <w:t>vice</w:t>
            </w:r>
          </w:p>
        </w:tc>
        <w:tc>
          <w:tcPr>
            <w:tcW w:w="1851" w:type="dxa"/>
            <w:tcBorders>
              <w:top w:val="single" w:sz="4" w:space="0" w:color="000000"/>
              <w:bottom w:val="single" w:sz="3" w:space="0" w:color="000000"/>
              <w:right w:val="single" w:sz="4" w:space="0" w:color="000000"/>
            </w:tcBorders>
            <w:vAlign w:val="center"/>
          </w:tcPr>
          <w:p w14:paraId="58EDB984" w14:textId="5C017085" w:rsidR="000C0483" w:rsidRPr="000A149D" w:rsidRDefault="000C0483" w:rsidP="00860209">
            <w:pPr>
              <w:spacing w:before="60" w:after="120" w:line="300" w:lineRule="auto"/>
              <w:jc w:val="center"/>
              <w:rPr>
                <w:color w:val="FF0000"/>
                <w:sz w:val="20"/>
                <w:szCs w:val="20"/>
              </w:rPr>
            </w:pPr>
            <w:r w:rsidRPr="000A149D">
              <w:rPr>
                <w:color w:val="FF0000"/>
                <w:sz w:val="20"/>
                <w:szCs w:val="20"/>
              </w:rPr>
              <w:t>GL 7</w:t>
            </w:r>
            <w:r w:rsidR="00F65127">
              <w:rPr>
                <w:color w:val="FF0000"/>
                <w:sz w:val="20"/>
                <w:szCs w:val="20"/>
              </w:rPr>
              <w:t>556</w:t>
            </w:r>
            <w:r w:rsidRPr="000A149D">
              <w:rPr>
                <w:color w:val="FF0000"/>
                <w:sz w:val="20"/>
                <w:szCs w:val="20"/>
              </w:rPr>
              <w:t xml:space="preserve"> / CFR I0</w:t>
            </w:r>
            <w:r w:rsidR="00F65127">
              <w:rPr>
                <w:color w:val="FF0000"/>
                <w:sz w:val="20"/>
                <w:szCs w:val="20"/>
              </w:rPr>
              <w:t>8b</w:t>
            </w:r>
          </w:p>
        </w:tc>
      </w:tr>
      <w:tr w:rsidR="000C0483" w:rsidRPr="00C87BFA" w14:paraId="65870E23" w14:textId="77777777" w:rsidTr="0036478E">
        <w:trPr>
          <w:trHeight w:hRule="exact" w:val="557"/>
        </w:trPr>
        <w:tc>
          <w:tcPr>
            <w:tcW w:w="7080" w:type="dxa"/>
            <w:tcBorders>
              <w:top w:val="single" w:sz="3" w:space="0" w:color="000000"/>
              <w:left w:val="single" w:sz="3" w:space="0" w:color="000000"/>
              <w:bottom w:val="single" w:sz="3" w:space="0" w:color="000000"/>
              <w:right w:val="single" w:sz="3" w:space="0" w:color="000000"/>
            </w:tcBorders>
            <w:tcMar>
              <w:left w:w="57" w:type="dxa"/>
            </w:tcMar>
          </w:tcPr>
          <w:p w14:paraId="0183FE9D" w14:textId="6C65C842" w:rsidR="000C0483" w:rsidRPr="00C87BFA" w:rsidRDefault="000C0483" w:rsidP="0036478E">
            <w:pPr>
              <w:widowControl w:val="0"/>
              <w:tabs>
                <w:tab w:val="left" w:pos="740"/>
              </w:tabs>
              <w:autoSpaceDE w:val="0"/>
              <w:autoSpaceDN w:val="0"/>
              <w:adjustRightInd w:val="0"/>
              <w:spacing w:before="60" w:after="120" w:line="300" w:lineRule="auto"/>
            </w:pPr>
            <w:r>
              <w:rPr>
                <w:b/>
              </w:rPr>
              <w:t xml:space="preserve">     </w:t>
            </w:r>
            <w:r w:rsidR="00F65127">
              <w:rPr>
                <w:bCs/>
              </w:rPr>
              <w:t>Commissioned EC Service</w:t>
            </w:r>
            <w:r w:rsidR="005E15C0">
              <w:rPr>
                <w:bCs/>
              </w:rPr>
              <w:t xml:space="preserve"> (per place)</w:t>
            </w:r>
          </w:p>
        </w:tc>
        <w:tc>
          <w:tcPr>
            <w:tcW w:w="1851" w:type="dxa"/>
            <w:tcBorders>
              <w:top w:val="single" w:sz="4" w:space="0" w:color="000000"/>
              <w:left w:val="single" w:sz="3" w:space="0" w:color="000000"/>
              <w:bottom w:val="single" w:sz="3" w:space="0" w:color="000000"/>
              <w:right w:val="single" w:sz="3" w:space="0" w:color="000000"/>
            </w:tcBorders>
          </w:tcPr>
          <w:p w14:paraId="6326E0B3" w14:textId="27A48634" w:rsidR="000C0483" w:rsidRPr="000A149D" w:rsidRDefault="00F65127" w:rsidP="0036478E">
            <w:pPr>
              <w:spacing w:before="60" w:after="120" w:line="300" w:lineRule="auto"/>
              <w:jc w:val="right"/>
            </w:pPr>
            <w:r>
              <w:t>11,500</w:t>
            </w:r>
          </w:p>
        </w:tc>
      </w:tr>
      <w:bookmarkEnd w:id="25"/>
      <w:bookmarkEnd w:id="26"/>
    </w:tbl>
    <w:p w14:paraId="5A95AB1B" w14:textId="77777777" w:rsidR="00802A1A" w:rsidRPr="005E26DC" w:rsidRDefault="00802A1A" w:rsidP="00EF5EF0">
      <w:pPr>
        <w:pStyle w:val="h1"/>
        <w:rPr>
          <w:sz w:val="40"/>
          <w:szCs w:val="40"/>
          <w:highlight w:val="yellow"/>
        </w:rPr>
      </w:pPr>
    </w:p>
    <w:sectPr w:rsidR="00802A1A" w:rsidRPr="005E26DC" w:rsidSect="00A57D9F">
      <w:footerReference w:type="default" r:id="rId18"/>
      <w:pgSz w:w="11906" w:h="16838"/>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4004" w14:textId="77777777" w:rsidR="00DD496B" w:rsidRDefault="00DD496B" w:rsidP="006503CA">
      <w:r>
        <w:separator/>
      </w:r>
    </w:p>
  </w:endnote>
  <w:endnote w:type="continuationSeparator" w:id="0">
    <w:p w14:paraId="6C06786E" w14:textId="77777777" w:rsidR="00DD496B" w:rsidRDefault="00DD496B" w:rsidP="006503CA">
      <w:r>
        <w:continuationSeparator/>
      </w:r>
    </w:p>
  </w:endnote>
  <w:endnote w:type="continuationNotice" w:id="1">
    <w:p w14:paraId="71F7C25E" w14:textId="77777777" w:rsidR="00DD496B" w:rsidRDefault="00DD4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BFE1" w14:textId="6CFACCDC" w:rsidR="00863A0F" w:rsidRPr="00863A0F" w:rsidRDefault="00000000" w:rsidP="00A06812">
    <w:pPr>
      <w:pStyle w:val="Footer"/>
      <w:tabs>
        <w:tab w:val="clear" w:pos="4513"/>
      </w:tabs>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A06812">
          <w:t xml:space="preserve">Education Centres Budget Share Guidance </w:t>
        </w:r>
        <w:r w:rsidR="00FB0194">
          <w:t>2026/27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60BE" w14:textId="77777777" w:rsidR="00DD496B" w:rsidRDefault="00DD496B" w:rsidP="006503CA">
      <w:r>
        <w:separator/>
      </w:r>
    </w:p>
  </w:footnote>
  <w:footnote w:type="continuationSeparator" w:id="0">
    <w:p w14:paraId="59DC7108" w14:textId="77777777" w:rsidR="00DD496B" w:rsidRDefault="00DD496B" w:rsidP="006503CA">
      <w:r>
        <w:continuationSeparator/>
      </w:r>
    </w:p>
  </w:footnote>
  <w:footnote w:type="continuationNotice" w:id="1">
    <w:p w14:paraId="24DD7FE9" w14:textId="77777777" w:rsidR="00DD496B" w:rsidRDefault="00DD4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119D3"/>
    <w:multiLevelType w:val="hybridMultilevel"/>
    <w:tmpl w:val="A6505A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319FF9"/>
    <w:multiLevelType w:val="hybridMultilevel"/>
    <w:tmpl w:val="DC6719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24AD69"/>
    <w:multiLevelType w:val="hybridMultilevel"/>
    <w:tmpl w:val="2771B3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486BD4"/>
    <w:multiLevelType w:val="hybridMultilevel"/>
    <w:tmpl w:val="C124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256FC"/>
    <w:multiLevelType w:val="hybridMultilevel"/>
    <w:tmpl w:val="BC12D2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29425DF"/>
    <w:multiLevelType w:val="hybridMultilevel"/>
    <w:tmpl w:val="21AA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91AB1"/>
    <w:multiLevelType w:val="hybridMultilevel"/>
    <w:tmpl w:val="6304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93890"/>
    <w:multiLevelType w:val="hybridMultilevel"/>
    <w:tmpl w:val="5388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11873"/>
    <w:multiLevelType w:val="multilevel"/>
    <w:tmpl w:val="5F36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00528C"/>
    <w:multiLevelType w:val="hybridMultilevel"/>
    <w:tmpl w:val="185E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85313"/>
    <w:multiLevelType w:val="hybridMultilevel"/>
    <w:tmpl w:val="739813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349456D"/>
    <w:multiLevelType w:val="hybridMultilevel"/>
    <w:tmpl w:val="6C0C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E2F06"/>
    <w:multiLevelType w:val="hybridMultilevel"/>
    <w:tmpl w:val="7FE848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3C3774"/>
    <w:multiLevelType w:val="hybridMultilevel"/>
    <w:tmpl w:val="B328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167E6"/>
    <w:multiLevelType w:val="multilevel"/>
    <w:tmpl w:val="849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69952">
    <w:abstractNumId w:val="13"/>
  </w:num>
  <w:num w:numId="2" w16cid:durableId="2009945258">
    <w:abstractNumId w:val="6"/>
  </w:num>
  <w:num w:numId="3" w16cid:durableId="1814442206">
    <w:abstractNumId w:val="0"/>
  </w:num>
  <w:num w:numId="4" w16cid:durableId="365984144">
    <w:abstractNumId w:val="2"/>
  </w:num>
  <w:num w:numId="5" w16cid:durableId="1254171003">
    <w:abstractNumId w:val="4"/>
  </w:num>
  <w:num w:numId="6" w16cid:durableId="2030179030">
    <w:abstractNumId w:val="1"/>
  </w:num>
  <w:num w:numId="7" w16cid:durableId="2043436999">
    <w:abstractNumId w:val="14"/>
  </w:num>
  <w:num w:numId="8" w16cid:durableId="7407129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157621">
    <w:abstractNumId w:val="11"/>
  </w:num>
  <w:num w:numId="10" w16cid:durableId="45580297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8314973">
    <w:abstractNumId w:val="15"/>
  </w:num>
  <w:num w:numId="12" w16cid:durableId="2080054029">
    <w:abstractNumId w:val="10"/>
  </w:num>
  <w:num w:numId="13" w16cid:durableId="1834057423">
    <w:abstractNumId w:val="9"/>
  </w:num>
  <w:num w:numId="14" w16cid:durableId="1003360616">
    <w:abstractNumId w:val="12"/>
  </w:num>
  <w:num w:numId="15" w16cid:durableId="1267467755">
    <w:abstractNumId w:val="7"/>
  </w:num>
  <w:num w:numId="16" w16cid:durableId="1957062519">
    <w:abstractNumId w:val="3"/>
  </w:num>
  <w:num w:numId="17" w16cid:durableId="1220944140">
    <w:abstractNumId w:val="16"/>
  </w:num>
  <w:num w:numId="18" w16cid:durableId="720784913">
    <w:abstractNumId w:val="5"/>
  </w:num>
  <w:num w:numId="19" w16cid:durableId="63722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F0"/>
    <w:rsid w:val="000038EC"/>
    <w:rsid w:val="0000701F"/>
    <w:rsid w:val="0001628F"/>
    <w:rsid w:val="00032713"/>
    <w:rsid w:val="000403E2"/>
    <w:rsid w:val="0004407C"/>
    <w:rsid w:val="00045FCA"/>
    <w:rsid w:val="000630C9"/>
    <w:rsid w:val="00064048"/>
    <w:rsid w:val="00086C76"/>
    <w:rsid w:val="00091DD2"/>
    <w:rsid w:val="000961F6"/>
    <w:rsid w:val="000A6431"/>
    <w:rsid w:val="000B1037"/>
    <w:rsid w:val="000B7ACD"/>
    <w:rsid w:val="000C0483"/>
    <w:rsid w:val="000C3071"/>
    <w:rsid w:val="000C5E58"/>
    <w:rsid w:val="000D1E63"/>
    <w:rsid w:val="000D3E08"/>
    <w:rsid w:val="000E2E49"/>
    <w:rsid w:val="00100663"/>
    <w:rsid w:val="00120BF4"/>
    <w:rsid w:val="001362AE"/>
    <w:rsid w:val="00136910"/>
    <w:rsid w:val="0014706F"/>
    <w:rsid w:val="001526C7"/>
    <w:rsid w:val="001540E8"/>
    <w:rsid w:val="001645E1"/>
    <w:rsid w:val="001665E3"/>
    <w:rsid w:val="00170F6A"/>
    <w:rsid w:val="0017408D"/>
    <w:rsid w:val="001805E1"/>
    <w:rsid w:val="00181C43"/>
    <w:rsid w:val="001A1B5E"/>
    <w:rsid w:val="001B11C1"/>
    <w:rsid w:val="001B2007"/>
    <w:rsid w:val="001B335D"/>
    <w:rsid w:val="001B3FBA"/>
    <w:rsid w:val="001C20A7"/>
    <w:rsid w:val="001C7AE1"/>
    <w:rsid w:val="001D4412"/>
    <w:rsid w:val="001D56BC"/>
    <w:rsid w:val="001E0845"/>
    <w:rsid w:val="001E2F9E"/>
    <w:rsid w:val="001E4291"/>
    <w:rsid w:val="001E5896"/>
    <w:rsid w:val="001E7BE3"/>
    <w:rsid w:val="001F5939"/>
    <w:rsid w:val="002003F1"/>
    <w:rsid w:val="00200840"/>
    <w:rsid w:val="002143BF"/>
    <w:rsid w:val="00216D17"/>
    <w:rsid w:val="002207D2"/>
    <w:rsid w:val="00225E07"/>
    <w:rsid w:val="00240BD6"/>
    <w:rsid w:val="00244455"/>
    <w:rsid w:val="0025460F"/>
    <w:rsid w:val="002603A4"/>
    <w:rsid w:val="00262CBA"/>
    <w:rsid w:val="00270CD5"/>
    <w:rsid w:val="00277E04"/>
    <w:rsid w:val="00291204"/>
    <w:rsid w:val="002932EF"/>
    <w:rsid w:val="002A0DDF"/>
    <w:rsid w:val="002A5489"/>
    <w:rsid w:val="002B55F3"/>
    <w:rsid w:val="002B68B9"/>
    <w:rsid w:val="002C4252"/>
    <w:rsid w:val="002D2959"/>
    <w:rsid w:val="002D7EE3"/>
    <w:rsid w:val="002E0FD8"/>
    <w:rsid w:val="002E300A"/>
    <w:rsid w:val="002E30B5"/>
    <w:rsid w:val="002F2A47"/>
    <w:rsid w:val="00315D28"/>
    <w:rsid w:val="00316389"/>
    <w:rsid w:val="00325478"/>
    <w:rsid w:val="00330FAF"/>
    <w:rsid w:val="00332C5F"/>
    <w:rsid w:val="00334160"/>
    <w:rsid w:val="00337828"/>
    <w:rsid w:val="00353BE1"/>
    <w:rsid w:val="00360635"/>
    <w:rsid w:val="0036131A"/>
    <w:rsid w:val="0036478E"/>
    <w:rsid w:val="00367F9E"/>
    <w:rsid w:val="00370BCE"/>
    <w:rsid w:val="003740E3"/>
    <w:rsid w:val="00377229"/>
    <w:rsid w:val="00380EEA"/>
    <w:rsid w:val="003B0335"/>
    <w:rsid w:val="003B4EC1"/>
    <w:rsid w:val="003B4F7A"/>
    <w:rsid w:val="003B65CC"/>
    <w:rsid w:val="003D0231"/>
    <w:rsid w:val="003E622A"/>
    <w:rsid w:val="003F431E"/>
    <w:rsid w:val="003F4EAA"/>
    <w:rsid w:val="00406156"/>
    <w:rsid w:val="00422579"/>
    <w:rsid w:val="004244E8"/>
    <w:rsid w:val="0043551E"/>
    <w:rsid w:val="00450403"/>
    <w:rsid w:val="00463205"/>
    <w:rsid w:val="00466A61"/>
    <w:rsid w:val="004711EF"/>
    <w:rsid w:val="00481879"/>
    <w:rsid w:val="0049017A"/>
    <w:rsid w:val="0049273B"/>
    <w:rsid w:val="00494FD2"/>
    <w:rsid w:val="00495B19"/>
    <w:rsid w:val="004A3E46"/>
    <w:rsid w:val="004B52DE"/>
    <w:rsid w:val="004D489C"/>
    <w:rsid w:val="004E40EF"/>
    <w:rsid w:val="004F3181"/>
    <w:rsid w:val="004F3C6E"/>
    <w:rsid w:val="004F4C0B"/>
    <w:rsid w:val="00505426"/>
    <w:rsid w:val="00505742"/>
    <w:rsid w:val="00506B54"/>
    <w:rsid w:val="00507C8B"/>
    <w:rsid w:val="00510C9F"/>
    <w:rsid w:val="00523753"/>
    <w:rsid w:val="00523E33"/>
    <w:rsid w:val="0052738B"/>
    <w:rsid w:val="00533B06"/>
    <w:rsid w:val="00534AF8"/>
    <w:rsid w:val="00542AD8"/>
    <w:rsid w:val="0054569E"/>
    <w:rsid w:val="00561A94"/>
    <w:rsid w:val="0056306B"/>
    <w:rsid w:val="00565931"/>
    <w:rsid w:val="00570779"/>
    <w:rsid w:val="00577052"/>
    <w:rsid w:val="00584E3A"/>
    <w:rsid w:val="0059367F"/>
    <w:rsid w:val="00593D9E"/>
    <w:rsid w:val="005A3F1E"/>
    <w:rsid w:val="005B11B6"/>
    <w:rsid w:val="005C7AC5"/>
    <w:rsid w:val="005D60AA"/>
    <w:rsid w:val="005E15C0"/>
    <w:rsid w:val="005E26DC"/>
    <w:rsid w:val="005F11F8"/>
    <w:rsid w:val="005F2908"/>
    <w:rsid w:val="00606E8E"/>
    <w:rsid w:val="006110E1"/>
    <w:rsid w:val="00613E7C"/>
    <w:rsid w:val="00627C44"/>
    <w:rsid w:val="006350C7"/>
    <w:rsid w:val="0064358C"/>
    <w:rsid w:val="00645EEB"/>
    <w:rsid w:val="006503CA"/>
    <w:rsid w:val="00655C8C"/>
    <w:rsid w:val="00666A9A"/>
    <w:rsid w:val="006672E9"/>
    <w:rsid w:val="006756CB"/>
    <w:rsid w:val="006843A0"/>
    <w:rsid w:val="00687A8B"/>
    <w:rsid w:val="006A48C5"/>
    <w:rsid w:val="006B54F7"/>
    <w:rsid w:val="006B55D0"/>
    <w:rsid w:val="006B61E5"/>
    <w:rsid w:val="006C3B9B"/>
    <w:rsid w:val="006D7F0D"/>
    <w:rsid w:val="006F0D9E"/>
    <w:rsid w:val="0070601F"/>
    <w:rsid w:val="007242DD"/>
    <w:rsid w:val="00733EC7"/>
    <w:rsid w:val="007341A2"/>
    <w:rsid w:val="00741853"/>
    <w:rsid w:val="00741A1A"/>
    <w:rsid w:val="007452C3"/>
    <w:rsid w:val="00751EB4"/>
    <w:rsid w:val="00756070"/>
    <w:rsid w:val="00767DC9"/>
    <w:rsid w:val="007746D4"/>
    <w:rsid w:val="00777EA7"/>
    <w:rsid w:val="007819D2"/>
    <w:rsid w:val="00781C44"/>
    <w:rsid w:val="00784D74"/>
    <w:rsid w:val="007920ED"/>
    <w:rsid w:val="007961CF"/>
    <w:rsid w:val="007A2DFD"/>
    <w:rsid w:val="007A4922"/>
    <w:rsid w:val="007A6177"/>
    <w:rsid w:val="007A619A"/>
    <w:rsid w:val="007B1718"/>
    <w:rsid w:val="007C093D"/>
    <w:rsid w:val="007C6FC0"/>
    <w:rsid w:val="007D0C2F"/>
    <w:rsid w:val="007D338E"/>
    <w:rsid w:val="007E3F95"/>
    <w:rsid w:val="007F4026"/>
    <w:rsid w:val="00802A1A"/>
    <w:rsid w:val="00815BD5"/>
    <w:rsid w:val="008218F0"/>
    <w:rsid w:val="00826A9F"/>
    <w:rsid w:val="00833E54"/>
    <w:rsid w:val="008342D5"/>
    <w:rsid w:val="008508FF"/>
    <w:rsid w:val="008519B3"/>
    <w:rsid w:val="0085280F"/>
    <w:rsid w:val="008609E2"/>
    <w:rsid w:val="008612AC"/>
    <w:rsid w:val="00863A0F"/>
    <w:rsid w:val="00870BD0"/>
    <w:rsid w:val="008844D5"/>
    <w:rsid w:val="00886247"/>
    <w:rsid w:val="008C09D2"/>
    <w:rsid w:val="008C2CD5"/>
    <w:rsid w:val="008E2B79"/>
    <w:rsid w:val="009152E7"/>
    <w:rsid w:val="009230C8"/>
    <w:rsid w:val="00931B5E"/>
    <w:rsid w:val="00931F22"/>
    <w:rsid w:val="009349B0"/>
    <w:rsid w:val="00937163"/>
    <w:rsid w:val="00950C72"/>
    <w:rsid w:val="0096324F"/>
    <w:rsid w:val="009805B9"/>
    <w:rsid w:val="009952A5"/>
    <w:rsid w:val="009A6CC1"/>
    <w:rsid w:val="009B032A"/>
    <w:rsid w:val="009B386C"/>
    <w:rsid w:val="009D7BA4"/>
    <w:rsid w:val="009E4C06"/>
    <w:rsid w:val="009E6383"/>
    <w:rsid w:val="009E6836"/>
    <w:rsid w:val="009F00B3"/>
    <w:rsid w:val="009F2A61"/>
    <w:rsid w:val="009F3DF2"/>
    <w:rsid w:val="00A02116"/>
    <w:rsid w:val="00A062E8"/>
    <w:rsid w:val="00A06812"/>
    <w:rsid w:val="00A07429"/>
    <w:rsid w:val="00A16D76"/>
    <w:rsid w:val="00A210AF"/>
    <w:rsid w:val="00A43364"/>
    <w:rsid w:val="00A57D9F"/>
    <w:rsid w:val="00A6339F"/>
    <w:rsid w:val="00A64873"/>
    <w:rsid w:val="00A956C7"/>
    <w:rsid w:val="00AA31F3"/>
    <w:rsid w:val="00AA443F"/>
    <w:rsid w:val="00AB550B"/>
    <w:rsid w:val="00AB77B0"/>
    <w:rsid w:val="00AC0009"/>
    <w:rsid w:val="00AC4BFF"/>
    <w:rsid w:val="00AD2AB8"/>
    <w:rsid w:val="00AD6D20"/>
    <w:rsid w:val="00AD7B38"/>
    <w:rsid w:val="00AE5E9E"/>
    <w:rsid w:val="00B10AEC"/>
    <w:rsid w:val="00B24565"/>
    <w:rsid w:val="00B257BB"/>
    <w:rsid w:val="00B305BC"/>
    <w:rsid w:val="00B434CA"/>
    <w:rsid w:val="00B459DF"/>
    <w:rsid w:val="00B47D61"/>
    <w:rsid w:val="00B63EC4"/>
    <w:rsid w:val="00B66C55"/>
    <w:rsid w:val="00B84197"/>
    <w:rsid w:val="00B93D56"/>
    <w:rsid w:val="00B964B8"/>
    <w:rsid w:val="00BA1DD3"/>
    <w:rsid w:val="00BA37D5"/>
    <w:rsid w:val="00BB105D"/>
    <w:rsid w:val="00BB2797"/>
    <w:rsid w:val="00BB4A54"/>
    <w:rsid w:val="00BC47F5"/>
    <w:rsid w:val="00BC50DB"/>
    <w:rsid w:val="00BD7CA2"/>
    <w:rsid w:val="00BF708F"/>
    <w:rsid w:val="00C04873"/>
    <w:rsid w:val="00C25241"/>
    <w:rsid w:val="00C3242C"/>
    <w:rsid w:val="00C42F10"/>
    <w:rsid w:val="00C45B83"/>
    <w:rsid w:val="00C57699"/>
    <w:rsid w:val="00C60C83"/>
    <w:rsid w:val="00C652DD"/>
    <w:rsid w:val="00C6590D"/>
    <w:rsid w:val="00C75D90"/>
    <w:rsid w:val="00C77BAD"/>
    <w:rsid w:val="00C82E30"/>
    <w:rsid w:val="00C82F6A"/>
    <w:rsid w:val="00CA46E2"/>
    <w:rsid w:val="00CA517F"/>
    <w:rsid w:val="00CB04F6"/>
    <w:rsid w:val="00CB2C31"/>
    <w:rsid w:val="00CB63AE"/>
    <w:rsid w:val="00CD4408"/>
    <w:rsid w:val="00CD5409"/>
    <w:rsid w:val="00CD5CE3"/>
    <w:rsid w:val="00D050B3"/>
    <w:rsid w:val="00D05274"/>
    <w:rsid w:val="00D163D5"/>
    <w:rsid w:val="00D16C08"/>
    <w:rsid w:val="00D17587"/>
    <w:rsid w:val="00D211F6"/>
    <w:rsid w:val="00D22AA2"/>
    <w:rsid w:val="00D23AD3"/>
    <w:rsid w:val="00D45F91"/>
    <w:rsid w:val="00D46627"/>
    <w:rsid w:val="00D50D3E"/>
    <w:rsid w:val="00D51D75"/>
    <w:rsid w:val="00D52E4B"/>
    <w:rsid w:val="00D550C8"/>
    <w:rsid w:val="00D5654E"/>
    <w:rsid w:val="00D7286C"/>
    <w:rsid w:val="00D849E4"/>
    <w:rsid w:val="00D86C94"/>
    <w:rsid w:val="00D96956"/>
    <w:rsid w:val="00DC4E7F"/>
    <w:rsid w:val="00DC7401"/>
    <w:rsid w:val="00DC7A58"/>
    <w:rsid w:val="00DD496B"/>
    <w:rsid w:val="00DD57CA"/>
    <w:rsid w:val="00DD6A0B"/>
    <w:rsid w:val="00DF7EFF"/>
    <w:rsid w:val="00E069A3"/>
    <w:rsid w:val="00E134FC"/>
    <w:rsid w:val="00E13D0B"/>
    <w:rsid w:val="00E15B6F"/>
    <w:rsid w:val="00E178B5"/>
    <w:rsid w:val="00E23BF2"/>
    <w:rsid w:val="00E26526"/>
    <w:rsid w:val="00E26B48"/>
    <w:rsid w:val="00E36A7E"/>
    <w:rsid w:val="00E4083D"/>
    <w:rsid w:val="00E46176"/>
    <w:rsid w:val="00E4709C"/>
    <w:rsid w:val="00E532BB"/>
    <w:rsid w:val="00E55697"/>
    <w:rsid w:val="00E57C15"/>
    <w:rsid w:val="00E60B86"/>
    <w:rsid w:val="00E63229"/>
    <w:rsid w:val="00E66CA4"/>
    <w:rsid w:val="00E677D8"/>
    <w:rsid w:val="00E70FF1"/>
    <w:rsid w:val="00E8087C"/>
    <w:rsid w:val="00E90367"/>
    <w:rsid w:val="00EA0B6D"/>
    <w:rsid w:val="00EA2AC0"/>
    <w:rsid w:val="00EA4975"/>
    <w:rsid w:val="00EA5ABF"/>
    <w:rsid w:val="00EA5F5C"/>
    <w:rsid w:val="00EA6374"/>
    <w:rsid w:val="00EB496E"/>
    <w:rsid w:val="00EC176D"/>
    <w:rsid w:val="00EC27F0"/>
    <w:rsid w:val="00EC3BDC"/>
    <w:rsid w:val="00EC6D86"/>
    <w:rsid w:val="00ED5190"/>
    <w:rsid w:val="00ED53A4"/>
    <w:rsid w:val="00EE1C47"/>
    <w:rsid w:val="00EE246C"/>
    <w:rsid w:val="00EE439D"/>
    <w:rsid w:val="00EF0EC7"/>
    <w:rsid w:val="00EF5EF0"/>
    <w:rsid w:val="00EF5F4D"/>
    <w:rsid w:val="00F036F9"/>
    <w:rsid w:val="00F161A4"/>
    <w:rsid w:val="00F21500"/>
    <w:rsid w:val="00F26C59"/>
    <w:rsid w:val="00F328AF"/>
    <w:rsid w:val="00F458A1"/>
    <w:rsid w:val="00F53632"/>
    <w:rsid w:val="00F57037"/>
    <w:rsid w:val="00F65127"/>
    <w:rsid w:val="00F745B0"/>
    <w:rsid w:val="00F75479"/>
    <w:rsid w:val="00F85B5A"/>
    <w:rsid w:val="00F968F8"/>
    <w:rsid w:val="00FA34C7"/>
    <w:rsid w:val="00FA6FC4"/>
    <w:rsid w:val="00FA7A91"/>
    <w:rsid w:val="00FB0194"/>
    <w:rsid w:val="00FC7B8F"/>
    <w:rsid w:val="00FD2CE6"/>
    <w:rsid w:val="00FE5E0C"/>
    <w:rsid w:val="0152C2C6"/>
    <w:rsid w:val="0E8B9745"/>
    <w:rsid w:val="0F7B7D53"/>
    <w:rsid w:val="11201A5C"/>
    <w:rsid w:val="130135DA"/>
    <w:rsid w:val="1FFAA06C"/>
    <w:rsid w:val="22AE79E6"/>
    <w:rsid w:val="2E5E0C5F"/>
    <w:rsid w:val="31A6853A"/>
    <w:rsid w:val="357E55A8"/>
    <w:rsid w:val="36858C09"/>
    <w:rsid w:val="3914B358"/>
    <w:rsid w:val="3A0F8386"/>
    <w:rsid w:val="41FF6E65"/>
    <w:rsid w:val="46AF9F71"/>
    <w:rsid w:val="4B64AD97"/>
    <w:rsid w:val="4CDE6243"/>
    <w:rsid w:val="4E54B277"/>
    <w:rsid w:val="4FF42DA7"/>
    <w:rsid w:val="55DEFC17"/>
    <w:rsid w:val="5C7E6DDC"/>
    <w:rsid w:val="6C04500C"/>
    <w:rsid w:val="6C8153AF"/>
    <w:rsid w:val="6EADB996"/>
    <w:rsid w:val="71F2F822"/>
    <w:rsid w:val="798BA270"/>
    <w:rsid w:val="799D7291"/>
    <w:rsid w:val="7E2F4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50DD3868"/>
  <w15:chartTrackingRefBased/>
  <w15:docId w15:val="{662A3F4D-07CA-4CCF-803C-8B818333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paragraph" w:styleId="Heading2">
    <w:name w:val="heading 2"/>
    <w:basedOn w:val="Normal"/>
    <w:next w:val="Normal"/>
    <w:link w:val="Heading2Char"/>
    <w:semiHidden/>
    <w:unhideWhenUsed/>
    <w:qFormat/>
    <w:rsid w:val="00EF5EF0"/>
    <w:pPr>
      <w:keepNext/>
      <w:spacing w:before="240" w:after="60"/>
      <w:outlineLvl w:val="1"/>
    </w:pPr>
    <w:rPr>
      <w:rFonts w:ascii="Cambria" w:eastAsia="Times New Roman" w:hAnsi="Cambria" w:cs="Times New Roman"/>
      <w:b/>
      <w:bCs/>
      <w:i/>
      <w:iCs/>
      <w:kern w:val="0"/>
      <w:sz w:val="28"/>
      <w:szCs w:val="28"/>
      <w:lang w:eastAsia="en-GB"/>
      <w14:ligatures w14:val="none"/>
    </w:rPr>
  </w:style>
  <w:style w:type="paragraph" w:styleId="Heading4">
    <w:name w:val="heading 4"/>
    <w:basedOn w:val="Normal"/>
    <w:next w:val="Normal"/>
    <w:link w:val="Heading4Char"/>
    <w:uiPriority w:val="9"/>
    <w:unhideWhenUsed/>
    <w:qFormat/>
    <w:rsid w:val="00EF5EF0"/>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customStyle="1" w:styleId="Heading2Char">
    <w:name w:val="Heading 2 Char"/>
    <w:basedOn w:val="DefaultParagraphFont"/>
    <w:link w:val="Heading2"/>
    <w:semiHidden/>
    <w:rsid w:val="00EF5EF0"/>
    <w:rPr>
      <w:rFonts w:ascii="Cambria" w:eastAsia="Times New Roman" w:hAnsi="Cambria" w:cs="Times New Roman"/>
      <w:b/>
      <w:bCs/>
      <w:i/>
      <w:iCs/>
      <w:kern w:val="0"/>
      <w:sz w:val="28"/>
      <w:szCs w:val="28"/>
      <w:lang w:eastAsia="en-GB"/>
      <w14:ligatures w14:val="none"/>
    </w:rPr>
  </w:style>
  <w:style w:type="character" w:customStyle="1" w:styleId="Heading4Char">
    <w:name w:val="Heading 4 Char"/>
    <w:basedOn w:val="DefaultParagraphFont"/>
    <w:link w:val="Heading4"/>
    <w:uiPriority w:val="9"/>
    <w:rsid w:val="00EF5EF0"/>
    <w:rPr>
      <w:rFonts w:asciiTheme="majorHAnsi" w:eastAsiaTheme="majorEastAsia" w:hAnsiTheme="majorHAnsi" w:cstheme="majorBidi"/>
      <w:i/>
      <w:iCs/>
      <w:color w:val="2F5496" w:themeColor="accent1" w:themeShade="BF"/>
      <w:kern w:val="0"/>
      <w:sz w:val="24"/>
      <w:szCs w:val="24"/>
      <w:lang w:eastAsia="en-GB"/>
      <w14:ligatures w14:val="none"/>
    </w:rPr>
  </w:style>
  <w:style w:type="character" w:customStyle="1" w:styleId="BalloonTextChar">
    <w:name w:val="Balloon Text Char"/>
    <w:basedOn w:val="DefaultParagraphFont"/>
    <w:link w:val="BalloonText"/>
    <w:semiHidden/>
    <w:rsid w:val="00EF5EF0"/>
    <w:rPr>
      <w:rFonts w:ascii="Tahoma" w:eastAsia="Times New Roman" w:hAnsi="Tahoma" w:cs="Tahoma"/>
      <w:sz w:val="16"/>
      <w:szCs w:val="16"/>
      <w:lang w:eastAsia="en-GB"/>
    </w:rPr>
  </w:style>
  <w:style w:type="paragraph" w:styleId="BalloonText">
    <w:name w:val="Balloon Text"/>
    <w:basedOn w:val="Normal"/>
    <w:link w:val="BalloonTextChar"/>
    <w:semiHidden/>
    <w:rsid w:val="00EF5EF0"/>
    <w:rPr>
      <w:rFonts w:ascii="Tahoma" w:eastAsia="Times New Roman" w:hAnsi="Tahoma" w:cs="Tahoma"/>
      <w:sz w:val="16"/>
      <w:szCs w:val="16"/>
      <w:lang w:eastAsia="en-GB"/>
    </w:rPr>
  </w:style>
  <w:style w:type="character" w:customStyle="1" w:styleId="BalloonTextChar1">
    <w:name w:val="Balloon Text Char1"/>
    <w:basedOn w:val="DefaultParagraphFont"/>
    <w:uiPriority w:val="99"/>
    <w:semiHidden/>
    <w:rsid w:val="00EF5EF0"/>
    <w:rPr>
      <w:rFonts w:ascii="Segoe UI" w:hAnsi="Segoe UI" w:cs="Segoe UI"/>
      <w:sz w:val="18"/>
      <w:szCs w:val="18"/>
    </w:rPr>
  </w:style>
  <w:style w:type="character" w:customStyle="1" w:styleId="CommentTextChar">
    <w:name w:val="Comment Text Char"/>
    <w:basedOn w:val="DefaultParagraphFont"/>
    <w:link w:val="CommentText"/>
    <w:semiHidden/>
    <w:rsid w:val="00EF5EF0"/>
    <w:rPr>
      <w:rFonts w:ascii="Times New Roman" w:eastAsia="Times New Roman" w:hAnsi="Times New Roman" w:cs="Times New Roman"/>
      <w:sz w:val="20"/>
      <w:szCs w:val="20"/>
      <w:lang w:eastAsia="en-GB"/>
    </w:rPr>
  </w:style>
  <w:style w:type="paragraph" w:styleId="CommentText">
    <w:name w:val="annotation text"/>
    <w:basedOn w:val="Normal"/>
    <w:link w:val="CommentTextChar"/>
    <w:semiHidden/>
    <w:rsid w:val="00EF5EF0"/>
    <w:rPr>
      <w:rFonts w:ascii="Times New Roman" w:eastAsia="Times New Roman" w:hAnsi="Times New Roman" w:cs="Times New Roman"/>
      <w:sz w:val="20"/>
      <w:szCs w:val="20"/>
      <w:lang w:eastAsia="en-GB"/>
    </w:rPr>
  </w:style>
  <w:style w:type="character" w:customStyle="1" w:styleId="CommentTextChar1">
    <w:name w:val="Comment Text Char1"/>
    <w:basedOn w:val="DefaultParagraphFont"/>
    <w:uiPriority w:val="99"/>
    <w:semiHidden/>
    <w:rsid w:val="00EF5EF0"/>
    <w:rPr>
      <w:rFonts w:ascii="Arial" w:hAnsi="Arial" w:cs="Arial"/>
      <w:sz w:val="20"/>
      <w:szCs w:val="20"/>
    </w:rPr>
  </w:style>
  <w:style w:type="character" w:customStyle="1" w:styleId="CommentSubjectChar">
    <w:name w:val="Comment Subject Char"/>
    <w:basedOn w:val="CommentTextChar"/>
    <w:link w:val="CommentSubject"/>
    <w:semiHidden/>
    <w:rsid w:val="00EF5EF0"/>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EF5EF0"/>
    <w:rPr>
      <w:b/>
      <w:bCs/>
    </w:rPr>
  </w:style>
  <w:style w:type="character" w:customStyle="1" w:styleId="CommentSubjectChar1">
    <w:name w:val="Comment Subject Char1"/>
    <w:basedOn w:val="CommentTextChar1"/>
    <w:uiPriority w:val="99"/>
    <w:semiHidden/>
    <w:rsid w:val="00EF5EF0"/>
    <w:rPr>
      <w:rFonts w:ascii="Arial" w:hAnsi="Arial" w:cs="Arial"/>
      <w:b/>
      <w:bCs/>
      <w:sz w:val="20"/>
      <w:szCs w:val="20"/>
    </w:rPr>
  </w:style>
  <w:style w:type="character" w:styleId="FollowedHyperlink">
    <w:name w:val="FollowedHyperlink"/>
    <w:rsid w:val="00EF5EF0"/>
    <w:rPr>
      <w:color w:val="800080"/>
      <w:u w:val="single"/>
    </w:rPr>
  </w:style>
  <w:style w:type="paragraph" w:customStyle="1" w:styleId="paragraph">
    <w:name w:val="paragraph"/>
    <w:basedOn w:val="Normal"/>
    <w:rsid w:val="00EF5EF0"/>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normaltextrun">
    <w:name w:val="normaltextrun"/>
    <w:rsid w:val="00EF5EF0"/>
  </w:style>
  <w:style w:type="character" w:customStyle="1" w:styleId="eop">
    <w:name w:val="eop"/>
    <w:rsid w:val="00EF5EF0"/>
  </w:style>
  <w:style w:type="paragraph" w:styleId="NormalWeb">
    <w:name w:val="Normal (Web)"/>
    <w:basedOn w:val="Normal"/>
    <w:uiPriority w:val="99"/>
    <w:semiHidden/>
    <w:unhideWhenUsed/>
    <w:rsid w:val="00EF5E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EF5EF0"/>
    <w:rPr>
      <w:color w:val="605E5C"/>
      <w:shd w:val="clear" w:color="auto" w:fill="E1DFDD"/>
    </w:rPr>
  </w:style>
  <w:style w:type="character" w:styleId="CommentReference">
    <w:name w:val="annotation reference"/>
    <w:basedOn w:val="DefaultParagraphFont"/>
    <w:semiHidden/>
    <w:unhideWhenUsed/>
    <w:rsid w:val="00EF5EF0"/>
    <w:rPr>
      <w:sz w:val="16"/>
      <w:szCs w:val="16"/>
    </w:rPr>
  </w:style>
  <w:style w:type="character" w:styleId="Mention">
    <w:name w:val="Mention"/>
    <w:basedOn w:val="DefaultParagraphFont"/>
    <w:uiPriority w:val="99"/>
    <w:unhideWhenUsed/>
    <w:rsid w:val="00EF5EF0"/>
    <w:rPr>
      <w:color w:val="2B579A"/>
      <w:shd w:val="clear" w:color="auto" w:fill="E1DFDD"/>
    </w:rPr>
  </w:style>
  <w:style w:type="table" w:styleId="GridTable1Light">
    <w:name w:val="Grid Table 1 Light"/>
    <w:basedOn w:val="TableNormal"/>
    <w:uiPriority w:val="46"/>
    <w:rsid w:val="00ED5190"/>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5B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6B4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6361">
      <w:bodyDiv w:val="1"/>
      <w:marLeft w:val="0"/>
      <w:marRight w:val="0"/>
      <w:marTop w:val="0"/>
      <w:marBottom w:val="0"/>
      <w:divBdr>
        <w:top w:val="none" w:sz="0" w:space="0" w:color="auto"/>
        <w:left w:val="none" w:sz="0" w:space="0" w:color="auto"/>
        <w:bottom w:val="none" w:sz="0" w:space="0" w:color="auto"/>
        <w:right w:val="none" w:sz="0" w:space="0" w:color="auto"/>
      </w:divBdr>
    </w:div>
    <w:div w:id="19944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Fund@hant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Fund@hants.gov.uk" TargetMode="External"/><Relationship Id="rId17" Type="http://schemas.openxmlformats.org/officeDocument/2006/relationships/hyperlink" Target="https://hampshireservicesforschools.hants.gov.uk/" TargetMode="External"/><Relationship Id="rId2" Type="http://schemas.openxmlformats.org/officeDocument/2006/relationships/customXml" Target="../customXml/item2.xml"/><Relationship Id="rId16" Type="http://schemas.openxmlformats.org/officeDocument/2006/relationships/hyperlink" Target="https://www.legislation.gov.uk/uksi/2025/42/regulation/40/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high-needs-funding-arrangements-2026-to-2027/high-needs-funding-2026-to-2027-operational-gui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fund@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ibcam\OneDrive%20-%20Hampshire%20County%20Council\Documents\Custom%20Office%20Templates\Corporate%20Report%20Template%20(white%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9f5620cb-cc21-4b3f-8fc3-aa3eb05bfe07"/>
  </ds:schemaRefs>
</ds:datastoreItem>
</file>

<file path=customXml/itemProps4.xml><?xml version="1.0" encoding="utf-8"?>
<ds:datastoreItem xmlns:ds="http://schemas.openxmlformats.org/officeDocument/2006/customXml" ds:itemID="{8ABBA825-9441-4E47-A8B7-A262E9AE2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Report Template (white cover)</Template>
  <TotalTime>1</TotalTime>
  <Pages>9</Pages>
  <Words>1608</Words>
  <Characters>8772</Characters>
  <Application>Microsoft Office Word</Application>
  <DocSecurity>0</DocSecurity>
  <Lines>280</Lines>
  <Paragraphs>132</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Mollart, Aimee</dc:creator>
  <cp:keywords/>
  <dc:description/>
  <cp:lastModifiedBy>Smith, Adam (Corporate Resources, Finance)</cp:lastModifiedBy>
  <cp:revision>7</cp:revision>
  <dcterms:created xsi:type="dcterms:W3CDTF">2026-02-13T12:16:00Z</dcterms:created>
  <dcterms:modified xsi:type="dcterms:W3CDTF">2026-02-18T12:44:00Z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0x0101001443DA4A4506724C8F7B650037CCADD2</vt:lpwstr>
  </property>
  <property fmtid="{D5CDD505-2E9C-101B-9397-08002B2CF9AE}" pid="3" name="_dlc_DocIdItemGuid">
    <vt:lpwstr>68164c55-a459-40f4-8cec-113d503d0bb8</vt:lpwstr>
  </property>
  <property fmtid="{D5CDD505-2E9C-101B-9397-08002B2CF9AE}" pid="4" name="TaxCatchAll">
    <vt:lpwstr/>
  </property>
  <property fmtid="{D5CDD505-2E9C-101B-9397-08002B2CF9AE}" pid="5" name="Document Type">
    <vt:lpwstr/>
  </property>
  <property fmtid="{D5CDD505-2E9C-101B-9397-08002B2CF9AE}" pid="6" name="hc632fe273cb498aa970207d30c3b1d8">
    <vt:lpwstr/>
  </property>
  <property fmtid="{D5CDD505-2E9C-101B-9397-08002B2CF9AE}" pid="7" name="Document_x0020_Type">
    <vt:lpwstr/>
  </property>
</Properties>
</file>