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F369" w14:textId="77777777" w:rsidR="007E54DE" w:rsidRDefault="007E54DE" w:rsidP="00B55028">
      <w:pPr>
        <w:widowControl w:val="0"/>
        <w:autoSpaceDE w:val="0"/>
        <w:autoSpaceDN w:val="0"/>
        <w:adjustRightInd w:val="0"/>
        <w:ind w:left="115" w:right="-20"/>
        <w:jc w:val="center"/>
        <w:outlineLvl w:val="0"/>
        <w:rPr>
          <w:b/>
          <w:bCs/>
          <w:sz w:val="56"/>
          <w:szCs w:val="56"/>
        </w:rPr>
      </w:pPr>
    </w:p>
    <w:p w14:paraId="358E9DBE" w14:textId="04BC7E7A" w:rsidR="00B55028" w:rsidRDefault="006A0781" w:rsidP="00B55028">
      <w:pPr>
        <w:widowControl w:val="0"/>
        <w:autoSpaceDE w:val="0"/>
        <w:autoSpaceDN w:val="0"/>
        <w:adjustRightInd w:val="0"/>
        <w:ind w:left="115" w:right="-20"/>
        <w:jc w:val="center"/>
        <w:outlineLvl w:val="0"/>
        <w:rPr>
          <w:b/>
          <w:bCs/>
          <w:sz w:val="56"/>
          <w:szCs w:val="56"/>
        </w:rPr>
      </w:pPr>
      <w:r>
        <w:rPr>
          <w:b/>
          <w:bCs/>
          <w:sz w:val="56"/>
          <w:szCs w:val="56"/>
        </w:rPr>
        <w:t>2026/27</w:t>
      </w:r>
      <w:r w:rsidR="00934D9D">
        <w:rPr>
          <w:b/>
          <w:bCs/>
          <w:sz w:val="56"/>
          <w:szCs w:val="56"/>
        </w:rPr>
        <w:t xml:space="preserve"> </w:t>
      </w:r>
      <w:r w:rsidR="00B55028">
        <w:rPr>
          <w:b/>
          <w:bCs/>
          <w:sz w:val="56"/>
          <w:szCs w:val="56"/>
        </w:rPr>
        <w:t xml:space="preserve">Budget Share </w:t>
      </w:r>
    </w:p>
    <w:p w14:paraId="1F1C3CFC" w14:textId="77777777" w:rsidR="00B55028" w:rsidRDefault="00B55028" w:rsidP="00B55028">
      <w:pPr>
        <w:widowControl w:val="0"/>
        <w:autoSpaceDE w:val="0"/>
        <w:autoSpaceDN w:val="0"/>
        <w:adjustRightInd w:val="0"/>
        <w:ind w:left="115" w:right="-20"/>
        <w:jc w:val="center"/>
        <w:outlineLvl w:val="0"/>
        <w:rPr>
          <w:b/>
          <w:bCs/>
          <w:sz w:val="56"/>
          <w:szCs w:val="56"/>
        </w:rPr>
      </w:pPr>
    </w:p>
    <w:p w14:paraId="1261FFF0" w14:textId="77777777" w:rsidR="00B55028" w:rsidRPr="00AC5166" w:rsidRDefault="00B55028" w:rsidP="00B55028">
      <w:pPr>
        <w:widowControl w:val="0"/>
        <w:autoSpaceDE w:val="0"/>
        <w:autoSpaceDN w:val="0"/>
        <w:adjustRightInd w:val="0"/>
        <w:ind w:left="115" w:right="-20"/>
        <w:jc w:val="center"/>
        <w:outlineLvl w:val="0"/>
        <w:rPr>
          <w:sz w:val="56"/>
          <w:szCs w:val="56"/>
        </w:rPr>
      </w:pPr>
      <w:r>
        <w:rPr>
          <w:b/>
          <w:bCs/>
          <w:sz w:val="56"/>
          <w:szCs w:val="56"/>
        </w:rPr>
        <w:t>Guidance Notes</w:t>
      </w:r>
    </w:p>
    <w:p w14:paraId="54A45C46" w14:textId="77777777" w:rsidR="00B55028" w:rsidRDefault="00B55028" w:rsidP="00B55028">
      <w:pPr>
        <w:widowControl w:val="0"/>
        <w:autoSpaceDE w:val="0"/>
        <w:autoSpaceDN w:val="0"/>
        <w:adjustRightInd w:val="0"/>
        <w:ind w:left="115" w:right="-20"/>
        <w:jc w:val="center"/>
        <w:outlineLvl w:val="0"/>
        <w:rPr>
          <w:b/>
          <w:bCs/>
          <w:sz w:val="56"/>
          <w:szCs w:val="56"/>
        </w:rPr>
      </w:pPr>
    </w:p>
    <w:p w14:paraId="4074CB36" w14:textId="77777777" w:rsidR="00B55028" w:rsidRPr="00AC5166" w:rsidRDefault="00B55028" w:rsidP="00B55028">
      <w:pPr>
        <w:widowControl w:val="0"/>
        <w:autoSpaceDE w:val="0"/>
        <w:autoSpaceDN w:val="0"/>
        <w:adjustRightInd w:val="0"/>
        <w:ind w:left="115" w:right="-20"/>
        <w:jc w:val="center"/>
        <w:outlineLvl w:val="0"/>
        <w:rPr>
          <w:sz w:val="56"/>
          <w:szCs w:val="56"/>
        </w:rPr>
      </w:pPr>
      <w:r>
        <w:rPr>
          <w:b/>
          <w:bCs/>
          <w:sz w:val="56"/>
          <w:szCs w:val="56"/>
        </w:rPr>
        <w:t>Infant, Junior, Primary, All- through and Secondary Schools</w:t>
      </w:r>
    </w:p>
    <w:p w14:paraId="30E875C0" w14:textId="62099880" w:rsidR="00863A0F" w:rsidRDefault="00863A0F" w:rsidP="006503CA">
      <w:pPr>
        <w:pStyle w:val="Documenttitle"/>
      </w:pP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26C6EC53" w14:textId="43141442" w:rsidR="0000701F" w:rsidRDefault="008218F0" w:rsidP="006503CA">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br w:type="page"/>
      </w:r>
    </w:p>
    <w:p w14:paraId="0D7A4202" w14:textId="2AF22940" w:rsidR="00B105C4" w:rsidRPr="00934D9D" w:rsidRDefault="006A0781" w:rsidP="00B105C4">
      <w:pPr>
        <w:pageBreakBefore/>
        <w:widowControl w:val="0"/>
        <w:autoSpaceDE w:val="0"/>
        <w:autoSpaceDN w:val="0"/>
        <w:adjustRightInd w:val="0"/>
        <w:spacing w:before="73" w:after="360"/>
        <w:ind w:right="-23"/>
        <w:jc w:val="center"/>
        <w:rPr>
          <w:sz w:val="36"/>
          <w:szCs w:val="36"/>
        </w:rPr>
      </w:pPr>
      <w:r>
        <w:rPr>
          <w:b/>
          <w:bCs/>
          <w:sz w:val="36"/>
          <w:szCs w:val="36"/>
        </w:rPr>
        <w:lastRenderedPageBreak/>
        <w:t>2026/27</w:t>
      </w:r>
      <w:r w:rsidR="00934D9D" w:rsidRPr="00934D9D">
        <w:rPr>
          <w:b/>
          <w:bCs/>
          <w:sz w:val="36"/>
          <w:szCs w:val="36"/>
        </w:rPr>
        <w:t xml:space="preserve"> </w:t>
      </w:r>
      <w:r w:rsidR="00B105C4" w:rsidRPr="00934D9D">
        <w:rPr>
          <w:b/>
          <w:bCs/>
          <w:spacing w:val="3"/>
          <w:sz w:val="36"/>
          <w:szCs w:val="36"/>
        </w:rPr>
        <w:t>B</w:t>
      </w:r>
      <w:r w:rsidR="00B105C4" w:rsidRPr="00934D9D">
        <w:rPr>
          <w:b/>
          <w:bCs/>
          <w:spacing w:val="1"/>
          <w:sz w:val="36"/>
          <w:szCs w:val="36"/>
        </w:rPr>
        <w:t>ud</w:t>
      </w:r>
      <w:r w:rsidR="00B105C4" w:rsidRPr="00934D9D">
        <w:rPr>
          <w:b/>
          <w:bCs/>
          <w:spacing w:val="-2"/>
          <w:sz w:val="36"/>
          <w:szCs w:val="36"/>
        </w:rPr>
        <w:t>g</w:t>
      </w:r>
      <w:r w:rsidR="00B105C4" w:rsidRPr="00934D9D">
        <w:rPr>
          <w:b/>
          <w:bCs/>
          <w:sz w:val="36"/>
          <w:szCs w:val="36"/>
        </w:rPr>
        <w:t>et</w:t>
      </w:r>
      <w:r w:rsidR="00B105C4" w:rsidRPr="00934D9D">
        <w:rPr>
          <w:b/>
          <w:bCs/>
          <w:spacing w:val="-8"/>
          <w:sz w:val="36"/>
          <w:szCs w:val="36"/>
        </w:rPr>
        <w:t xml:space="preserve"> </w:t>
      </w:r>
      <w:r w:rsidR="00B105C4" w:rsidRPr="00934D9D">
        <w:rPr>
          <w:b/>
          <w:bCs/>
          <w:spacing w:val="1"/>
          <w:sz w:val="36"/>
          <w:szCs w:val="36"/>
        </w:rPr>
        <w:t>Sha</w:t>
      </w:r>
      <w:r w:rsidR="00B105C4" w:rsidRPr="00934D9D">
        <w:rPr>
          <w:b/>
          <w:bCs/>
          <w:sz w:val="36"/>
          <w:szCs w:val="36"/>
        </w:rPr>
        <w:t>re</w:t>
      </w:r>
      <w:r w:rsidR="00B105C4" w:rsidRPr="00934D9D">
        <w:rPr>
          <w:b/>
          <w:bCs/>
          <w:spacing w:val="-8"/>
          <w:sz w:val="36"/>
          <w:szCs w:val="36"/>
        </w:rPr>
        <w:t xml:space="preserve"> </w:t>
      </w:r>
      <w:r w:rsidR="00B105C4" w:rsidRPr="00934D9D">
        <w:rPr>
          <w:b/>
          <w:bCs/>
          <w:spacing w:val="-2"/>
          <w:sz w:val="36"/>
          <w:szCs w:val="36"/>
        </w:rPr>
        <w:t>G</w:t>
      </w:r>
      <w:r w:rsidR="00B105C4" w:rsidRPr="00934D9D">
        <w:rPr>
          <w:b/>
          <w:bCs/>
          <w:spacing w:val="1"/>
          <w:sz w:val="36"/>
          <w:szCs w:val="36"/>
        </w:rPr>
        <w:t>uidan</w:t>
      </w:r>
      <w:r w:rsidR="00B105C4" w:rsidRPr="00934D9D">
        <w:rPr>
          <w:b/>
          <w:bCs/>
          <w:sz w:val="36"/>
          <w:szCs w:val="36"/>
        </w:rPr>
        <w:t>ce</w:t>
      </w:r>
      <w:r w:rsidR="00B105C4" w:rsidRPr="00934D9D">
        <w:rPr>
          <w:b/>
          <w:bCs/>
          <w:spacing w:val="-13"/>
          <w:sz w:val="36"/>
          <w:szCs w:val="36"/>
        </w:rPr>
        <w:t xml:space="preserve"> </w:t>
      </w:r>
      <w:r w:rsidR="00B105C4" w:rsidRPr="00934D9D">
        <w:rPr>
          <w:b/>
          <w:bCs/>
          <w:spacing w:val="1"/>
          <w:sz w:val="36"/>
          <w:szCs w:val="36"/>
        </w:rPr>
        <w:t>N</w:t>
      </w:r>
      <w:r w:rsidR="00B105C4" w:rsidRPr="00934D9D">
        <w:rPr>
          <w:b/>
          <w:bCs/>
          <w:spacing w:val="-2"/>
          <w:sz w:val="36"/>
          <w:szCs w:val="36"/>
        </w:rPr>
        <w:t>o</w:t>
      </w:r>
      <w:r w:rsidR="00B105C4" w:rsidRPr="00934D9D">
        <w:rPr>
          <w:b/>
          <w:bCs/>
          <w:spacing w:val="2"/>
          <w:sz w:val="36"/>
          <w:szCs w:val="36"/>
        </w:rPr>
        <w:t>t</w:t>
      </w:r>
      <w:r w:rsidR="00B105C4" w:rsidRPr="00934D9D">
        <w:rPr>
          <w:b/>
          <w:bCs/>
          <w:sz w:val="36"/>
          <w:szCs w:val="36"/>
        </w:rPr>
        <w:t>es</w:t>
      </w:r>
    </w:p>
    <w:p w14:paraId="26430A64" w14:textId="4BA0A82F" w:rsidR="00B105C4" w:rsidRPr="00C43ABA" w:rsidRDefault="00B105C4" w:rsidP="001722A2">
      <w:pPr>
        <w:widowControl w:val="0"/>
        <w:autoSpaceDE w:val="0"/>
        <w:autoSpaceDN w:val="0"/>
        <w:adjustRightInd w:val="0"/>
        <w:spacing w:after="120"/>
        <w:ind w:right="-23"/>
        <w:outlineLvl w:val="0"/>
      </w:pPr>
      <w:r w:rsidRPr="00C43ABA">
        <w:rPr>
          <w:b/>
          <w:bCs/>
          <w:spacing w:val="1"/>
          <w:sz w:val="32"/>
          <w:szCs w:val="32"/>
        </w:rPr>
        <w:t>C</w:t>
      </w:r>
      <w:r w:rsidRPr="00C43ABA">
        <w:rPr>
          <w:b/>
          <w:bCs/>
          <w:spacing w:val="-2"/>
          <w:sz w:val="32"/>
          <w:szCs w:val="32"/>
        </w:rPr>
        <w:t>o</w:t>
      </w:r>
      <w:r w:rsidRPr="00C43ABA">
        <w:rPr>
          <w:b/>
          <w:bCs/>
          <w:spacing w:val="1"/>
          <w:sz w:val="32"/>
          <w:szCs w:val="32"/>
        </w:rPr>
        <w:t>n</w:t>
      </w:r>
      <w:r w:rsidRPr="00C43ABA">
        <w:rPr>
          <w:b/>
          <w:bCs/>
          <w:spacing w:val="2"/>
          <w:sz w:val="32"/>
          <w:szCs w:val="32"/>
        </w:rPr>
        <w:t>t</w:t>
      </w:r>
      <w:r w:rsidRPr="00C43ABA">
        <w:rPr>
          <w:b/>
          <w:bCs/>
          <w:sz w:val="32"/>
          <w:szCs w:val="32"/>
        </w:rPr>
        <w:t>e</w:t>
      </w:r>
      <w:r w:rsidRPr="00C43ABA">
        <w:rPr>
          <w:b/>
          <w:bCs/>
          <w:spacing w:val="1"/>
          <w:sz w:val="32"/>
          <w:szCs w:val="32"/>
        </w:rPr>
        <w:t>n</w:t>
      </w:r>
      <w:r w:rsidRPr="00C43ABA">
        <w:rPr>
          <w:b/>
          <w:bCs/>
          <w:spacing w:val="2"/>
          <w:sz w:val="32"/>
          <w:szCs w:val="32"/>
        </w:rPr>
        <w:t>t</w:t>
      </w:r>
      <w:r w:rsidRPr="00C43ABA">
        <w:rPr>
          <w:b/>
          <w:bCs/>
          <w:sz w:val="32"/>
          <w:szCs w:val="32"/>
        </w:rPr>
        <w:t>s</w:t>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Pr="00C43ABA">
        <w:rPr>
          <w:b/>
          <w:bCs/>
          <w:sz w:val="32"/>
          <w:szCs w:val="32"/>
        </w:rPr>
        <w:tab/>
      </w:r>
      <w:r w:rsidR="00D401D5">
        <w:rPr>
          <w:b/>
          <w:bCs/>
          <w:sz w:val="32"/>
          <w:szCs w:val="32"/>
        </w:rPr>
        <w:tab/>
      </w:r>
      <w:r w:rsidRPr="00C43ABA">
        <w:rPr>
          <w:b/>
          <w:bCs/>
        </w:rPr>
        <w:t>Page No</w:t>
      </w:r>
    </w:p>
    <w:p w14:paraId="74F252A0" w14:textId="03E7570C" w:rsidR="00B105C4" w:rsidRDefault="00B105C4" w:rsidP="005848BE">
      <w:pPr>
        <w:rPr>
          <w:b/>
        </w:rPr>
      </w:pPr>
      <w:r w:rsidRPr="00C43ABA">
        <w:rPr>
          <w:b/>
        </w:rPr>
        <w:t xml:space="preserve">1. </w:t>
      </w:r>
      <w:hyperlink w:anchor="Generalinformation" w:history="1">
        <w:r w:rsidRPr="00C43ABA">
          <w:rPr>
            <w:rStyle w:val="Hyperlink"/>
            <w:b/>
            <w:u w:val="none"/>
          </w:rPr>
          <w:t xml:space="preserve">General </w:t>
        </w:r>
        <w:r w:rsidR="001B11E5">
          <w:rPr>
            <w:rStyle w:val="Hyperlink"/>
            <w:b/>
            <w:u w:val="none"/>
          </w:rPr>
          <w:t>i</w:t>
        </w:r>
        <w:r w:rsidRPr="00C43ABA">
          <w:rPr>
            <w:rStyle w:val="Hyperlink"/>
            <w:b/>
            <w:u w:val="none"/>
          </w:rPr>
          <w:t>nformation</w:t>
        </w:r>
      </w:hyperlink>
      <w:r w:rsidRPr="00C43ABA">
        <w:rPr>
          <w:b/>
        </w:rPr>
        <w:t xml:space="preserve"> </w:t>
      </w:r>
      <w:r w:rsidRPr="00C43ABA">
        <w:rPr>
          <w:b/>
        </w:rPr>
        <w:tab/>
      </w:r>
      <w:r w:rsidRPr="00C43ABA">
        <w:rPr>
          <w:b/>
        </w:rPr>
        <w:tab/>
      </w:r>
      <w:r w:rsidRPr="00C43ABA">
        <w:rPr>
          <w:b/>
        </w:rPr>
        <w:tab/>
      </w:r>
      <w:r w:rsidRPr="00C43ABA">
        <w:rPr>
          <w:b/>
        </w:rPr>
        <w:tab/>
      </w:r>
      <w:r w:rsidRPr="00C43ABA">
        <w:rPr>
          <w:b/>
        </w:rPr>
        <w:tab/>
      </w:r>
      <w:r w:rsidRPr="00C43ABA">
        <w:rPr>
          <w:b/>
        </w:rPr>
        <w:tab/>
      </w:r>
      <w:r w:rsidRPr="00C43ABA">
        <w:rPr>
          <w:b/>
        </w:rPr>
        <w:tab/>
      </w:r>
      <w:r w:rsidRPr="00C43ABA">
        <w:rPr>
          <w:b/>
        </w:rPr>
        <w:tab/>
      </w:r>
      <w:r w:rsidR="00F443BE">
        <w:rPr>
          <w:b/>
        </w:rPr>
        <w:tab/>
        <w:t xml:space="preserve"> </w:t>
      </w:r>
      <w:r w:rsidRPr="00C43ABA">
        <w:rPr>
          <w:b/>
        </w:rPr>
        <w:t>3</w:t>
      </w:r>
    </w:p>
    <w:p w14:paraId="137F35F9" w14:textId="77777777" w:rsidR="005848BE" w:rsidRPr="00C43ABA" w:rsidRDefault="005848BE" w:rsidP="005848BE">
      <w:pPr>
        <w:rPr>
          <w:b/>
        </w:rPr>
      </w:pPr>
    </w:p>
    <w:p w14:paraId="0F58BC17" w14:textId="437951BB" w:rsidR="00B105C4" w:rsidRPr="00426E76" w:rsidRDefault="00B105C4" w:rsidP="005848BE">
      <w:pPr>
        <w:rPr>
          <w:b/>
        </w:rPr>
      </w:pPr>
      <w:r w:rsidRPr="00C43ABA">
        <w:rPr>
          <w:b/>
        </w:rPr>
        <w:t>2</w:t>
      </w:r>
      <w:r w:rsidRPr="00C43ABA">
        <w:rPr>
          <w:b/>
          <w:color w:val="000000"/>
        </w:rPr>
        <w:t xml:space="preserve">. </w:t>
      </w:r>
      <w:hyperlink w:anchor="Changesfor20" w:history="1">
        <w:r w:rsidRPr="00426E76">
          <w:rPr>
            <w:rStyle w:val="Hyperlink"/>
            <w:b/>
            <w:u w:val="none"/>
          </w:rPr>
          <w:t xml:space="preserve">Changes for </w:t>
        </w:r>
        <w:r w:rsidR="006A0781" w:rsidRPr="00426E76">
          <w:rPr>
            <w:rStyle w:val="Hyperlink"/>
            <w:b/>
            <w:u w:val="none"/>
          </w:rPr>
          <w:t>2026/27</w:t>
        </w:r>
      </w:hyperlink>
      <w:r w:rsidRPr="00426E76">
        <w:rPr>
          <w:b/>
        </w:rPr>
        <w:tab/>
      </w:r>
      <w:r w:rsidR="00934D9D" w:rsidRPr="00426E76">
        <w:rPr>
          <w:b/>
        </w:rPr>
        <w:t xml:space="preserve"> </w:t>
      </w:r>
      <w:r w:rsidRPr="00426E76">
        <w:rPr>
          <w:b/>
        </w:rPr>
        <w:tab/>
      </w:r>
      <w:r w:rsidRPr="00426E76">
        <w:rPr>
          <w:b/>
        </w:rPr>
        <w:tab/>
      </w:r>
      <w:r w:rsidRPr="00426E76">
        <w:rPr>
          <w:b/>
        </w:rPr>
        <w:tab/>
      </w:r>
      <w:r w:rsidRPr="00426E76">
        <w:rPr>
          <w:b/>
        </w:rPr>
        <w:tab/>
      </w:r>
      <w:r w:rsidRPr="00426E76">
        <w:rPr>
          <w:b/>
        </w:rPr>
        <w:tab/>
      </w:r>
      <w:r w:rsidRPr="00426E76">
        <w:rPr>
          <w:b/>
        </w:rPr>
        <w:tab/>
      </w:r>
      <w:r w:rsidR="00075863" w:rsidRPr="00426E76">
        <w:rPr>
          <w:b/>
        </w:rPr>
        <w:tab/>
      </w:r>
      <w:r w:rsidR="00F443BE" w:rsidRPr="00426E76">
        <w:rPr>
          <w:b/>
        </w:rPr>
        <w:tab/>
        <w:t xml:space="preserve"> </w:t>
      </w:r>
      <w:r w:rsidR="00513054">
        <w:rPr>
          <w:b/>
        </w:rPr>
        <w:t>3</w:t>
      </w:r>
    </w:p>
    <w:p w14:paraId="2EB240C5" w14:textId="77777777" w:rsidR="005848BE" w:rsidRPr="00426E76" w:rsidRDefault="005848BE" w:rsidP="005848BE">
      <w:pPr>
        <w:rPr>
          <w:b/>
        </w:rPr>
      </w:pPr>
    </w:p>
    <w:p w14:paraId="5A346A7D" w14:textId="153CC7C4" w:rsidR="00B105C4" w:rsidRPr="00426E76" w:rsidRDefault="00B105C4" w:rsidP="005848BE">
      <w:pPr>
        <w:rPr>
          <w:b/>
        </w:rPr>
      </w:pPr>
      <w:r w:rsidRPr="00426E76">
        <w:rPr>
          <w:b/>
        </w:rPr>
        <w:t xml:space="preserve">3. </w:t>
      </w:r>
      <w:hyperlink w:anchor="Allocationofbudgetshares" w:history="1">
        <w:r w:rsidRPr="00426E76">
          <w:rPr>
            <w:rStyle w:val="Hyperlink"/>
            <w:b/>
            <w:u w:val="none"/>
          </w:rPr>
          <w:t>Allocation</w:t>
        </w:r>
        <w:r w:rsidR="00426E76" w:rsidRPr="00426E76">
          <w:rPr>
            <w:rStyle w:val="Hyperlink"/>
            <w:b/>
            <w:u w:val="none"/>
          </w:rPr>
          <w:t xml:space="preserve"> of budget shares</w:t>
        </w:r>
      </w:hyperlink>
      <w:r w:rsidRPr="00426E76">
        <w:rPr>
          <w:b/>
        </w:rPr>
        <w:tab/>
      </w:r>
      <w:r w:rsidRPr="00426E76">
        <w:rPr>
          <w:b/>
        </w:rPr>
        <w:tab/>
      </w:r>
      <w:r w:rsidRPr="00426E76">
        <w:rPr>
          <w:b/>
        </w:rPr>
        <w:tab/>
      </w:r>
      <w:r w:rsidRPr="00426E76">
        <w:rPr>
          <w:b/>
        </w:rPr>
        <w:tab/>
      </w:r>
      <w:r w:rsidRPr="00426E76">
        <w:rPr>
          <w:b/>
        </w:rPr>
        <w:tab/>
      </w:r>
      <w:r w:rsidRPr="00426E76">
        <w:rPr>
          <w:b/>
        </w:rPr>
        <w:tab/>
      </w:r>
      <w:r w:rsidRPr="00426E76">
        <w:rPr>
          <w:b/>
        </w:rPr>
        <w:tab/>
      </w:r>
      <w:r w:rsidR="001722A2" w:rsidRPr="00426E76">
        <w:rPr>
          <w:b/>
        </w:rPr>
        <w:tab/>
      </w:r>
      <w:r w:rsidR="00F443BE" w:rsidRPr="00426E76">
        <w:rPr>
          <w:b/>
        </w:rPr>
        <w:t xml:space="preserve"> </w:t>
      </w:r>
      <w:r w:rsidR="00283EB1">
        <w:rPr>
          <w:b/>
        </w:rPr>
        <w:t>4</w:t>
      </w:r>
    </w:p>
    <w:p w14:paraId="4678EE55" w14:textId="77777777" w:rsidR="005848BE" w:rsidRPr="00426E76" w:rsidRDefault="005848BE" w:rsidP="005848BE">
      <w:pPr>
        <w:rPr>
          <w:b/>
        </w:rPr>
      </w:pPr>
    </w:p>
    <w:p w14:paraId="4102A4D4" w14:textId="13AE9874" w:rsidR="00B105C4" w:rsidRPr="00C43ABA" w:rsidRDefault="002503D0" w:rsidP="005848BE">
      <w:pPr>
        <w:rPr>
          <w:b/>
          <w:color w:val="000000"/>
        </w:rPr>
      </w:pPr>
      <w:r>
        <w:rPr>
          <w:b/>
        </w:rPr>
        <w:t>4</w:t>
      </w:r>
      <w:r w:rsidR="00B105C4" w:rsidRPr="00426E76">
        <w:rPr>
          <w:b/>
        </w:rPr>
        <w:t xml:space="preserve">. </w:t>
      </w:r>
      <w:hyperlink w:anchor="Factors" w:history="1">
        <w:r w:rsidR="00B105C4" w:rsidRPr="00426E76">
          <w:rPr>
            <w:rStyle w:val="Hyperlink"/>
            <w:b/>
            <w:u w:val="none"/>
          </w:rPr>
          <w:t>Factors</w:t>
        </w:r>
      </w:hyperlink>
      <w:r w:rsidR="00226956" w:rsidRPr="004F5622">
        <w:rPr>
          <w:b/>
        </w:rPr>
        <w:t xml:space="preserve"> </w:t>
      </w:r>
      <w:r w:rsidR="003B5648" w:rsidRPr="003B5648">
        <w:rPr>
          <w:bCs/>
        </w:rPr>
        <w:t>(numbers correspond to section on the budget share)</w:t>
      </w:r>
      <w:r w:rsidR="00B105C4" w:rsidRPr="00C43ABA">
        <w:rPr>
          <w:b/>
          <w:color w:val="000000"/>
        </w:rPr>
        <w:tab/>
      </w:r>
      <w:r w:rsidR="001722A2">
        <w:rPr>
          <w:b/>
          <w:color w:val="000000"/>
        </w:rPr>
        <w:tab/>
      </w:r>
      <w:r w:rsidR="00F443BE">
        <w:rPr>
          <w:b/>
          <w:color w:val="000000"/>
        </w:rPr>
        <w:t xml:space="preserve"> </w:t>
      </w:r>
      <w:r w:rsidR="00CD2626">
        <w:rPr>
          <w:b/>
          <w:color w:val="000000"/>
        </w:rPr>
        <w:tab/>
      </w:r>
      <w:r w:rsidR="003B5648">
        <w:rPr>
          <w:b/>
          <w:color w:val="000000"/>
        </w:rPr>
        <w:t xml:space="preserve"> </w:t>
      </w:r>
      <w:r w:rsidR="00426E76">
        <w:rPr>
          <w:b/>
          <w:color w:val="000000"/>
        </w:rPr>
        <w:t>5</w:t>
      </w:r>
    </w:p>
    <w:p w14:paraId="1D7A28E4" w14:textId="27D7C548" w:rsidR="00B105C4" w:rsidRPr="007E0E5D" w:rsidRDefault="000D2277" w:rsidP="00B447B8">
      <w:pPr>
        <w:pStyle w:val="ListParagraph"/>
        <w:numPr>
          <w:ilvl w:val="1"/>
          <w:numId w:val="33"/>
        </w:numPr>
        <w:ind w:left="851" w:hanging="567"/>
      </w:pPr>
      <w:hyperlink w:anchor="Basicentitlement" w:history="1">
        <w:r>
          <w:rPr>
            <w:rStyle w:val="Hyperlink"/>
            <w:u w:val="none"/>
          </w:rPr>
          <w:t>B</w:t>
        </w:r>
        <w:r w:rsidR="00B105C4" w:rsidRPr="00E97B05">
          <w:rPr>
            <w:rStyle w:val="Hyperlink"/>
            <w:u w:val="none"/>
          </w:rPr>
          <w:t xml:space="preserve">asic </w:t>
        </w:r>
        <w:r w:rsidR="00C126B6" w:rsidRPr="00E97B05">
          <w:rPr>
            <w:rStyle w:val="Hyperlink"/>
            <w:u w:val="none"/>
          </w:rPr>
          <w:t>e</w:t>
        </w:r>
        <w:r w:rsidR="00B105C4" w:rsidRPr="00E97B05">
          <w:rPr>
            <w:rStyle w:val="Hyperlink"/>
            <w:u w:val="none"/>
          </w:rPr>
          <w:t>ntitlement</w:t>
        </w:r>
      </w:hyperlink>
      <w:r w:rsidR="00F462CE" w:rsidRPr="00E97B05">
        <w:rPr>
          <w:rStyle w:val="Hyperlink"/>
          <w:u w:val="none"/>
        </w:rPr>
        <w:tab/>
      </w:r>
      <w:r w:rsidR="00F462CE" w:rsidRPr="00E97B05">
        <w:rPr>
          <w:rStyle w:val="Hyperlink"/>
          <w:u w:val="none"/>
        </w:rPr>
        <w:tab/>
      </w:r>
      <w:r w:rsidR="00F462CE" w:rsidRPr="00E97B05">
        <w:rPr>
          <w:rStyle w:val="Hyperlink"/>
          <w:u w:val="none"/>
        </w:rPr>
        <w:tab/>
      </w:r>
      <w:r w:rsidR="00F462CE" w:rsidRPr="00E97B05">
        <w:rPr>
          <w:rStyle w:val="Hyperlink"/>
          <w:u w:val="none"/>
        </w:rPr>
        <w:tab/>
      </w:r>
      <w:r w:rsidR="00F462CE" w:rsidRPr="00E97B05">
        <w:rPr>
          <w:rStyle w:val="Hyperlink"/>
          <w:u w:val="none"/>
        </w:rPr>
        <w:tab/>
      </w:r>
      <w:r w:rsidR="00B105C4" w:rsidRPr="007E0E5D">
        <w:tab/>
      </w:r>
      <w:r w:rsidR="00B105C4" w:rsidRPr="007E0E5D">
        <w:tab/>
      </w:r>
      <w:r w:rsidR="0018264F" w:rsidRPr="007E0E5D">
        <w:tab/>
      </w:r>
      <w:r w:rsidR="001722A2" w:rsidRPr="007E0E5D">
        <w:tab/>
      </w:r>
      <w:r w:rsidR="00F443BE" w:rsidRPr="007E0E5D">
        <w:t xml:space="preserve"> </w:t>
      </w:r>
      <w:r w:rsidR="003D246A">
        <w:t>5</w:t>
      </w:r>
    </w:p>
    <w:p w14:paraId="727F7E6E" w14:textId="6D72810C" w:rsidR="00B105C4" w:rsidRPr="007E0E5D" w:rsidRDefault="000D2277" w:rsidP="00B447B8">
      <w:pPr>
        <w:pStyle w:val="ListParagraph"/>
        <w:numPr>
          <w:ilvl w:val="1"/>
          <w:numId w:val="33"/>
        </w:numPr>
        <w:ind w:left="851" w:hanging="567"/>
      </w:pPr>
      <w:hyperlink w:anchor="Deprivation" w:history="1">
        <w:r>
          <w:rPr>
            <w:rStyle w:val="Hyperlink"/>
            <w:u w:val="none"/>
          </w:rPr>
          <w:t>D</w:t>
        </w:r>
        <w:r w:rsidR="00AB4BCB" w:rsidRPr="00E97B05">
          <w:rPr>
            <w:rStyle w:val="Hyperlink"/>
            <w:u w:val="none"/>
          </w:rPr>
          <w:t>eprivation</w:t>
        </w:r>
      </w:hyperlink>
      <w:r w:rsidR="00F462CE" w:rsidRPr="007E0E5D">
        <w:tab/>
      </w:r>
      <w:r w:rsidR="006B4E51" w:rsidRPr="007E0E5D">
        <w:tab/>
      </w:r>
      <w:r w:rsidR="006B4E51" w:rsidRPr="007E0E5D">
        <w:tab/>
      </w:r>
      <w:r w:rsidR="006B4E51" w:rsidRPr="007E0E5D">
        <w:tab/>
      </w:r>
      <w:r w:rsidR="00B105C4" w:rsidRPr="007E0E5D">
        <w:tab/>
      </w:r>
      <w:r w:rsidR="00B105C4" w:rsidRPr="007E0E5D">
        <w:tab/>
      </w:r>
      <w:r w:rsidR="00B105C4" w:rsidRPr="007E0E5D">
        <w:tab/>
      </w:r>
      <w:r w:rsidR="00B105C4" w:rsidRPr="007E0E5D">
        <w:tab/>
      </w:r>
      <w:r w:rsidR="00B105C4" w:rsidRPr="007E0E5D">
        <w:tab/>
      </w:r>
      <w:r w:rsidR="001722A2" w:rsidRPr="007E0E5D">
        <w:tab/>
      </w:r>
      <w:r w:rsidR="00F443BE" w:rsidRPr="007E0E5D">
        <w:t xml:space="preserve"> </w:t>
      </w:r>
      <w:r w:rsidR="00513054">
        <w:t>6</w:t>
      </w:r>
    </w:p>
    <w:p w14:paraId="2022265E" w14:textId="1555C71E" w:rsidR="00B105C4" w:rsidRPr="007E0E5D" w:rsidRDefault="000D2277" w:rsidP="00B447B8">
      <w:pPr>
        <w:pStyle w:val="ListParagraph"/>
        <w:numPr>
          <w:ilvl w:val="1"/>
          <w:numId w:val="33"/>
        </w:numPr>
        <w:ind w:left="851" w:hanging="567"/>
      </w:pPr>
      <w:hyperlink w:anchor="Lowpriorattainment" w:history="1">
        <w:r>
          <w:t>L</w:t>
        </w:r>
        <w:r w:rsidR="000D09C9" w:rsidRPr="003B7DB5">
          <w:t xml:space="preserve">ow </w:t>
        </w:r>
        <w:r w:rsidR="006B4E51" w:rsidRPr="003B7DB5">
          <w:t>p</w:t>
        </w:r>
        <w:r w:rsidR="00EE1FF5" w:rsidRPr="003B7DB5">
          <w:t>rior attainment</w:t>
        </w:r>
        <w:r w:rsidR="000D09C9" w:rsidRPr="003B7DB5">
          <w:t xml:space="preserve"> (LPA)</w:t>
        </w:r>
      </w:hyperlink>
      <w:r w:rsidR="00B105C4" w:rsidRPr="007E0E5D">
        <w:tab/>
      </w:r>
      <w:r w:rsidR="00B105C4" w:rsidRPr="007E0E5D">
        <w:tab/>
      </w:r>
      <w:r w:rsidR="00B105C4" w:rsidRPr="007E0E5D">
        <w:tab/>
      </w:r>
      <w:r w:rsidR="00B105C4" w:rsidRPr="007E0E5D">
        <w:tab/>
      </w:r>
      <w:r w:rsidR="00B105C4" w:rsidRPr="007E0E5D">
        <w:tab/>
      </w:r>
      <w:r w:rsidR="00B105C4" w:rsidRPr="007E0E5D">
        <w:tab/>
      </w:r>
      <w:r w:rsidR="005848BE" w:rsidRPr="007E0E5D">
        <w:tab/>
      </w:r>
      <w:r w:rsidR="00F443BE" w:rsidRPr="007E0E5D">
        <w:t xml:space="preserve"> </w:t>
      </w:r>
      <w:r w:rsidR="00513054">
        <w:t>6</w:t>
      </w:r>
    </w:p>
    <w:p w14:paraId="5926A6E9" w14:textId="32084BA9" w:rsidR="00B105C4" w:rsidRPr="007E0E5D" w:rsidRDefault="00B105C4" w:rsidP="00B447B8">
      <w:pPr>
        <w:pStyle w:val="ListParagraph"/>
        <w:numPr>
          <w:ilvl w:val="1"/>
          <w:numId w:val="33"/>
        </w:numPr>
        <w:ind w:left="851" w:hanging="567"/>
      </w:pPr>
      <w:hyperlink w:anchor="Englishasadditionallanguage" w:history="1">
        <w:r w:rsidRPr="003B7DB5">
          <w:t xml:space="preserve">English as an </w:t>
        </w:r>
        <w:r w:rsidR="00EE1FF5" w:rsidRPr="003B7DB5">
          <w:t>a</w:t>
        </w:r>
        <w:r w:rsidRPr="003B7DB5">
          <w:t xml:space="preserve">dditional </w:t>
        </w:r>
        <w:r w:rsidR="00EE1FF5" w:rsidRPr="003B7DB5">
          <w:t>l</w:t>
        </w:r>
        <w:r w:rsidRPr="003B7DB5">
          <w:t>anguage (EAL)</w:t>
        </w:r>
      </w:hyperlink>
      <w:r w:rsidRPr="007E0E5D">
        <w:t xml:space="preserve"> </w:t>
      </w:r>
      <w:r w:rsidRPr="007E0E5D">
        <w:tab/>
      </w:r>
      <w:r w:rsidR="00EE1FF5" w:rsidRPr="007E0E5D">
        <w:tab/>
      </w:r>
      <w:r w:rsidRPr="007E0E5D">
        <w:tab/>
      </w:r>
      <w:r w:rsidRPr="007E0E5D">
        <w:tab/>
      </w:r>
      <w:r w:rsidR="00F443BE" w:rsidRPr="007E0E5D">
        <w:tab/>
      </w:r>
      <w:r w:rsidR="00FD1BDC" w:rsidRPr="007E0E5D">
        <w:t xml:space="preserve"> </w:t>
      </w:r>
      <w:r w:rsidR="003D246A">
        <w:t>6</w:t>
      </w:r>
    </w:p>
    <w:p w14:paraId="3ADE0C6A" w14:textId="50822366" w:rsidR="00B105C4" w:rsidRPr="007E0E5D" w:rsidRDefault="000D2277" w:rsidP="00B447B8">
      <w:pPr>
        <w:pStyle w:val="ListParagraph"/>
        <w:numPr>
          <w:ilvl w:val="1"/>
          <w:numId w:val="33"/>
        </w:numPr>
        <w:ind w:left="851" w:hanging="567"/>
      </w:pPr>
      <w:hyperlink w:anchor="Pupilmobility" w:history="1">
        <w:r>
          <w:t>P</w:t>
        </w:r>
        <w:r w:rsidR="000D09C9" w:rsidRPr="003B7DB5">
          <w:t xml:space="preserve">upil </w:t>
        </w:r>
        <w:r w:rsidR="00EE1FF5" w:rsidRPr="003B7DB5">
          <w:t>mobility</w:t>
        </w:r>
      </w:hyperlink>
      <w:r w:rsidR="00AC732B" w:rsidRPr="007E0E5D">
        <w:tab/>
      </w:r>
      <w:r w:rsidR="00AC732B" w:rsidRPr="007E0E5D">
        <w:tab/>
      </w:r>
      <w:r w:rsidR="00AC732B" w:rsidRPr="007E0E5D">
        <w:tab/>
      </w:r>
      <w:r w:rsidR="00B105C4" w:rsidRPr="007E0E5D">
        <w:tab/>
      </w:r>
      <w:r w:rsidR="00B105C4" w:rsidRPr="007E0E5D">
        <w:tab/>
      </w:r>
      <w:r w:rsidR="00B105C4" w:rsidRPr="007E0E5D">
        <w:tab/>
      </w:r>
      <w:r w:rsidR="00B105C4" w:rsidRPr="007E0E5D">
        <w:tab/>
      </w:r>
      <w:r w:rsidR="005848BE" w:rsidRPr="007E0E5D">
        <w:tab/>
      </w:r>
      <w:r w:rsidR="00B105C4" w:rsidRPr="007E0E5D">
        <w:tab/>
      </w:r>
      <w:r w:rsidR="00513054">
        <w:t xml:space="preserve"> </w:t>
      </w:r>
      <w:r w:rsidR="002F2C38">
        <w:t>7</w:t>
      </w:r>
    </w:p>
    <w:p w14:paraId="5088288B" w14:textId="23568F2F" w:rsidR="002F2C38" w:rsidRDefault="000D2277" w:rsidP="00B447B8">
      <w:pPr>
        <w:pStyle w:val="ListParagraph"/>
        <w:numPr>
          <w:ilvl w:val="1"/>
          <w:numId w:val="33"/>
        </w:numPr>
        <w:ind w:left="851" w:hanging="567"/>
      </w:pPr>
      <w:hyperlink w:anchor="Lumpsum" w:history="1">
        <w:r>
          <w:rPr>
            <w:rStyle w:val="Hyperlink"/>
            <w:u w:val="none"/>
          </w:rPr>
          <w:t>L</w:t>
        </w:r>
        <w:r w:rsidR="00B105C4" w:rsidRPr="002F2C38">
          <w:rPr>
            <w:rStyle w:val="Hyperlink"/>
            <w:u w:val="none"/>
          </w:rPr>
          <w:t xml:space="preserve">ump </w:t>
        </w:r>
        <w:r w:rsidR="00D839F3" w:rsidRPr="002F2C38">
          <w:rPr>
            <w:rStyle w:val="Hyperlink"/>
            <w:u w:val="none"/>
          </w:rPr>
          <w:t>s</w:t>
        </w:r>
        <w:r w:rsidR="00B105C4" w:rsidRPr="002F2C38">
          <w:rPr>
            <w:rStyle w:val="Hyperlink"/>
            <w:u w:val="none"/>
          </w:rPr>
          <w:t>um</w:t>
        </w:r>
      </w:hyperlink>
      <w:r w:rsidR="003D246A">
        <w:tab/>
      </w:r>
      <w:r w:rsidR="003D246A">
        <w:tab/>
      </w:r>
      <w:r w:rsidR="003D246A">
        <w:tab/>
      </w:r>
      <w:r w:rsidR="003D246A">
        <w:tab/>
      </w:r>
      <w:r w:rsidR="003D246A">
        <w:tab/>
      </w:r>
      <w:r w:rsidR="003D246A">
        <w:tab/>
      </w:r>
      <w:r w:rsidR="003D246A">
        <w:tab/>
      </w:r>
      <w:r w:rsidR="003D246A">
        <w:tab/>
      </w:r>
      <w:r w:rsidR="003D246A">
        <w:tab/>
      </w:r>
      <w:r w:rsidR="003D246A">
        <w:tab/>
        <w:t xml:space="preserve"> 7</w:t>
      </w:r>
    </w:p>
    <w:p w14:paraId="2EADAE57" w14:textId="7690D617" w:rsidR="002F2C38" w:rsidRDefault="000D2277" w:rsidP="00B447B8">
      <w:pPr>
        <w:pStyle w:val="ListParagraph"/>
        <w:numPr>
          <w:ilvl w:val="1"/>
          <w:numId w:val="33"/>
        </w:numPr>
        <w:ind w:left="851" w:hanging="567"/>
      </w:pPr>
      <w:hyperlink w:anchor="Sparsity" w:history="1">
        <w:r>
          <w:t>S</w:t>
        </w:r>
        <w:r w:rsidR="00B87F64" w:rsidRPr="003B7DB5">
          <w:t>parsity</w:t>
        </w:r>
      </w:hyperlink>
      <w:r w:rsidR="003D246A">
        <w:tab/>
      </w:r>
      <w:r w:rsidR="003D246A">
        <w:tab/>
      </w:r>
      <w:r w:rsidR="003D246A">
        <w:tab/>
      </w:r>
      <w:r w:rsidR="003D246A">
        <w:tab/>
      </w:r>
      <w:r w:rsidR="003D246A">
        <w:tab/>
      </w:r>
      <w:r w:rsidR="003D246A">
        <w:tab/>
      </w:r>
      <w:r w:rsidR="003D246A">
        <w:tab/>
      </w:r>
      <w:r w:rsidR="003D246A">
        <w:tab/>
      </w:r>
      <w:r w:rsidR="003D246A">
        <w:tab/>
      </w:r>
      <w:r w:rsidR="003D246A">
        <w:tab/>
        <w:t xml:space="preserve"> 7</w:t>
      </w:r>
    </w:p>
    <w:p w14:paraId="37EFFD80" w14:textId="6D42A47E" w:rsidR="00B447B8" w:rsidRDefault="000D2277" w:rsidP="00B447B8">
      <w:pPr>
        <w:pStyle w:val="ListParagraph"/>
        <w:numPr>
          <w:ilvl w:val="1"/>
          <w:numId w:val="33"/>
        </w:numPr>
        <w:ind w:left="851" w:hanging="567"/>
      </w:pPr>
      <w:hyperlink w:anchor="Rates" w:history="1">
        <w:r>
          <w:t>R</w:t>
        </w:r>
        <w:r w:rsidR="00B87F64" w:rsidRPr="003B7DB5">
          <w:t>ates</w:t>
        </w:r>
      </w:hyperlink>
      <w:r w:rsidR="00624452">
        <w:tab/>
      </w:r>
      <w:r w:rsidR="00624452">
        <w:tab/>
      </w:r>
      <w:r w:rsidR="00624452">
        <w:tab/>
      </w:r>
      <w:r w:rsidR="00624452">
        <w:tab/>
      </w:r>
      <w:r w:rsidR="00624452">
        <w:tab/>
      </w:r>
      <w:r w:rsidR="00624452">
        <w:tab/>
      </w:r>
      <w:r w:rsidR="00624452">
        <w:tab/>
      </w:r>
      <w:r w:rsidR="00624452">
        <w:tab/>
      </w:r>
      <w:r w:rsidR="00624452">
        <w:tab/>
      </w:r>
      <w:r w:rsidR="00624452">
        <w:tab/>
        <w:t xml:space="preserve"> 8</w:t>
      </w:r>
    </w:p>
    <w:p w14:paraId="5803ED4B" w14:textId="59B94DC3" w:rsidR="00616E87" w:rsidRDefault="000D2277" w:rsidP="00B447B8">
      <w:pPr>
        <w:pStyle w:val="ListParagraph"/>
        <w:numPr>
          <w:ilvl w:val="1"/>
          <w:numId w:val="33"/>
        </w:numPr>
        <w:ind w:left="851" w:hanging="567"/>
      </w:pPr>
      <w:hyperlink w:anchor="Splitsites" w:history="1">
        <w:r>
          <w:t>S</w:t>
        </w:r>
        <w:r w:rsidR="00B447B8" w:rsidRPr="005039B3">
          <w:t>plit sites</w:t>
        </w:r>
      </w:hyperlink>
      <w:r w:rsidR="00624452">
        <w:tab/>
      </w:r>
      <w:r w:rsidR="00624452">
        <w:tab/>
      </w:r>
      <w:r w:rsidR="00624452">
        <w:tab/>
      </w:r>
      <w:r w:rsidR="00624452">
        <w:tab/>
      </w:r>
      <w:r w:rsidR="00624452">
        <w:tab/>
      </w:r>
      <w:r w:rsidR="00624452">
        <w:tab/>
      </w:r>
      <w:r w:rsidR="00624452">
        <w:tab/>
      </w:r>
      <w:r w:rsidR="00624452">
        <w:tab/>
      </w:r>
      <w:r w:rsidR="00624452">
        <w:tab/>
      </w:r>
      <w:r w:rsidR="00624452">
        <w:tab/>
        <w:t xml:space="preserve"> 8</w:t>
      </w:r>
    </w:p>
    <w:p w14:paraId="39F2E923" w14:textId="11896189" w:rsidR="00616E87" w:rsidRDefault="000D2277" w:rsidP="00B447B8">
      <w:pPr>
        <w:pStyle w:val="ListParagraph"/>
        <w:numPr>
          <w:ilvl w:val="1"/>
          <w:numId w:val="33"/>
        </w:numPr>
        <w:ind w:left="851" w:hanging="567"/>
      </w:pPr>
      <w:hyperlink w:anchor="Exceptionalcircumstances" w:history="1">
        <w:r>
          <w:t>E</w:t>
        </w:r>
        <w:r w:rsidR="00616E87" w:rsidRPr="005039B3">
          <w:t>xceptional circumstances – rents</w:t>
        </w:r>
      </w:hyperlink>
      <w:r w:rsidR="00AD3C10">
        <w:tab/>
      </w:r>
      <w:r w:rsidR="00AD3C10">
        <w:tab/>
      </w:r>
      <w:r w:rsidR="00AD3C10">
        <w:tab/>
      </w:r>
      <w:r w:rsidR="00AD3C10">
        <w:tab/>
      </w:r>
      <w:r w:rsidR="00AD3C10">
        <w:tab/>
      </w:r>
      <w:r w:rsidR="00AD3C10">
        <w:tab/>
        <w:t xml:space="preserve"> 9</w:t>
      </w:r>
    </w:p>
    <w:p w14:paraId="4B27F460" w14:textId="5EDB0D9B" w:rsidR="006B6EB1" w:rsidRDefault="000D2277" w:rsidP="006B6EB1">
      <w:pPr>
        <w:pStyle w:val="ListParagraph"/>
        <w:numPr>
          <w:ilvl w:val="1"/>
          <w:numId w:val="33"/>
        </w:numPr>
        <w:ind w:left="851" w:hanging="567"/>
      </w:pPr>
      <w:hyperlink w:anchor="Minimumperpupillevel" w:history="1">
        <w:r>
          <w:t>M</w:t>
        </w:r>
        <w:r w:rsidR="00616E87" w:rsidRPr="005039B3">
          <w:t>inimum per pupil level (MPPL) for primary and secondary schools</w:t>
        </w:r>
      </w:hyperlink>
      <w:r w:rsidR="00AD3C10">
        <w:tab/>
        <w:t xml:space="preserve"> 9</w:t>
      </w:r>
    </w:p>
    <w:p w14:paraId="7AEE755E" w14:textId="1DB3AE6F" w:rsidR="006B6EB1" w:rsidRDefault="000D2277" w:rsidP="006B6EB1">
      <w:pPr>
        <w:pStyle w:val="ListParagraph"/>
        <w:numPr>
          <w:ilvl w:val="1"/>
          <w:numId w:val="33"/>
        </w:numPr>
        <w:ind w:left="851" w:hanging="567"/>
      </w:pPr>
      <w:hyperlink w:anchor="Minimumfundingguarantee" w:history="1">
        <w:r>
          <w:t>M</w:t>
        </w:r>
        <w:r w:rsidR="00616E87" w:rsidRPr="003B7DB5">
          <w:t>inimum funding guarantee (MFG)</w:t>
        </w:r>
      </w:hyperlink>
      <w:r w:rsidR="00AD3C10">
        <w:tab/>
      </w:r>
      <w:r w:rsidR="00AD3C10">
        <w:tab/>
      </w:r>
      <w:r w:rsidR="00AD3C10">
        <w:tab/>
      </w:r>
      <w:r w:rsidR="00AD3C10">
        <w:tab/>
      </w:r>
      <w:r w:rsidR="00AD3C10">
        <w:tab/>
      </w:r>
      <w:r w:rsidR="00AD3C10">
        <w:tab/>
        <w:t xml:space="preserve"> 9</w:t>
      </w:r>
    </w:p>
    <w:p w14:paraId="0AFB7616" w14:textId="14F16A5C" w:rsidR="006B6EB1" w:rsidRDefault="000D2277" w:rsidP="006B6EB1">
      <w:pPr>
        <w:pStyle w:val="ListParagraph"/>
        <w:numPr>
          <w:ilvl w:val="1"/>
          <w:numId w:val="33"/>
        </w:numPr>
        <w:ind w:left="851" w:hanging="567"/>
      </w:pPr>
      <w:hyperlink w:anchor="Dedelegation" w:history="1">
        <w:r>
          <w:rPr>
            <w:rStyle w:val="Hyperlink"/>
            <w:u w:val="none"/>
          </w:rPr>
          <w:t>D</w:t>
        </w:r>
        <w:r w:rsidR="00616E87" w:rsidRPr="006B6EB1">
          <w:rPr>
            <w:rStyle w:val="Hyperlink"/>
            <w:u w:val="none"/>
          </w:rPr>
          <w:t>e-delegation</w:t>
        </w:r>
      </w:hyperlink>
      <w:r w:rsidR="00AD3C10">
        <w:tab/>
      </w:r>
      <w:r w:rsidR="00AD3C10">
        <w:tab/>
      </w:r>
      <w:r w:rsidR="00AD3C10">
        <w:tab/>
      </w:r>
      <w:r w:rsidR="00AD3C10">
        <w:tab/>
      </w:r>
      <w:r w:rsidR="00AD3C10">
        <w:tab/>
      </w:r>
      <w:r w:rsidR="00AD3C10">
        <w:tab/>
      </w:r>
      <w:r w:rsidR="00AD3C10">
        <w:tab/>
      </w:r>
      <w:r w:rsidR="00AD3C10">
        <w:tab/>
      </w:r>
      <w:r w:rsidR="00AD3C10">
        <w:tab/>
        <w:t>10</w:t>
      </w:r>
    </w:p>
    <w:p w14:paraId="4090F774" w14:textId="27F5AD58" w:rsidR="00616E87" w:rsidRPr="004F5622" w:rsidRDefault="000D2277" w:rsidP="006B6EB1">
      <w:pPr>
        <w:pStyle w:val="ListParagraph"/>
        <w:numPr>
          <w:ilvl w:val="1"/>
          <w:numId w:val="33"/>
        </w:numPr>
        <w:ind w:left="851" w:hanging="567"/>
      </w:pPr>
      <w:hyperlink w:anchor="Centralprovision" w:history="1">
        <w:r>
          <w:t>C</w:t>
        </w:r>
        <w:r w:rsidR="00616E87" w:rsidRPr="005039B3">
          <w:t>entral provision funded by maintained schools</w:t>
        </w:r>
      </w:hyperlink>
      <w:r w:rsidR="00AD3C10">
        <w:tab/>
      </w:r>
      <w:r w:rsidR="00AD3C10">
        <w:tab/>
      </w:r>
      <w:r w:rsidR="00AD3C10">
        <w:tab/>
      </w:r>
      <w:r w:rsidR="00AD3C10">
        <w:tab/>
        <w:t>11</w:t>
      </w:r>
    </w:p>
    <w:p w14:paraId="49C42B32" w14:textId="2E08A451" w:rsidR="002408CF" w:rsidRPr="004F5622" w:rsidRDefault="002408CF" w:rsidP="003B5648">
      <w:pPr>
        <w:ind w:hanging="425"/>
      </w:pPr>
    </w:p>
    <w:p w14:paraId="2936BF3E" w14:textId="77777777" w:rsidR="006D2340" w:rsidRDefault="00B143E0" w:rsidP="006D2340">
      <w:pPr>
        <w:rPr>
          <w:rStyle w:val="Hyperlink"/>
          <w:b/>
          <w:u w:val="none"/>
        </w:rPr>
      </w:pPr>
      <w:r>
        <w:rPr>
          <w:b/>
          <w:bCs/>
        </w:rPr>
        <w:t>5</w:t>
      </w:r>
      <w:r w:rsidR="00B105C4" w:rsidRPr="004F5622">
        <w:rPr>
          <w:b/>
          <w:bCs/>
        </w:rPr>
        <w:t xml:space="preserve">. </w:t>
      </w:r>
      <w:hyperlink w:anchor="Additionalinformation" w:history="1">
        <w:r w:rsidR="00B105C4" w:rsidRPr="004F5622">
          <w:rPr>
            <w:rStyle w:val="Hyperlink"/>
            <w:b/>
            <w:u w:val="none"/>
          </w:rPr>
          <w:t xml:space="preserve">Additional </w:t>
        </w:r>
        <w:r w:rsidR="001B11E5" w:rsidRPr="004F5622">
          <w:rPr>
            <w:rStyle w:val="Hyperlink"/>
            <w:b/>
            <w:u w:val="none"/>
          </w:rPr>
          <w:t>i</w:t>
        </w:r>
        <w:r w:rsidR="00B105C4" w:rsidRPr="004F5622">
          <w:rPr>
            <w:rStyle w:val="Hyperlink"/>
            <w:b/>
            <w:u w:val="none"/>
          </w:rPr>
          <w:t>nformation</w:t>
        </w:r>
      </w:hyperlink>
      <w:r w:rsidR="00B105C4" w:rsidRPr="004F5622">
        <w:t xml:space="preserve"> </w:t>
      </w:r>
      <w:r w:rsidR="00AD3C10">
        <w:tab/>
      </w:r>
      <w:r w:rsidR="00AD3C10">
        <w:tab/>
      </w:r>
      <w:r w:rsidR="00AD3C10">
        <w:tab/>
      </w:r>
      <w:r w:rsidR="00AD3C10">
        <w:tab/>
      </w:r>
      <w:r w:rsidR="00AD3C10">
        <w:tab/>
      </w:r>
      <w:r w:rsidR="00AD3C10">
        <w:tab/>
      </w:r>
      <w:r w:rsidR="00AD3C10">
        <w:tab/>
      </w:r>
      <w:r w:rsidR="00AD3C10">
        <w:tab/>
      </w:r>
      <w:r w:rsidR="00AD3C10" w:rsidRPr="00AD3C10">
        <w:rPr>
          <w:b/>
          <w:bCs/>
        </w:rPr>
        <w:t>11</w:t>
      </w:r>
    </w:p>
    <w:p w14:paraId="37FF3217" w14:textId="23AEFB38" w:rsidR="006D2340" w:rsidRDefault="006D2340" w:rsidP="006D2340">
      <w:pPr>
        <w:ind w:left="851" w:hanging="567"/>
      </w:pPr>
      <w:r w:rsidRPr="006D2340">
        <w:rPr>
          <w:rStyle w:val="Hyperlink"/>
          <w:bCs/>
          <w:u w:val="none"/>
        </w:rPr>
        <w:t>5.1</w:t>
      </w:r>
      <w:r>
        <w:rPr>
          <w:rStyle w:val="Hyperlink"/>
          <w:bCs/>
          <w:u w:val="none"/>
        </w:rPr>
        <w:tab/>
      </w:r>
      <w:hyperlink w:anchor="NotionalSEN" w:history="1">
        <w:r w:rsidR="000D2277">
          <w:rPr>
            <w:rStyle w:val="ListParagraphChar"/>
            <w:rFonts w:eastAsiaTheme="minorHAnsi"/>
          </w:rPr>
          <w:t>N</w:t>
        </w:r>
        <w:r w:rsidR="00281BE2" w:rsidRPr="00281BE2">
          <w:rPr>
            <w:rStyle w:val="ListParagraphChar"/>
            <w:rFonts w:eastAsiaTheme="minorHAnsi"/>
          </w:rPr>
          <w:t>otional special educational needs (SEN) budget</w:t>
        </w:r>
      </w:hyperlink>
      <w:r w:rsidR="00281BE2">
        <w:tab/>
      </w:r>
      <w:r w:rsidR="00281BE2">
        <w:tab/>
      </w:r>
      <w:r w:rsidR="00281BE2">
        <w:tab/>
      </w:r>
      <w:r w:rsidR="00281BE2">
        <w:tab/>
        <w:t>11</w:t>
      </w:r>
    </w:p>
    <w:p w14:paraId="290FD92D" w14:textId="0F4A516D" w:rsidR="001B7CCD" w:rsidRDefault="001B7CCD" w:rsidP="001B7CCD">
      <w:pPr>
        <w:ind w:left="851" w:hanging="567"/>
      </w:pPr>
      <w:r>
        <w:t>5.2</w:t>
      </w:r>
      <w:r>
        <w:tab/>
      </w:r>
      <w:hyperlink w:anchor="Nurseryfunding" w:history="1">
        <w:r w:rsidR="000D2277">
          <w:t>N</w:t>
        </w:r>
        <w:r w:rsidR="00E70048" w:rsidRPr="003B7DB5">
          <w:t>ursery funding</w:t>
        </w:r>
      </w:hyperlink>
      <w:r w:rsidR="00281BE2">
        <w:tab/>
      </w:r>
      <w:r w:rsidR="00281BE2">
        <w:tab/>
      </w:r>
      <w:r w:rsidR="00281BE2">
        <w:tab/>
      </w:r>
      <w:r w:rsidR="00281BE2">
        <w:tab/>
      </w:r>
      <w:r w:rsidR="00281BE2">
        <w:tab/>
      </w:r>
      <w:r w:rsidR="00281BE2">
        <w:tab/>
      </w:r>
      <w:r w:rsidR="00281BE2">
        <w:tab/>
      </w:r>
      <w:r w:rsidR="00281BE2">
        <w:tab/>
      </w:r>
      <w:r w:rsidR="00281BE2">
        <w:tab/>
        <w:t>11</w:t>
      </w:r>
    </w:p>
    <w:p w14:paraId="3BECCC59" w14:textId="11F60A21" w:rsidR="001B7CCD" w:rsidRDefault="001B7CCD" w:rsidP="001B7CCD">
      <w:pPr>
        <w:ind w:left="851" w:hanging="567"/>
      </w:pPr>
      <w:r>
        <w:t>5.3</w:t>
      </w:r>
      <w:r>
        <w:tab/>
      </w:r>
      <w:hyperlink w:anchor="Sixthformfunding" w:history="1">
        <w:r w:rsidR="000D2277">
          <w:rPr>
            <w:rStyle w:val="Hyperlink"/>
            <w:u w:val="none"/>
          </w:rPr>
          <w:t>S</w:t>
        </w:r>
        <w:r w:rsidR="00B105C4" w:rsidRPr="004453A0">
          <w:rPr>
            <w:rStyle w:val="Hyperlink"/>
            <w:u w:val="none"/>
          </w:rPr>
          <w:t xml:space="preserve">ixth </w:t>
        </w:r>
        <w:r w:rsidR="001B11E5" w:rsidRPr="004453A0">
          <w:rPr>
            <w:rStyle w:val="Hyperlink"/>
            <w:u w:val="none"/>
          </w:rPr>
          <w:t>f</w:t>
        </w:r>
        <w:r w:rsidR="00B105C4" w:rsidRPr="004453A0">
          <w:rPr>
            <w:rStyle w:val="Hyperlink"/>
            <w:u w:val="none"/>
          </w:rPr>
          <w:t xml:space="preserve">orm </w:t>
        </w:r>
        <w:r w:rsidR="001B11E5" w:rsidRPr="004453A0">
          <w:rPr>
            <w:rStyle w:val="Hyperlink"/>
            <w:u w:val="none"/>
          </w:rPr>
          <w:t>f</w:t>
        </w:r>
        <w:r w:rsidR="00B105C4" w:rsidRPr="004453A0">
          <w:rPr>
            <w:rStyle w:val="Hyperlink"/>
            <w:u w:val="none"/>
          </w:rPr>
          <w:t>unding</w:t>
        </w:r>
      </w:hyperlink>
      <w:r w:rsidR="00281BE2">
        <w:tab/>
      </w:r>
      <w:r w:rsidR="00281BE2">
        <w:tab/>
      </w:r>
      <w:r w:rsidR="00281BE2">
        <w:tab/>
      </w:r>
      <w:r w:rsidR="00281BE2">
        <w:tab/>
      </w:r>
      <w:r w:rsidR="00281BE2">
        <w:tab/>
      </w:r>
      <w:r w:rsidR="00281BE2">
        <w:tab/>
      </w:r>
      <w:r w:rsidR="00281BE2">
        <w:tab/>
      </w:r>
      <w:r w:rsidR="00281BE2">
        <w:tab/>
      </w:r>
      <w:r w:rsidR="00281BE2">
        <w:tab/>
        <w:t>12</w:t>
      </w:r>
    </w:p>
    <w:p w14:paraId="48B1A114" w14:textId="462D9F8A" w:rsidR="00B105C4" w:rsidRPr="004453A0" w:rsidRDefault="001B7CCD" w:rsidP="001B7CCD">
      <w:pPr>
        <w:ind w:left="851" w:hanging="567"/>
        <w:rPr>
          <w:b/>
        </w:rPr>
      </w:pPr>
      <w:r>
        <w:t>5.4</w:t>
      </w:r>
      <w:r>
        <w:tab/>
      </w:r>
      <w:hyperlink w:anchor="Moneyfollowingexcludedpupils" w:history="1">
        <w:r w:rsidR="000D2277">
          <w:rPr>
            <w:rStyle w:val="Hyperlink"/>
            <w:u w:val="none"/>
          </w:rPr>
          <w:t>M</w:t>
        </w:r>
        <w:r w:rsidR="00B105C4" w:rsidRPr="004453A0">
          <w:rPr>
            <w:rStyle w:val="Hyperlink"/>
            <w:u w:val="none"/>
          </w:rPr>
          <w:t xml:space="preserve">oney </w:t>
        </w:r>
        <w:r w:rsidR="001B11E5" w:rsidRPr="004453A0">
          <w:rPr>
            <w:rStyle w:val="Hyperlink"/>
            <w:u w:val="none"/>
          </w:rPr>
          <w:t>f</w:t>
        </w:r>
        <w:r w:rsidR="00B105C4" w:rsidRPr="004453A0">
          <w:rPr>
            <w:rStyle w:val="Hyperlink"/>
            <w:u w:val="none"/>
          </w:rPr>
          <w:t xml:space="preserve">ollowing </w:t>
        </w:r>
        <w:r w:rsidR="001B11E5" w:rsidRPr="004453A0">
          <w:rPr>
            <w:rStyle w:val="Hyperlink"/>
            <w:u w:val="none"/>
          </w:rPr>
          <w:t>e</w:t>
        </w:r>
        <w:r w:rsidR="00B105C4" w:rsidRPr="004453A0">
          <w:rPr>
            <w:rStyle w:val="Hyperlink"/>
            <w:u w:val="none"/>
          </w:rPr>
          <w:t xml:space="preserve">xcluded </w:t>
        </w:r>
        <w:r w:rsidR="001B11E5" w:rsidRPr="004453A0">
          <w:rPr>
            <w:rStyle w:val="Hyperlink"/>
            <w:u w:val="none"/>
          </w:rPr>
          <w:t>p</w:t>
        </w:r>
        <w:r w:rsidR="00B105C4" w:rsidRPr="004453A0">
          <w:rPr>
            <w:rStyle w:val="Hyperlink"/>
            <w:u w:val="none"/>
          </w:rPr>
          <w:t>upils</w:t>
        </w:r>
      </w:hyperlink>
      <w:r w:rsidR="00281BE2">
        <w:tab/>
      </w:r>
      <w:r w:rsidR="00281BE2">
        <w:tab/>
      </w:r>
      <w:r w:rsidR="00281BE2">
        <w:tab/>
      </w:r>
      <w:r w:rsidR="00281BE2">
        <w:tab/>
      </w:r>
      <w:r w:rsidR="00281BE2">
        <w:tab/>
      </w:r>
      <w:r w:rsidR="00281BE2">
        <w:tab/>
      </w:r>
      <w:r w:rsidR="00281BE2">
        <w:tab/>
        <w:t>12</w:t>
      </w:r>
    </w:p>
    <w:p w14:paraId="422C4AC9" w14:textId="77777777" w:rsidR="005848BE" w:rsidRPr="004F5622" w:rsidRDefault="005848BE" w:rsidP="005848BE">
      <w:pPr>
        <w:rPr>
          <w:b/>
        </w:rPr>
      </w:pPr>
    </w:p>
    <w:p w14:paraId="58936D04" w14:textId="5E821A86" w:rsidR="002F2A47" w:rsidRPr="004F5622" w:rsidRDefault="00B105C4" w:rsidP="00AB4BCB">
      <w:pPr>
        <w:rPr>
          <w:b/>
          <w:bCs/>
        </w:rPr>
      </w:pPr>
      <w:hyperlink w:anchor="Appendix1" w:history="1">
        <w:r w:rsidRPr="00AB4BCB">
          <w:rPr>
            <w:rStyle w:val="Hyperlink"/>
            <w:b/>
            <w:bCs/>
            <w:u w:val="none"/>
          </w:rPr>
          <w:t>Appendix 1 – Values used in schools budget shares</w:t>
        </w:r>
      </w:hyperlink>
      <w:r w:rsidRPr="00AB4BCB">
        <w:rPr>
          <w:b/>
          <w:bCs/>
        </w:rPr>
        <w:tab/>
      </w:r>
      <w:r w:rsidRPr="00AB4BCB">
        <w:rPr>
          <w:b/>
          <w:bCs/>
        </w:rPr>
        <w:tab/>
      </w:r>
      <w:r w:rsidRPr="00AB4BCB">
        <w:rPr>
          <w:b/>
          <w:bCs/>
        </w:rPr>
        <w:tab/>
      </w:r>
      <w:r w:rsidR="001B11E5" w:rsidRPr="00AB4BCB">
        <w:rPr>
          <w:b/>
          <w:bCs/>
        </w:rPr>
        <w:tab/>
      </w:r>
      <w:r w:rsidR="008F67F7" w:rsidRPr="00AB4BCB">
        <w:rPr>
          <w:b/>
          <w:bCs/>
        </w:rPr>
        <w:t>1</w:t>
      </w:r>
      <w:r w:rsidR="00281BE2">
        <w:rPr>
          <w:b/>
          <w:bCs/>
        </w:rPr>
        <w:t>3</w:t>
      </w:r>
    </w:p>
    <w:p w14:paraId="309EA4EC" w14:textId="77777777" w:rsidR="00AB4BCB" w:rsidRDefault="00AB4BCB">
      <w:pPr>
        <w:spacing w:after="160" w:line="259" w:lineRule="auto"/>
        <w:rPr>
          <w:rFonts w:eastAsia="Times New Roman"/>
          <w:b/>
          <w:bCs/>
          <w:kern w:val="0"/>
          <w14:ligatures w14:val="none"/>
        </w:rPr>
      </w:pPr>
      <w:r>
        <w:rPr>
          <w:b/>
          <w:bCs/>
        </w:rPr>
        <w:br w:type="page"/>
      </w:r>
    </w:p>
    <w:p w14:paraId="41D3C2DA" w14:textId="77847C3A" w:rsidR="00D45E63" w:rsidRPr="001D5DC7" w:rsidRDefault="00D45E63" w:rsidP="001D5DC7">
      <w:pPr>
        <w:pStyle w:val="ListParagraph"/>
        <w:numPr>
          <w:ilvl w:val="0"/>
          <w:numId w:val="22"/>
        </w:numPr>
        <w:ind w:left="284" w:hanging="284"/>
        <w:rPr>
          <w:b/>
          <w:bCs/>
        </w:rPr>
      </w:pPr>
      <w:bookmarkStart w:id="0" w:name="Generalinformation"/>
      <w:r w:rsidRPr="001D5DC7">
        <w:rPr>
          <w:b/>
          <w:bCs/>
        </w:rPr>
        <w:lastRenderedPageBreak/>
        <w:t>General Information</w:t>
      </w:r>
    </w:p>
    <w:bookmarkEnd w:id="0"/>
    <w:p w14:paraId="00DC1BB6" w14:textId="77777777" w:rsidR="00C71D8F" w:rsidRPr="00C71D8F" w:rsidRDefault="00C71D8F" w:rsidP="00C71D8F">
      <w:pPr>
        <w:rPr>
          <w:b/>
          <w:bCs/>
        </w:rPr>
      </w:pPr>
    </w:p>
    <w:p w14:paraId="7FA4D002" w14:textId="7EAB0087" w:rsidR="00D45E63" w:rsidRPr="004F497E" w:rsidRDefault="00C063C6" w:rsidP="00D45E63">
      <w:r>
        <w:t>T</w:t>
      </w:r>
      <w:r w:rsidR="008443B2" w:rsidRPr="004800D3">
        <w:t xml:space="preserve">here </w:t>
      </w:r>
      <w:r w:rsidR="008443B2" w:rsidRPr="004F497E">
        <w:t xml:space="preserve">are minimal changes to the structure of the schools </w:t>
      </w:r>
      <w:r w:rsidR="00AC4653">
        <w:t>National Funding Formula</w:t>
      </w:r>
      <w:r w:rsidR="006102AA">
        <w:t xml:space="preserve"> (</w:t>
      </w:r>
      <w:r w:rsidR="008443B2" w:rsidRPr="004F497E">
        <w:t>NFF</w:t>
      </w:r>
      <w:r w:rsidR="006102AA">
        <w:t>)</w:t>
      </w:r>
      <w:r w:rsidR="008443B2" w:rsidRPr="004F497E">
        <w:t xml:space="preserve">, with the same factors making up the formula as </w:t>
      </w:r>
      <w:r w:rsidRPr="004F497E">
        <w:t>last year.</w:t>
      </w:r>
      <w:r w:rsidR="008443B2" w:rsidRPr="004F497E">
        <w:t xml:space="preserve"> Further detail on the methodology used for the schools NFF is set out in the </w:t>
      </w:r>
      <w:hyperlink r:id="rId14" w:history="1">
        <w:r w:rsidR="003A3A57" w:rsidRPr="004F497E">
          <w:rPr>
            <w:rStyle w:val="Hyperlink"/>
          </w:rPr>
          <w:t>school block national funding formula technical note</w:t>
        </w:r>
      </w:hyperlink>
      <w:r w:rsidR="001F35CA" w:rsidRPr="004F497E">
        <w:t>.</w:t>
      </w:r>
      <w:r w:rsidR="00B37713" w:rsidRPr="004F497E">
        <w:t xml:space="preserve"> Any changes</w:t>
      </w:r>
      <w:r w:rsidR="00232EFC" w:rsidRPr="004F497E">
        <w:t xml:space="preserve"> to t</w:t>
      </w:r>
      <w:r w:rsidR="00D45E63" w:rsidRPr="004F497E">
        <w:t xml:space="preserve">he existing features of the formula are set out in the </w:t>
      </w:r>
      <w:hyperlink r:id="rId15" w:history="1">
        <w:r w:rsidR="006D244F">
          <w:rPr>
            <w:rStyle w:val="Hyperlink"/>
          </w:rPr>
          <w:t>s</w:t>
        </w:r>
        <w:r w:rsidR="001F4317" w:rsidRPr="004F497E">
          <w:rPr>
            <w:rStyle w:val="Hyperlink"/>
          </w:rPr>
          <w:t>chool funding policy pack</w:t>
        </w:r>
      </w:hyperlink>
      <w:r w:rsidR="00F35831" w:rsidRPr="004F497E">
        <w:rPr>
          <w:rStyle w:val="Hyperlink"/>
        </w:rPr>
        <w:t xml:space="preserve"> </w:t>
      </w:r>
      <w:r w:rsidR="00D45E63" w:rsidRPr="004F497E">
        <w:t>and, where they affect local formula arrangements they are also covered in this guidance.</w:t>
      </w:r>
    </w:p>
    <w:p w14:paraId="70CCD1D6" w14:textId="77777777" w:rsidR="00D45E63" w:rsidRPr="004F497E" w:rsidRDefault="00D45E63" w:rsidP="00D45E63">
      <w:pPr>
        <w:rPr>
          <w:spacing w:val="1"/>
          <w:highlight w:val="yellow"/>
        </w:rPr>
      </w:pPr>
    </w:p>
    <w:p w14:paraId="25D1865B" w14:textId="207DA97D" w:rsidR="00D45E63" w:rsidRPr="00A94299" w:rsidRDefault="00AD4FB4" w:rsidP="00D45E63">
      <w:pPr>
        <w:rPr>
          <w:color w:val="FF0000"/>
          <w:spacing w:val="1"/>
          <w:highlight w:val="yellow"/>
        </w:rPr>
      </w:pPr>
      <w:r w:rsidRPr="004F497E">
        <w:rPr>
          <w:spacing w:val="1"/>
        </w:rPr>
        <w:t xml:space="preserve">The government still intend to move to a direct NFF, whereby every school’s budget will be set based on a single national formula, however </w:t>
      </w:r>
      <w:r w:rsidR="00AE44A4" w:rsidRPr="004F497E">
        <w:rPr>
          <w:spacing w:val="1"/>
        </w:rPr>
        <w:t>this year</w:t>
      </w:r>
      <w:r w:rsidRPr="004F497E">
        <w:rPr>
          <w:spacing w:val="1"/>
        </w:rPr>
        <w:t xml:space="preserve"> local authorities will continue to have some discretion over the design of the majority of the local funding formula.</w:t>
      </w:r>
      <w:r w:rsidR="00AE44A4" w:rsidRPr="004F497E">
        <w:rPr>
          <w:spacing w:val="1"/>
        </w:rPr>
        <w:t xml:space="preserve"> </w:t>
      </w:r>
      <w:r w:rsidR="00D45E63" w:rsidRPr="004F497E">
        <w:rPr>
          <w:spacing w:val="1"/>
        </w:rPr>
        <w:t>As per the</w:t>
      </w:r>
      <w:r w:rsidR="000F3C48">
        <w:rPr>
          <w:spacing w:val="1"/>
        </w:rPr>
        <w:t xml:space="preserve"> Department for Education (</w:t>
      </w:r>
      <w:r w:rsidR="00F96490" w:rsidRPr="004F497E">
        <w:rPr>
          <w:spacing w:val="1"/>
        </w:rPr>
        <w:t>D</w:t>
      </w:r>
      <w:r w:rsidR="004C10A2" w:rsidRPr="004F497E">
        <w:rPr>
          <w:spacing w:val="1"/>
        </w:rPr>
        <w:t>f</w:t>
      </w:r>
      <w:r w:rsidR="00F96490" w:rsidRPr="004F497E">
        <w:rPr>
          <w:spacing w:val="1"/>
        </w:rPr>
        <w:t>E</w:t>
      </w:r>
      <w:r w:rsidR="000F3C48">
        <w:rPr>
          <w:spacing w:val="1"/>
        </w:rPr>
        <w:t>)</w:t>
      </w:r>
      <w:r w:rsidR="00D45E63" w:rsidRPr="004F497E">
        <w:rPr>
          <w:spacing w:val="1"/>
        </w:rPr>
        <w:t xml:space="preserve"> </w:t>
      </w:r>
      <w:hyperlink r:id="rId16" w:history="1">
        <w:r w:rsidR="001F4317" w:rsidRPr="004F497E">
          <w:rPr>
            <w:rStyle w:val="Hyperlink"/>
            <w:spacing w:val="1"/>
          </w:rPr>
          <w:t>schools operational guide</w:t>
        </w:r>
      </w:hyperlink>
      <w:r w:rsidR="00D45E63" w:rsidRPr="004F497E">
        <w:rPr>
          <w:spacing w:val="1"/>
        </w:rPr>
        <w:t xml:space="preserve">, any proposed changes to the local funding formula including the method, principles and rules adopted, will be subject to a consultation with all maintained schools and academies, </w:t>
      </w:r>
      <w:r w:rsidR="00D45E63" w:rsidRPr="00AA6446">
        <w:rPr>
          <w:spacing w:val="1"/>
        </w:rPr>
        <w:t>as well as the Schools Forum.</w:t>
      </w:r>
    </w:p>
    <w:p w14:paraId="3D504F1B" w14:textId="77777777" w:rsidR="00D45E63" w:rsidRPr="00AA6446" w:rsidRDefault="00D45E63" w:rsidP="00D45E63">
      <w:pPr>
        <w:rPr>
          <w:spacing w:val="1"/>
          <w:highlight w:val="yellow"/>
        </w:rPr>
      </w:pPr>
    </w:p>
    <w:p w14:paraId="3C102231" w14:textId="77777777" w:rsidR="00695FA9" w:rsidRPr="001A28C1" w:rsidRDefault="00695FA9" w:rsidP="00695FA9">
      <w:pPr>
        <w:rPr>
          <w:bCs/>
          <w:spacing w:val="1"/>
        </w:rPr>
      </w:pPr>
      <w:r w:rsidRPr="00E41748">
        <w:rPr>
          <w:bCs/>
          <w:spacing w:val="1"/>
        </w:rPr>
        <w:t xml:space="preserve">The data local authorities are required to use in the production of </w:t>
      </w:r>
      <w:r>
        <w:rPr>
          <w:bCs/>
          <w:spacing w:val="1"/>
        </w:rPr>
        <w:t>school</w:t>
      </w:r>
      <w:r w:rsidRPr="00E41748">
        <w:rPr>
          <w:bCs/>
          <w:spacing w:val="1"/>
        </w:rPr>
        <w:t xml:space="preserve"> budget shares is provided by the </w:t>
      </w:r>
      <w:r>
        <w:rPr>
          <w:bCs/>
          <w:spacing w:val="1"/>
        </w:rPr>
        <w:t>DfE, who are</w:t>
      </w:r>
      <w:r w:rsidRPr="001A28C1">
        <w:rPr>
          <w:bCs/>
          <w:spacing w:val="1"/>
        </w:rPr>
        <w:t xml:space="preserve"> clear that no budget share amendments are allowed during the year.</w:t>
      </w:r>
    </w:p>
    <w:p w14:paraId="64A66894" w14:textId="77777777" w:rsidR="00D45E63" w:rsidRPr="00AA6446" w:rsidRDefault="00D45E63" w:rsidP="00D45E63">
      <w:pPr>
        <w:rPr>
          <w:highlight w:val="yellow"/>
        </w:rPr>
      </w:pPr>
    </w:p>
    <w:p w14:paraId="6408D579" w14:textId="6230E6AF" w:rsidR="00D45E63" w:rsidRDefault="00D45E63" w:rsidP="00D45E63">
      <w:r w:rsidRPr="00002962">
        <w:t xml:space="preserve">The </w:t>
      </w:r>
      <w:r w:rsidR="00CC2C32">
        <w:t xml:space="preserve">NFF </w:t>
      </w:r>
      <w:r w:rsidRPr="00002962">
        <w:t xml:space="preserve">includes </w:t>
      </w:r>
      <w:r w:rsidR="00B85DC2">
        <w:t xml:space="preserve">a number of compulsory and optional </w:t>
      </w:r>
      <w:r w:rsidRPr="00002962">
        <w:t>factors</w:t>
      </w:r>
      <w:r w:rsidR="00005A7F">
        <w:t>.</w:t>
      </w:r>
      <w:r w:rsidR="00CC2C32">
        <w:t xml:space="preserve"> </w:t>
      </w:r>
      <w:r w:rsidRPr="00C221B4">
        <w:t>Appendix 1 provides a summary of the funding formula, along with the values, for Hampshire schools.</w:t>
      </w:r>
    </w:p>
    <w:p w14:paraId="6BD44F9F" w14:textId="77777777" w:rsidR="00F671ED" w:rsidRPr="0025309D" w:rsidRDefault="00F671ED" w:rsidP="00F671ED">
      <w:pPr>
        <w:rPr>
          <w:bCs/>
          <w:spacing w:val="1"/>
          <w:highlight w:val="yellow"/>
        </w:rPr>
      </w:pPr>
    </w:p>
    <w:p w14:paraId="0418E15D" w14:textId="31E550FC" w:rsidR="00C836DA" w:rsidRPr="0025309D" w:rsidRDefault="00275AEE" w:rsidP="00513054">
      <w:r w:rsidRPr="0025309D">
        <w:t>For more information,</w:t>
      </w:r>
      <w:r w:rsidR="000740E5" w:rsidRPr="0025309D">
        <w:t xml:space="preserve"> p</w:t>
      </w:r>
      <w:r w:rsidRPr="0025309D">
        <w:t xml:space="preserve">lease refer to the </w:t>
      </w:r>
      <w:hyperlink r:id="rId17" w:history="1">
        <w:r w:rsidR="0025309D" w:rsidRPr="0025309D">
          <w:rPr>
            <w:rStyle w:val="Hyperlink"/>
            <w:spacing w:val="1"/>
          </w:rPr>
          <w:t>schools operational guide</w:t>
        </w:r>
      </w:hyperlink>
      <w:r w:rsidR="0025309D" w:rsidRPr="0025309D">
        <w:rPr>
          <w:spacing w:val="1"/>
        </w:rPr>
        <w:t>,</w:t>
      </w:r>
      <w:r w:rsidR="0025309D" w:rsidRPr="0025309D">
        <w:t xml:space="preserve"> </w:t>
      </w:r>
      <w:r w:rsidRPr="0025309D">
        <w:t>in the first instance</w:t>
      </w:r>
      <w:r w:rsidR="007D42AE" w:rsidRPr="0025309D">
        <w:t>, then</w:t>
      </w:r>
      <w:r w:rsidRPr="0025309D">
        <w:t xml:space="preserve"> if further clarification is required contact </w:t>
      </w:r>
      <w:r w:rsidR="0025309D" w:rsidRPr="0025309D">
        <w:t>school.fund@hants.gov.uk</w:t>
      </w:r>
      <w:r w:rsidR="001C0462" w:rsidRPr="0025309D">
        <w:t>.</w:t>
      </w:r>
    </w:p>
    <w:p w14:paraId="297540AC" w14:textId="77777777" w:rsidR="00513054" w:rsidRDefault="00513054" w:rsidP="00513054">
      <w:pPr>
        <w:rPr>
          <w:color w:val="FF0000"/>
        </w:rPr>
      </w:pPr>
    </w:p>
    <w:p w14:paraId="4C934B0F" w14:textId="77777777" w:rsidR="00513054" w:rsidRDefault="00513054" w:rsidP="00513054">
      <w:pPr>
        <w:rPr>
          <w:b/>
        </w:rPr>
      </w:pPr>
    </w:p>
    <w:p w14:paraId="0BA88703" w14:textId="7D44560D" w:rsidR="00C71D8F" w:rsidRPr="001D5DC7" w:rsidRDefault="00D45E63" w:rsidP="001D5DC7">
      <w:pPr>
        <w:pStyle w:val="ListParagraph"/>
        <w:numPr>
          <w:ilvl w:val="0"/>
          <w:numId w:val="22"/>
        </w:numPr>
        <w:ind w:left="284" w:hanging="284"/>
        <w:rPr>
          <w:b/>
          <w:bCs/>
        </w:rPr>
      </w:pPr>
      <w:bookmarkStart w:id="1" w:name="Changesfor20"/>
      <w:r w:rsidRPr="001D5DC7">
        <w:rPr>
          <w:b/>
          <w:bCs/>
        </w:rPr>
        <w:t xml:space="preserve">Changes for </w:t>
      </w:r>
      <w:r w:rsidR="006A0781" w:rsidRPr="001D5DC7">
        <w:rPr>
          <w:b/>
          <w:bCs/>
        </w:rPr>
        <w:t>2026/27</w:t>
      </w:r>
    </w:p>
    <w:bookmarkEnd w:id="1"/>
    <w:p w14:paraId="1D450E5A" w14:textId="77777777" w:rsidR="00C71D8F" w:rsidRPr="00C71D8F" w:rsidRDefault="00C71D8F" w:rsidP="00C71D8F">
      <w:pPr>
        <w:ind w:left="284" w:hanging="284"/>
        <w:rPr>
          <w:b/>
        </w:rPr>
      </w:pPr>
    </w:p>
    <w:p w14:paraId="751AD954" w14:textId="77777777" w:rsidR="00751420" w:rsidRDefault="00EC4A61">
      <w:pPr>
        <w:pStyle w:val="ListParagraph"/>
        <w:numPr>
          <w:ilvl w:val="0"/>
          <w:numId w:val="39"/>
        </w:numPr>
        <w:ind w:left="284" w:hanging="284"/>
      </w:pPr>
      <w:r>
        <w:t>rolling the school budget support grant (SBSG) and the National Insurance contributions (NICs) grant from 2025 to 2026 into the NFF by:</w:t>
      </w:r>
    </w:p>
    <w:p w14:paraId="503C9ECA" w14:textId="490D5F1C" w:rsidR="00751420" w:rsidRDefault="00EC4A61" w:rsidP="00751420">
      <w:pPr>
        <w:pStyle w:val="ListParagraph"/>
        <w:numPr>
          <w:ilvl w:val="0"/>
          <w:numId w:val="40"/>
        </w:numPr>
      </w:pPr>
      <w:r>
        <w:t>adding amounts representing what schools receive through the grants into their baselines</w:t>
      </w:r>
      <w:r w:rsidR="00342512">
        <w:t xml:space="preserve"> </w:t>
      </w:r>
      <w:r w:rsidR="00342512" w:rsidRPr="008B1377">
        <w:t xml:space="preserve">(including an uplift to reflect the annualised position </w:t>
      </w:r>
      <w:r w:rsidR="00342512">
        <w:t>where applicable)</w:t>
      </w:r>
    </w:p>
    <w:p w14:paraId="0461EA28" w14:textId="7076C014" w:rsidR="008B1377" w:rsidRPr="00342512" w:rsidRDefault="00EC4A61" w:rsidP="00342512">
      <w:pPr>
        <w:pStyle w:val="ListParagraph"/>
        <w:numPr>
          <w:ilvl w:val="0"/>
          <w:numId w:val="40"/>
        </w:numPr>
      </w:pPr>
      <w:r>
        <w:t>adding the value of the lump sums, basic per pupil rates and free school meals Ever6 (FSM6) parts of the grants onto the respective factors in the NFF</w:t>
      </w:r>
    </w:p>
    <w:p w14:paraId="7F026405" w14:textId="77777777" w:rsidR="00575940" w:rsidRDefault="00575940" w:rsidP="001D5DC7">
      <w:pPr>
        <w:ind w:left="284" w:hanging="284"/>
      </w:pPr>
    </w:p>
    <w:p w14:paraId="0B71ECDF" w14:textId="22BB818B" w:rsidR="00FC44BC" w:rsidRDefault="00575940" w:rsidP="001D5DC7">
      <w:pPr>
        <w:pStyle w:val="ListParagraph"/>
        <w:numPr>
          <w:ilvl w:val="0"/>
          <w:numId w:val="5"/>
        </w:numPr>
        <w:ind w:left="284" w:hanging="284"/>
      </w:pPr>
      <w:r>
        <w:t>f</w:t>
      </w:r>
      <w:r w:rsidR="003B5A05" w:rsidRPr="008B1377">
        <w:t xml:space="preserve">urther increases to NFF factor values (on top of the amounts </w:t>
      </w:r>
      <w:r w:rsidR="00D723DD" w:rsidRPr="008B1377">
        <w:t>that</w:t>
      </w:r>
      <w:r w:rsidR="003B5A05" w:rsidRPr="008B1377">
        <w:t xml:space="preserve"> have </w:t>
      </w:r>
      <w:r w:rsidR="00D723DD" w:rsidRPr="008B1377">
        <w:t xml:space="preserve">been </w:t>
      </w:r>
      <w:r w:rsidR="003B5A05" w:rsidRPr="008B1377">
        <w:t>added for the </w:t>
      </w:r>
      <w:r w:rsidR="008B1377">
        <w:t>NICs and SBSG</w:t>
      </w:r>
      <w:r w:rsidR="003B5A05" w:rsidRPr="008B1377">
        <w:t xml:space="preserve">), </w:t>
      </w:r>
      <w:r w:rsidR="003B5A05" w:rsidRPr="00FF76F3">
        <w:t>as can be afforded following the settlement of the core schools budget</w:t>
      </w:r>
    </w:p>
    <w:p w14:paraId="3448324C" w14:textId="77777777" w:rsidR="006D2F9A" w:rsidRDefault="006D2F9A" w:rsidP="006D2F9A"/>
    <w:p w14:paraId="0EC3FEDD" w14:textId="3D32D74A" w:rsidR="006D2F9A" w:rsidRPr="00530D96" w:rsidRDefault="006D2F9A" w:rsidP="006D2F9A">
      <w:pPr>
        <w:pStyle w:val="ListParagraph"/>
        <w:numPr>
          <w:ilvl w:val="0"/>
          <w:numId w:val="9"/>
        </w:numPr>
        <w:ind w:left="284" w:hanging="284"/>
      </w:pPr>
      <w:r>
        <w:t xml:space="preserve">for secondary schools </w:t>
      </w:r>
      <w:r w:rsidR="006054DA">
        <w:t>–</w:t>
      </w:r>
      <w:r>
        <w:t xml:space="preserve"> a</w:t>
      </w:r>
      <w:r w:rsidR="006054DA">
        <w:t>n additional</w:t>
      </w:r>
      <w:r>
        <w:t xml:space="preserve"> </w:t>
      </w:r>
      <w:r w:rsidR="006054DA">
        <w:t xml:space="preserve">£600 </w:t>
      </w:r>
      <w:r>
        <w:t xml:space="preserve">per school de-delegation </w:t>
      </w:r>
      <w:r w:rsidR="006054DA">
        <w:t xml:space="preserve">amount </w:t>
      </w:r>
      <w:r>
        <w:t>for l</w:t>
      </w:r>
      <w:r w:rsidRPr="0036281E">
        <w:t xml:space="preserve">icenses and </w:t>
      </w:r>
      <w:r>
        <w:t>s</w:t>
      </w:r>
      <w:r w:rsidRPr="0036281E">
        <w:t>ubscriptions</w:t>
      </w:r>
      <w:r w:rsidR="00E632F2">
        <w:t xml:space="preserve"> (</w:t>
      </w:r>
      <w:r w:rsidR="005867D7">
        <w:t>pro-rated</w:t>
      </w:r>
      <w:r w:rsidR="00E632F2">
        <w:t xml:space="preserve"> for All through schools</w:t>
      </w:r>
      <w:r w:rsidR="0002745A">
        <w:t xml:space="preserve"> based upon secondary school NOR</w:t>
      </w:r>
      <w:r w:rsidR="00E632F2">
        <w:t>)</w:t>
      </w:r>
    </w:p>
    <w:p w14:paraId="0FB732CB" w14:textId="77777777" w:rsidR="00575940" w:rsidRPr="008B1377" w:rsidRDefault="00575940" w:rsidP="001D5DC7"/>
    <w:p w14:paraId="1F13030B" w14:textId="18254925" w:rsidR="00646C89" w:rsidRPr="00530D96" w:rsidRDefault="004623A6" w:rsidP="001072C2">
      <w:pPr>
        <w:pStyle w:val="ListParagraph"/>
        <w:numPr>
          <w:ilvl w:val="0"/>
          <w:numId w:val="9"/>
        </w:numPr>
        <w:ind w:left="284" w:hanging="284"/>
      </w:pPr>
      <w:r w:rsidRPr="00D85D7C">
        <w:t>f</w:t>
      </w:r>
      <w:r w:rsidR="00D45E63" w:rsidRPr="00D85D7C">
        <w:t xml:space="preserve">ollowing consultation with schools and approval from Schools Forum, NFF unit values plus area cost adjustment will see a reduction </w:t>
      </w:r>
      <w:r w:rsidR="00D45E63" w:rsidRPr="00A407E1">
        <w:t>of 0.</w:t>
      </w:r>
      <w:r w:rsidR="00936661">
        <w:t>55</w:t>
      </w:r>
      <w:r w:rsidR="00D45E63" w:rsidRPr="00A407E1">
        <w:t xml:space="preserve">% to </w:t>
      </w:r>
      <w:r w:rsidR="00D45E63" w:rsidRPr="00D85D7C">
        <w:t xml:space="preserve">ensure the Hampshire formula is </w:t>
      </w:r>
      <w:r w:rsidR="00D45E63" w:rsidRPr="00530D96">
        <w:t>affordable</w:t>
      </w:r>
      <w:r w:rsidR="00646C89" w:rsidRPr="00530D96">
        <w:t xml:space="preserve"> with the following exceptions:</w:t>
      </w:r>
    </w:p>
    <w:p w14:paraId="0771D77D" w14:textId="54C24BAB" w:rsidR="00646C89" w:rsidRPr="00530D96" w:rsidRDefault="00646C89" w:rsidP="001072C2">
      <w:pPr>
        <w:pStyle w:val="ListParagraph"/>
        <w:numPr>
          <w:ilvl w:val="0"/>
          <w:numId w:val="14"/>
        </w:numPr>
        <w:ind w:left="567" w:hanging="283"/>
      </w:pPr>
      <w:r w:rsidRPr="00530D96">
        <w:t>MFG</w:t>
      </w:r>
      <w:r w:rsidR="00D45E63" w:rsidRPr="00530D96">
        <w:t xml:space="preserve"> = 0.0% </w:t>
      </w:r>
    </w:p>
    <w:p w14:paraId="0394C401" w14:textId="5FE08793" w:rsidR="004623A6" w:rsidRPr="00530D96" w:rsidRDefault="00646C89" w:rsidP="001072C2">
      <w:pPr>
        <w:pStyle w:val="ListParagraph"/>
        <w:numPr>
          <w:ilvl w:val="0"/>
          <w:numId w:val="14"/>
        </w:numPr>
        <w:ind w:left="567" w:hanging="283"/>
      </w:pPr>
      <w:r w:rsidRPr="00530D96">
        <w:t>M</w:t>
      </w:r>
      <w:r w:rsidR="002D6A05" w:rsidRPr="00530D96">
        <w:t>P</w:t>
      </w:r>
      <w:r w:rsidRPr="00530D96">
        <w:t>P</w:t>
      </w:r>
      <w:r w:rsidR="002D6A05" w:rsidRPr="00530D96">
        <w:t>L</w:t>
      </w:r>
      <w:r w:rsidR="004623A6" w:rsidRPr="00530D96">
        <w:t xml:space="preserve"> for primary schools = </w:t>
      </w:r>
      <w:r w:rsidR="00D45E63" w:rsidRPr="00530D96">
        <w:t>£</w:t>
      </w:r>
      <w:r w:rsidR="00CF0BB8" w:rsidRPr="00530D96">
        <w:t>5,115</w:t>
      </w:r>
      <w:r w:rsidR="004623A6" w:rsidRPr="00530D96">
        <w:t xml:space="preserve"> (national level)</w:t>
      </w:r>
    </w:p>
    <w:p w14:paraId="767D978E" w14:textId="7BE00BF4" w:rsidR="000448DF" w:rsidRDefault="004623A6" w:rsidP="001072C2">
      <w:pPr>
        <w:pStyle w:val="ListParagraph"/>
        <w:numPr>
          <w:ilvl w:val="0"/>
          <w:numId w:val="14"/>
        </w:numPr>
        <w:ind w:left="567" w:hanging="283"/>
      </w:pPr>
      <w:r w:rsidRPr="00530D96">
        <w:t>M</w:t>
      </w:r>
      <w:r w:rsidR="002D6A05" w:rsidRPr="00530D96">
        <w:t>P</w:t>
      </w:r>
      <w:r w:rsidRPr="00530D96">
        <w:t>P</w:t>
      </w:r>
      <w:r w:rsidR="002D6A05" w:rsidRPr="00530D96">
        <w:t>L</w:t>
      </w:r>
      <w:r w:rsidR="00D45E63" w:rsidRPr="00530D96">
        <w:t xml:space="preserve"> </w:t>
      </w:r>
      <w:r w:rsidRPr="00530D96">
        <w:t xml:space="preserve">for </w:t>
      </w:r>
      <w:r w:rsidR="00D45E63" w:rsidRPr="00530D96">
        <w:t>secondary</w:t>
      </w:r>
      <w:r w:rsidRPr="00530D96">
        <w:t xml:space="preserve"> schools</w:t>
      </w:r>
      <w:r w:rsidR="00D45E63" w:rsidRPr="00530D96">
        <w:t xml:space="preserve"> = £</w:t>
      </w:r>
      <w:r w:rsidR="00102BA1" w:rsidRPr="00530D96">
        <w:t>6</w:t>
      </w:r>
      <w:r w:rsidR="00530D96" w:rsidRPr="00530D96">
        <w:t>,640</w:t>
      </w:r>
      <w:r w:rsidR="00D45E63" w:rsidRPr="00530D96">
        <w:t xml:space="preserve"> </w:t>
      </w:r>
      <w:r w:rsidRPr="00530D96">
        <w:t>(n</w:t>
      </w:r>
      <w:r w:rsidR="00D45E63" w:rsidRPr="00530D96">
        <w:t>ational level</w:t>
      </w:r>
      <w:r w:rsidRPr="00530D96">
        <w:t>)</w:t>
      </w:r>
    </w:p>
    <w:p w14:paraId="45B93020" w14:textId="77777777" w:rsidR="0036281E" w:rsidRDefault="0036281E" w:rsidP="0036281E"/>
    <w:p w14:paraId="0415A777" w14:textId="77777777" w:rsidR="00D45E63" w:rsidRPr="00B42077" w:rsidRDefault="00D45E63" w:rsidP="00D45E63">
      <w:pPr>
        <w:ind w:left="567"/>
        <w:rPr>
          <w:color w:val="FF0000"/>
          <w:highlight w:val="yellow"/>
        </w:rPr>
      </w:pPr>
    </w:p>
    <w:p w14:paraId="16098FE2" w14:textId="616C0B03" w:rsidR="00191DCE" w:rsidRDefault="00D45E63" w:rsidP="00D45E63">
      <w:r w:rsidRPr="00B42077">
        <w:t xml:space="preserve">For further details regarding Schools Forum decisions, please refer to the </w:t>
      </w:r>
      <w:hyperlink r:id="rId18" w:history="1">
        <w:r w:rsidR="00F92942">
          <w:rPr>
            <w:rStyle w:val="Hyperlink"/>
          </w:rPr>
          <w:t>Schools Forum papers and minutes.</w:t>
        </w:r>
      </w:hyperlink>
    </w:p>
    <w:p w14:paraId="270CED71" w14:textId="77777777" w:rsidR="006054DA" w:rsidRDefault="006054DA" w:rsidP="00D45E63">
      <w:pPr>
        <w:rPr>
          <w:b/>
        </w:rPr>
      </w:pPr>
    </w:p>
    <w:p w14:paraId="1833A6D9" w14:textId="2AD6B913" w:rsidR="00D45E63" w:rsidRPr="00E41748" w:rsidRDefault="00D45E63" w:rsidP="00F443BE">
      <w:pPr>
        <w:rPr>
          <w:spacing w:val="1"/>
        </w:rPr>
      </w:pPr>
      <w:r w:rsidRPr="00E41748">
        <w:rPr>
          <w:b/>
        </w:rPr>
        <w:t xml:space="preserve">3. </w:t>
      </w:r>
      <w:bookmarkStart w:id="2" w:name="Allocationofbudgetshares"/>
      <w:r w:rsidRPr="00E41748">
        <w:rPr>
          <w:b/>
        </w:rPr>
        <w:t>Allocation of Budget Shares</w:t>
      </w:r>
      <w:bookmarkEnd w:id="2"/>
    </w:p>
    <w:p w14:paraId="47007D81" w14:textId="77777777" w:rsidR="00C71D8F" w:rsidRDefault="00C71D8F" w:rsidP="00F443BE">
      <w:pPr>
        <w:rPr>
          <w:spacing w:val="1"/>
        </w:rPr>
      </w:pPr>
    </w:p>
    <w:p w14:paraId="30FC27D1" w14:textId="07FB1926" w:rsidR="00D45E63" w:rsidRPr="00E41748" w:rsidRDefault="00D45E63" w:rsidP="00F443BE">
      <w:pPr>
        <w:rPr>
          <w:spacing w:val="1"/>
        </w:rPr>
      </w:pPr>
      <w:r w:rsidRPr="00E41748">
        <w:rPr>
          <w:spacing w:val="1"/>
        </w:rPr>
        <w:t xml:space="preserve">The allocations for maintained primary, secondary and all-through schools are posted to the </w:t>
      </w:r>
      <w:r w:rsidR="00A74A4C">
        <w:rPr>
          <w:spacing w:val="1"/>
        </w:rPr>
        <w:t xml:space="preserve">IBC </w:t>
      </w:r>
      <w:r w:rsidRPr="00E41748">
        <w:rPr>
          <w:spacing w:val="1"/>
        </w:rPr>
        <w:t xml:space="preserve">portal in April. To comply with the Consistent Financial Reporting (CFR) standards the gross budget share (before any deductions) will be credited to the schools’ ‘0’ cost centre on </w:t>
      </w:r>
      <w:r w:rsidR="00A74A4C">
        <w:rPr>
          <w:spacing w:val="1"/>
        </w:rPr>
        <w:t>general ledger (GL)</w:t>
      </w:r>
      <w:r w:rsidRPr="00E41748">
        <w:rPr>
          <w:spacing w:val="1"/>
        </w:rPr>
        <w:t xml:space="preserve"> code 7696. </w:t>
      </w:r>
    </w:p>
    <w:p w14:paraId="54903C8A" w14:textId="77777777" w:rsidR="00D45E63" w:rsidRPr="00E41748" w:rsidRDefault="00D45E63" w:rsidP="00F443BE">
      <w:pPr>
        <w:rPr>
          <w:spacing w:val="1"/>
        </w:rPr>
      </w:pPr>
    </w:p>
    <w:p w14:paraId="3C6F5C24" w14:textId="1A62A938" w:rsidR="00D45E63" w:rsidRPr="00E41748" w:rsidRDefault="00D45E63" w:rsidP="00F443BE">
      <w:pPr>
        <w:rPr>
          <w:spacing w:val="1"/>
        </w:rPr>
      </w:pPr>
      <w:r w:rsidRPr="00E41748">
        <w:rPr>
          <w:spacing w:val="1"/>
        </w:rPr>
        <w:t>The de-delegation and deduction for central provision funded by maintained schools will then be debited to the following GL codes:</w:t>
      </w:r>
    </w:p>
    <w:p w14:paraId="172E9B09" w14:textId="77777777" w:rsidR="00D45E63" w:rsidRPr="00E41748" w:rsidRDefault="00D45E63" w:rsidP="00F443BE">
      <w:pPr>
        <w:rPr>
          <w:spacing w:val="1"/>
        </w:rPr>
      </w:pPr>
    </w:p>
    <w:p w14:paraId="71FE6675" w14:textId="637C8F97" w:rsidR="00D45E63" w:rsidRPr="00E41748" w:rsidRDefault="00D45E63" w:rsidP="00F443BE">
      <w:pPr>
        <w:rPr>
          <w:spacing w:val="1"/>
        </w:rPr>
      </w:pPr>
      <w:r w:rsidRPr="00E41748">
        <w:rPr>
          <w:spacing w:val="1"/>
        </w:rPr>
        <w:t xml:space="preserve">GL 5930 (CFR E23) – Contingency </w:t>
      </w:r>
    </w:p>
    <w:p w14:paraId="47AD8D91" w14:textId="2C30B32F" w:rsidR="00D45E63" w:rsidRPr="00E41748" w:rsidRDefault="00D45E63" w:rsidP="00F443BE">
      <w:pPr>
        <w:rPr>
          <w:spacing w:val="1"/>
        </w:rPr>
      </w:pPr>
      <w:r w:rsidRPr="00E41748">
        <w:rPr>
          <w:spacing w:val="1"/>
        </w:rPr>
        <w:t>GL 5932 (CFR E27) – E</w:t>
      </w:r>
      <w:r w:rsidR="00B64265">
        <w:rPr>
          <w:spacing w:val="1"/>
        </w:rPr>
        <w:t>thnic minority and traveller service (E</w:t>
      </w:r>
      <w:r w:rsidRPr="00E41748">
        <w:rPr>
          <w:spacing w:val="1"/>
        </w:rPr>
        <w:t>MTAS</w:t>
      </w:r>
      <w:r w:rsidR="00B64265">
        <w:rPr>
          <w:spacing w:val="1"/>
        </w:rPr>
        <w:t>)</w:t>
      </w:r>
    </w:p>
    <w:p w14:paraId="681CBF47" w14:textId="17914E19" w:rsidR="00D45E63" w:rsidRPr="00E41748" w:rsidRDefault="00D45E63" w:rsidP="00F443BE">
      <w:pPr>
        <w:rPr>
          <w:spacing w:val="1"/>
        </w:rPr>
      </w:pPr>
      <w:r w:rsidRPr="00E41748">
        <w:rPr>
          <w:spacing w:val="1"/>
        </w:rPr>
        <w:t xml:space="preserve">GL 5929 (CFR E19) – Licenses &amp; </w:t>
      </w:r>
      <w:r w:rsidR="00B64265">
        <w:rPr>
          <w:spacing w:val="1"/>
        </w:rPr>
        <w:t>s</w:t>
      </w:r>
      <w:r w:rsidRPr="00E41748">
        <w:rPr>
          <w:spacing w:val="1"/>
        </w:rPr>
        <w:t xml:space="preserve">ubscriptions        </w:t>
      </w:r>
    </w:p>
    <w:p w14:paraId="31E2EB33" w14:textId="5C6E93B4" w:rsidR="00D45E63" w:rsidRPr="00E41748" w:rsidRDefault="00D45E63" w:rsidP="00F443BE">
      <w:pPr>
        <w:rPr>
          <w:spacing w:val="1"/>
        </w:rPr>
      </w:pPr>
      <w:r w:rsidRPr="00E41748">
        <w:rPr>
          <w:spacing w:val="1"/>
        </w:rPr>
        <w:t xml:space="preserve">GL 5926 (CFR E10) – Staff </w:t>
      </w:r>
      <w:r w:rsidR="00B64265">
        <w:rPr>
          <w:spacing w:val="1"/>
        </w:rPr>
        <w:t>c</w:t>
      </w:r>
      <w:r w:rsidRPr="00E41748">
        <w:rPr>
          <w:spacing w:val="1"/>
        </w:rPr>
        <w:t xml:space="preserve">osts </w:t>
      </w:r>
    </w:p>
    <w:p w14:paraId="1F0B6B37" w14:textId="253EE42C" w:rsidR="00F443BE" w:rsidRDefault="00D45E63" w:rsidP="00C71D8F">
      <w:pPr>
        <w:rPr>
          <w:spacing w:val="1"/>
        </w:rPr>
      </w:pPr>
      <w:r w:rsidRPr="00E41748">
        <w:rPr>
          <w:spacing w:val="1"/>
        </w:rPr>
        <w:t xml:space="preserve">GL 7696 (CFR I01) – Central </w:t>
      </w:r>
      <w:r w:rsidR="00B64265">
        <w:rPr>
          <w:spacing w:val="1"/>
        </w:rPr>
        <w:t>p</w:t>
      </w:r>
      <w:r w:rsidRPr="00E41748">
        <w:rPr>
          <w:spacing w:val="1"/>
        </w:rPr>
        <w:t xml:space="preserve">rovision </w:t>
      </w:r>
      <w:r w:rsidR="00B64265">
        <w:rPr>
          <w:spacing w:val="1"/>
        </w:rPr>
        <w:t>f</w:t>
      </w:r>
      <w:r w:rsidRPr="00E41748">
        <w:rPr>
          <w:spacing w:val="1"/>
        </w:rPr>
        <w:t xml:space="preserve">unded by </w:t>
      </w:r>
      <w:r w:rsidR="00B64265">
        <w:rPr>
          <w:spacing w:val="1"/>
        </w:rPr>
        <w:t>m</w:t>
      </w:r>
      <w:r w:rsidRPr="00E41748">
        <w:rPr>
          <w:spacing w:val="1"/>
        </w:rPr>
        <w:t xml:space="preserve">aintained </w:t>
      </w:r>
      <w:r w:rsidR="00B64265">
        <w:rPr>
          <w:spacing w:val="1"/>
        </w:rPr>
        <w:t>s</w:t>
      </w:r>
      <w:r w:rsidRPr="00E41748">
        <w:rPr>
          <w:spacing w:val="1"/>
        </w:rPr>
        <w:t>chools</w:t>
      </w:r>
    </w:p>
    <w:p w14:paraId="07280610" w14:textId="77777777" w:rsidR="00717D49" w:rsidRDefault="00717D49" w:rsidP="00C71D8F">
      <w:pPr>
        <w:rPr>
          <w:spacing w:val="1"/>
        </w:rPr>
      </w:pPr>
    </w:p>
    <w:p w14:paraId="422D6335" w14:textId="00A442F2" w:rsidR="00C71D8F" w:rsidRPr="00C66C48" w:rsidRDefault="00D45E63">
      <w:pPr>
        <w:pStyle w:val="ListParagraph"/>
        <w:numPr>
          <w:ilvl w:val="2"/>
          <w:numId w:val="5"/>
        </w:numPr>
        <w:spacing w:after="160" w:line="259" w:lineRule="auto"/>
        <w:ind w:left="284" w:hanging="284"/>
        <w:rPr>
          <w:bCs/>
          <w:spacing w:val="1"/>
        </w:rPr>
      </w:pPr>
      <w:bookmarkStart w:id="3" w:name="Factors"/>
      <w:r w:rsidRPr="00C66C48">
        <w:rPr>
          <w:b/>
          <w:bCs/>
        </w:rPr>
        <w:t>Factors</w:t>
      </w:r>
      <w:bookmarkEnd w:id="3"/>
    </w:p>
    <w:p w14:paraId="7A6DAED3" w14:textId="0FC98CDB" w:rsidR="009C181F" w:rsidRDefault="00D45E63" w:rsidP="000C4678">
      <w:pPr>
        <w:rPr>
          <w:bCs/>
          <w:spacing w:val="1"/>
        </w:rPr>
      </w:pPr>
      <w:r w:rsidRPr="00A33DFA">
        <w:rPr>
          <w:bCs/>
          <w:spacing w:val="1"/>
        </w:rPr>
        <w:t>The 202</w:t>
      </w:r>
      <w:r w:rsidR="00F75AFE">
        <w:rPr>
          <w:bCs/>
          <w:spacing w:val="1"/>
        </w:rPr>
        <w:t>5</w:t>
      </w:r>
      <w:r w:rsidRPr="00A33DFA">
        <w:rPr>
          <w:bCs/>
          <w:spacing w:val="1"/>
        </w:rPr>
        <w:t xml:space="preserve"> autumn school census day was Thursday </w:t>
      </w:r>
      <w:r w:rsidR="00F75AFE">
        <w:rPr>
          <w:bCs/>
          <w:spacing w:val="1"/>
        </w:rPr>
        <w:t>2</w:t>
      </w:r>
      <w:r w:rsidRPr="00A33DFA">
        <w:rPr>
          <w:bCs/>
          <w:spacing w:val="1"/>
        </w:rPr>
        <w:t xml:space="preserve"> October 202</w:t>
      </w:r>
      <w:r w:rsidR="00F75AFE">
        <w:rPr>
          <w:bCs/>
          <w:spacing w:val="1"/>
        </w:rPr>
        <w:t>5</w:t>
      </w:r>
      <w:r w:rsidRPr="00A33DFA">
        <w:rPr>
          <w:bCs/>
          <w:spacing w:val="1"/>
        </w:rPr>
        <w:t xml:space="preserve">, and the budget share data reflects the school’s pupil numbers as at that date plus permanent growth where applicable as agreed with the Strategic Development Team. The </w:t>
      </w:r>
      <w:r w:rsidR="00BB4DF3">
        <w:rPr>
          <w:bCs/>
          <w:spacing w:val="1"/>
        </w:rPr>
        <w:t>D</w:t>
      </w:r>
      <w:r w:rsidR="001E4DCE">
        <w:rPr>
          <w:bCs/>
          <w:spacing w:val="1"/>
        </w:rPr>
        <w:t>f</w:t>
      </w:r>
      <w:r w:rsidR="00BB4DF3">
        <w:rPr>
          <w:bCs/>
          <w:spacing w:val="1"/>
        </w:rPr>
        <w:t>E</w:t>
      </w:r>
      <w:r w:rsidRPr="00A33DFA">
        <w:rPr>
          <w:bCs/>
          <w:spacing w:val="1"/>
        </w:rPr>
        <w:t xml:space="preserve"> has been clear that it is not possible to make any amendments to the census data held by them. </w:t>
      </w:r>
    </w:p>
    <w:p w14:paraId="5C697E3F" w14:textId="77777777" w:rsidR="000C4678" w:rsidRDefault="000C4678" w:rsidP="000C4678">
      <w:pPr>
        <w:rPr>
          <w:bCs/>
          <w:spacing w:val="1"/>
        </w:rPr>
      </w:pPr>
    </w:p>
    <w:p w14:paraId="5BA07F3A" w14:textId="439D8EFF" w:rsidR="00717D49" w:rsidRDefault="00D45E63" w:rsidP="00717D49">
      <w:pPr>
        <w:rPr>
          <w:bCs/>
          <w:spacing w:val="1"/>
        </w:rPr>
      </w:pPr>
      <w:r w:rsidRPr="001A28C1">
        <w:rPr>
          <w:bCs/>
          <w:spacing w:val="1"/>
        </w:rPr>
        <w:t xml:space="preserve">Budget shares will show </w:t>
      </w:r>
      <w:r w:rsidR="00BB4DF3">
        <w:rPr>
          <w:bCs/>
          <w:spacing w:val="1"/>
        </w:rPr>
        <w:t>D</w:t>
      </w:r>
      <w:r w:rsidR="001E4DCE">
        <w:rPr>
          <w:bCs/>
          <w:spacing w:val="1"/>
        </w:rPr>
        <w:t>f</w:t>
      </w:r>
      <w:r w:rsidR="00BB4DF3">
        <w:rPr>
          <w:bCs/>
          <w:spacing w:val="1"/>
        </w:rPr>
        <w:t>E</w:t>
      </w:r>
      <w:r w:rsidRPr="001A28C1">
        <w:rPr>
          <w:bCs/>
          <w:spacing w:val="1"/>
        </w:rPr>
        <w:t xml:space="preserve"> pupil data rounded to 2 decimal places for presentation purposes. However actual funding allocations for each budget share section are calculated using </w:t>
      </w:r>
      <w:r w:rsidR="00F96490">
        <w:rPr>
          <w:bCs/>
          <w:spacing w:val="1"/>
        </w:rPr>
        <w:t>D</w:t>
      </w:r>
      <w:r w:rsidR="001E4DCE">
        <w:rPr>
          <w:bCs/>
          <w:spacing w:val="1"/>
        </w:rPr>
        <w:t>f</w:t>
      </w:r>
      <w:r w:rsidR="00F96490">
        <w:rPr>
          <w:bCs/>
          <w:spacing w:val="1"/>
        </w:rPr>
        <w:t>E</w:t>
      </w:r>
      <w:r w:rsidRPr="001A28C1">
        <w:rPr>
          <w:bCs/>
          <w:spacing w:val="1"/>
        </w:rPr>
        <w:t xml:space="preserve"> pupil data which has not been rounded. This may result in minor differences if a manual calculation is made using pupil numbers and unit values.</w:t>
      </w:r>
    </w:p>
    <w:p w14:paraId="68ADE97C" w14:textId="77777777" w:rsidR="00717D49" w:rsidRDefault="00717D49" w:rsidP="00717D49">
      <w:pPr>
        <w:rPr>
          <w:bCs/>
          <w:spacing w:val="1"/>
        </w:rPr>
      </w:pPr>
    </w:p>
    <w:p w14:paraId="4C92ACB2" w14:textId="30DAF973" w:rsidR="0001333B" w:rsidRDefault="00D45E63" w:rsidP="00D45E63">
      <w:pPr>
        <w:rPr>
          <w:bCs/>
          <w:spacing w:val="1"/>
        </w:rPr>
      </w:pPr>
      <w:r w:rsidRPr="00314317">
        <w:rPr>
          <w:bCs/>
          <w:spacing w:val="1"/>
        </w:rPr>
        <w:t xml:space="preserve">The calculation of the data for each factor is described in detail below. For many factors, the units used are expressed in decimal places. Some factors require a “school level percentage” to be initially calculated due to previous census data being used and this percentage is then applied to the October number on roll (NOR). </w:t>
      </w:r>
    </w:p>
    <w:p w14:paraId="474A80BE" w14:textId="77777777" w:rsidR="00CD177F" w:rsidRPr="00314317" w:rsidRDefault="00CD177F" w:rsidP="00D45E63">
      <w:pPr>
        <w:rPr>
          <w:spacing w:val="1"/>
        </w:rPr>
      </w:pPr>
    </w:p>
    <w:p w14:paraId="594C219B" w14:textId="796E2DA1" w:rsidR="00B9241E" w:rsidRDefault="00E97B05" w:rsidP="00B9241E">
      <w:pPr>
        <w:rPr>
          <w:b/>
          <w:bCs/>
        </w:rPr>
      </w:pPr>
      <w:bookmarkStart w:id="4" w:name="Basicentitlement"/>
      <w:r>
        <w:rPr>
          <w:b/>
          <w:bCs/>
          <w:spacing w:val="1"/>
        </w:rPr>
        <w:t>4.</w:t>
      </w:r>
      <w:r w:rsidR="003B5648">
        <w:rPr>
          <w:b/>
          <w:bCs/>
          <w:spacing w:val="1"/>
        </w:rPr>
        <w:t>1</w:t>
      </w:r>
      <w:r w:rsidR="00B84AF6">
        <w:rPr>
          <w:b/>
          <w:bCs/>
          <w:spacing w:val="1"/>
        </w:rPr>
        <w:t xml:space="preserve"> </w:t>
      </w:r>
      <w:r w:rsidR="00D45E63" w:rsidRPr="00D17679">
        <w:rPr>
          <w:b/>
          <w:bCs/>
          <w:spacing w:val="1"/>
        </w:rPr>
        <w:t xml:space="preserve">Basic </w:t>
      </w:r>
      <w:r w:rsidR="00D17679">
        <w:rPr>
          <w:b/>
          <w:bCs/>
          <w:spacing w:val="1"/>
        </w:rPr>
        <w:t>e</w:t>
      </w:r>
      <w:r w:rsidR="00D45E63" w:rsidRPr="00D17679">
        <w:rPr>
          <w:b/>
          <w:bCs/>
          <w:spacing w:val="1"/>
        </w:rPr>
        <w:t>ntitlement</w:t>
      </w:r>
    </w:p>
    <w:bookmarkEnd w:id="4"/>
    <w:p w14:paraId="27438BC0" w14:textId="77777777" w:rsidR="00C71D8F" w:rsidRPr="00D17679" w:rsidRDefault="00C71D8F" w:rsidP="00B9241E">
      <w:pPr>
        <w:rPr>
          <w:b/>
          <w:bCs/>
        </w:rPr>
      </w:pPr>
    </w:p>
    <w:p w14:paraId="672B0CEA" w14:textId="61B39DCB" w:rsidR="00D45E63" w:rsidRPr="00D17679" w:rsidRDefault="00D45E63" w:rsidP="00D45E63">
      <w:pPr>
        <w:rPr>
          <w:spacing w:val="-2"/>
        </w:rPr>
      </w:pPr>
      <w:r w:rsidRPr="00D17679">
        <w:rPr>
          <w:spacing w:val="-2"/>
        </w:rPr>
        <w:t>Fu</w:t>
      </w:r>
      <w:r w:rsidRPr="00D17679">
        <w:rPr>
          <w:spacing w:val="2"/>
        </w:rPr>
        <w:t>n</w:t>
      </w:r>
      <w:r w:rsidRPr="00D17679">
        <w:t>d</w:t>
      </w:r>
      <w:r w:rsidRPr="00D17679">
        <w:rPr>
          <w:spacing w:val="-2"/>
        </w:rPr>
        <w:t>i</w:t>
      </w:r>
      <w:r w:rsidRPr="00D17679">
        <w:rPr>
          <w:spacing w:val="2"/>
        </w:rPr>
        <w:t>n</w:t>
      </w:r>
      <w:r w:rsidRPr="00D17679">
        <w:t>g</w:t>
      </w:r>
      <w:r w:rsidRPr="00D17679">
        <w:rPr>
          <w:spacing w:val="-6"/>
        </w:rPr>
        <w:t xml:space="preserve"> </w:t>
      </w:r>
      <w:r w:rsidRPr="00D17679">
        <w:rPr>
          <w:spacing w:val="-2"/>
        </w:rPr>
        <w:t>i</w:t>
      </w:r>
      <w:r w:rsidRPr="00D17679">
        <w:t xml:space="preserve">s </w:t>
      </w:r>
      <w:r w:rsidRPr="00D17679">
        <w:rPr>
          <w:spacing w:val="2"/>
        </w:rPr>
        <w:t>b</w:t>
      </w:r>
      <w:r w:rsidRPr="00D17679">
        <w:rPr>
          <w:spacing w:val="-1"/>
        </w:rPr>
        <w:t>as</w:t>
      </w:r>
      <w:r w:rsidRPr="00D17679">
        <w:rPr>
          <w:spacing w:val="1"/>
        </w:rPr>
        <w:t>e</w:t>
      </w:r>
      <w:r w:rsidRPr="00D17679">
        <w:t>d</w:t>
      </w:r>
      <w:r w:rsidRPr="00D17679">
        <w:rPr>
          <w:spacing w:val="-3"/>
        </w:rPr>
        <w:t xml:space="preserve"> </w:t>
      </w:r>
      <w:r w:rsidRPr="00D17679">
        <w:rPr>
          <w:spacing w:val="2"/>
        </w:rPr>
        <w:t>o</w:t>
      </w:r>
      <w:r w:rsidRPr="00D17679">
        <w:t>n</w:t>
      </w:r>
      <w:r w:rsidRPr="00D17679">
        <w:rPr>
          <w:spacing w:val="3"/>
        </w:rPr>
        <w:t xml:space="preserve"> </w:t>
      </w:r>
      <w:r w:rsidRPr="00D17679">
        <w:rPr>
          <w:spacing w:val="-3"/>
        </w:rPr>
        <w:t>October 202</w:t>
      </w:r>
      <w:r w:rsidR="00B86B99" w:rsidRPr="00D17679">
        <w:rPr>
          <w:spacing w:val="-3"/>
        </w:rPr>
        <w:t>5</w:t>
      </w:r>
      <w:r w:rsidRPr="00D17679">
        <w:rPr>
          <w:spacing w:val="-3"/>
        </w:rPr>
        <w:t xml:space="preserve"> census </w:t>
      </w:r>
      <w:r w:rsidRPr="00D17679">
        <w:rPr>
          <w:spacing w:val="2"/>
        </w:rPr>
        <w:t>p</w:t>
      </w:r>
      <w:r w:rsidRPr="00D17679">
        <w:rPr>
          <w:spacing w:val="-2"/>
        </w:rPr>
        <w:t>u</w:t>
      </w:r>
      <w:r w:rsidRPr="00D17679">
        <w:rPr>
          <w:spacing w:val="2"/>
        </w:rPr>
        <w:t>p</w:t>
      </w:r>
      <w:r w:rsidRPr="00D17679">
        <w:rPr>
          <w:spacing w:val="-2"/>
        </w:rPr>
        <w:t>i</w:t>
      </w:r>
      <w:r w:rsidRPr="00D17679">
        <w:t xml:space="preserve">l </w:t>
      </w:r>
      <w:r w:rsidRPr="00D17679">
        <w:rPr>
          <w:spacing w:val="2"/>
        </w:rPr>
        <w:t>n</w:t>
      </w:r>
      <w:r w:rsidRPr="00D17679">
        <w:rPr>
          <w:spacing w:val="-2"/>
        </w:rPr>
        <w:t>u</w:t>
      </w:r>
      <w:r w:rsidRPr="00D17679">
        <w:rPr>
          <w:spacing w:val="2"/>
        </w:rPr>
        <w:t>mb</w:t>
      </w:r>
      <w:r w:rsidRPr="00D17679">
        <w:rPr>
          <w:spacing w:val="1"/>
        </w:rPr>
        <w:t>e</w:t>
      </w:r>
      <w:r w:rsidRPr="00D17679">
        <w:rPr>
          <w:spacing w:val="2"/>
        </w:rPr>
        <w:t>r</w:t>
      </w:r>
      <w:r w:rsidRPr="00D17679">
        <w:rPr>
          <w:spacing w:val="-1"/>
        </w:rPr>
        <w:t>s, plus any ‘growth pupils’ for additional primary classes</w:t>
      </w:r>
      <w:r w:rsidRPr="00D17679">
        <w:t>.</w:t>
      </w:r>
      <w:r w:rsidRPr="00D17679">
        <w:rPr>
          <w:spacing w:val="-6"/>
        </w:rPr>
        <w:t xml:space="preserve"> </w:t>
      </w:r>
      <w:r w:rsidRPr="00D17679">
        <w:rPr>
          <w:spacing w:val="-2"/>
        </w:rPr>
        <w:t>A breakdown by year group is provided on the second page of the budget share for information purposes.</w:t>
      </w:r>
    </w:p>
    <w:p w14:paraId="799B6471" w14:textId="77777777" w:rsidR="00D45E63" w:rsidRPr="00D17679" w:rsidRDefault="00D45E63" w:rsidP="00D45E63">
      <w:pPr>
        <w:rPr>
          <w:spacing w:val="-2"/>
          <w:highlight w:val="yellow"/>
        </w:rPr>
      </w:pPr>
    </w:p>
    <w:p w14:paraId="5969316B" w14:textId="4B705A03" w:rsidR="00D45E63" w:rsidRPr="00D17679" w:rsidRDefault="00D45E63" w:rsidP="00D45E63">
      <w:pPr>
        <w:rPr>
          <w:spacing w:val="-2"/>
        </w:rPr>
      </w:pPr>
      <w:r w:rsidRPr="00D17679">
        <w:rPr>
          <w:spacing w:val="-2"/>
        </w:rPr>
        <w:t xml:space="preserve">Funding is allocated according to </w:t>
      </w:r>
      <w:r w:rsidR="00DC47FF">
        <w:rPr>
          <w:spacing w:val="-2"/>
        </w:rPr>
        <w:t xml:space="preserve">a </w:t>
      </w:r>
      <w:r w:rsidR="00EE7F8F">
        <w:rPr>
          <w:spacing w:val="-2"/>
        </w:rPr>
        <w:t xml:space="preserve">basic </w:t>
      </w:r>
      <w:r w:rsidR="00DC47FF">
        <w:rPr>
          <w:spacing w:val="-2"/>
        </w:rPr>
        <w:t xml:space="preserve">per pupil rate </w:t>
      </w:r>
      <w:r w:rsidRPr="00D17679">
        <w:rPr>
          <w:spacing w:val="-2"/>
        </w:rPr>
        <w:t xml:space="preserve">and there are different rates for primary, </w:t>
      </w:r>
      <w:r w:rsidR="00DC47FF">
        <w:rPr>
          <w:spacing w:val="-2"/>
        </w:rPr>
        <w:t>key stage 3 (KS3)</w:t>
      </w:r>
      <w:r w:rsidRPr="00D17679">
        <w:rPr>
          <w:spacing w:val="-2"/>
        </w:rPr>
        <w:t xml:space="preserve"> and </w:t>
      </w:r>
      <w:r w:rsidR="00DC47FF">
        <w:rPr>
          <w:spacing w:val="-2"/>
        </w:rPr>
        <w:t>key stage 4 (KS4)</w:t>
      </w:r>
      <w:r w:rsidRPr="00D17679">
        <w:rPr>
          <w:spacing w:val="-2"/>
        </w:rPr>
        <w:t xml:space="preserve"> pupils.</w:t>
      </w:r>
    </w:p>
    <w:p w14:paraId="3399C524" w14:textId="77777777" w:rsidR="00D45E63" w:rsidRPr="00D17679" w:rsidRDefault="00D45E63" w:rsidP="00D45E63">
      <w:pPr>
        <w:rPr>
          <w:spacing w:val="-1"/>
          <w:highlight w:val="yellow"/>
          <w:u w:val="single"/>
        </w:rPr>
      </w:pPr>
    </w:p>
    <w:p w14:paraId="29AD2D81" w14:textId="66DDD258" w:rsidR="00D45E63" w:rsidRPr="00D17679" w:rsidRDefault="00D45E63" w:rsidP="00D45E63">
      <w:pPr>
        <w:rPr>
          <w:spacing w:val="-1"/>
        </w:rPr>
      </w:pPr>
      <w:r w:rsidRPr="00D17679">
        <w:rPr>
          <w:spacing w:val="-1"/>
        </w:rPr>
        <w:t xml:space="preserve">The </w:t>
      </w:r>
      <w:r w:rsidR="00F96490" w:rsidRPr="00D17679">
        <w:rPr>
          <w:spacing w:val="-1"/>
        </w:rPr>
        <w:t>D</w:t>
      </w:r>
      <w:r w:rsidR="001E4DCE" w:rsidRPr="00D17679">
        <w:rPr>
          <w:spacing w:val="-1"/>
        </w:rPr>
        <w:t>f</w:t>
      </w:r>
      <w:r w:rsidR="00F96490" w:rsidRPr="00D17679">
        <w:rPr>
          <w:spacing w:val="-1"/>
        </w:rPr>
        <w:t>E</w:t>
      </w:r>
      <w:r w:rsidRPr="00D17679">
        <w:rPr>
          <w:spacing w:val="-1"/>
        </w:rPr>
        <w:t xml:space="preserve"> requires local authorities to fund </w:t>
      </w:r>
      <w:r w:rsidR="00AB3CF8">
        <w:rPr>
          <w:spacing w:val="-1"/>
        </w:rPr>
        <w:t xml:space="preserve">permanently growing or </w:t>
      </w:r>
      <w:r w:rsidRPr="00D17679">
        <w:rPr>
          <w:spacing w:val="-1"/>
        </w:rPr>
        <w:t xml:space="preserve">new </w:t>
      </w:r>
      <w:r w:rsidR="00A757D6">
        <w:rPr>
          <w:spacing w:val="-1"/>
        </w:rPr>
        <w:t xml:space="preserve">primary </w:t>
      </w:r>
      <w:r w:rsidRPr="00D17679">
        <w:rPr>
          <w:spacing w:val="-1"/>
        </w:rPr>
        <w:t>schools that have opened in the last seven years</w:t>
      </w:r>
      <w:r w:rsidR="0038358A" w:rsidRPr="00D17679">
        <w:rPr>
          <w:spacing w:val="-1"/>
        </w:rPr>
        <w:t xml:space="preserve"> that</w:t>
      </w:r>
      <w:r w:rsidRPr="00D17679">
        <w:rPr>
          <w:spacing w:val="-1"/>
        </w:rPr>
        <w:t xml:space="preserve"> have not yet filled pupils in each year group</w:t>
      </w:r>
      <w:r w:rsidR="00AB3CF8">
        <w:rPr>
          <w:spacing w:val="-1"/>
        </w:rPr>
        <w:t>.</w:t>
      </w:r>
      <w:r w:rsidRPr="00D17679">
        <w:rPr>
          <w:spacing w:val="-1"/>
        </w:rPr>
        <w:t xml:space="preserve"> </w:t>
      </w:r>
    </w:p>
    <w:p w14:paraId="73B77425" w14:textId="77777777" w:rsidR="00D45E63" w:rsidRPr="00D17679" w:rsidRDefault="00D45E63" w:rsidP="00D45E63">
      <w:pPr>
        <w:rPr>
          <w:spacing w:val="-1"/>
        </w:rPr>
      </w:pPr>
    </w:p>
    <w:p w14:paraId="67589D10" w14:textId="6DF0EC36" w:rsidR="00D45E63" w:rsidRPr="00D17679" w:rsidRDefault="00D45E63" w:rsidP="00D45E63">
      <w:pPr>
        <w:rPr>
          <w:spacing w:val="-1"/>
        </w:rPr>
      </w:pPr>
      <w:r w:rsidRPr="00D17679">
        <w:rPr>
          <w:spacing w:val="-1"/>
        </w:rPr>
        <w:lastRenderedPageBreak/>
        <w:t xml:space="preserve">Where permanent growth is agreed in time for budget setting, it will be included in the </w:t>
      </w:r>
      <w:r w:rsidR="00AA4126">
        <w:rPr>
          <w:spacing w:val="-1"/>
        </w:rPr>
        <w:t xml:space="preserve">primary schools </w:t>
      </w:r>
      <w:r w:rsidRPr="00D17679">
        <w:rPr>
          <w:spacing w:val="-1"/>
        </w:rPr>
        <w:t xml:space="preserve">budget share. Further information can be found in the </w:t>
      </w:r>
      <w:hyperlink r:id="rId19" w:history="1">
        <w:r w:rsidR="00FF2240">
          <w:rPr>
            <w:rStyle w:val="Hyperlink"/>
          </w:rPr>
          <w:t>school funding policy pack</w:t>
        </w:r>
      </w:hyperlink>
      <w:r w:rsidR="003075C8">
        <w:t xml:space="preserve">. </w:t>
      </w:r>
      <w:r w:rsidRPr="00D17679">
        <w:rPr>
          <w:spacing w:val="-1"/>
        </w:rPr>
        <w:t>Please note that any ‘top-up’ funding or funding for temporary ‘bulge’ classes is made outside of the budget share.</w:t>
      </w:r>
    </w:p>
    <w:p w14:paraId="11FE77E2" w14:textId="437AD4A6" w:rsidR="00D45E63" w:rsidRPr="00D17679" w:rsidRDefault="00D45E63" w:rsidP="00D45E63">
      <w:pPr>
        <w:rPr>
          <w:spacing w:val="-1"/>
          <w:u w:val="single"/>
        </w:rPr>
      </w:pPr>
    </w:p>
    <w:p w14:paraId="5FD5BD95" w14:textId="38EF41F0" w:rsidR="00283EB1" w:rsidRDefault="00D45E63" w:rsidP="006054DA">
      <w:r w:rsidRPr="00D17679">
        <w:rPr>
          <w:spacing w:val="-1"/>
        </w:rPr>
        <w:t xml:space="preserve">Growth funding for secondary schools is paid outside of the budget share. </w:t>
      </w:r>
      <w:r w:rsidRPr="00D17679">
        <w:t xml:space="preserve">Further information can be found in the </w:t>
      </w:r>
      <w:hyperlink r:id="rId20" w:history="1">
        <w:r w:rsidR="00A756EE">
          <w:rPr>
            <w:rStyle w:val="Hyperlink"/>
          </w:rPr>
          <w:t>school funding policy pack</w:t>
        </w:r>
      </w:hyperlink>
      <w:r w:rsidRPr="00D17679">
        <w:t>.</w:t>
      </w:r>
    </w:p>
    <w:p w14:paraId="0DBB75D8" w14:textId="77777777" w:rsidR="006054DA" w:rsidRDefault="006054DA" w:rsidP="006054DA">
      <w:pPr>
        <w:rPr>
          <w:b/>
          <w:bCs/>
          <w:spacing w:val="1"/>
        </w:rPr>
      </w:pPr>
    </w:p>
    <w:p w14:paraId="2D48DD34" w14:textId="26CA8527" w:rsidR="00D17679" w:rsidRDefault="00E97B05" w:rsidP="00D45E63">
      <w:pPr>
        <w:rPr>
          <w:b/>
          <w:spacing w:val="1"/>
        </w:rPr>
      </w:pPr>
      <w:bookmarkStart w:id="5" w:name="Deprivation"/>
      <w:r>
        <w:rPr>
          <w:b/>
          <w:bCs/>
          <w:spacing w:val="1"/>
        </w:rPr>
        <w:t>4.</w:t>
      </w:r>
      <w:r w:rsidR="003B5648">
        <w:rPr>
          <w:b/>
          <w:bCs/>
          <w:spacing w:val="1"/>
        </w:rPr>
        <w:t>2</w:t>
      </w:r>
      <w:r w:rsidR="00B84AF6">
        <w:rPr>
          <w:b/>
          <w:bCs/>
          <w:spacing w:val="1"/>
        </w:rPr>
        <w:t xml:space="preserve"> </w:t>
      </w:r>
      <w:r w:rsidR="00D45E63" w:rsidRPr="001D5F3A">
        <w:rPr>
          <w:b/>
          <w:spacing w:val="1"/>
        </w:rPr>
        <w:t>Deprivation</w:t>
      </w:r>
    </w:p>
    <w:bookmarkEnd w:id="5"/>
    <w:p w14:paraId="3DD8948B" w14:textId="77777777" w:rsidR="00C71D8F" w:rsidRPr="001D5F3A" w:rsidRDefault="00C71D8F" w:rsidP="00D45E63">
      <w:pPr>
        <w:rPr>
          <w:rStyle w:val="st1"/>
          <w:b/>
          <w:bCs/>
        </w:rPr>
      </w:pPr>
    </w:p>
    <w:p w14:paraId="0C6203B0" w14:textId="77777777" w:rsidR="00D17679" w:rsidRPr="00C71D8F" w:rsidRDefault="00D17679" w:rsidP="00A756EE">
      <w:pPr>
        <w:pStyle w:val="ListParagraph"/>
        <w:numPr>
          <w:ilvl w:val="0"/>
          <w:numId w:val="2"/>
        </w:numPr>
        <w:ind w:left="284" w:hanging="284"/>
      </w:pPr>
      <w:r w:rsidRPr="00C71D8F">
        <w:t>Free School Meals (FSM)</w:t>
      </w:r>
    </w:p>
    <w:p w14:paraId="27343368" w14:textId="22DE7DC1" w:rsidR="00D17679" w:rsidRPr="00C71D8F" w:rsidRDefault="00C71D8F" w:rsidP="00A756EE">
      <w:pPr>
        <w:pStyle w:val="ListParagraph"/>
        <w:numPr>
          <w:ilvl w:val="0"/>
          <w:numId w:val="0"/>
        </w:numPr>
        <w:ind w:left="284"/>
      </w:pPr>
      <w:r>
        <w:t>S</w:t>
      </w:r>
      <w:r w:rsidR="00D17679" w:rsidRPr="00C71D8F">
        <w:t>chools receive funding for all current pupils eligible for FSM through this factor. The data used by the DfE is taken from the October 202</w:t>
      </w:r>
      <w:r w:rsidR="004E5F8F" w:rsidRPr="00C71D8F">
        <w:t>5</w:t>
      </w:r>
      <w:r w:rsidR="00D17679" w:rsidRPr="00C71D8F">
        <w:t xml:space="preserve"> census.</w:t>
      </w:r>
    </w:p>
    <w:p w14:paraId="18A4E6AA" w14:textId="77777777" w:rsidR="00D17679" w:rsidRPr="004E5F8F" w:rsidRDefault="00D17679" w:rsidP="00A756EE">
      <w:pPr>
        <w:ind w:left="284" w:hanging="284"/>
        <w:rPr>
          <w:bCs/>
          <w:spacing w:val="1"/>
        </w:rPr>
      </w:pPr>
    </w:p>
    <w:p w14:paraId="0931BEFC" w14:textId="77777777" w:rsidR="00D17679" w:rsidRPr="00C71D8F" w:rsidRDefault="00D17679" w:rsidP="00A756EE">
      <w:pPr>
        <w:pStyle w:val="ListParagraph"/>
        <w:numPr>
          <w:ilvl w:val="0"/>
          <w:numId w:val="2"/>
        </w:numPr>
        <w:ind w:left="284" w:hanging="284"/>
      </w:pPr>
      <w:r w:rsidRPr="00C71D8F">
        <w:t>Free School Meals Ever 6 (FSM6)</w:t>
      </w:r>
    </w:p>
    <w:p w14:paraId="6EFE60CF" w14:textId="77777777" w:rsidR="00DA1057" w:rsidRDefault="00D17679" w:rsidP="00DA1057">
      <w:pPr>
        <w:pStyle w:val="ListParagraph"/>
        <w:numPr>
          <w:ilvl w:val="0"/>
          <w:numId w:val="0"/>
        </w:numPr>
        <w:ind w:left="284"/>
        <w:rPr>
          <w:rStyle w:val="st1"/>
          <w:b/>
          <w:bCs/>
        </w:rPr>
      </w:pPr>
      <w:r w:rsidRPr="00C71D8F">
        <w:t xml:space="preserve">Schools receive funding for pupils that have claimed FSM in the past six years </w:t>
      </w:r>
      <w:r w:rsidR="00DA1057">
        <w:t>through this factor. The data used by the DfE is taken from</w:t>
      </w:r>
      <w:r w:rsidRPr="00C71D8F">
        <w:t xml:space="preserve"> the October 202</w:t>
      </w:r>
      <w:r w:rsidR="004E5F8F" w:rsidRPr="00C71D8F">
        <w:t>5</w:t>
      </w:r>
      <w:r w:rsidRPr="00C71D8F">
        <w:t xml:space="preserve"> census</w:t>
      </w:r>
      <w:r w:rsidR="00DA1057">
        <w:t>.</w:t>
      </w:r>
    </w:p>
    <w:p w14:paraId="12A8923E" w14:textId="77777777" w:rsidR="00DA1057" w:rsidRDefault="00DA1057" w:rsidP="00DA1057">
      <w:pPr>
        <w:pStyle w:val="ListParagraph"/>
        <w:numPr>
          <w:ilvl w:val="0"/>
          <w:numId w:val="0"/>
        </w:numPr>
        <w:ind w:left="284"/>
        <w:rPr>
          <w:rStyle w:val="st1"/>
          <w:b/>
          <w:bCs/>
        </w:rPr>
      </w:pPr>
    </w:p>
    <w:p w14:paraId="68B73108" w14:textId="2FD4D2D2" w:rsidR="00D45E63" w:rsidRPr="00DA1057" w:rsidRDefault="00D45E63" w:rsidP="00DA1057">
      <w:pPr>
        <w:pStyle w:val="ListParagraph"/>
        <w:numPr>
          <w:ilvl w:val="0"/>
          <w:numId w:val="2"/>
        </w:numPr>
        <w:tabs>
          <w:tab w:val="left" w:pos="284"/>
        </w:tabs>
        <w:ind w:left="284" w:hanging="284"/>
        <w:rPr>
          <w:b/>
          <w:spacing w:val="1"/>
        </w:rPr>
      </w:pPr>
      <w:r w:rsidRPr="00C71D8F">
        <w:t xml:space="preserve">Income Deprivation Affecting Children Index (IDACI) </w:t>
      </w:r>
    </w:p>
    <w:p w14:paraId="2C119967" w14:textId="429990D6" w:rsidR="00A41D30" w:rsidRPr="00AC5EEC" w:rsidRDefault="00D45E63" w:rsidP="00C71D8F">
      <w:pPr>
        <w:ind w:left="284"/>
        <w:rPr>
          <w:spacing w:val="1"/>
          <w:highlight w:val="yellow"/>
        </w:rPr>
      </w:pPr>
      <w:r w:rsidRPr="00C71D8F">
        <w:t xml:space="preserve">IDACI is an area-based index measuring the relative deprivation of </w:t>
      </w:r>
      <w:r w:rsidR="00E27042" w:rsidRPr="00C71D8F">
        <w:t>l</w:t>
      </w:r>
      <w:r w:rsidRPr="00C71D8F">
        <w:t xml:space="preserve">ower </w:t>
      </w:r>
      <w:r w:rsidR="00E27042" w:rsidRPr="00C71D8F">
        <w:t>s</w:t>
      </w:r>
      <w:r w:rsidRPr="00C71D8F">
        <w:t xml:space="preserve">uper </w:t>
      </w:r>
      <w:r w:rsidR="00E27042" w:rsidRPr="00C71D8F">
        <w:t>o</w:t>
      </w:r>
      <w:r w:rsidRPr="00C71D8F">
        <w:t xml:space="preserve">utput </w:t>
      </w:r>
      <w:r w:rsidR="00E27042" w:rsidRPr="00C71D8F">
        <w:t>a</w:t>
      </w:r>
      <w:r w:rsidRPr="00C71D8F">
        <w:t>rea</w:t>
      </w:r>
      <w:r w:rsidR="00E27042" w:rsidRPr="00C71D8F">
        <w:t>s</w:t>
      </w:r>
      <w:r w:rsidRPr="00C71D8F">
        <w:t xml:space="preserve"> (LSOA</w:t>
      </w:r>
      <w:r w:rsidR="00AC5EEC" w:rsidRPr="00C71D8F">
        <w:t>)</w:t>
      </w:r>
      <w:r w:rsidRPr="00C71D8F">
        <w:t xml:space="preserve"> </w:t>
      </w:r>
      <w:r w:rsidR="00AC5EEC" w:rsidRPr="00C71D8F">
        <w:t>which</w:t>
      </w:r>
      <w:r w:rsidRPr="00C71D8F">
        <w:t xml:space="preserve"> typically </w:t>
      </w:r>
      <w:r w:rsidR="00AC5EEC" w:rsidRPr="00C71D8F">
        <w:t xml:space="preserve">have </w:t>
      </w:r>
      <w:r w:rsidRPr="00C71D8F">
        <w:t>about 1,500 residents</w:t>
      </w:r>
      <w:r w:rsidRPr="00271951">
        <w:t xml:space="preserve">. </w:t>
      </w:r>
      <w:r w:rsidRPr="00271951">
        <w:rPr>
          <w:spacing w:val="1"/>
        </w:rPr>
        <w:t>The NFF uses IDACI 20</w:t>
      </w:r>
      <w:r w:rsidR="009A6284">
        <w:rPr>
          <w:spacing w:val="1"/>
        </w:rPr>
        <w:t>19</w:t>
      </w:r>
      <w:r w:rsidRPr="00271951">
        <w:rPr>
          <w:spacing w:val="1"/>
        </w:rPr>
        <w:t xml:space="preserve"> ranks to group each </w:t>
      </w:r>
      <w:r w:rsidR="00E27042" w:rsidRPr="00271951">
        <w:rPr>
          <w:spacing w:val="1"/>
        </w:rPr>
        <w:t>LSOA</w:t>
      </w:r>
      <w:r w:rsidRPr="00271951">
        <w:rPr>
          <w:spacing w:val="1"/>
        </w:rPr>
        <w:t xml:space="preserve"> into one of six bands of decreasing deprivation. </w:t>
      </w:r>
      <w:r w:rsidR="0006252F" w:rsidRPr="00271951">
        <w:rPr>
          <w:spacing w:val="1"/>
        </w:rPr>
        <w:t xml:space="preserve">Further </w:t>
      </w:r>
      <w:r w:rsidR="0006252F">
        <w:rPr>
          <w:spacing w:val="1"/>
        </w:rPr>
        <w:t xml:space="preserve">information can be found in the </w:t>
      </w:r>
      <w:hyperlink r:id="rId21" w:anchor="delegated-funding" w:history="1">
        <w:r w:rsidR="0006252F" w:rsidRPr="002D7F1B">
          <w:rPr>
            <w:rStyle w:val="Hyperlink"/>
            <w:spacing w:val="1"/>
          </w:rPr>
          <w:t>schools operational guide</w:t>
        </w:r>
      </w:hyperlink>
      <w:r w:rsidR="0006252F">
        <w:rPr>
          <w:spacing w:val="1"/>
        </w:rPr>
        <w:t>.</w:t>
      </w:r>
    </w:p>
    <w:p w14:paraId="24353344" w14:textId="77777777" w:rsidR="00F80F99" w:rsidRPr="004D0FE0" w:rsidRDefault="00F80F99" w:rsidP="00D45E63">
      <w:pPr>
        <w:rPr>
          <w:color w:val="FF0000"/>
          <w:spacing w:val="1"/>
          <w:highlight w:val="yellow"/>
        </w:rPr>
      </w:pPr>
    </w:p>
    <w:p w14:paraId="1FE69FA5" w14:textId="6DD6F511" w:rsidR="00C71D8F" w:rsidRPr="00E97B05" w:rsidRDefault="00E97B05" w:rsidP="00E97B05">
      <w:pPr>
        <w:rPr>
          <w:b/>
          <w:spacing w:val="1"/>
        </w:rPr>
      </w:pPr>
      <w:bookmarkStart w:id="6" w:name="Lowpriorattainment"/>
      <w:r w:rsidRPr="00E97B05">
        <w:rPr>
          <w:b/>
          <w:spacing w:val="1"/>
        </w:rPr>
        <w:t xml:space="preserve">4.3 </w:t>
      </w:r>
      <w:r w:rsidR="00D45E63" w:rsidRPr="00E97B05">
        <w:rPr>
          <w:b/>
          <w:spacing w:val="1"/>
        </w:rPr>
        <w:t xml:space="preserve">Low </w:t>
      </w:r>
      <w:r w:rsidR="0065679A" w:rsidRPr="00E97B05">
        <w:rPr>
          <w:b/>
          <w:spacing w:val="1"/>
        </w:rPr>
        <w:t>p</w:t>
      </w:r>
      <w:r w:rsidR="00D45E63" w:rsidRPr="00E97B05">
        <w:rPr>
          <w:b/>
          <w:spacing w:val="1"/>
        </w:rPr>
        <w:t xml:space="preserve">rior </w:t>
      </w:r>
      <w:r w:rsidR="0065679A" w:rsidRPr="00E97B05">
        <w:rPr>
          <w:b/>
          <w:spacing w:val="1"/>
        </w:rPr>
        <w:t>a</w:t>
      </w:r>
      <w:r w:rsidR="00D45E63" w:rsidRPr="00E97B05">
        <w:rPr>
          <w:b/>
          <w:spacing w:val="1"/>
        </w:rPr>
        <w:t xml:space="preserve">ttainment </w:t>
      </w:r>
      <w:bookmarkEnd w:id="6"/>
      <w:r w:rsidR="00D45E63" w:rsidRPr="00E97B05">
        <w:rPr>
          <w:b/>
          <w:spacing w:val="1"/>
        </w:rPr>
        <w:t>(LPA)</w:t>
      </w:r>
    </w:p>
    <w:p w14:paraId="4A4ABC70" w14:textId="77777777" w:rsidR="002D7F1B" w:rsidRPr="002D7F1B" w:rsidRDefault="002D7F1B" w:rsidP="002D7F1B">
      <w:pPr>
        <w:rPr>
          <w:b/>
          <w:bCs/>
          <w:spacing w:val="1"/>
        </w:rPr>
      </w:pPr>
    </w:p>
    <w:p w14:paraId="0AD2C2DE" w14:textId="268F753D" w:rsidR="00D45E63" w:rsidRPr="00EE1E9C" w:rsidRDefault="0078444C" w:rsidP="005200BE">
      <w:r>
        <w:t>L</w:t>
      </w:r>
      <w:r w:rsidR="00D45E63" w:rsidRPr="00EE1E9C">
        <w:t xml:space="preserve">ocal authorities </w:t>
      </w:r>
      <w:r w:rsidR="00EE1E9C" w:rsidRPr="00EE1E9C">
        <w:t>must</w:t>
      </w:r>
      <w:r w:rsidR="00D45E63" w:rsidRPr="00EE1E9C">
        <w:t xml:space="preserve"> apply this factor for: </w:t>
      </w:r>
    </w:p>
    <w:p w14:paraId="528A745F" w14:textId="77777777" w:rsidR="00D45E63" w:rsidRPr="00EE1E9C" w:rsidRDefault="00D45E63" w:rsidP="00AB4BCB">
      <w:pPr>
        <w:pStyle w:val="NormalWeb"/>
        <w:numPr>
          <w:ilvl w:val="0"/>
          <w:numId w:val="4"/>
        </w:numPr>
        <w:shd w:val="clear" w:color="auto" w:fill="FFFFFF"/>
        <w:tabs>
          <w:tab w:val="clear" w:pos="720"/>
        </w:tabs>
        <w:spacing w:before="0" w:beforeAutospacing="0" w:after="0" w:afterAutospacing="0"/>
        <w:ind w:left="284" w:hanging="284"/>
        <w:rPr>
          <w:rFonts w:ascii="Arial" w:hAnsi="Arial" w:cs="Arial"/>
        </w:rPr>
      </w:pPr>
      <w:r w:rsidRPr="00EE1E9C">
        <w:rPr>
          <w:rFonts w:ascii="Arial" w:hAnsi="Arial" w:cs="Arial"/>
        </w:rPr>
        <w:t>primary pupils identified as not achieving a good level of development in the early years foundation stage profile (EYFSP)</w:t>
      </w:r>
    </w:p>
    <w:p w14:paraId="249F436B" w14:textId="1F7488F6" w:rsidR="00D45E63" w:rsidRDefault="00D45E63" w:rsidP="00AB4BCB">
      <w:pPr>
        <w:pStyle w:val="NormalWeb"/>
        <w:numPr>
          <w:ilvl w:val="0"/>
          <w:numId w:val="4"/>
        </w:numPr>
        <w:shd w:val="clear" w:color="auto" w:fill="FFFFFF"/>
        <w:tabs>
          <w:tab w:val="clear" w:pos="720"/>
        </w:tabs>
        <w:spacing w:before="0" w:beforeAutospacing="0" w:after="0" w:afterAutospacing="0"/>
        <w:ind w:left="284" w:hanging="284"/>
        <w:rPr>
          <w:rFonts w:ascii="Arial" w:hAnsi="Arial" w:cs="Arial"/>
        </w:rPr>
      </w:pPr>
      <w:r w:rsidRPr="00EE1E9C">
        <w:rPr>
          <w:rFonts w:ascii="Arial" w:hAnsi="Arial" w:cs="Arial"/>
        </w:rPr>
        <w:t xml:space="preserve">secondary pupils not reaching the expected standard in </w:t>
      </w:r>
      <w:r w:rsidR="00EE1E9C" w:rsidRPr="00EE1E9C">
        <w:rPr>
          <w:rFonts w:ascii="Arial" w:hAnsi="Arial" w:cs="Arial"/>
        </w:rPr>
        <w:t>KS2</w:t>
      </w:r>
      <w:r w:rsidRPr="00EE1E9C">
        <w:rPr>
          <w:rFonts w:ascii="Arial" w:hAnsi="Arial" w:cs="Arial"/>
        </w:rPr>
        <w:t xml:space="preserve"> at reading, writing or maths</w:t>
      </w:r>
      <w:r w:rsidR="009B17DE" w:rsidRPr="00EE1E9C">
        <w:rPr>
          <w:rFonts w:ascii="Arial" w:hAnsi="Arial" w:cs="Arial"/>
        </w:rPr>
        <w:t>.</w:t>
      </w:r>
    </w:p>
    <w:p w14:paraId="45156111" w14:textId="77777777" w:rsidR="00DB4F8A" w:rsidRDefault="00DB4F8A" w:rsidP="00DB4F8A">
      <w:pPr>
        <w:pStyle w:val="NormalWeb"/>
        <w:shd w:val="clear" w:color="auto" w:fill="FFFFFF"/>
        <w:spacing w:before="0" w:beforeAutospacing="0" w:after="0" w:afterAutospacing="0"/>
        <w:rPr>
          <w:rFonts w:ascii="Arial" w:hAnsi="Arial" w:cs="Arial"/>
        </w:rPr>
      </w:pPr>
    </w:p>
    <w:p w14:paraId="75DDAAB2" w14:textId="77777777" w:rsidR="00DB4F8A" w:rsidRPr="00C71D8F" w:rsidRDefault="00DB4F8A" w:rsidP="00DB4F8A">
      <w:pPr>
        <w:pStyle w:val="NormalWeb"/>
        <w:shd w:val="clear" w:color="auto" w:fill="FFFFFF"/>
        <w:spacing w:before="0" w:beforeAutospacing="0" w:after="300" w:afterAutospacing="0"/>
        <w:rPr>
          <w:rFonts w:ascii="Arial" w:hAnsi="Arial" w:cs="Arial"/>
          <w:lang w:val="en-GB"/>
        </w:rPr>
      </w:pPr>
      <w:r w:rsidRPr="00EC6A2C">
        <w:rPr>
          <w:rFonts w:ascii="Arial" w:hAnsi="Arial" w:cs="Arial"/>
        </w:rPr>
        <w:t xml:space="preserve">LPA </w:t>
      </w:r>
      <w:r w:rsidRPr="00EC6A2C">
        <w:rPr>
          <w:rFonts w:ascii="Arial" w:hAnsi="Arial" w:cs="Arial"/>
          <w:lang w:val="en-GB"/>
        </w:rPr>
        <w:t xml:space="preserve">funding is allocated to all pupils identified as not reaching the expected standard at the previous phase, regardless of their year group. Pupils who have not undertaken the assessment are given the overall average attainment score of their year group, so are taken into account when calculating a school’s LPA rate. For primary LPA, the ratio of </w:t>
      </w:r>
      <w:r w:rsidRPr="00C71D8F">
        <w:rPr>
          <w:rFonts w:ascii="Arial" w:hAnsi="Arial" w:cs="Arial"/>
          <w:lang w:val="en-GB"/>
        </w:rPr>
        <w:t>eligible pupils is calculated from pupils in years 1 to 6. This ratio is then applied to all pupils in years reception to year 6. This ensures that reception pupils also attract LPA funding.</w:t>
      </w:r>
    </w:p>
    <w:p w14:paraId="1F575C74" w14:textId="3416F6FF" w:rsidR="0066298D" w:rsidRDefault="00A143DE" w:rsidP="0066298D">
      <w:pPr>
        <w:pStyle w:val="NormalWeb"/>
        <w:shd w:val="clear" w:color="auto" w:fill="FFFFFF"/>
        <w:spacing w:before="0" w:beforeAutospacing="0" w:after="300" w:afterAutospacing="0"/>
        <w:rPr>
          <w:rFonts w:ascii="Arial" w:hAnsi="Arial" w:cs="Arial"/>
        </w:rPr>
      </w:pPr>
      <w:r>
        <w:rPr>
          <w:rFonts w:ascii="Arial" w:hAnsi="Arial" w:cs="Arial"/>
        </w:rPr>
        <w:t>T</w:t>
      </w:r>
      <w:r w:rsidR="00D45E63" w:rsidRPr="00F574EB">
        <w:rPr>
          <w:rFonts w:ascii="Arial" w:hAnsi="Arial" w:cs="Arial"/>
        </w:rPr>
        <w:t xml:space="preserve">he </w:t>
      </w:r>
      <w:r w:rsidR="007A51DF" w:rsidRPr="00F574EB">
        <w:rPr>
          <w:rFonts w:ascii="Arial" w:hAnsi="Arial" w:cs="Arial"/>
        </w:rPr>
        <w:t>DfE</w:t>
      </w:r>
      <w:r w:rsidR="00D45E63" w:rsidRPr="00F574EB">
        <w:rPr>
          <w:rFonts w:ascii="Arial" w:hAnsi="Arial" w:cs="Arial"/>
        </w:rPr>
        <w:t xml:space="preserve"> has weighted the LPA factor for secondary year groups so that year-on-year fluctuations in pass-</w:t>
      </w:r>
      <w:r w:rsidR="005124FE" w:rsidRPr="00F574EB">
        <w:rPr>
          <w:rFonts w:ascii="Arial" w:hAnsi="Arial" w:cs="Arial"/>
        </w:rPr>
        <w:t>rates</w:t>
      </w:r>
      <w:r w:rsidR="00D45E63" w:rsidRPr="00F574EB">
        <w:rPr>
          <w:rFonts w:ascii="Arial" w:hAnsi="Arial" w:cs="Arial"/>
        </w:rPr>
        <w:t xml:space="preserve"> do not disproportionately affect the distribution of funding through the LPA factor in the mainstream formula.</w:t>
      </w:r>
    </w:p>
    <w:p w14:paraId="4EE5C8CF" w14:textId="77777777" w:rsidR="00234EB7" w:rsidRDefault="00ED1D4E" w:rsidP="0066298D">
      <w:pPr>
        <w:pStyle w:val="NormalWeb"/>
        <w:shd w:val="clear" w:color="auto" w:fill="FFFFFF"/>
        <w:spacing w:before="0" w:beforeAutospacing="0" w:after="300" w:afterAutospacing="0"/>
        <w:rPr>
          <w:rFonts w:ascii="Arial" w:hAnsi="Arial" w:cs="Arial"/>
          <w:lang w:val="en-GB"/>
        </w:rPr>
      </w:pPr>
      <w:r w:rsidRPr="00B2710D">
        <w:rPr>
          <w:rFonts w:ascii="Arial" w:hAnsi="Arial" w:cs="Arial"/>
          <w:lang w:val="en-GB"/>
        </w:rPr>
        <w:t xml:space="preserve">Following the cancellation or incompleteness of both EYFSP and </w:t>
      </w:r>
      <w:r w:rsidR="007F0CB8">
        <w:rPr>
          <w:rFonts w:ascii="Arial" w:hAnsi="Arial" w:cs="Arial"/>
          <w:lang w:val="en-GB"/>
        </w:rPr>
        <w:t xml:space="preserve">KS2 </w:t>
      </w:r>
      <w:r w:rsidRPr="00B2710D">
        <w:rPr>
          <w:rFonts w:ascii="Arial" w:hAnsi="Arial" w:cs="Arial"/>
          <w:lang w:val="en-GB"/>
        </w:rPr>
        <w:t>assessments in summer 2020 and summer 2021 due to COVID-19, local authorities will not be able to use assessment data from these years in the low prior attainment factor in their local funding formulae. Instead, local authorities will use</w:t>
      </w:r>
      <w:r w:rsidR="00F34323" w:rsidRPr="00B2710D">
        <w:rPr>
          <w:rFonts w:ascii="Arial" w:hAnsi="Arial" w:cs="Arial"/>
          <w:lang w:val="en-GB"/>
        </w:rPr>
        <w:t xml:space="preserve"> proxy data</w:t>
      </w:r>
      <w:r w:rsidR="00FC6C04">
        <w:rPr>
          <w:rFonts w:ascii="Arial" w:hAnsi="Arial" w:cs="Arial"/>
          <w:lang w:val="en-GB"/>
        </w:rPr>
        <w:t xml:space="preserve">. </w:t>
      </w:r>
    </w:p>
    <w:p w14:paraId="3845F70D" w14:textId="45A7CA41" w:rsidR="00ED1D4E" w:rsidRPr="00E97B05" w:rsidRDefault="00FC6C04" w:rsidP="0066298D">
      <w:pPr>
        <w:pStyle w:val="NormalWeb"/>
        <w:shd w:val="clear" w:color="auto" w:fill="FFFFFF"/>
        <w:spacing w:before="0" w:beforeAutospacing="0" w:after="300" w:afterAutospacing="0"/>
        <w:rPr>
          <w:rFonts w:ascii="Arial" w:hAnsi="Arial" w:cs="Arial"/>
          <w:lang w:val="en-GB"/>
        </w:rPr>
      </w:pPr>
      <w:r>
        <w:rPr>
          <w:rFonts w:ascii="Arial" w:hAnsi="Arial" w:cs="Arial"/>
          <w:lang w:val="en-GB"/>
        </w:rPr>
        <w:t>F</w:t>
      </w:r>
      <w:r w:rsidR="00F34323" w:rsidRPr="00B2710D">
        <w:rPr>
          <w:rFonts w:ascii="Arial" w:hAnsi="Arial" w:cs="Arial"/>
          <w:lang w:val="en-GB"/>
        </w:rPr>
        <w:t>u</w:t>
      </w:r>
      <w:r w:rsidR="003114E9">
        <w:rPr>
          <w:rFonts w:ascii="Arial" w:hAnsi="Arial" w:cs="Arial"/>
          <w:lang w:val="en-GB"/>
        </w:rPr>
        <w:t xml:space="preserve">rther information </w:t>
      </w:r>
      <w:r w:rsidR="00F34323" w:rsidRPr="00EC6A2C">
        <w:rPr>
          <w:rFonts w:ascii="Arial" w:hAnsi="Arial" w:cs="Arial"/>
          <w:lang w:val="en-GB"/>
        </w:rPr>
        <w:t xml:space="preserve">can be found in </w:t>
      </w:r>
      <w:r w:rsidR="00F34323" w:rsidRPr="00E97B05">
        <w:rPr>
          <w:rFonts w:ascii="Arial" w:hAnsi="Arial" w:cs="Arial"/>
          <w:lang w:val="en-GB"/>
        </w:rPr>
        <w:t xml:space="preserve">the </w:t>
      </w:r>
      <w:hyperlink r:id="rId22" w:anchor="low-prior-attainment-lpa" w:history="1">
        <w:r w:rsidRPr="00E97B05">
          <w:rPr>
            <w:rStyle w:val="Hyperlink"/>
            <w:rFonts w:ascii="Arial" w:hAnsi="Arial" w:cs="Arial"/>
            <w:lang w:val="en-GB"/>
          </w:rPr>
          <w:t>schools</w:t>
        </w:r>
        <w:r w:rsidR="00F34323" w:rsidRPr="00E97B05">
          <w:rPr>
            <w:rStyle w:val="Hyperlink"/>
            <w:rFonts w:ascii="Arial" w:hAnsi="Arial" w:cs="Arial"/>
            <w:lang w:val="en-GB"/>
          </w:rPr>
          <w:t xml:space="preserve"> operational guide</w:t>
        </w:r>
      </w:hyperlink>
      <w:r w:rsidR="00F34323" w:rsidRPr="00E97B05">
        <w:rPr>
          <w:rFonts w:ascii="Arial" w:hAnsi="Arial" w:cs="Arial"/>
          <w:lang w:val="en-GB"/>
        </w:rPr>
        <w:t>.</w:t>
      </w:r>
    </w:p>
    <w:p w14:paraId="232D6505" w14:textId="77777777" w:rsidR="006054DA" w:rsidRDefault="006054DA">
      <w:pPr>
        <w:spacing w:after="160" w:line="259" w:lineRule="auto"/>
        <w:rPr>
          <w:rFonts w:eastAsia="Times New Roman"/>
          <w:b/>
          <w:bCs/>
          <w:kern w:val="0"/>
          <w14:ligatures w14:val="none"/>
        </w:rPr>
      </w:pPr>
      <w:r>
        <w:rPr>
          <w:b/>
          <w:bCs/>
        </w:rPr>
        <w:br w:type="page"/>
      </w:r>
    </w:p>
    <w:p w14:paraId="4CF12CB1" w14:textId="378BADDE" w:rsidR="00D45E63" w:rsidRPr="00E97B05" w:rsidRDefault="00E97B05" w:rsidP="00E97B05">
      <w:pPr>
        <w:pStyle w:val="ListParagraph"/>
        <w:numPr>
          <w:ilvl w:val="0"/>
          <w:numId w:val="0"/>
        </w:numPr>
        <w:rPr>
          <w:b/>
          <w:bCs/>
        </w:rPr>
      </w:pPr>
      <w:bookmarkStart w:id="7" w:name="Englishasadditionallanguage"/>
      <w:r>
        <w:rPr>
          <w:b/>
          <w:bCs/>
        </w:rPr>
        <w:lastRenderedPageBreak/>
        <w:t xml:space="preserve">4.4 </w:t>
      </w:r>
      <w:r w:rsidR="00D45E63" w:rsidRPr="00E97B05">
        <w:rPr>
          <w:b/>
          <w:bCs/>
        </w:rPr>
        <w:t xml:space="preserve">English as an </w:t>
      </w:r>
      <w:r w:rsidR="00EC6A2C" w:rsidRPr="00E97B05">
        <w:rPr>
          <w:b/>
          <w:bCs/>
        </w:rPr>
        <w:t>a</w:t>
      </w:r>
      <w:r w:rsidR="00D45E63" w:rsidRPr="00E97B05">
        <w:rPr>
          <w:b/>
          <w:bCs/>
        </w:rPr>
        <w:t xml:space="preserve">dditional </w:t>
      </w:r>
      <w:r w:rsidR="00EC6A2C" w:rsidRPr="00E97B05">
        <w:rPr>
          <w:b/>
          <w:bCs/>
        </w:rPr>
        <w:t>l</w:t>
      </w:r>
      <w:r w:rsidR="00D45E63" w:rsidRPr="00E97B05">
        <w:rPr>
          <w:b/>
          <w:bCs/>
        </w:rPr>
        <w:t>anguage (EAL)</w:t>
      </w:r>
    </w:p>
    <w:bookmarkEnd w:id="7"/>
    <w:p w14:paraId="76B26688" w14:textId="77777777" w:rsidR="00C71D8F" w:rsidRPr="00C71D8F" w:rsidRDefault="00C71D8F" w:rsidP="00C71D8F">
      <w:pPr>
        <w:rPr>
          <w:b/>
          <w:bCs/>
        </w:rPr>
      </w:pPr>
    </w:p>
    <w:p w14:paraId="04BE7909" w14:textId="5256BD0C" w:rsidR="00D365AA" w:rsidRDefault="008273C9" w:rsidP="006054DA">
      <w:pPr>
        <w:pStyle w:val="NormalWeb"/>
        <w:shd w:val="clear" w:color="auto" w:fill="FFFFFF"/>
        <w:spacing w:before="0" w:beforeAutospacing="0" w:after="300" w:afterAutospacing="0"/>
        <w:rPr>
          <w:b/>
        </w:rPr>
      </w:pPr>
      <w:r w:rsidRPr="006D3A36">
        <w:rPr>
          <w:rFonts w:ascii="Arial" w:hAnsi="Arial" w:cs="Arial"/>
        </w:rPr>
        <w:t>P</w:t>
      </w:r>
      <w:r w:rsidR="00D45E63" w:rsidRPr="006D3A36">
        <w:rPr>
          <w:rFonts w:ascii="Arial" w:hAnsi="Arial" w:cs="Arial"/>
        </w:rPr>
        <w:t>u</w:t>
      </w:r>
      <w:r w:rsidR="00C71D8F" w:rsidRPr="006D3A36">
        <w:rPr>
          <w:rFonts w:ascii="Arial" w:hAnsi="Arial" w:cs="Arial"/>
        </w:rPr>
        <w:t>p</w:t>
      </w:r>
      <w:r w:rsidR="00D45E63" w:rsidRPr="006D3A36">
        <w:rPr>
          <w:rFonts w:ascii="Arial" w:hAnsi="Arial" w:cs="Arial"/>
        </w:rPr>
        <w:t xml:space="preserve">ils identified in the October </w:t>
      </w:r>
      <w:r w:rsidR="00972ABC" w:rsidRPr="006D3A36">
        <w:rPr>
          <w:rFonts w:ascii="Arial" w:hAnsi="Arial" w:cs="Arial"/>
        </w:rPr>
        <w:t xml:space="preserve">2025 </w:t>
      </w:r>
      <w:r w:rsidR="00D45E63" w:rsidRPr="006D3A36">
        <w:rPr>
          <w:rFonts w:ascii="Arial" w:hAnsi="Arial" w:cs="Arial"/>
        </w:rPr>
        <w:t>census with a first language other than English attract funding for 3 years after they enter the statutory school system.</w:t>
      </w:r>
      <w:r w:rsidR="00176CD2">
        <w:t xml:space="preserve"> </w:t>
      </w:r>
      <w:r w:rsidR="00176CD2">
        <w:rPr>
          <w:rFonts w:ascii="Arial" w:hAnsi="Arial" w:cs="Arial"/>
          <w:lang w:val="en-GB"/>
        </w:rPr>
        <w:t>F</w:t>
      </w:r>
      <w:r w:rsidR="00176CD2" w:rsidRPr="00B2710D">
        <w:rPr>
          <w:rFonts w:ascii="Arial" w:hAnsi="Arial" w:cs="Arial"/>
          <w:lang w:val="en-GB"/>
        </w:rPr>
        <w:t>u</w:t>
      </w:r>
      <w:r w:rsidR="00176CD2">
        <w:rPr>
          <w:rFonts w:ascii="Arial" w:hAnsi="Arial" w:cs="Arial"/>
          <w:lang w:val="en-GB"/>
        </w:rPr>
        <w:t xml:space="preserve">rther information </w:t>
      </w:r>
      <w:r w:rsidR="00176CD2" w:rsidRPr="00EC6A2C">
        <w:rPr>
          <w:rFonts w:ascii="Arial" w:hAnsi="Arial" w:cs="Arial"/>
          <w:lang w:val="en-GB"/>
        </w:rPr>
        <w:t xml:space="preserve">can be found in the </w:t>
      </w:r>
      <w:hyperlink r:id="rId23" w:anchor="english-as-an-additional-language" w:history="1">
        <w:r w:rsidR="00176CD2" w:rsidRPr="00FC6C04">
          <w:rPr>
            <w:rStyle w:val="Hyperlink"/>
            <w:rFonts w:ascii="Arial" w:hAnsi="Arial" w:cs="Arial"/>
            <w:lang w:val="en-GB"/>
          </w:rPr>
          <w:t>schools operational guide</w:t>
        </w:r>
      </w:hyperlink>
      <w:r w:rsidR="00176CD2" w:rsidRPr="00EC6A2C">
        <w:rPr>
          <w:rFonts w:ascii="Arial" w:hAnsi="Arial" w:cs="Arial"/>
          <w:lang w:val="en-GB"/>
        </w:rPr>
        <w:t>.</w:t>
      </w:r>
    </w:p>
    <w:p w14:paraId="0F2AB2D0" w14:textId="1448EB60" w:rsidR="00D45E63" w:rsidRPr="00E97B05" w:rsidRDefault="00E97B05" w:rsidP="00E97B05">
      <w:pPr>
        <w:rPr>
          <w:b/>
        </w:rPr>
      </w:pPr>
      <w:bookmarkStart w:id="8" w:name="Pupilmobility"/>
      <w:r w:rsidRPr="00E97B05">
        <w:rPr>
          <w:b/>
        </w:rPr>
        <w:t xml:space="preserve">4.5 </w:t>
      </w:r>
      <w:r w:rsidR="00D22048" w:rsidRPr="00E97B05">
        <w:rPr>
          <w:b/>
        </w:rPr>
        <w:t>Pupil mobilit</w:t>
      </w:r>
      <w:r w:rsidR="006C0B41" w:rsidRPr="00E97B05">
        <w:rPr>
          <w:b/>
        </w:rPr>
        <w:t>y</w:t>
      </w:r>
    </w:p>
    <w:bookmarkEnd w:id="8"/>
    <w:p w14:paraId="662A59B4" w14:textId="77777777" w:rsidR="00C71D8F" w:rsidRPr="00C71D8F" w:rsidRDefault="00C71D8F" w:rsidP="00C71D8F">
      <w:pPr>
        <w:rPr>
          <w:b/>
          <w:spacing w:val="1"/>
        </w:rPr>
      </w:pPr>
    </w:p>
    <w:p w14:paraId="741AA19D" w14:textId="412C4D7D" w:rsidR="00D45E63" w:rsidRPr="00174CE7" w:rsidRDefault="00D45E63" w:rsidP="00D45E63">
      <w:pPr>
        <w:pStyle w:val="NormalWeb"/>
        <w:shd w:val="clear" w:color="auto" w:fill="FFFFFF"/>
        <w:spacing w:before="0" w:beforeAutospacing="0" w:after="300" w:afterAutospacing="0"/>
        <w:rPr>
          <w:rFonts w:ascii="Arial" w:hAnsi="Arial" w:cs="Arial"/>
        </w:rPr>
      </w:pPr>
      <w:r w:rsidRPr="00174CE7">
        <w:rPr>
          <w:rFonts w:ascii="Arial" w:hAnsi="Arial" w:cs="Arial"/>
        </w:rPr>
        <w:t>The mobility factor allocates funding to schools with a high proportion of pupils who have an entry date in the last 3 years that is not typical. For year groups 1 to 11, ‘typical’ means that the first census on which a pupil is recorded as attending the school (or its predecessors) is the October census. For the reception year, ‘typical’ means that the first census is in October or January.</w:t>
      </w:r>
    </w:p>
    <w:p w14:paraId="5D017E74" w14:textId="0BBB05C4" w:rsidR="006C0B41" w:rsidRPr="007A5D99" w:rsidRDefault="00D45E63" w:rsidP="007A5D99">
      <w:pPr>
        <w:pStyle w:val="NormalWeb"/>
        <w:shd w:val="clear" w:color="auto" w:fill="FFFFFF"/>
        <w:spacing w:before="0" w:beforeAutospacing="0" w:after="300" w:afterAutospacing="0"/>
        <w:rPr>
          <w:rFonts w:ascii="Arial" w:hAnsi="Arial" w:cs="Arial"/>
          <w:lang w:val="en-GB"/>
        </w:rPr>
      </w:pPr>
      <w:r w:rsidRPr="00631E47">
        <w:rPr>
          <w:rFonts w:ascii="Arial" w:hAnsi="Arial" w:cs="Arial"/>
        </w:rPr>
        <w:t>To be eligible for mobility funding, the proportion of mobile pupils in a school must be above the threshold of 6%. A per pupil amount is then allocated in respect of all mobile pupils above that threshold.</w:t>
      </w:r>
      <w:r w:rsidR="007A5D99">
        <w:rPr>
          <w:rFonts w:ascii="Arial" w:hAnsi="Arial" w:cs="Arial"/>
        </w:rPr>
        <w:t xml:space="preserve"> </w:t>
      </w:r>
      <w:r w:rsidR="007A5D99">
        <w:rPr>
          <w:rFonts w:ascii="Arial" w:hAnsi="Arial" w:cs="Arial"/>
          <w:lang w:val="en-GB"/>
        </w:rPr>
        <w:t>F</w:t>
      </w:r>
      <w:r w:rsidR="007A5D99" w:rsidRPr="00B2710D">
        <w:rPr>
          <w:rFonts w:ascii="Arial" w:hAnsi="Arial" w:cs="Arial"/>
          <w:lang w:val="en-GB"/>
        </w:rPr>
        <w:t>u</w:t>
      </w:r>
      <w:r w:rsidR="007A5D99">
        <w:rPr>
          <w:rFonts w:ascii="Arial" w:hAnsi="Arial" w:cs="Arial"/>
          <w:lang w:val="en-GB"/>
        </w:rPr>
        <w:t xml:space="preserve">rther information </w:t>
      </w:r>
      <w:r w:rsidR="007A5D99" w:rsidRPr="00EC6A2C">
        <w:rPr>
          <w:rFonts w:ascii="Arial" w:hAnsi="Arial" w:cs="Arial"/>
          <w:lang w:val="en-GB"/>
        </w:rPr>
        <w:t xml:space="preserve">can be found in the </w:t>
      </w:r>
      <w:bookmarkStart w:id="9" w:name="_Hlk211842074"/>
      <w:r w:rsidR="007A5D99">
        <w:fldChar w:fldCharType="begin"/>
      </w:r>
      <w:r w:rsidR="005C02C6">
        <w:instrText>HYPERLINK "https://www.gov.uk/government/publications/pre-16-schools-funding-local-authority-guidance-for-2026-to-2027/schools-operational-guide-2026-to-2027" \l "pupil-mobility"</w:instrText>
      </w:r>
      <w:r w:rsidR="007A5D99">
        <w:fldChar w:fldCharType="separate"/>
      </w:r>
      <w:r w:rsidR="007A5D99" w:rsidRPr="00FC6C04">
        <w:rPr>
          <w:rStyle w:val="Hyperlink"/>
          <w:rFonts w:ascii="Arial" w:hAnsi="Arial" w:cs="Arial"/>
          <w:lang w:val="en-GB"/>
        </w:rPr>
        <w:t>schools operational guide</w:t>
      </w:r>
      <w:r w:rsidR="007A5D99">
        <w:fldChar w:fldCharType="end"/>
      </w:r>
      <w:bookmarkEnd w:id="9"/>
      <w:r w:rsidR="007A5D99" w:rsidRPr="00EC6A2C">
        <w:rPr>
          <w:rFonts w:ascii="Arial" w:hAnsi="Arial" w:cs="Arial"/>
          <w:lang w:val="en-GB"/>
        </w:rPr>
        <w:t>.</w:t>
      </w:r>
    </w:p>
    <w:p w14:paraId="503A24C9" w14:textId="6A3E0BBA" w:rsidR="006C0B41" w:rsidRPr="00E97B05" w:rsidRDefault="00E97B05" w:rsidP="00E97B05">
      <w:pPr>
        <w:rPr>
          <w:b/>
          <w:color w:val="FF0000"/>
          <w:spacing w:val="1"/>
        </w:rPr>
      </w:pPr>
      <w:bookmarkStart w:id="10" w:name="Lumpsum"/>
      <w:r w:rsidRPr="00E97B05">
        <w:rPr>
          <w:b/>
          <w:bCs/>
          <w:spacing w:val="1"/>
        </w:rPr>
        <w:t xml:space="preserve">4.6 </w:t>
      </w:r>
      <w:r w:rsidR="006C0B41" w:rsidRPr="00E97B05">
        <w:rPr>
          <w:b/>
          <w:bCs/>
          <w:spacing w:val="1"/>
        </w:rPr>
        <w:t>Lump sum</w:t>
      </w:r>
      <w:bookmarkEnd w:id="10"/>
    </w:p>
    <w:p w14:paraId="61A21FE3" w14:textId="77777777" w:rsidR="006C0B41" w:rsidRDefault="006C0B41" w:rsidP="006C0B41"/>
    <w:p w14:paraId="23AE44BF" w14:textId="53E3FF3E" w:rsidR="006C0B41" w:rsidRPr="004D0FE0" w:rsidRDefault="006C0B41" w:rsidP="006C0B41">
      <w:pPr>
        <w:pStyle w:val="NormalWeb"/>
        <w:shd w:val="clear" w:color="auto" w:fill="FFFFFF"/>
        <w:spacing w:before="0" w:beforeAutospacing="0" w:after="300" w:afterAutospacing="0"/>
        <w:rPr>
          <w:rFonts w:ascii="Arial" w:hAnsi="Arial" w:cs="Arial"/>
          <w:color w:val="FF0000"/>
        </w:rPr>
      </w:pPr>
      <w:r w:rsidRPr="00B1049D">
        <w:rPr>
          <w:rFonts w:ascii="Arial" w:hAnsi="Arial" w:cs="Arial"/>
        </w:rPr>
        <w:t xml:space="preserve">A fixed sum of </w:t>
      </w:r>
      <w:r w:rsidR="005175BF">
        <w:rPr>
          <w:rFonts w:ascii="Arial" w:hAnsi="Arial" w:cs="Arial"/>
        </w:rPr>
        <w:t>£154,</w:t>
      </w:r>
      <w:r w:rsidR="00972347">
        <w:rPr>
          <w:rFonts w:ascii="Arial" w:hAnsi="Arial" w:cs="Arial"/>
        </w:rPr>
        <w:t xml:space="preserve">105 </w:t>
      </w:r>
      <w:r w:rsidR="00A5287E">
        <w:rPr>
          <w:rFonts w:ascii="Arial" w:hAnsi="Arial" w:cs="Arial"/>
        </w:rPr>
        <w:t>i</w:t>
      </w:r>
      <w:r w:rsidRPr="00B1049D">
        <w:rPr>
          <w:rFonts w:ascii="Arial" w:hAnsi="Arial" w:cs="Arial"/>
        </w:rPr>
        <w:t>s allocated to all mainstream schools.</w:t>
      </w:r>
    </w:p>
    <w:p w14:paraId="17B6C29A" w14:textId="3E39AAB9" w:rsidR="006C0B41" w:rsidRPr="00631E47" w:rsidRDefault="006C0B41" w:rsidP="001C7564">
      <w:pPr>
        <w:pStyle w:val="NormalWeb"/>
        <w:shd w:val="clear" w:color="auto" w:fill="FFFFFF"/>
        <w:spacing w:before="0" w:beforeAutospacing="0" w:after="300" w:afterAutospacing="0"/>
        <w:rPr>
          <w:rFonts w:ascii="Arial" w:hAnsi="Arial" w:cs="Arial"/>
        </w:rPr>
      </w:pPr>
      <w:r w:rsidRPr="00F65CB3">
        <w:rPr>
          <w:rFonts w:ascii="Arial" w:hAnsi="Arial" w:cs="Arial"/>
          <w:lang w:val="en-GB"/>
        </w:rPr>
        <w:t>Where schools have amalgamated</w:t>
      </w:r>
      <w:r w:rsidR="007A510B">
        <w:rPr>
          <w:rFonts w:ascii="Arial" w:hAnsi="Arial" w:cs="Arial"/>
          <w:lang w:val="en-GB"/>
        </w:rPr>
        <w:t>,</w:t>
      </w:r>
      <w:r w:rsidRPr="00F65CB3">
        <w:rPr>
          <w:rFonts w:ascii="Arial" w:hAnsi="Arial" w:cs="Arial"/>
          <w:lang w:val="en-GB"/>
        </w:rPr>
        <w:t xml:space="preserve"> </w:t>
      </w:r>
      <w:r w:rsidR="004A0E06">
        <w:rPr>
          <w:rFonts w:ascii="Arial" w:hAnsi="Arial" w:cs="Arial"/>
          <w:lang w:val="en-GB"/>
        </w:rPr>
        <w:t>the</w:t>
      </w:r>
      <w:r w:rsidR="007A510B">
        <w:rPr>
          <w:rFonts w:ascii="Arial" w:hAnsi="Arial" w:cs="Arial"/>
          <w:lang w:val="en-GB"/>
        </w:rPr>
        <w:t>re are specific rules which determine</w:t>
      </w:r>
      <w:r w:rsidR="000C50F2">
        <w:rPr>
          <w:rFonts w:ascii="Arial" w:hAnsi="Arial" w:cs="Arial"/>
          <w:lang w:val="en-GB"/>
        </w:rPr>
        <w:t xml:space="preserve"> how the lump sum of the closing school should be treated. Further </w:t>
      </w:r>
      <w:r w:rsidR="000C50F2" w:rsidRPr="000C50F2">
        <w:rPr>
          <w:rFonts w:ascii="Arial" w:hAnsi="Arial" w:cs="Arial"/>
          <w:lang w:val="en-GB"/>
        </w:rPr>
        <w:t>information</w:t>
      </w:r>
      <w:r w:rsidR="004A0E06" w:rsidRPr="000C50F2">
        <w:rPr>
          <w:rFonts w:ascii="Arial" w:hAnsi="Arial" w:cs="Arial"/>
          <w:lang w:val="en-GB"/>
        </w:rPr>
        <w:t xml:space="preserve"> </w:t>
      </w:r>
      <w:r w:rsidR="000C50F2" w:rsidRPr="000C50F2">
        <w:rPr>
          <w:rFonts w:ascii="Arial" w:hAnsi="Arial" w:cs="Arial"/>
        </w:rPr>
        <w:t>can be found in the</w:t>
      </w:r>
      <w:r w:rsidR="00E904B2">
        <w:rPr>
          <w:rFonts w:ascii="Arial" w:hAnsi="Arial" w:cs="Arial"/>
        </w:rPr>
        <w:t xml:space="preserve"> </w:t>
      </w:r>
      <w:hyperlink r:id="rId24" w:anchor="lump-sum" w:history="1">
        <w:r w:rsidR="00E904B2" w:rsidRPr="00FC6C04">
          <w:rPr>
            <w:rStyle w:val="Hyperlink"/>
            <w:rFonts w:ascii="Arial" w:hAnsi="Arial" w:cs="Arial"/>
            <w:lang w:val="en-GB"/>
          </w:rPr>
          <w:t>schools operational guide</w:t>
        </w:r>
      </w:hyperlink>
      <w:r w:rsidR="000C50F2" w:rsidRPr="000C50F2">
        <w:rPr>
          <w:rFonts w:ascii="Arial" w:hAnsi="Arial" w:cs="Arial"/>
        </w:rPr>
        <w:t>.</w:t>
      </w:r>
    </w:p>
    <w:p w14:paraId="1DDA992C" w14:textId="78551A6A" w:rsidR="00D45E63" w:rsidRPr="00E97B05" w:rsidRDefault="00E97B05" w:rsidP="00E97B05">
      <w:pPr>
        <w:rPr>
          <w:b/>
          <w:bCs/>
          <w:color w:val="FF0000"/>
        </w:rPr>
      </w:pPr>
      <w:bookmarkStart w:id="11" w:name="Sparsity"/>
      <w:r w:rsidRPr="00E97B05">
        <w:rPr>
          <w:b/>
          <w:bCs/>
        </w:rPr>
        <w:t xml:space="preserve">4.7 </w:t>
      </w:r>
      <w:r w:rsidR="00D45E63" w:rsidRPr="00E97B05">
        <w:rPr>
          <w:b/>
          <w:bCs/>
        </w:rPr>
        <w:t>Sparsity</w:t>
      </w:r>
      <w:bookmarkEnd w:id="11"/>
    </w:p>
    <w:p w14:paraId="429D2F12" w14:textId="77777777" w:rsidR="00C71D8F" w:rsidRPr="00C71D8F" w:rsidRDefault="00C71D8F" w:rsidP="00C71D8F">
      <w:pPr>
        <w:rPr>
          <w:b/>
          <w:bCs/>
          <w:spacing w:val="1"/>
        </w:rPr>
      </w:pPr>
    </w:p>
    <w:p w14:paraId="48FC5EFD" w14:textId="022B888C" w:rsidR="00D45E63" w:rsidRPr="00AF3260" w:rsidRDefault="00D45E63" w:rsidP="00D45E63">
      <w:pPr>
        <w:rPr>
          <w:bCs/>
          <w:spacing w:val="1"/>
        </w:rPr>
      </w:pPr>
      <w:r w:rsidRPr="00AF3260">
        <w:rPr>
          <w:bCs/>
          <w:spacing w:val="1"/>
        </w:rPr>
        <w:t xml:space="preserve">The sparsity </w:t>
      </w:r>
      <w:r w:rsidR="00AF3260" w:rsidRPr="00AF3260">
        <w:rPr>
          <w:bCs/>
          <w:spacing w:val="1"/>
        </w:rPr>
        <w:t>factor allocates funding to schools that are remote, measured by sparsity distances, and are small, based on average year group size.</w:t>
      </w:r>
    </w:p>
    <w:p w14:paraId="14D4DE37" w14:textId="77777777" w:rsidR="00D45E63" w:rsidRPr="004D0FE0" w:rsidRDefault="00D45E63" w:rsidP="00D45E63">
      <w:pPr>
        <w:rPr>
          <w:bCs/>
          <w:color w:val="FF0000"/>
          <w:spacing w:val="1"/>
        </w:rPr>
      </w:pPr>
    </w:p>
    <w:p w14:paraId="1C32DA13" w14:textId="2DB9DE9C" w:rsidR="00C271B3" w:rsidRDefault="001A0C0E" w:rsidP="003D246A">
      <w:pPr>
        <w:rPr>
          <w:bCs/>
          <w:spacing w:val="1"/>
        </w:rPr>
      </w:pPr>
      <w:r w:rsidRPr="0035752B">
        <w:rPr>
          <w:bCs/>
          <w:spacing w:val="1"/>
        </w:rPr>
        <w:t>Sparsity distances are measured using</w:t>
      </w:r>
      <w:r w:rsidR="00D45E63" w:rsidRPr="0035752B">
        <w:rPr>
          <w:bCs/>
          <w:spacing w:val="1"/>
        </w:rPr>
        <w:t xml:space="preserve"> road distance. To calculate the sparsity distance, the DfE take all the pupils for whom it is the nearest compatible school and find the average </w:t>
      </w:r>
      <w:r w:rsidR="0035752B" w:rsidRPr="0035752B">
        <w:rPr>
          <w:bCs/>
          <w:spacing w:val="1"/>
        </w:rPr>
        <w:t xml:space="preserve">shortest </w:t>
      </w:r>
      <w:r w:rsidR="00D45E63" w:rsidRPr="0035752B">
        <w:rPr>
          <w:bCs/>
          <w:spacing w:val="1"/>
        </w:rPr>
        <w:t>road distance from these pupils’ home postcode to their second nearest compatible school</w:t>
      </w:r>
      <w:r w:rsidR="0035752B" w:rsidRPr="0035752B">
        <w:rPr>
          <w:bCs/>
          <w:spacing w:val="1"/>
        </w:rPr>
        <w:t>s</w:t>
      </w:r>
      <w:r w:rsidR="00D45E63" w:rsidRPr="0035752B">
        <w:rPr>
          <w:bCs/>
          <w:spacing w:val="1"/>
        </w:rPr>
        <w:t>.</w:t>
      </w:r>
    </w:p>
    <w:p w14:paraId="1A72CAFD" w14:textId="77777777" w:rsidR="003D246A" w:rsidRDefault="003D246A" w:rsidP="003D246A">
      <w:pPr>
        <w:rPr>
          <w:bCs/>
          <w:spacing w:val="1"/>
        </w:rPr>
      </w:pPr>
    </w:p>
    <w:p w14:paraId="497ECD5D" w14:textId="41D825E7" w:rsidR="006861B8" w:rsidRPr="006861B8" w:rsidRDefault="006861B8" w:rsidP="006861B8">
      <w:pPr>
        <w:rPr>
          <w:bCs/>
          <w:spacing w:val="1"/>
        </w:rPr>
      </w:pPr>
      <w:r w:rsidRPr="006861B8">
        <w:rPr>
          <w:bCs/>
          <w:spacing w:val="1"/>
        </w:rPr>
        <w:t>A school is eligible for sparsity funding in the NFF if:</w:t>
      </w:r>
    </w:p>
    <w:p w14:paraId="30D79A3B" w14:textId="77777777" w:rsidR="006861B8" w:rsidRPr="006861B8" w:rsidRDefault="006861B8" w:rsidP="009A5CEC">
      <w:pPr>
        <w:pStyle w:val="ListParagraph"/>
        <w:numPr>
          <w:ilvl w:val="0"/>
          <w:numId w:val="15"/>
        </w:numPr>
        <w:ind w:left="284" w:hanging="284"/>
      </w:pPr>
      <w:r w:rsidRPr="006861B8">
        <w:t>its sparsity distance is equal to or above the main distance threshold, or above the tapered distance threshold</w:t>
      </w:r>
    </w:p>
    <w:p w14:paraId="6D854F32" w14:textId="18ABD1CC" w:rsidR="001E11B9" w:rsidRDefault="006861B8" w:rsidP="009A5CEC">
      <w:pPr>
        <w:pStyle w:val="ListParagraph"/>
        <w:numPr>
          <w:ilvl w:val="0"/>
          <w:numId w:val="15"/>
        </w:numPr>
        <w:ind w:left="284" w:hanging="284"/>
      </w:pPr>
      <w:r w:rsidRPr="006861B8">
        <w:t>the average year group size (calculated as the APT-adjusted pupil count divided by number of year groups present at the school) is below the relevant size threshold</w:t>
      </w:r>
    </w:p>
    <w:p w14:paraId="3A1084AF" w14:textId="1536D025" w:rsidR="006054DA" w:rsidRDefault="006054DA">
      <w:pPr>
        <w:spacing w:after="160" w:line="259" w:lineRule="auto"/>
        <w:rPr>
          <w:rFonts w:eastAsia="Times New Roman"/>
          <w:kern w:val="0"/>
          <w14:ligatures w14:val="none"/>
        </w:rPr>
      </w:pPr>
      <w:r>
        <w:br w:type="page"/>
      </w:r>
    </w:p>
    <w:tbl>
      <w:tblPr>
        <w:tblW w:w="10203" w:type="dxa"/>
        <w:tblLayout w:type="fixed"/>
        <w:tblLook w:val="04A0" w:firstRow="1" w:lastRow="0" w:firstColumn="1" w:lastColumn="0" w:noHBand="0" w:noVBand="1"/>
      </w:tblPr>
      <w:tblGrid>
        <w:gridCol w:w="2263"/>
        <w:gridCol w:w="1985"/>
        <w:gridCol w:w="1985"/>
        <w:gridCol w:w="1985"/>
        <w:gridCol w:w="1985"/>
      </w:tblGrid>
      <w:tr w:rsidR="001E11B9" w:rsidRPr="004D0FE0" w14:paraId="6C4EC7AF" w14:textId="77777777" w:rsidTr="006054DA">
        <w:trPr>
          <w:trHeight w:val="576"/>
        </w:trPr>
        <w:tc>
          <w:tcPr>
            <w:tcW w:w="2263" w:type="dxa"/>
            <w:tcBorders>
              <w:top w:val="single" w:sz="4" w:space="0" w:color="auto"/>
              <w:left w:val="single" w:sz="4" w:space="0" w:color="auto"/>
              <w:bottom w:val="single" w:sz="4" w:space="0" w:color="auto"/>
              <w:right w:val="single" w:sz="4" w:space="0" w:color="auto"/>
            </w:tcBorders>
            <w:vAlign w:val="bottom"/>
            <w:hideMark/>
          </w:tcPr>
          <w:p w14:paraId="27D9E5E2" w14:textId="77777777" w:rsidR="001E11B9" w:rsidRPr="00247A60" w:rsidRDefault="001E11B9">
            <w:pPr>
              <w:rPr>
                <w:b/>
                <w:bCs/>
              </w:rPr>
            </w:pPr>
            <w:r w:rsidRPr="00247A60">
              <w:rPr>
                <w:b/>
                <w:bCs/>
              </w:rPr>
              <w:lastRenderedPageBreak/>
              <w:t>School phase</w:t>
            </w:r>
          </w:p>
        </w:tc>
        <w:tc>
          <w:tcPr>
            <w:tcW w:w="1985" w:type="dxa"/>
            <w:tcBorders>
              <w:top w:val="single" w:sz="4" w:space="0" w:color="auto"/>
              <w:left w:val="nil"/>
              <w:bottom w:val="single" w:sz="4" w:space="0" w:color="auto"/>
              <w:right w:val="single" w:sz="4" w:space="0" w:color="auto"/>
            </w:tcBorders>
            <w:vAlign w:val="bottom"/>
            <w:hideMark/>
          </w:tcPr>
          <w:p w14:paraId="6D54DB3A" w14:textId="77777777" w:rsidR="001E11B9" w:rsidRPr="00247A60" w:rsidRDefault="001E11B9">
            <w:pPr>
              <w:rPr>
                <w:b/>
                <w:bCs/>
              </w:rPr>
            </w:pPr>
            <w:r w:rsidRPr="00247A60">
              <w:rPr>
                <w:b/>
                <w:bCs/>
              </w:rPr>
              <w:t>Main distance threshold</w:t>
            </w:r>
          </w:p>
        </w:tc>
        <w:tc>
          <w:tcPr>
            <w:tcW w:w="1985" w:type="dxa"/>
            <w:tcBorders>
              <w:top w:val="single" w:sz="4" w:space="0" w:color="auto"/>
              <w:left w:val="nil"/>
              <w:bottom w:val="single" w:sz="4" w:space="0" w:color="auto"/>
              <w:right w:val="single" w:sz="4" w:space="0" w:color="auto"/>
            </w:tcBorders>
            <w:vAlign w:val="bottom"/>
            <w:hideMark/>
          </w:tcPr>
          <w:p w14:paraId="6B6B2EE3" w14:textId="77777777" w:rsidR="001E11B9" w:rsidRPr="00247A60" w:rsidRDefault="001E11B9">
            <w:pPr>
              <w:rPr>
                <w:b/>
                <w:bCs/>
              </w:rPr>
            </w:pPr>
            <w:r w:rsidRPr="00247A60">
              <w:rPr>
                <w:b/>
                <w:bCs/>
              </w:rPr>
              <w:t>Distance taper threshold</w:t>
            </w:r>
          </w:p>
        </w:tc>
        <w:tc>
          <w:tcPr>
            <w:tcW w:w="1985" w:type="dxa"/>
            <w:tcBorders>
              <w:top w:val="single" w:sz="4" w:space="0" w:color="auto"/>
              <w:left w:val="nil"/>
              <w:bottom w:val="single" w:sz="4" w:space="0" w:color="auto"/>
              <w:right w:val="single" w:sz="4" w:space="0" w:color="auto"/>
            </w:tcBorders>
            <w:vAlign w:val="bottom"/>
          </w:tcPr>
          <w:p w14:paraId="09F2AD2F" w14:textId="6261041F" w:rsidR="001E11B9" w:rsidRPr="00CD6061" w:rsidRDefault="001E11B9">
            <w:pPr>
              <w:rPr>
                <w:b/>
                <w:bCs/>
              </w:rPr>
            </w:pPr>
            <w:r w:rsidRPr="00CD6061">
              <w:rPr>
                <w:b/>
              </w:rPr>
              <w:t xml:space="preserve">Main year </w:t>
            </w:r>
            <w:r w:rsidRPr="00CD6061">
              <w:rPr>
                <w:b/>
              </w:rPr>
              <w:br/>
              <w:t xml:space="preserve">group </w:t>
            </w:r>
            <w:r w:rsidRPr="00CD6061">
              <w:rPr>
                <w:b/>
              </w:rPr>
              <w:br/>
              <w:t>threshold</w:t>
            </w:r>
            <w:r w:rsidRPr="00CD6061">
              <w:rPr>
                <w:b/>
              </w:rPr>
              <w:br/>
              <w:t xml:space="preserve">(average </w:t>
            </w:r>
            <w:r w:rsidRPr="00CD6061">
              <w:rPr>
                <w:b/>
              </w:rPr>
              <w:br/>
              <w:t>number of</w:t>
            </w:r>
            <w:r w:rsidRPr="00CD6061">
              <w:rPr>
                <w:b/>
                <w:bCs/>
              </w:rPr>
              <w:t xml:space="preserve"> </w:t>
            </w:r>
            <w:r w:rsidRPr="00CD6061">
              <w:rPr>
                <w:b/>
                <w:bCs/>
              </w:rPr>
              <w:br/>
              <w:t>pupils)</w:t>
            </w:r>
          </w:p>
        </w:tc>
        <w:tc>
          <w:tcPr>
            <w:tcW w:w="1985" w:type="dxa"/>
            <w:tcBorders>
              <w:top w:val="single" w:sz="4" w:space="0" w:color="auto"/>
              <w:left w:val="nil"/>
              <w:bottom w:val="single" w:sz="4" w:space="0" w:color="auto"/>
              <w:right w:val="single" w:sz="4" w:space="0" w:color="auto"/>
            </w:tcBorders>
          </w:tcPr>
          <w:p w14:paraId="3DEA9B26" w14:textId="62B7AF41" w:rsidR="001E11B9" w:rsidRPr="00247A60" w:rsidRDefault="00F71E9F">
            <w:pPr>
              <w:rPr>
                <w:b/>
                <w:bCs/>
              </w:rPr>
            </w:pPr>
            <w:r>
              <w:rPr>
                <w:b/>
                <w:bCs/>
              </w:rPr>
              <w:t>Tapered year group threshold</w:t>
            </w:r>
            <w:r w:rsidR="001E11B9" w:rsidRPr="00247A60">
              <w:rPr>
                <w:b/>
                <w:bCs/>
              </w:rPr>
              <w:t xml:space="preserve">: </w:t>
            </w:r>
            <w:r w:rsidR="00A55EDE">
              <w:rPr>
                <w:b/>
                <w:bCs/>
              </w:rPr>
              <w:t>(</w:t>
            </w:r>
            <w:r w:rsidR="001E11B9" w:rsidRPr="00247A60">
              <w:rPr>
                <w:b/>
                <w:bCs/>
              </w:rPr>
              <w:t>average number of pupils</w:t>
            </w:r>
            <w:r w:rsidR="00A55EDE">
              <w:rPr>
                <w:b/>
                <w:bCs/>
              </w:rPr>
              <w:t>)</w:t>
            </w:r>
          </w:p>
        </w:tc>
      </w:tr>
      <w:tr w:rsidR="001E11B9" w:rsidRPr="004D0FE0" w14:paraId="480462A6" w14:textId="77777777" w:rsidTr="006054DA">
        <w:trPr>
          <w:trHeight w:val="288"/>
        </w:trPr>
        <w:tc>
          <w:tcPr>
            <w:tcW w:w="2263" w:type="dxa"/>
            <w:tcBorders>
              <w:top w:val="nil"/>
              <w:left w:val="single" w:sz="4" w:space="0" w:color="auto"/>
              <w:bottom w:val="single" w:sz="4" w:space="0" w:color="auto"/>
              <w:right w:val="single" w:sz="4" w:space="0" w:color="auto"/>
            </w:tcBorders>
            <w:noWrap/>
            <w:vAlign w:val="bottom"/>
            <w:hideMark/>
          </w:tcPr>
          <w:p w14:paraId="254F7E56" w14:textId="77777777" w:rsidR="001E11B9" w:rsidRPr="00247A60" w:rsidRDefault="001E11B9">
            <w:r w:rsidRPr="00247A60">
              <w:t>Primary schools</w:t>
            </w:r>
          </w:p>
        </w:tc>
        <w:tc>
          <w:tcPr>
            <w:tcW w:w="1985" w:type="dxa"/>
            <w:tcBorders>
              <w:top w:val="nil"/>
              <w:left w:val="nil"/>
              <w:bottom w:val="single" w:sz="4" w:space="0" w:color="auto"/>
              <w:right w:val="single" w:sz="4" w:space="0" w:color="auto"/>
            </w:tcBorders>
            <w:noWrap/>
            <w:vAlign w:val="bottom"/>
            <w:hideMark/>
          </w:tcPr>
          <w:p w14:paraId="75AE6329" w14:textId="77777777" w:rsidR="001E11B9" w:rsidRPr="00247A60" w:rsidRDefault="001E11B9">
            <w:r w:rsidRPr="00247A60">
              <w:t>2 miles</w:t>
            </w:r>
          </w:p>
        </w:tc>
        <w:tc>
          <w:tcPr>
            <w:tcW w:w="1985" w:type="dxa"/>
            <w:tcBorders>
              <w:top w:val="nil"/>
              <w:left w:val="nil"/>
              <w:bottom w:val="single" w:sz="4" w:space="0" w:color="auto"/>
              <w:right w:val="single" w:sz="4" w:space="0" w:color="auto"/>
            </w:tcBorders>
            <w:noWrap/>
            <w:vAlign w:val="bottom"/>
            <w:hideMark/>
          </w:tcPr>
          <w:p w14:paraId="3E1F0565" w14:textId="77777777" w:rsidR="001E11B9" w:rsidRPr="00247A60" w:rsidRDefault="001E11B9">
            <w:r w:rsidRPr="00247A60">
              <w:t>1.6 miles</w:t>
            </w:r>
          </w:p>
        </w:tc>
        <w:tc>
          <w:tcPr>
            <w:tcW w:w="1985" w:type="dxa"/>
            <w:tcBorders>
              <w:top w:val="nil"/>
              <w:left w:val="nil"/>
              <w:bottom w:val="single" w:sz="4" w:space="0" w:color="auto"/>
              <w:right w:val="single" w:sz="4" w:space="0" w:color="auto"/>
            </w:tcBorders>
          </w:tcPr>
          <w:p w14:paraId="471EC3F1" w14:textId="77777777" w:rsidR="001E11B9" w:rsidRPr="00CD6061" w:rsidRDefault="001E11B9">
            <w:r w:rsidRPr="00CD6061">
              <w:t>10.70</w:t>
            </w:r>
          </w:p>
        </w:tc>
        <w:tc>
          <w:tcPr>
            <w:tcW w:w="1985" w:type="dxa"/>
            <w:tcBorders>
              <w:top w:val="nil"/>
              <w:left w:val="nil"/>
              <w:bottom w:val="single" w:sz="4" w:space="0" w:color="auto"/>
              <w:right w:val="single" w:sz="4" w:space="0" w:color="auto"/>
            </w:tcBorders>
          </w:tcPr>
          <w:p w14:paraId="024FBCA3" w14:textId="77777777" w:rsidR="001E11B9" w:rsidRPr="00247A60" w:rsidRDefault="001E11B9">
            <w:r w:rsidRPr="00247A60">
              <w:t>21.40</w:t>
            </w:r>
          </w:p>
        </w:tc>
      </w:tr>
      <w:tr w:rsidR="001E11B9" w:rsidRPr="004D0FE0" w14:paraId="4B6B316A" w14:textId="77777777" w:rsidTr="006054DA">
        <w:trPr>
          <w:trHeight w:val="288"/>
        </w:trPr>
        <w:tc>
          <w:tcPr>
            <w:tcW w:w="2263" w:type="dxa"/>
            <w:tcBorders>
              <w:top w:val="nil"/>
              <w:left w:val="single" w:sz="4" w:space="0" w:color="auto"/>
              <w:bottom w:val="single" w:sz="4" w:space="0" w:color="auto"/>
              <w:right w:val="single" w:sz="4" w:space="0" w:color="auto"/>
            </w:tcBorders>
            <w:noWrap/>
            <w:vAlign w:val="bottom"/>
          </w:tcPr>
          <w:p w14:paraId="6B49654D" w14:textId="77777777" w:rsidR="001E11B9" w:rsidRPr="00247A60" w:rsidRDefault="001E11B9">
            <w:r w:rsidRPr="00247A60">
              <w:t>Secondary schools</w:t>
            </w:r>
          </w:p>
        </w:tc>
        <w:tc>
          <w:tcPr>
            <w:tcW w:w="1985" w:type="dxa"/>
            <w:tcBorders>
              <w:top w:val="nil"/>
              <w:left w:val="nil"/>
              <w:bottom w:val="single" w:sz="4" w:space="0" w:color="auto"/>
              <w:right w:val="single" w:sz="4" w:space="0" w:color="auto"/>
            </w:tcBorders>
            <w:noWrap/>
            <w:vAlign w:val="bottom"/>
          </w:tcPr>
          <w:p w14:paraId="79C03A7F" w14:textId="77777777" w:rsidR="001E11B9" w:rsidRPr="00247A60" w:rsidRDefault="001E11B9">
            <w:r w:rsidRPr="00247A60">
              <w:t>3 miles</w:t>
            </w:r>
          </w:p>
        </w:tc>
        <w:tc>
          <w:tcPr>
            <w:tcW w:w="1985" w:type="dxa"/>
            <w:tcBorders>
              <w:top w:val="nil"/>
              <w:left w:val="nil"/>
              <w:bottom w:val="single" w:sz="4" w:space="0" w:color="auto"/>
              <w:right w:val="single" w:sz="4" w:space="0" w:color="auto"/>
            </w:tcBorders>
            <w:noWrap/>
            <w:vAlign w:val="bottom"/>
          </w:tcPr>
          <w:p w14:paraId="5E912055" w14:textId="77777777" w:rsidR="001E11B9" w:rsidRPr="00247A60" w:rsidRDefault="001E11B9">
            <w:r w:rsidRPr="00247A60">
              <w:t>2.4 miles</w:t>
            </w:r>
          </w:p>
        </w:tc>
        <w:tc>
          <w:tcPr>
            <w:tcW w:w="1985" w:type="dxa"/>
            <w:tcBorders>
              <w:top w:val="nil"/>
              <w:left w:val="nil"/>
              <w:bottom w:val="single" w:sz="4" w:space="0" w:color="auto"/>
              <w:right w:val="single" w:sz="4" w:space="0" w:color="auto"/>
            </w:tcBorders>
          </w:tcPr>
          <w:p w14:paraId="00924303" w14:textId="77777777" w:rsidR="001E11B9" w:rsidRPr="00CD6061" w:rsidRDefault="001E11B9">
            <w:r w:rsidRPr="00CD6061">
              <w:t>60.00</w:t>
            </w:r>
          </w:p>
        </w:tc>
        <w:tc>
          <w:tcPr>
            <w:tcW w:w="1985" w:type="dxa"/>
            <w:tcBorders>
              <w:top w:val="nil"/>
              <w:left w:val="nil"/>
              <w:bottom w:val="single" w:sz="4" w:space="0" w:color="auto"/>
              <w:right w:val="single" w:sz="4" w:space="0" w:color="auto"/>
            </w:tcBorders>
          </w:tcPr>
          <w:p w14:paraId="06216D4F" w14:textId="77777777" w:rsidR="001E11B9" w:rsidRPr="00247A60" w:rsidRDefault="001E11B9">
            <w:r w:rsidRPr="00247A60">
              <w:t>120.00</w:t>
            </w:r>
          </w:p>
        </w:tc>
      </w:tr>
      <w:tr w:rsidR="001E11B9" w:rsidRPr="004D0FE0" w14:paraId="1882A240" w14:textId="77777777" w:rsidTr="006054DA">
        <w:trPr>
          <w:trHeight w:val="288"/>
        </w:trPr>
        <w:tc>
          <w:tcPr>
            <w:tcW w:w="2263" w:type="dxa"/>
            <w:tcBorders>
              <w:top w:val="nil"/>
              <w:left w:val="single" w:sz="4" w:space="0" w:color="auto"/>
              <w:bottom w:val="single" w:sz="4" w:space="0" w:color="auto"/>
              <w:right w:val="single" w:sz="4" w:space="0" w:color="auto"/>
            </w:tcBorders>
            <w:noWrap/>
            <w:vAlign w:val="bottom"/>
            <w:hideMark/>
          </w:tcPr>
          <w:p w14:paraId="6A5379F1" w14:textId="77777777" w:rsidR="001E11B9" w:rsidRPr="00247A60" w:rsidRDefault="001E11B9">
            <w:r w:rsidRPr="00247A60">
              <w:t>All-through schools</w:t>
            </w:r>
          </w:p>
        </w:tc>
        <w:tc>
          <w:tcPr>
            <w:tcW w:w="1985" w:type="dxa"/>
            <w:tcBorders>
              <w:top w:val="nil"/>
              <w:left w:val="nil"/>
              <w:bottom w:val="single" w:sz="4" w:space="0" w:color="auto"/>
              <w:right w:val="single" w:sz="4" w:space="0" w:color="auto"/>
            </w:tcBorders>
            <w:noWrap/>
            <w:vAlign w:val="bottom"/>
            <w:hideMark/>
          </w:tcPr>
          <w:p w14:paraId="1F7A099D" w14:textId="77777777" w:rsidR="001E11B9" w:rsidRPr="00247A60" w:rsidRDefault="001E11B9">
            <w:r w:rsidRPr="00247A60">
              <w:t>2 miles</w:t>
            </w:r>
          </w:p>
        </w:tc>
        <w:tc>
          <w:tcPr>
            <w:tcW w:w="1985" w:type="dxa"/>
            <w:tcBorders>
              <w:top w:val="nil"/>
              <w:left w:val="nil"/>
              <w:bottom w:val="single" w:sz="4" w:space="0" w:color="auto"/>
              <w:right w:val="single" w:sz="4" w:space="0" w:color="auto"/>
            </w:tcBorders>
            <w:noWrap/>
            <w:vAlign w:val="bottom"/>
            <w:hideMark/>
          </w:tcPr>
          <w:p w14:paraId="27CF9791" w14:textId="77777777" w:rsidR="001E11B9" w:rsidRPr="00247A60" w:rsidRDefault="001E11B9">
            <w:r w:rsidRPr="00247A60">
              <w:t>1.6 miles</w:t>
            </w:r>
          </w:p>
        </w:tc>
        <w:tc>
          <w:tcPr>
            <w:tcW w:w="1985" w:type="dxa"/>
            <w:tcBorders>
              <w:top w:val="nil"/>
              <w:left w:val="nil"/>
              <w:bottom w:val="single" w:sz="4" w:space="0" w:color="auto"/>
              <w:right w:val="single" w:sz="4" w:space="0" w:color="auto"/>
            </w:tcBorders>
          </w:tcPr>
          <w:p w14:paraId="61F64CBF" w14:textId="77777777" w:rsidR="001E11B9" w:rsidRPr="00CD6061" w:rsidRDefault="001E11B9">
            <w:r w:rsidRPr="00CD6061">
              <w:t>31.25</w:t>
            </w:r>
          </w:p>
        </w:tc>
        <w:tc>
          <w:tcPr>
            <w:tcW w:w="1985" w:type="dxa"/>
            <w:tcBorders>
              <w:top w:val="nil"/>
              <w:left w:val="nil"/>
              <w:bottom w:val="single" w:sz="4" w:space="0" w:color="auto"/>
              <w:right w:val="single" w:sz="4" w:space="0" w:color="auto"/>
            </w:tcBorders>
          </w:tcPr>
          <w:p w14:paraId="40EB28A2" w14:textId="77777777" w:rsidR="001E11B9" w:rsidRPr="00247A60" w:rsidRDefault="001E11B9">
            <w:r w:rsidRPr="00247A60">
              <w:t>62.50</w:t>
            </w:r>
          </w:p>
        </w:tc>
      </w:tr>
    </w:tbl>
    <w:p w14:paraId="03A45B1E" w14:textId="77777777" w:rsidR="001E11B9" w:rsidRPr="001E11B9" w:rsidRDefault="001E11B9" w:rsidP="001E11B9">
      <w:pPr>
        <w:rPr>
          <w:bCs/>
          <w:spacing w:val="1"/>
        </w:rPr>
      </w:pPr>
    </w:p>
    <w:p w14:paraId="39B60323" w14:textId="2147188F" w:rsidR="003D246A" w:rsidRDefault="00D45E63" w:rsidP="006054DA">
      <w:pPr>
        <w:rPr>
          <w:bCs/>
          <w:spacing w:val="1"/>
        </w:rPr>
      </w:pPr>
      <w:r w:rsidRPr="005833C4">
        <w:rPr>
          <w:bCs/>
          <w:spacing w:val="1"/>
        </w:rPr>
        <w:t xml:space="preserve">The amount allocated depends on both average year group size and sparsity distance. </w:t>
      </w:r>
    </w:p>
    <w:p w14:paraId="114B6A39" w14:textId="77777777" w:rsidR="006054DA" w:rsidRDefault="006054DA" w:rsidP="006054DA">
      <w:pPr>
        <w:rPr>
          <w:bCs/>
          <w:spacing w:val="1"/>
        </w:rPr>
      </w:pPr>
    </w:p>
    <w:p w14:paraId="6771D59F" w14:textId="0E27FB12" w:rsidR="00D45E63" w:rsidRPr="004D0FE0" w:rsidRDefault="00D45E63" w:rsidP="00D45E63">
      <w:pPr>
        <w:rPr>
          <w:color w:val="FF0000"/>
          <w:highlight w:val="yellow"/>
        </w:rPr>
      </w:pPr>
      <w:r w:rsidRPr="005833C4">
        <w:rPr>
          <w:bCs/>
          <w:spacing w:val="1"/>
        </w:rPr>
        <w:t xml:space="preserve">The </w:t>
      </w:r>
      <w:r w:rsidR="00A21FB2">
        <w:rPr>
          <w:bCs/>
          <w:spacing w:val="1"/>
        </w:rPr>
        <w:t xml:space="preserve">Hampshire </w:t>
      </w:r>
      <w:r w:rsidRPr="005833C4">
        <w:rPr>
          <w:bCs/>
          <w:spacing w:val="1"/>
        </w:rPr>
        <w:t>range of factor values is shown below</w:t>
      </w:r>
      <w:r w:rsidR="00071B98">
        <w:rPr>
          <w:bCs/>
          <w:spacing w:val="1"/>
        </w:rPr>
        <w:t>:</w:t>
      </w:r>
    </w:p>
    <w:tbl>
      <w:tblPr>
        <w:tblW w:w="6237" w:type="dxa"/>
        <w:tblInd w:w="-5" w:type="dxa"/>
        <w:tblLook w:val="04A0" w:firstRow="1" w:lastRow="0" w:firstColumn="1" w:lastColumn="0" w:noHBand="0" w:noVBand="1"/>
      </w:tblPr>
      <w:tblGrid>
        <w:gridCol w:w="4252"/>
        <w:gridCol w:w="1985"/>
      </w:tblGrid>
      <w:tr w:rsidR="004D0FE0" w:rsidRPr="004D0FE0" w14:paraId="3C1B9400" w14:textId="77777777" w:rsidTr="00247A60">
        <w:trPr>
          <w:trHeight w:val="640"/>
        </w:trPr>
        <w:tc>
          <w:tcPr>
            <w:tcW w:w="3409" w:type="pct"/>
            <w:tcBorders>
              <w:top w:val="single" w:sz="4" w:space="0" w:color="auto"/>
              <w:left w:val="single" w:sz="4" w:space="0" w:color="auto"/>
              <w:bottom w:val="single" w:sz="4" w:space="0" w:color="auto"/>
              <w:right w:val="single" w:sz="4" w:space="0" w:color="auto"/>
            </w:tcBorders>
            <w:vAlign w:val="center"/>
            <w:hideMark/>
          </w:tcPr>
          <w:p w14:paraId="151D1C2A" w14:textId="77777777" w:rsidR="00D45E63" w:rsidRPr="005833C4" w:rsidRDefault="00D45E63" w:rsidP="00247A60">
            <w:pPr>
              <w:rPr>
                <w:b/>
                <w:bCs/>
              </w:rPr>
            </w:pPr>
            <w:bookmarkStart w:id="12" w:name="_Hlk211505978"/>
            <w:r w:rsidRPr="005833C4">
              <w:rPr>
                <w:b/>
                <w:bCs/>
              </w:rPr>
              <w:t xml:space="preserve">Sparsity funding factor </w:t>
            </w:r>
          </w:p>
        </w:tc>
        <w:tc>
          <w:tcPr>
            <w:tcW w:w="1591" w:type="pct"/>
            <w:tcBorders>
              <w:top w:val="single" w:sz="4" w:space="0" w:color="auto"/>
              <w:left w:val="nil"/>
              <w:bottom w:val="single" w:sz="4" w:space="0" w:color="auto"/>
              <w:right w:val="single" w:sz="4" w:space="0" w:color="auto"/>
            </w:tcBorders>
            <w:vAlign w:val="center"/>
            <w:hideMark/>
          </w:tcPr>
          <w:p w14:paraId="18CE4436" w14:textId="77777777" w:rsidR="00D45E63" w:rsidRPr="004D0FE0" w:rsidRDefault="00D45E63" w:rsidP="00D562BE">
            <w:pPr>
              <w:rPr>
                <w:b/>
                <w:bCs/>
                <w:color w:val="FF0000"/>
              </w:rPr>
            </w:pPr>
            <w:r w:rsidRPr="005833C4">
              <w:rPr>
                <w:b/>
              </w:rPr>
              <w:t xml:space="preserve">Unit value </w:t>
            </w:r>
          </w:p>
        </w:tc>
      </w:tr>
      <w:tr w:rsidR="004D0FE0" w:rsidRPr="004D0FE0" w14:paraId="76F4DFA3" w14:textId="77777777" w:rsidTr="00247A60">
        <w:trPr>
          <w:trHeight w:val="320"/>
        </w:trPr>
        <w:tc>
          <w:tcPr>
            <w:tcW w:w="3409" w:type="pct"/>
            <w:tcBorders>
              <w:top w:val="nil"/>
              <w:left w:val="single" w:sz="4" w:space="0" w:color="auto"/>
              <w:bottom w:val="single" w:sz="4" w:space="0" w:color="auto"/>
              <w:right w:val="single" w:sz="4" w:space="0" w:color="auto"/>
            </w:tcBorders>
            <w:vAlign w:val="center"/>
            <w:hideMark/>
          </w:tcPr>
          <w:p w14:paraId="09098950" w14:textId="77777777" w:rsidR="00D45E63" w:rsidRPr="005833C4" w:rsidRDefault="00D45E63" w:rsidP="00D562BE">
            <w:r w:rsidRPr="005833C4">
              <w:t xml:space="preserve">Primary sparsity </w:t>
            </w:r>
          </w:p>
        </w:tc>
        <w:tc>
          <w:tcPr>
            <w:tcW w:w="1591" w:type="pct"/>
            <w:tcBorders>
              <w:top w:val="nil"/>
              <w:left w:val="nil"/>
              <w:bottom w:val="single" w:sz="4" w:space="0" w:color="auto"/>
              <w:right w:val="single" w:sz="4" w:space="0" w:color="auto"/>
            </w:tcBorders>
            <w:vAlign w:val="center"/>
            <w:hideMark/>
          </w:tcPr>
          <w:p w14:paraId="4DE57636" w14:textId="690692DB" w:rsidR="00D45E63" w:rsidRPr="004D0FE0" w:rsidRDefault="00D45E63" w:rsidP="00D562BE">
            <w:pPr>
              <w:rPr>
                <w:color w:val="FF0000"/>
              </w:rPr>
            </w:pPr>
            <w:r w:rsidRPr="00FD2030">
              <w:t>£0 - £</w:t>
            </w:r>
            <w:r w:rsidR="00A90649" w:rsidRPr="00FD2030">
              <w:t>5</w:t>
            </w:r>
            <w:r w:rsidR="00FD2030" w:rsidRPr="00FD2030">
              <w:t>9,1</w:t>
            </w:r>
            <w:r w:rsidR="00B52AD7">
              <w:t>39</w:t>
            </w:r>
          </w:p>
        </w:tc>
      </w:tr>
      <w:tr w:rsidR="00D45E63" w:rsidRPr="004D0FE0" w14:paraId="2CE11C6D" w14:textId="77777777" w:rsidTr="00247A60">
        <w:trPr>
          <w:trHeight w:val="320"/>
        </w:trPr>
        <w:tc>
          <w:tcPr>
            <w:tcW w:w="3409" w:type="pct"/>
            <w:tcBorders>
              <w:top w:val="nil"/>
              <w:left w:val="single" w:sz="4" w:space="0" w:color="auto"/>
              <w:bottom w:val="single" w:sz="4" w:space="0" w:color="auto"/>
              <w:right w:val="single" w:sz="4" w:space="0" w:color="auto"/>
            </w:tcBorders>
            <w:vAlign w:val="center"/>
            <w:hideMark/>
          </w:tcPr>
          <w:p w14:paraId="2B34713E" w14:textId="77777777" w:rsidR="00D45E63" w:rsidRPr="005833C4" w:rsidRDefault="00D45E63" w:rsidP="00D562BE">
            <w:r w:rsidRPr="005833C4">
              <w:t xml:space="preserve">Secondary sparsity </w:t>
            </w:r>
          </w:p>
        </w:tc>
        <w:tc>
          <w:tcPr>
            <w:tcW w:w="1591" w:type="pct"/>
            <w:tcBorders>
              <w:top w:val="nil"/>
              <w:left w:val="nil"/>
              <w:bottom w:val="single" w:sz="4" w:space="0" w:color="auto"/>
              <w:right w:val="single" w:sz="4" w:space="0" w:color="auto"/>
            </w:tcBorders>
            <w:vAlign w:val="center"/>
            <w:hideMark/>
          </w:tcPr>
          <w:p w14:paraId="15E92946" w14:textId="3F2F1C68" w:rsidR="00D45E63" w:rsidRPr="004D0FE0" w:rsidRDefault="00D45E63" w:rsidP="00D562BE">
            <w:pPr>
              <w:rPr>
                <w:color w:val="FF0000"/>
              </w:rPr>
            </w:pPr>
            <w:r w:rsidRPr="00F00468">
              <w:t>£0 - £8</w:t>
            </w:r>
            <w:r w:rsidR="00F00468" w:rsidRPr="00F00468">
              <w:t>5,9</w:t>
            </w:r>
            <w:r w:rsidR="00B52AD7">
              <w:t>83</w:t>
            </w:r>
          </w:p>
        </w:tc>
      </w:tr>
    </w:tbl>
    <w:bookmarkEnd w:id="12"/>
    <w:p w14:paraId="15F993A4" w14:textId="06B12E2D" w:rsidR="00D45E63" w:rsidRPr="004F497E" w:rsidRDefault="00D45E63" w:rsidP="00D45E63">
      <w:pPr>
        <w:rPr>
          <w:bCs/>
          <w:color w:val="FF0000"/>
          <w:spacing w:val="1"/>
        </w:rPr>
      </w:pPr>
      <w:r w:rsidRPr="001E11B9">
        <w:rPr>
          <w:bCs/>
          <w:color w:val="FF0000"/>
          <w:spacing w:val="1"/>
        </w:rPr>
        <w:t xml:space="preserve"> </w:t>
      </w:r>
    </w:p>
    <w:p w14:paraId="559B018B" w14:textId="348EB51F" w:rsidR="004F497E" w:rsidRPr="004F497E" w:rsidRDefault="00D45E63" w:rsidP="004F497E">
      <w:pPr>
        <w:pStyle w:val="NormalWeb"/>
        <w:shd w:val="clear" w:color="auto" w:fill="FFFFFF"/>
        <w:spacing w:before="0" w:beforeAutospacing="0" w:after="300" w:afterAutospacing="0"/>
        <w:rPr>
          <w:rFonts w:ascii="Arial" w:hAnsi="Arial" w:cs="Arial"/>
          <w:lang w:val="en-GB"/>
        </w:rPr>
      </w:pPr>
      <w:r w:rsidRPr="004F497E">
        <w:rPr>
          <w:rFonts w:ascii="Arial" w:hAnsi="Arial" w:cs="Arial"/>
          <w:spacing w:val="1"/>
        </w:rPr>
        <w:t>Schools which are both equal to or above the main distance threshold and equal to or below the main year group threshold receive the maximum sparsity unit values for their phase. Where a school is between either or both the main and tapered thresholds, a sparsity weighting applies.</w:t>
      </w:r>
      <w:r w:rsidR="004F497E" w:rsidRPr="004F497E">
        <w:rPr>
          <w:rFonts w:ascii="Arial" w:hAnsi="Arial" w:cs="Arial"/>
          <w:spacing w:val="1"/>
        </w:rPr>
        <w:t xml:space="preserve"> </w:t>
      </w:r>
      <w:r w:rsidR="004F497E" w:rsidRPr="004F497E">
        <w:rPr>
          <w:rFonts w:ascii="Arial" w:hAnsi="Arial" w:cs="Arial"/>
          <w:lang w:val="en-GB"/>
        </w:rPr>
        <w:t xml:space="preserve">Further information can be found in the </w:t>
      </w:r>
      <w:hyperlink r:id="rId25" w:anchor="sparsity" w:history="1">
        <w:r w:rsidR="004F497E" w:rsidRPr="004F497E">
          <w:rPr>
            <w:rStyle w:val="Hyperlink"/>
            <w:rFonts w:ascii="Arial" w:hAnsi="Arial" w:cs="Arial"/>
            <w:lang w:val="en-GB"/>
          </w:rPr>
          <w:t>schools operational guide</w:t>
        </w:r>
      </w:hyperlink>
      <w:r w:rsidR="004F497E" w:rsidRPr="004F497E">
        <w:rPr>
          <w:rFonts w:ascii="Arial" w:hAnsi="Arial" w:cs="Arial"/>
          <w:lang w:val="en-GB"/>
        </w:rPr>
        <w:t>.</w:t>
      </w:r>
    </w:p>
    <w:p w14:paraId="1E8168EE" w14:textId="0BCAD625" w:rsidR="00232384" w:rsidRPr="00E97B05" w:rsidRDefault="00E97B05" w:rsidP="00E97B05">
      <w:pPr>
        <w:rPr>
          <w:b/>
        </w:rPr>
      </w:pPr>
      <w:bookmarkStart w:id="13" w:name="Rates"/>
      <w:r w:rsidRPr="00E97B05">
        <w:rPr>
          <w:b/>
        </w:rPr>
        <w:t xml:space="preserve">4.8 </w:t>
      </w:r>
      <w:r w:rsidR="00232384" w:rsidRPr="00E97B05">
        <w:rPr>
          <w:b/>
        </w:rPr>
        <w:t>Rates</w:t>
      </w:r>
      <w:bookmarkEnd w:id="13"/>
    </w:p>
    <w:p w14:paraId="65A33F56" w14:textId="77777777" w:rsidR="00232384" w:rsidRPr="009C215C" w:rsidRDefault="00232384" w:rsidP="00232384">
      <w:pPr>
        <w:rPr>
          <w:b/>
          <w:bCs/>
          <w:color w:val="FF0000"/>
          <w:spacing w:val="1"/>
        </w:rPr>
      </w:pPr>
    </w:p>
    <w:p w14:paraId="110A2ED5" w14:textId="7C79D444" w:rsidR="00477EEC" w:rsidRDefault="00477EEC" w:rsidP="00232384">
      <w:r w:rsidRPr="00477EEC">
        <w:t>DfE will cover additional rates costs associated with buildings on a school site that are used to deliver education for pupils at the school (for example, a sports hall that is used by pupils during lesson time and in the evenings by the wider community).</w:t>
      </w:r>
    </w:p>
    <w:p w14:paraId="53D6242F" w14:textId="77777777" w:rsidR="00477EEC" w:rsidRDefault="00477EEC" w:rsidP="00232384"/>
    <w:p w14:paraId="42C1AE05" w14:textId="4EB36929" w:rsidR="00232384" w:rsidRPr="00AC1705" w:rsidRDefault="00232384" w:rsidP="00232384">
      <w:r w:rsidRPr="00186CCF">
        <w:t>Business rates will be paid by the DfE directly to billing authorities on behalf of all maintained schools and academies. School budget shares will continue to show indicative rates funding however section</w:t>
      </w:r>
      <w:r w:rsidR="00AC1705">
        <w:t xml:space="preserve"> 15</w:t>
      </w:r>
      <w:r w:rsidRPr="00186CCF">
        <w:t xml:space="preserve"> on the budget share </w:t>
      </w:r>
      <w:r w:rsidRPr="00AC1705">
        <w:t>deducts this funding to ensure no physical cash is allocated to schools.</w:t>
      </w:r>
    </w:p>
    <w:p w14:paraId="1B3DBF40" w14:textId="77777777" w:rsidR="00232384" w:rsidRPr="004D0FE0" w:rsidRDefault="00232384" w:rsidP="00232384">
      <w:pPr>
        <w:rPr>
          <w:color w:val="FF0000"/>
        </w:rPr>
      </w:pPr>
    </w:p>
    <w:p w14:paraId="2ADEAE07" w14:textId="2BBD30C8" w:rsidR="00232384" w:rsidRPr="008015C5" w:rsidRDefault="00232384" w:rsidP="00232384">
      <w:r w:rsidRPr="008015C5">
        <w:t xml:space="preserve">The indicative rates reflect an estimate of the </w:t>
      </w:r>
      <w:r w:rsidR="001A200B">
        <w:t>previous year</w:t>
      </w:r>
      <w:r w:rsidRPr="008015C5">
        <w:t xml:space="preserve"> rates charge. </w:t>
      </w:r>
    </w:p>
    <w:p w14:paraId="7C6035E4" w14:textId="77777777" w:rsidR="00103603" w:rsidRDefault="00103603" w:rsidP="00624452"/>
    <w:p w14:paraId="454AB2F6" w14:textId="636D8A51" w:rsidR="00204F3D" w:rsidRDefault="00103603" w:rsidP="00624452">
      <w:r>
        <w:t>A</w:t>
      </w:r>
      <w:r w:rsidR="00232384" w:rsidRPr="00186CCF">
        <w:t xml:space="preserve"> journal will be completed to allocate rates charges to GL 4001 and funding to offset the charges to GL 7696. Schools will see no net affect to their final balance.</w:t>
      </w:r>
    </w:p>
    <w:p w14:paraId="449BA8A3" w14:textId="77777777" w:rsidR="006E2E12" w:rsidRDefault="006E2E12" w:rsidP="00624452"/>
    <w:p w14:paraId="2C2433B6" w14:textId="73618725" w:rsidR="006E2E12" w:rsidRDefault="006E2E12" w:rsidP="006E2E12">
      <w:r w:rsidRPr="004F497E">
        <w:t xml:space="preserve">Further information can be found in the </w:t>
      </w:r>
      <w:hyperlink r:id="rId26" w:anchor="rates" w:history="1">
        <w:r w:rsidRPr="004F497E">
          <w:rPr>
            <w:rStyle w:val="Hyperlink"/>
          </w:rPr>
          <w:t>schools operational guide</w:t>
        </w:r>
      </w:hyperlink>
      <w:r w:rsidRPr="004F497E">
        <w:t>.</w:t>
      </w:r>
    </w:p>
    <w:p w14:paraId="6E8909EB" w14:textId="77777777" w:rsidR="00624452" w:rsidRDefault="00624452" w:rsidP="00624452">
      <w:pPr>
        <w:rPr>
          <w:rFonts w:eastAsia="Times New Roman"/>
          <w:b/>
          <w:kern w:val="0"/>
          <w14:ligatures w14:val="none"/>
        </w:rPr>
      </w:pPr>
    </w:p>
    <w:p w14:paraId="5EC5C33D" w14:textId="77777777" w:rsidR="006054DA" w:rsidRDefault="006054DA">
      <w:pPr>
        <w:spacing w:after="160" w:line="259" w:lineRule="auto"/>
        <w:rPr>
          <w:b/>
        </w:rPr>
      </w:pPr>
      <w:r>
        <w:rPr>
          <w:b/>
        </w:rPr>
        <w:br w:type="page"/>
      </w:r>
    </w:p>
    <w:p w14:paraId="3D45A35D" w14:textId="349C0BE0" w:rsidR="00D45E63" w:rsidRPr="00E97B05" w:rsidRDefault="00E97B05" w:rsidP="00E97B05">
      <w:pPr>
        <w:rPr>
          <w:b/>
        </w:rPr>
      </w:pPr>
      <w:bookmarkStart w:id="14" w:name="Splitsites"/>
      <w:r w:rsidRPr="00E97B05">
        <w:rPr>
          <w:b/>
        </w:rPr>
        <w:lastRenderedPageBreak/>
        <w:t xml:space="preserve">4.9 </w:t>
      </w:r>
      <w:r w:rsidR="00232384" w:rsidRPr="00E97B05">
        <w:rPr>
          <w:b/>
        </w:rPr>
        <w:t>S</w:t>
      </w:r>
      <w:r w:rsidR="00D45E63" w:rsidRPr="00E97B05">
        <w:rPr>
          <w:b/>
        </w:rPr>
        <w:t xml:space="preserve">plit </w:t>
      </w:r>
      <w:r w:rsidR="00901875" w:rsidRPr="00E97B05">
        <w:rPr>
          <w:b/>
        </w:rPr>
        <w:t>s</w:t>
      </w:r>
      <w:r w:rsidR="00D45E63" w:rsidRPr="00E97B05">
        <w:rPr>
          <w:b/>
        </w:rPr>
        <w:t>ites</w:t>
      </w:r>
    </w:p>
    <w:bookmarkEnd w:id="14"/>
    <w:p w14:paraId="685C6078" w14:textId="77777777" w:rsidR="00C71D8F" w:rsidRPr="00C71D8F" w:rsidRDefault="00C71D8F" w:rsidP="00C71D8F"/>
    <w:p w14:paraId="07F2F252" w14:textId="4BAD9CBC" w:rsidR="00C11021" w:rsidRPr="007B3AD4" w:rsidRDefault="00C11021" w:rsidP="00C11021">
      <w:pPr>
        <w:rPr>
          <w:spacing w:val="1"/>
        </w:rPr>
      </w:pPr>
      <w:r w:rsidRPr="007B3AD4">
        <w:rPr>
          <w:spacing w:val="1"/>
        </w:rPr>
        <w:t>The factor is made up of 2 parts, both of which are compulsory:</w:t>
      </w:r>
    </w:p>
    <w:p w14:paraId="435ECCF8" w14:textId="77777777" w:rsidR="002F7750" w:rsidRDefault="002F7750" w:rsidP="002F7750">
      <w:pPr>
        <w:pStyle w:val="ListParagraph"/>
        <w:numPr>
          <w:ilvl w:val="0"/>
          <w:numId w:val="0"/>
        </w:numPr>
        <w:ind w:left="284"/>
        <w:rPr>
          <w:spacing w:val="1"/>
        </w:rPr>
      </w:pPr>
    </w:p>
    <w:p w14:paraId="23D30A16" w14:textId="2348C4C6" w:rsidR="00D827BA" w:rsidRPr="00D827BA" w:rsidRDefault="00C11021" w:rsidP="00D827BA">
      <w:pPr>
        <w:pStyle w:val="ListParagraph"/>
        <w:numPr>
          <w:ilvl w:val="0"/>
          <w:numId w:val="26"/>
        </w:numPr>
        <w:ind w:left="284" w:hanging="284"/>
        <w:rPr>
          <w:spacing w:val="1"/>
        </w:rPr>
      </w:pPr>
      <w:r w:rsidRPr="00D827BA">
        <w:rPr>
          <w:spacing w:val="1"/>
        </w:rPr>
        <w:t>basic eligibility funding: schools must be allocated a lump sum payment for each of their additional eligible sites (up to a maximum of 3)</w:t>
      </w:r>
      <w:r w:rsidR="000B7C59">
        <w:rPr>
          <w:spacing w:val="1"/>
        </w:rPr>
        <w:t>.</w:t>
      </w:r>
      <w:r w:rsidR="00D827BA" w:rsidRPr="00D827BA">
        <w:rPr>
          <w:spacing w:val="1"/>
        </w:rPr>
        <w:t xml:space="preserve"> The basic eligibility criteria for split sites funding requires additional sites to:</w:t>
      </w:r>
    </w:p>
    <w:p w14:paraId="7236A12A" w14:textId="121C7B6D" w:rsidR="00D827BA" w:rsidRPr="00E1523F" w:rsidRDefault="00D827BA" w:rsidP="00D97B55">
      <w:pPr>
        <w:numPr>
          <w:ilvl w:val="0"/>
          <w:numId w:val="27"/>
        </w:numPr>
        <w:tabs>
          <w:tab w:val="clear" w:pos="720"/>
          <w:tab w:val="num" w:pos="567"/>
        </w:tabs>
        <w:ind w:left="567" w:hanging="283"/>
        <w:rPr>
          <w:spacing w:val="1"/>
        </w:rPr>
      </w:pPr>
      <w:r w:rsidRPr="00E1523F">
        <w:rPr>
          <w:spacing w:val="1"/>
        </w:rPr>
        <w:t>be separated from the school’s main site by a public road or railway</w:t>
      </w:r>
      <w:r w:rsidR="00D06B8A">
        <w:rPr>
          <w:spacing w:val="1"/>
        </w:rPr>
        <w:t>, and</w:t>
      </w:r>
    </w:p>
    <w:p w14:paraId="34D1CAC9" w14:textId="77777777" w:rsidR="00D827BA" w:rsidRDefault="00D827BA" w:rsidP="00D97B55">
      <w:pPr>
        <w:numPr>
          <w:ilvl w:val="0"/>
          <w:numId w:val="27"/>
        </w:numPr>
        <w:tabs>
          <w:tab w:val="clear" w:pos="720"/>
          <w:tab w:val="num" w:pos="567"/>
        </w:tabs>
        <w:ind w:left="567" w:hanging="283"/>
        <w:rPr>
          <w:spacing w:val="1"/>
        </w:rPr>
      </w:pPr>
      <w:r w:rsidRPr="00E1523F">
        <w:rPr>
          <w:spacing w:val="1"/>
        </w:rPr>
        <w:t>have a building on them which is maintained by the school, and which is used for the education of 5 to 16 year-old pupils in mainstream education more than 50% of the time. This excludes playing fields, ancillary buildings and buildings leased out full time by the school to another entity</w:t>
      </w:r>
    </w:p>
    <w:p w14:paraId="002B163D" w14:textId="77777777" w:rsidR="002F7750" w:rsidRPr="00E1523F" w:rsidRDefault="002F7750" w:rsidP="002F7750">
      <w:pPr>
        <w:ind w:left="284"/>
        <w:rPr>
          <w:spacing w:val="1"/>
        </w:rPr>
      </w:pPr>
    </w:p>
    <w:p w14:paraId="33990605" w14:textId="7F5AB83C" w:rsidR="00D45E63" w:rsidRDefault="00C11021">
      <w:pPr>
        <w:numPr>
          <w:ilvl w:val="0"/>
          <w:numId w:val="6"/>
        </w:numPr>
        <w:shd w:val="clear" w:color="auto" w:fill="FFFFFF"/>
        <w:tabs>
          <w:tab w:val="clear" w:pos="720"/>
          <w:tab w:val="num" w:pos="284"/>
        </w:tabs>
        <w:spacing w:after="300"/>
        <w:ind w:left="284" w:hanging="284"/>
      </w:pPr>
      <w:r w:rsidRPr="000B7C59">
        <w:rPr>
          <w:spacing w:val="1"/>
        </w:rPr>
        <w:t>distance funding: additional funding must be paid out on top of the basic eligibility lump sum for schools whose eligible sites are separated by more than 100 metres (by road distance) from the main site</w:t>
      </w:r>
      <w:r w:rsidR="000B7C59" w:rsidRPr="000B7C59">
        <w:rPr>
          <w:spacing w:val="1"/>
        </w:rPr>
        <w:t>.</w:t>
      </w:r>
      <w:r w:rsidR="000B7C59">
        <w:rPr>
          <w:spacing w:val="1"/>
        </w:rPr>
        <w:t xml:space="preserve"> </w:t>
      </w:r>
      <w:r w:rsidR="00D45E63" w:rsidRPr="000B7C59">
        <w:t xml:space="preserve">Funding for the distance element will be allocated through a tapered approach, beginning at 100 </w:t>
      </w:r>
      <w:r w:rsidR="00347C08" w:rsidRPr="000B7C59">
        <w:t>met</w:t>
      </w:r>
      <w:r w:rsidR="0046540D" w:rsidRPr="000B7C59">
        <w:t>r</w:t>
      </w:r>
      <w:r w:rsidR="00347C08" w:rsidRPr="000B7C59">
        <w:t>es</w:t>
      </w:r>
      <w:r w:rsidR="00D45E63" w:rsidRPr="000B7C59">
        <w:t>, with allocations increasing linearly up to 500 metres, from which point schools should receive the total maximum funding allowed.</w:t>
      </w:r>
    </w:p>
    <w:p w14:paraId="0BBCE68C" w14:textId="38F1EF15" w:rsidR="00071B98" w:rsidRDefault="00071B98" w:rsidP="000215C0">
      <w:pPr>
        <w:ind w:left="284" w:hanging="284"/>
      </w:pPr>
      <w:r w:rsidRPr="000215C0">
        <w:rPr>
          <w:bCs/>
          <w:spacing w:val="1"/>
        </w:rPr>
        <w:t xml:space="preserve">The </w:t>
      </w:r>
      <w:r w:rsidR="00A21FB2">
        <w:rPr>
          <w:bCs/>
          <w:spacing w:val="1"/>
        </w:rPr>
        <w:t xml:space="preserve">Hampshire </w:t>
      </w:r>
      <w:r w:rsidRPr="000215C0">
        <w:rPr>
          <w:bCs/>
          <w:spacing w:val="1"/>
        </w:rPr>
        <w:t xml:space="preserve">factor values </w:t>
      </w:r>
      <w:r w:rsidR="000215C0">
        <w:rPr>
          <w:bCs/>
          <w:spacing w:val="1"/>
        </w:rPr>
        <w:t>are</w:t>
      </w:r>
      <w:r w:rsidRPr="000215C0">
        <w:rPr>
          <w:bCs/>
          <w:spacing w:val="1"/>
        </w:rPr>
        <w:t xml:space="preserve"> shown below:</w:t>
      </w:r>
    </w:p>
    <w:tbl>
      <w:tblPr>
        <w:tblW w:w="6237" w:type="dxa"/>
        <w:tblInd w:w="-5" w:type="dxa"/>
        <w:tblLook w:val="04A0" w:firstRow="1" w:lastRow="0" w:firstColumn="1" w:lastColumn="0" w:noHBand="0" w:noVBand="1"/>
      </w:tblPr>
      <w:tblGrid>
        <w:gridCol w:w="4252"/>
        <w:gridCol w:w="1985"/>
      </w:tblGrid>
      <w:tr w:rsidR="000B7C59" w:rsidRPr="004D0FE0" w14:paraId="13BB2567" w14:textId="77777777">
        <w:trPr>
          <w:trHeight w:val="640"/>
        </w:trPr>
        <w:tc>
          <w:tcPr>
            <w:tcW w:w="3409" w:type="pct"/>
            <w:tcBorders>
              <w:top w:val="single" w:sz="4" w:space="0" w:color="auto"/>
              <w:left w:val="single" w:sz="4" w:space="0" w:color="auto"/>
              <w:bottom w:val="single" w:sz="4" w:space="0" w:color="auto"/>
              <w:right w:val="single" w:sz="4" w:space="0" w:color="auto"/>
            </w:tcBorders>
            <w:vAlign w:val="center"/>
            <w:hideMark/>
          </w:tcPr>
          <w:p w14:paraId="2BED5E27" w14:textId="7B9DAE60" w:rsidR="000B7C59" w:rsidRPr="005833C4" w:rsidRDefault="000B7C59">
            <w:pPr>
              <w:rPr>
                <w:b/>
                <w:bCs/>
              </w:rPr>
            </w:pPr>
            <w:r w:rsidRPr="005833C4">
              <w:rPr>
                <w:b/>
                <w:bCs/>
              </w:rPr>
              <w:t>Sp</w:t>
            </w:r>
            <w:r>
              <w:rPr>
                <w:b/>
                <w:bCs/>
              </w:rPr>
              <w:t>lit sites</w:t>
            </w:r>
            <w:r w:rsidRPr="005833C4">
              <w:rPr>
                <w:b/>
                <w:bCs/>
              </w:rPr>
              <w:t xml:space="preserve"> funding factor </w:t>
            </w:r>
          </w:p>
        </w:tc>
        <w:tc>
          <w:tcPr>
            <w:tcW w:w="1591" w:type="pct"/>
            <w:tcBorders>
              <w:top w:val="single" w:sz="4" w:space="0" w:color="auto"/>
              <w:left w:val="nil"/>
              <w:bottom w:val="single" w:sz="4" w:space="0" w:color="auto"/>
              <w:right w:val="single" w:sz="4" w:space="0" w:color="auto"/>
            </w:tcBorders>
            <w:vAlign w:val="center"/>
            <w:hideMark/>
          </w:tcPr>
          <w:p w14:paraId="4C41CF51" w14:textId="77777777" w:rsidR="000B7C59" w:rsidRPr="004D0FE0" w:rsidRDefault="000B7C59">
            <w:pPr>
              <w:rPr>
                <w:b/>
                <w:bCs/>
                <w:color w:val="FF0000"/>
              </w:rPr>
            </w:pPr>
            <w:r w:rsidRPr="005833C4">
              <w:rPr>
                <w:b/>
              </w:rPr>
              <w:t xml:space="preserve">Unit value </w:t>
            </w:r>
          </w:p>
        </w:tc>
      </w:tr>
      <w:tr w:rsidR="000B7C59" w:rsidRPr="004D0FE0" w14:paraId="105CDF88" w14:textId="77777777">
        <w:trPr>
          <w:trHeight w:val="320"/>
        </w:trPr>
        <w:tc>
          <w:tcPr>
            <w:tcW w:w="3409" w:type="pct"/>
            <w:tcBorders>
              <w:top w:val="nil"/>
              <w:left w:val="single" w:sz="4" w:space="0" w:color="auto"/>
              <w:bottom w:val="single" w:sz="4" w:space="0" w:color="auto"/>
              <w:right w:val="single" w:sz="4" w:space="0" w:color="auto"/>
            </w:tcBorders>
            <w:vAlign w:val="center"/>
            <w:hideMark/>
          </w:tcPr>
          <w:p w14:paraId="0D96A521" w14:textId="6ED80841" w:rsidR="000B7C59" w:rsidRPr="005833C4" w:rsidRDefault="008E348A">
            <w:r>
              <w:t>Basic eligibility</w:t>
            </w:r>
            <w:r w:rsidR="00FE0EFB">
              <w:t xml:space="preserve"> lump sum</w:t>
            </w:r>
          </w:p>
        </w:tc>
        <w:tc>
          <w:tcPr>
            <w:tcW w:w="1591" w:type="pct"/>
            <w:tcBorders>
              <w:top w:val="nil"/>
              <w:left w:val="nil"/>
              <w:bottom w:val="single" w:sz="4" w:space="0" w:color="auto"/>
              <w:right w:val="single" w:sz="4" w:space="0" w:color="auto"/>
            </w:tcBorders>
            <w:vAlign w:val="center"/>
            <w:hideMark/>
          </w:tcPr>
          <w:p w14:paraId="6749AC1E" w14:textId="1BEA610D" w:rsidR="000B7C59" w:rsidRPr="002604E2" w:rsidRDefault="008E348A">
            <w:r w:rsidRPr="002604E2">
              <w:t>£5</w:t>
            </w:r>
            <w:r w:rsidR="00CA6775" w:rsidRPr="002604E2">
              <w:t>5,</w:t>
            </w:r>
            <w:r w:rsidR="003D59F4">
              <w:t>606</w:t>
            </w:r>
          </w:p>
        </w:tc>
      </w:tr>
      <w:tr w:rsidR="000B7C59" w:rsidRPr="004D0FE0" w14:paraId="3CE5287E" w14:textId="77777777">
        <w:trPr>
          <w:trHeight w:val="320"/>
        </w:trPr>
        <w:tc>
          <w:tcPr>
            <w:tcW w:w="3409" w:type="pct"/>
            <w:tcBorders>
              <w:top w:val="nil"/>
              <w:left w:val="single" w:sz="4" w:space="0" w:color="auto"/>
              <w:bottom w:val="single" w:sz="4" w:space="0" w:color="auto"/>
              <w:right w:val="single" w:sz="4" w:space="0" w:color="auto"/>
            </w:tcBorders>
            <w:vAlign w:val="center"/>
            <w:hideMark/>
          </w:tcPr>
          <w:p w14:paraId="55F815B5" w14:textId="7E7792A8" w:rsidR="000B7C59" w:rsidRPr="005833C4" w:rsidRDefault="00CA2774">
            <w:r>
              <w:t>Maximum d</w:t>
            </w:r>
            <w:r w:rsidR="008E348A">
              <w:t>istance</w:t>
            </w:r>
          </w:p>
        </w:tc>
        <w:tc>
          <w:tcPr>
            <w:tcW w:w="1591" w:type="pct"/>
            <w:tcBorders>
              <w:top w:val="nil"/>
              <w:left w:val="nil"/>
              <w:bottom w:val="single" w:sz="4" w:space="0" w:color="auto"/>
              <w:right w:val="single" w:sz="4" w:space="0" w:color="auto"/>
            </w:tcBorders>
            <w:vAlign w:val="center"/>
            <w:hideMark/>
          </w:tcPr>
          <w:p w14:paraId="2965AE87" w14:textId="6A78D31E" w:rsidR="000B7C59" w:rsidRPr="002604E2" w:rsidRDefault="002717C5">
            <w:r w:rsidRPr="002604E2">
              <w:t>£27</w:t>
            </w:r>
            <w:r w:rsidR="00CA6775" w:rsidRPr="002604E2">
              <w:t>,</w:t>
            </w:r>
            <w:r w:rsidR="002604E2" w:rsidRPr="002604E2">
              <w:t>8</w:t>
            </w:r>
            <w:r w:rsidR="003D59F4">
              <w:t>54</w:t>
            </w:r>
          </w:p>
        </w:tc>
      </w:tr>
    </w:tbl>
    <w:p w14:paraId="27FB8E3D" w14:textId="77777777" w:rsidR="002717C5" w:rsidRDefault="002717C5" w:rsidP="002717C5"/>
    <w:p w14:paraId="1C82FD62" w14:textId="245AFB42" w:rsidR="005C2312" w:rsidRDefault="005C2312" w:rsidP="002717C5">
      <w:r w:rsidRPr="004F497E">
        <w:t xml:space="preserve">Further information can be found in the </w:t>
      </w:r>
      <w:hyperlink r:id="rId27" w:anchor="split-sites" w:history="1">
        <w:r w:rsidRPr="004F497E">
          <w:rPr>
            <w:rStyle w:val="Hyperlink"/>
          </w:rPr>
          <w:t>schools operational guide</w:t>
        </w:r>
      </w:hyperlink>
      <w:r w:rsidRPr="004F497E">
        <w:t>.</w:t>
      </w:r>
    </w:p>
    <w:p w14:paraId="3BFFBCBC" w14:textId="77777777" w:rsidR="002717C5" w:rsidRPr="004F497E" w:rsidRDefault="002717C5" w:rsidP="002717C5"/>
    <w:p w14:paraId="0C534F1D" w14:textId="78BFCC93" w:rsidR="00D45E63" w:rsidRPr="00E97B05" w:rsidRDefault="00E97B05" w:rsidP="00E97B05">
      <w:pPr>
        <w:rPr>
          <w:b/>
          <w:bCs/>
          <w:color w:val="FF0000"/>
          <w:spacing w:val="1"/>
        </w:rPr>
      </w:pPr>
      <w:bookmarkStart w:id="15" w:name="Exceptionalcircumstances"/>
      <w:r w:rsidRPr="00E97B05">
        <w:rPr>
          <w:b/>
          <w:bCs/>
        </w:rPr>
        <w:t xml:space="preserve">4.10 </w:t>
      </w:r>
      <w:r w:rsidR="00D45E63" w:rsidRPr="00E97B05">
        <w:rPr>
          <w:b/>
          <w:bCs/>
        </w:rPr>
        <w:t xml:space="preserve">Exceptional </w:t>
      </w:r>
      <w:r w:rsidR="009C215C" w:rsidRPr="00E97B05">
        <w:rPr>
          <w:b/>
          <w:bCs/>
        </w:rPr>
        <w:t>c</w:t>
      </w:r>
      <w:r w:rsidR="00D45E63" w:rsidRPr="00E97B05">
        <w:rPr>
          <w:b/>
          <w:bCs/>
        </w:rPr>
        <w:t>ircumstances</w:t>
      </w:r>
      <w:r w:rsidR="001948EF" w:rsidRPr="00E97B05">
        <w:rPr>
          <w:b/>
          <w:bCs/>
        </w:rPr>
        <w:t xml:space="preserve"> </w:t>
      </w:r>
      <w:bookmarkEnd w:id="15"/>
      <w:r w:rsidR="007E0E5D" w:rsidRPr="00E97B05">
        <w:rPr>
          <w:b/>
          <w:bCs/>
        </w:rPr>
        <w:t>-</w:t>
      </w:r>
      <w:r w:rsidR="001948EF" w:rsidRPr="00E97B05">
        <w:rPr>
          <w:b/>
          <w:bCs/>
        </w:rPr>
        <w:t xml:space="preserve"> </w:t>
      </w:r>
      <w:r w:rsidR="007E0E5D" w:rsidRPr="00E97B05">
        <w:rPr>
          <w:b/>
          <w:bCs/>
        </w:rPr>
        <w:t>rents</w:t>
      </w:r>
    </w:p>
    <w:p w14:paraId="56701776" w14:textId="77777777" w:rsidR="009C215C" w:rsidRPr="009C215C" w:rsidRDefault="009C215C" w:rsidP="009C215C">
      <w:pPr>
        <w:rPr>
          <w:b/>
        </w:rPr>
      </w:pPr>
    </w:p>
    <w:p w14:paraId="158C613E" w14:textId="2B32EEBC" w:rsidR="00D45E63" w:rsidRPr="008E69CB" w:rsidRDefault="00D45E63" w:rsidP="00D45E63">
      <w:r w:rsidRPr="008E69CB">
        <w:rPr>
          <w:spacing w:val="2"/>
        </w:rPr>
        <w:t xml:space="preserve">Local authorities can apply to the </w:t>
      </w:r>
      <w:r w:rsidR="00F96490" w:rsidRPr="008E69CB">
        <w:rPr>
          <w:spacing w:val="2"/>
        </w:rPr>
        <w:t>D</w:t>
      </w:r>
      <w:r w:rsidR="001E4DCE" w:rsidRPr="008E69CB">
        <w:rPr>
          <w:spacing w:val="2"/>
        </w:rPr>
        <w:t>f</w:t>
      </w:r>
      <w:r w:rsidR="00F96490" w:rsidRPr="008E69CB">
        <w:rPr>
          <w:spacing w:val="2"/>
        </w:rPr>
        <w:t>E</w:t>
      </w:r>
      <w:r w:rsidRPr="008E69CB">
        <w:rPr>
          <w:spacing w:val="2"/>
        </w:rPr>
        <w:t xml:space="preserve"> to use the exceptional factors relating to premises, such as rents, joint</w:t>
      </w:r>
      <w:r w:rsidR="00C10A64">
        <w:rPr>
          <w:spacing w:val="2"/>
        </w:rPr>
        <w:t xml:space="preserve"> </w:t>
      </w:r>
      <w:r w:rsidRPr="008E69CB">
        <w:rPr>
          <w:spacing w:val="2"/>
        </w:rPr>
        <w:t xml:space="preserve">use </w:t>
      </w:r>
      <w:r w:rsidR="00C10A64">
        <w:rPr>
          <w:spacing w:val="2"/>
        </w:rPr>
        <w:t>of leisure</w:t>
      </w:r>
      <w:r w:rsidRPr="008E69CB">
        <w:rPr>
          <w:spacing w:val="2"/>
        </w:rPr>
        <w:t xml:space="preserve"> facilities</w:t>
      </w:r>
      <w:r w:rsidR="00C10A64">
        <w:rPr>
          <w:spacing w:val="2"/>
        </w:rPr>
        <w:t xml:space="preserve"> by contractual agreement</w:t>
      </w:r>
      <w:r w:rsidRPr="008E69CB">
        <w:rPr>
          <w:spacing w:val="2"/>
        </w:rPr>
        <w:t xml:space="preserve"> or </w:t>
      </w:r>
      <w:r w:rsidR="006207FD">
        <w:rPr>
          <w:spacing w:val="2"/>
        </w:rPr>
        <w:t>hire of PE facilities</w:t>
      </w:r>
      <w:r w:rsidRPr="008E69CB">
        <w:rPr>
          <w:spacing w:val="2"/>
        </w:rPr>
        <w:t xml:space="preserve">. </w:t>
      </w:r>
      <w:r w:rsidRPr="008E69CB">
        <w:t xml:space="preserve">These circumstances must apply to less than 5% of schools in the local authority and will only apply to cases where the significant additional cost </w:t>
      </w:r>
      <w:r w:rsidR="00703C01">
        <w:t xml:space="preserve">is </w:t>
      </w:r>
      <w:r w:rsidRPr="008E69CB">
        <w:t xml:space="preserve">greater than 1% of the </w:t>
      </w:r>
      <w:r w:rsidR="00550C4F" w:rsidRPr="008E69CB">
        <w:t>school’s budget</w:t>
      </w:r>
      <w:r w:rsidRPr="008E69CB">
        <w:t xml:space="preserve">. </w:t>
      </w:r>
      <w:r w:rsidR="00BA36F5" w:rsidRPr="008E69CB">
        <w:t xml:space="preserve">Local authorities </w:t>
      </w:r>
      <w:r w:rsidR="00B45265">
        <w:t>are required to</w:t>
      </w:r>
      <w:r w:rsidR="00BA36F5" w:rsidRPr="008E69CB">
        <w:t xml:space="preserve"> submit requests annually for approval</w:t>
      </w:r>
      <w:r w:rsidRPr="008E69CB">
        <w:t xml:space="preserve"> in advance by the </w:t>
      </w:r>
      <w:r w:rsidR="00F96490" w:rsidRPr="008E69CB">
        <w:t>D</w:t>
      </w:r>
      <w:r w:rsidR="001E4DCE" w:rsidRPr="008E69CB">
        <w:t>f</w:t>
      </w:r>
      <w:r w:rsidR="00F96490" w:rsidRPr="008E69CB">
        <w:t>E</w:t>
      </w:r>
      <w:r w:rsidR="00CA7D99">
        <w:t xml:space="preserve"> and funding will only be provided if the approval is granted.</w:t>
      </w:r>
    </w:p>
    <w:p w14:paraId="457B40D8" w14:textId="77777777" w:rsidR="00D45E63" w:rsidRPr="008E69CB" w:rsidRDefault="00D45E63" w:rsidP="00D45E63">
      <w:r w:rsidRPr="008E69CB">
        <w:t xml:space="preserve"> </w:t>
      </w:r>
    </w:p>
    <w:p w14:paraId="0092B2A9" w14:textId="68F06DAF" w:rsidR="00A339EB" w:rsidRDefault="00D45E63" w:rsidP="00A339EB">
      <w:r w:rsidRPr="008E69CB">
        <w:t xml:space="preserve">For Hampshire schools the exceptional circumstances approved by </w:t>
      </w:r>
      <w:r w:rsidR="00F96490" w:rsidRPr="008E69CB">
        <w:t>D</w:t>
      </w:r>
      <w:r w:rsidR="001E4DCE" w:rsidRPr="008E69CB">
        <w:t>f</w:t>
      </w:r>
      <w:r w:rsidR="00F96490" w:rsidRPr="008E69CB">
        <w:t>E</w:t>
      </w:r>
      <w:r w:rsidRPr="008E69CB">
        <w:t xml:space="preserve"> are for formal rents that meet the criteria of more than 1% of the total budget share.</w:t>
      </w:r>
      <w:r w:rsidR="00F73226">
        <w:t xml:space="preserve"> </w:t>
      </w:r>
      <w:r w:rsidR="00562429" w:rsidRPr="006054DA">
        <w:t>Funding</w:t>
      </w:r>
      <w:r w:rsidR="00774FCB" w:rsidRPr="006054DA">
        <w:t xml:space="preserve"> values are taken</w:t>
      </w:r>
      <w:r w:rsidR="00562429" w:rsidRPr="006054DA">
        <w:t xml:space="preserve"> from the </w:t>
      </w:r>
      <w:r w:rsidR="003D051F" w:rsidRPr="006054DA">
        <w:t xml:space="preserve">previous financial </w:t>
      </w:r>
      <w:r w:rsidR="00204476" w:rsidRPr="006054DA">
        <w:t>year’s</w:t>
      </w:r>
      <w:r w:rsidR="003D051F" w:rsidRPr="006054DA">
        <w:t xml:space="preserve"> </w:t>
      </w:r>
      <w:r w:rsidR="00562429" w:rsidRPr="006054DA">
        <w:t>rental agreement</w:t>
      </w:r>
      <w:r w:rsidR="003D051F" w:rsidRPr="006054DA">
        <w:t>s</w:t>
      </w:r>
      <w:r w:rsidR="00195E0D" w:rsidRPr="006054DA">
        <w:t xml:space="preserve"> or the estimated </w:t>
      </w:r>
      <w:r w:rsidR="008C4687" w:rsidRPr="006054DA">
        <w:t xml:space="preserve">rental </w:t>
      </w:r>
      <w:r w:rsidR="00343758" w:rsidRPr="006054DA">
        <w:t xml:space="preserve">value </w:t>
      </w:r>
      <w:r w:rsidR="008C4687" w:rsidRPr="006054DA">
        <w:t>where</w:t>
      </w:r>
      <w:r w:rsidR="002B3F76" w:rsidRPr="006054DA">
        <w:t xml:space="preserve"> </w:t>
      </w:r>
      <w:r w:rsidR="0050033B" w:rsidRPr="006054DA">
        <w:t>negotiations are underway</w:t>
      </w:r>
      <w:r w:rsidR="00EB66ED" w:rsidRPr="006054DA">
        <w:t xml:space="preserve"> if </w:t>
      </w:r>
      <w:r w:rsidR="002B3F76" w:rsidRPr="006054DA">
        <w:t>applicable</w:t>
      </w:r>
      <w:r w:rsidR="00562429" w:rsidRPr="006054DA">
        <w:t xml:space="preserve">. </w:t>
      </w:r>
      <w:r w:rsidR="005079B8" w:rsidRPr="006054DA">
        <w:t>T</w:t>
      </w:r>
      <w:r w:rsidR="005939F9" w:rsidRPr="006054DA">
        <w:t xml:space="preserve">he DfE </w:t>
      </w:r>
      <w:r w:rsidR="00EE1375" w:rsidRPr="006054DA">
        <w:t>does</w:t>
      </w:r>
      <w:r w:rsidR="004471F4" w:rsidRPr="006054DA">
        <w:t xml:space="preserve"> not permit</w:t>
      </w:r>
      <w:r w:rsidR="00BA0C45" w:rsidRPr="006054DA">
        <w:t xml:space="preserve"> funding to be</w:t>
      </w:r>
      <w:r w:rsidR="009A42E0" w:rsidRPr="006054DA">
        <w:t xml:space="preserve"> </w:t>
      </w:r>
      <w:r w:rsidR="006054DA" w:rsidRPr="006054DA">
        <w:t>backdated</w:t>
      </w:r>
      <w:r w:rsidR="009A42E0" w:rsidRPr="006054DA">
        <w:t xml:space="preserve"> </w:t>
      </w:r>
      <w:r w:rsidR="00AB60A9" w:rsidRPr="006054DA">
        <w:t>in future years budget shares</w:t>
      </w:r>
      <w:r w:rsidR="00013CDE" w:rsidRPr="006054DA">
        <w:t xml:space="preserve"> if rental negotiations are delayed</w:t>
      </w:r>
      <w:r w:rsidR="00AB60A9" w:rsidRPr="006054DA">
        <w:t xml:space="preserve">. </w:t>
      </w:r>
      <w:r w:rsidR="00A339EB" w:rsidRPr="004F497E">
        <w:t xml:space="preserve">Further information can be found in the </w:t>
      </w:r>
      <w:hyperlink r:id="rId28" w:anchor="exceptional-circumstances" w:history="1">
        <w:r w:rsidR="00A339EB" w:rsidRPr="004F497E">
          <w:rPr>
            <w:rStyle w:val="Hyperlink"/>
          </w:rPr>
          <w:t>schools operational guide</w:t>
        </w:r>
      </w:hyperlink>
      <w:r w:rsidR="00A339EB" w:rsidRPr="004F497E">
        <w:t>.</w:t>
      </w:r>
    </w:p>
    <w:p w14:paraId="07BD9CBD" w14:textId="77777777" w:rsidR="00605935" w:rsidRDefault="00605935" w:rsidP="00D45E63"/>
    <w:p w14:paraId="7C65C227" w14:textId="18118273" w:rsidR="00605935" w:rsidRDefault="00E97B05" w:rsidP="00605935">
      <w:pPr>
        <w:rPr>
          <w:b/>
        </w:rPr>
      </w:pPr>
      <w:bookmarkStart w:id="16" w:name="Minimumperpupillevel"/>
      <w:r>
        <w:rPr>
          <w:b/>
        </w:rPr>
        <w:t xml:space="preserve">4.11 </w:t>
      </w:r>
      <w:r w:rsidR="00605935" w:rsidRPr="008709BA">
        <w:rPr>
          <w:b/>
        </w:rPr>
        <w:t xml:space="preserve">Minimum per pupil level </w:t>
      </w:r>
      <w:bookmarkEnd w:id="16"/>
      <w:r w:rsidR="00605935" w:rsidRPr="008709BA">
        <w:rPr>
          <w:b/>
        </w:rPr>
        <w:t>(MPPL) for primary and secondary schools</w:t>
      </w:r>
    </w:p>
    <w:p w14:paraId="0FBCC0AE" w14:textId="77777777" w:rsidR="006439EC" w:rsidRPr="004D0FE0" w:rsidRDefault="006439EC" w:rsidP="00605935">
      <w:pPr>
        <w:rPr>
          <w:b/>
          <w:color w:val="FF0000"/>
        </w:rPr>
      </w:pPr>
    </w:p>
    <w:p w14:paraId="66D6446E" w14:textId="77777777" w:rsidR="00605935" w:rsidRDefault="00605935" w:rsidP="00605935">
      <w:r>
        <w:t>The</w:t>
      </w:r>
      <w:r w:rsidRPr="008709BA">
        <w:t xml:space="preserve"> purpose </w:t>
      </w:r>
      <w:r>
        <w:t xml:space="preserve">of this factor </w:t>
      </w:r>
      <w:r w:rsidRPr="008709BA">
        <w:t xml:space="preserve">is to ensure local authorities provide the NFF minimum per pupil levels to every school. </w:t>
      </w:r>
    </w:p>
    <w:p w14:paraId="5E7F1EAB" w14:textId="77777777" w:rsidR="005C55BB" w:rsidRDefault="005C55BB" w:rsidP="00605935">
      <w:pPr>
        <w:rPr>
          <w:color w:val="FF0000"/>
        </w:rPr>
      </w:pPr>
    </w:p>
    <w:p w14:paraId="1FD568D4" w14:textId="77777777" w:rsidR="006054DA" w:rsidRDefault="006054DA">
      <w:pPr>
        <w:spacing w:after="160" w:line="259" w:lineRule="auto"/>
        <w:rPr>
          <w:bCs/>
          <w:spacing w:val="1"/>
        </w:rPr>
      </w:pPr>
      <w:r>
        <w:rPr>
          <w:bCs/>
          <w:spacing w:val="1"/>
        </w:rPr>
        <w:br w:type="page"/>
      </w:r>
    </w:p>
    <w:p w14:paraId="79D4913B" w14:textId="77777777" w:rsidR="005C55BB" w:rsidRDefault="005C55BB" w:rsidP="005C55BB">
      <w:pPr>
        <w:ind w:left="284" w:hanging="284"/>
      </w:pPr>
      <w:r w:rsidRPr="000215C0">
        <w:rPr>
          <w:bCs/>
          <w:spacing w:val="1"/>
        </w:rPr>
        <w:lastRenderedPageBreak/>
        <w:t xml:space="preserve">The factor values </w:t>
      </w:r>
      <w:r>
        <w:rPr>
          <w:bCs/>
          <w:spacing w:val="1"/>
        </w:rPr>
        <w:t>are</w:t>
      </w:r>
      <w:r w:rsidRPr="000215C0">
        <w:rPr>
          <w:bCs/>
          <w:spacing w:val="1"/>
        </w:rPr>
        <w:t xml:space="preserve"> shown below:</w:t>
      </w:r>
    </w:p>
    <w:tbl>
      <w:tblPr>
        <w:tblStyle w:val="TableGrid"/>
        <w:tblW w:w="0" w:type="auto"/>
        <w:tblInd w:w="-5" w:type="dxa"/>
        <w:tblLook w:val="04A0" w:firstRow="1" w:lastRow="0" w:firstColumn="1" w:lastColumn="0" w:noHBand="0" w:noVBand="1"/>
      </w:tblPr>
      <w:tblGrid>
        <w:gridCol w:w="2268"/>
        <w:gridCol w:w="1043"/>
        <w:gridCol w:w="1418"/>
        <w:gridCol w:w="1417"/>
        <w:gridCol w:w="1418"/>
        <w:gridCol w:w="1418"/>
      </w:tblGrid>
      <w:tr w:rsidR="00605935" w14:paraId="5F58F73B" w14:textId="77777777">
        <w:trPr>
          <w:trHeight w:val="325"/>
        </w:trPr>
        <w:tc>
          <w:tcPr>
            <w:tcW w:w="2268" w:type="dxa"/>
          </w:tcPr>
          <w:p w14:paraId="29D833A2" w14:textId="77777777" w:rsidR="00605935" w:rsidRDefault="00605935">
            <w:pPr>
              <w:tabs>
                <w:tab w:val="left" w:pos="-111"/>
              </w:tabs>
              <w:ind w:left="-111"/>
            </w:pPr>
            <w:bookmarkStart w:id="17" w:name="_Hlk211344283"/>
            <w:bookmarkStart w:id="18" w:name="_Hlk211344304"/>
          </w:p>
        </w:tc>
        <w:tc>
          <w:tcPr>
            <w:tcW w:w="567" w:type="dxa"/>
          </w:tcPr>
          <w:p w14:paraId="66419CE6" w14:textId="77777777" w:rsidR="00605935" w:rsidRDefault="00605935">
            <w:pPr>
              <w:jc w:val="right"/>
            </w:pPr>
            <w:r>
              <w:t>Primary</w:t>
            </w:r>
          </w:p>
        </w:tc>
        <w:tc>
          <w:tcPr>
            <w:tcW w:w="1418" w:type="dxa"/>
          </w:tcPr>
          <w:p w14:paraId="7E2D1598" w14:textId="19D6F0C8" w:rsidR="00605935" w:rsidRDefault="00605935">
            <w:pPr>
              <w:jc w:val="right"/>
            </w:pPr>
            <w:r>
              <w:t>Secondary KS3</w:t>
            </w:r>
          </w:p>
        </w:tc>
        <w:tc>
          <w:tcPr>
            <w:tcW w:w="1417" w:type="dxa"/>
          </w:tcPr>
          <w:p w14:paraId="22A25398" w14:textId="7B0F639A" w:rsidR="00605935" w:rsidRDefault="00605935">
            <w:pPr>
              <w:jc w:val="right"/>
            </w:pPr>
            <w:r>
              <w:t>Secondary KS4</w:t>
            </w:r>
          </w:p>
        </w:tc>
        <w:tc>
          <w:tcPr>
            <w:tcW w:w="1418" w:type="dxa"/>
          </w:tcPr>
          <w:p w14:paraId="486DACEF" w14:textId="77777777" w:rsidR="00605935" w:rsidRDefault="00605935">
            <w:pPr>
              <w:jc w:val="right"/>
            </w:pPr>
            <w:r>
              <w:t>Secondary schools</w:t>
            </w:r>
          </w:p>
        </w:tc>
        <w:tc>
          <w:tcPr>
            <w:tcW w:w="1418" w:type="dxa"/>
          </w:tcPr>
          <w:p w14:paraId="329027F0" w14:textId="77777777" w:rsidR="00605935" w:rsidRDefault="00605935">
            <w:pPr>
              <w:jc w:val="right"/>
            </w:pPr>
            <w:r>
              <w:t>All through schools</w:t>
            </w:r>
          </w:p>
        </w:tc>
      </w:tr>
      <w:bookmarkEnd w:id="17"/>
      <w:tr w:rsidR="00605935" w14:paraId="78CB595C" w14:textId="77777777">
        <w:trPr>
          <w:trHeight w:val="312"/>
        </w:trPr>
        <w:tc>
          <w:tcPr>
            <w:tcW w:w="2268" w:type="dxa"/>
          </w:tcPr>
          <w:p w14:paraId="7311727D" w14:textId="77777777" w:rsidR="00605935" w:rsidRDefault="00605935">
            <w:r>
              <w:t>MPPL</w:t>
            </w:r>
          </w:p>
        </w:tc>
        <w:tc>
          <w:tcPr>
            <w:tcW w:w="567" w:type="dxa"/>
          </w:tcPr>
          <w:p w14:paraId="7F62205D" w14:textId="5E28847C" w:rsidR="00605935" w:rsidRPr="003F479A" w:rsidRDefault="00605935">
            <w:pPr>
              <w:jc w:val="right"/>
              <w:rPr>
                <w:color w:val="FF0000"/>
              </w:rPr>
            </w:pPr>
            <w:r w:rsidRPr="00210B4A">
              <w:t>£</w:t>
            </w:r>
            <w:r w:rsidR="00210B4A" w:rsidRPr="00210B4A">
              <w:t>5,115</w:t>
            </w:r>
          </w:p>
        </w:tc>
        <w:tc>
          <w:tcPr>
            <w:tcW w:w="1418" w:type="dxa"/>
          </w:tcPr>
          <w:p w14:paraId="728092D5" w14:textId="0CAF62DE" w:rsidR="00605935" w:rsidRPr="003F479A" w:rsidRDefault="00605935">
            <w:pPr>
              <w:jc w:val="right"/>
              <w:rPr>
                <w:color w:val="FF0000"/>
              </w:rPr>
            </w:pPr>
            <w:r w:rsidRPr="00210B4A">
              <w:t>£6,</w:t>
            </w:r>
            <w:r w:rsidR="00210B4A" w:rsidRPr="00210B4A">
              <w:t>388</w:t>
            </w:r>
          </w:p>
        </w:tc>
        <w:tc>
          <w:tcPr>
            <w:tcW w:w="1417" w:type="dxa"/>
          </w:tcPr>
          <w:p w14:paraId="498DE9BE" w14:textId="0327BF59" w:rsidR="00605935" w:rsidRPr="005B0DFE" w:rsidRDefault="00605935">
            <w:pPr>
              <w:jc w:val="right"/>
            </w:pPr>
            <w:r w:rsidRPr="005B0DFE">
              <w:t>£</w:t>
            </w:r>
            <w:r w:rsidR="00210B4A" w:rsidRPr="005B0DFE">
              <w:t>7,018</w:t>
            </w:r>
          </w:p>
        </w:tc>
        <w:tc>
          <w:tcPr>
            <w:tcW w:w="1418" w:type="dxa"/>
          </w:tcPr>
          <w:p w14:paraId="644CFB4F" w14:textId="356FA3FE" w:rsidR="00605935" w:rsidRPr="005B0DFE" w:rsidRDefault="00605935">
            <w:pPr>
              <w:jc w:val="right"/>
            </w:pPr>
            <w:r w:rsidRPr="005B0DFE">
              <w:t>£6,</w:t>
            </w:r>
            <w:r w:rsidR="005B0DFE" w:rsidRPr="005B0DFE">
              <w:t>640</w:t>
            </w:r>
          </w:p>
        </w:tc>
        <w:tc>
          <w:tcPr>
            <w:tcW w:w="1418" w:type="dxa"/>
          </w:tcPr>
          <w:p w14:paraId="7851E501" w14:textId="66AA5123" w:rsidR="00605935" w:rsidRPr="003F479A" w:rsidRDefault="00605935">
            <w:pPr>
              <w:jc w:val="right"/>
              <w:rPr>
                <w:color w:val="FF0000"/>
              </w:rPr>
            </w:pPr>
            <w:r w:rsidRPr="00687389">
              <w:t>£</w:t>
            </w:r>
            <w:r w:rsidR="00687389" w:rsidRPr="00687389">
              <w:t>5,750</w:t>
            </w:r>
          </w:p>
        </w:tc>
      </w:tr>
      <w:bookmarkEnd w:id="18"/>
    </w:tbl>
    <w:p w14:paraId="2C302452" w14:textId="77777777" w:rsidR="00605935" w:rsidRPr="004D0FE0" w:rsidRDefault="00605935" w:rsidP="00605935">
      <w:pPr>
        <w:ind w:left="567"/>
        <w:rPr>
          <w:color w:val="FF0000"/>
        </w:rPr>
      </w:pPr>
    </w:p>
    <w:p w14:paraId="4DEE280B" w14:textId="77777777" w:rsidR="00605935" w:rsidRPr="008E5AC3" w:rsidRDefault="00605935" w:rsidP="00605935">
      <w:r w:rsidRPr="008E5AC3">
        <w:t>The calculation used to work out the M</w:t>
      </w:r>
      <w:r>
        <w:t>P</w:t>
      </w:r>
      <w:r w:rsidRPr="008E5AC3">
        <w:t>P</w:t>
      </w:r>
      <w:r>
        <w:t>L</w:t>
      </w:r>
      <w:r w:rsidRPr="008E5AC3">
        <w:t xml:space="preserve"> </w:t>
      </w:r>
      <w:r>
        <w:t>funding</w:t>
      </w:r>
      <w:r w:rsidRPr="008E5AC3">
        <w:t xml:space="preserve"> for each school is:</w:t>
      </w:r>
    </w:p>
    <w:tbl>
      <w:tblPr>
        <w:tblStyle w:val="TableGrid"/>
        <w:tblW w:w="0" w:type="auto"/>
        <w:tblInd w:w="-5" w:type="dxa"/>
        <w:tblLook w:val="04A0" w:firstRow="1" w:lastRow="0" w:firstColumn="1" w:lastColumn="0" w:noHBand="0" w:noVBand="1"/>
      </w:tblPr>
      <w:tblGrid>
        <w:gridCol w:w="8931"/>
      </w:tblGrid>
      <w:tr w:rsidR="00605935" w14:paraId="12228364" w14:textId="77777777">
        <w:trPr>
          <w:trHeight w:val="312"/>
        </w:trPr>
        <w:tc>
          <w:tcPr>
            <w:tcW w:w="8931" w:type="dxa"/>
          </w:tcPr>
          <w:p w14:paraId="4483080F" w14:textId="5198A1A4" w:rsidR="00605935" w:rsidRPr="007C4FCA" w:rsidRDefault="00605935">
            <w:pPr>
              <w:jc w:val="center"/>
            </w:pPr>
            <w:r w:rsidRPr="007C4FCA">
              <w:t xml:space="preserve">(number of primary year groups </w:t>
            </w:r>
            <w:r w:rsidRPr="00210B4A">
              <w:t>× £</w:t>
            </w:r>
            <w:r w:rsidR="00210B4A" w:rsidRPr="00210B4A">
              <w:t>5,115</w:t>
            </w:r>
            <w:r w:rsidRPr="00210B4A">
              <w:t>) + (number of KS3 year groups × £6,</w:t>
            </w:r>
            <w:r w:rsidR="00210B4A" w:rsidRPr="00210B4A">
              <w:t>388</w:t>
            </w:r>
            <w:r w:rsidRPr="00210B4A">
              <w:t>) + (number of KS4 year groups × £</w:t>
            </w:r>
            <w:r w:rsidR="00210B4A" w:rsidRPr="00210B4A">
              <w:t>7,018</w:t>
            </w:r>
            <w:r w:rsidRPr="007C4FCA">
              <w:t>)</w:t>
            </w:r>
          </w:p>
          <w:p w14:paraId="71D90E06" w14:textId="77777777" w:rsidR="00605935" w:rsidRPr="007C4FCA" w:rsidRDefault="00605935">
            <w:pPr>
              <w:jc w:val="center"/>
            </w:pPr>
            <w:r w:rsidRPr="007C4FCA">
              <w:t>divided by</w:t>
            </w:r>
          </w:p>
          <w:p w14:paraId="2EFBEF92" w14:textId="77777777" w:rsidR="00605935" w:rsidRPr="008E5AC3" w:rsidRDefault="00605935">
            <w:pPr>
              <w:jc w:val="center"/>
            </w:pPr>
            <w:r w:rsidRPr="007C4FCA">
              <w:t>Total number of year groups</w:t>
            </w:r>
          </w:p>
        </w:tc>
      </w:tr>
    </w:tbl>
    <w:p w14:paraId="51175484" w14:textId="77777777" w:rsidR="00605935" w:rsidRDefault="00605935" w:rsidP="00605935"/>
    <w:p w14:paraId="479D6D08" w14:textId="56801977" w:rsidR="002776FD" w:rsidRDefault="00605935" w:rsidP="006054DA">
      <w:r w:rsidRPr="005C59FE">
        <w:t xml:space="preserve">A school’s funding level is calculated by adding together </w:t>
      </w:r>
      <w:r w:rsidR="004C5E6F">
        <w:t>per-</w:t>
      </w:r>
      <w:r w:rsidRPr="005C59FE">
        <w:t xml:space="preserve">pupil funding, lump sum and sparsity funding </w:t>
      </w:r>
      <w:r w:rsidR="00F95104">
        <w:t xml:space="preserve">which is then </w:t>
      </w:r>
      <w:r w:rsidRPr="005C59FE">
        <w:t>divid</w:t>
      </w:r>
      <w:r w:rsidR="00F95104">
        <w:t xml:space="preserve">ed </w:t>
      </w:r>
      <w:r w:rsidRPr="005C59FE">
        <w:t xml:space="preserve">by the total number on roll (NOR). This per pupil funding level is compared to the </w:t>
      </w:r>
      <w:r w:rsidR="00F95104">
        <w:t>MPPL funding</w:t>
      </w:r>
      <w:r w:rsidRPr="005C59FE">
        <w:t xml:space="preserve"> and if less, additional funding is provided to bring it up to this level.</w:t>
      </w:r>
      <w:r w:rsidR="002E792A">
        <w:t xml:space="preserve"> </w:t>
      </w:r>
      <w:r w:rsidR="002E792A" w:rsidRPr="004F497E">
        <w:t xml:space="preserve">Further information can be found in the </w:t>
      </w:r>
      <w:hyperlink r:id="rId29" w:anchor="delegated-funding" w:history="1">
        <w:r w:rsidR="002E792A" w:rsidRPr="004F497E">
          <w:rPr>
            <w:rStyle w:val="Hyperlink"/>
          </w:rPr>
          <w:t>schools operational guide</w:t>
        </w:r>
      </w:hyperlink>
      <w:r w:rsidR="002E792A" w:rsidRPr="004F497E">
        <w:t>.</w:t>
      </w:r>
    </w:p>
    <w:p w14:paraId="28292D59" w14:textId="77777777" w:rsidR="006054DA" w:rsidRDefault="006054DA" w:rsidP="006054DA">
      <w:pPr>
        <w:rPr>
          <w:b/>
          <w:bCs/>
        </w:rPr>
      </w:pPr>
    </w:p>
    <w:p w14:paraId="53F127B2" w14:textId="7F890BFA" w:rsidR="00D45E63" w:rsidRPr="00E97B05" w:rsidRDefault="00E97B05" w:rsidP="00E97B05">
      <w:pPr>
        <w:rPr>
          <w:b/>
          <w:bCs/>
        </w:rPr>
      </w:pPr>
      <w:bookmarkStart w:id="19" w:name="Minimumfundingguarantee"/>
      <w:r w:rsidRPr="00E97B05">
        <w:rPr>
          <w:b/>
          <w:bCs/>
        </w:rPr>
        <w:t xml:space="preserve">4.12 </w:t>
      </w:r>
      <w:r w:rsidR="00D45E63" w:rsidRPr="00E97B05">
        <w:rPr>
          <w:b/>
          <w:bCs/>
        </w:rPr>
        <w:t xml:space="preserve">Minimum </w:t>
      </w:r>
      <w:r w:rsidR="00F578CC" w:rsidRPr="00E97B05">
        <w:rPr>
          <w:b/>
          <w:bCs/>
        </w:rPr>
        <w:t>f</w:t>
      </w:r>
      <w:r w:rsidR="00D45E63" w:rsidRPr="00E97B05">
        <w:rPr>
          <w:b/>
          <w:bCs/>
        </w:rPr>
        <w:t xml:space="preserve">unding </w:t>
      </w:r>
      <w:r w:rsidR="00F578CC" w:rsidRPr="00E97B05">
        <w:rPr>
          <w:b/>
          <w:bCs/>
        </w:rPr>
        <w:t>g</w:t>
      </w:r>
      <w:r w:rsidR="00D45E63" w:rsidRPr="00E97B05">
        <w:rPr>
          <w:b/>
          <w:bCs/>
        </w:rPr>
        <w:t>uarantee (MFG)</w:t>
      </w:r>
    </w:p>
    <w:bookmarkEnd w:id="19"/>
    <w:p w14:paraId="40839F2D" w14:textId="77777777" w:rsidR="009C215C" w:rsidRPr="009C215C" w:rsidRDefault="009C215C" w:rsidP="009C215C">
      <w:pPr>
        <w:rPr>
          <w:b/>
        </w:rPr>
      </w:pPr>
    </w:p>
    <w:p w14:paraId="735A77F2" w14:textId="47B992E4" w:rsidR="00D45E63" w:rsidRPr="008E69CB" w:rsidRDefault="00D45E63" w:rsidP="00D45E63">
      <w:r w:rsidRPr="008E69CB">
        <w:t>MFG is used to protect the per</w:t>
      </w:r>
      <w:r w:rsidR="00C53913">
        <w:t>-</w:t>
      </w:r>
      <w:r w:rsidRPr="008E69CB">
        <w:t xml:space="preserve">pupil funding of schools </w:t>
      </w:r>
      <w:r w:rsidR="00D74A7B">
        <w:t xml:space="preserve">(for pupils in reception to Year 11) </w:t>
      </w:r>
      <w:r w:rsidRPr="008E69CB">
        <w:t xml:space="preserve">from significant changes in funding </w:t>
      </w:r>
      <w:r w:rsidR="00D74A7B" w:rsidRPr="008E69CB">
        <w:t xml:space="preserve">from one year to the next </w:t>
      </w:r>
      <w:r w:rsidRPr="008E69CB">
        <w:t xml:space="preserve">and from changes in data not directly related to pupil numbers. </w:t>
      </w:r>
    </w:p>
    <w:p w14:paraId="70B882B6" w14:textId="77777777" w:rsidR="00D45E63" w:rsidRPr="008E69CB" w:rsidRDefault="00D45E63" w:rsidP="00D45E63">
      <w:pPr>
        <w:rPr>
          <w:highlight w:val="yellow"/>
        </w:rPr>
      </w:pPr>
    </w:p>
    <w:p w14:paraId="717B6D6F" w14:textId="5916BAF5" w:rsidR="00D45E63" w:rsidRDefault="0028484B" w:rsidP="00D45E63">
      <w:r>
        <w:t>S</w:t>
      </w:r>
      <w:r w:rsidR="00D45E63" w:rsidRPr="008E69CB">
        <w:t xml:space="preserve">chools will receive an increase of at least </w:t>
      </w:r>
      <w:r w:rsidR="00D45E63" w:rsidRPr="0064637F">
        <w:t xml:space="preserve">0.0% </w:t>
      </w:r>
      <w:r w:rsidR="00D45E63" w:rsidRPr="008E69CB">
        <w:t xml:space="preserve">per pupil compared to their </w:t>
      </w:r>
      <w:r>
        <w:t>previous years</w:t>
      </w:r>
      <w:r w:rsidR="00D45E63" w:rsidRPr="008E69CB">
        <w:t xml:space="preserve"> baseline. </w:t>
      </w:r>
    </w:p>
    <w:p w14:paraId="747F354B" w14:textId="77777777" w:rsidR="002D0C99" w:rsidRDefault="002D0C99" w:rsidP="00D45E63"/>
    <w:p w14:paraId="4EA08E19" w14:textId="680BEC02" w:rsidR="002D0C99" w:rsidRPr="00B1049D" w:rsidRDefault="002D0C99" w:rsidP="002D0C99">
      <w:r w:rsidRPr="00B1049D">
        <w:t>Fu</w:t>
      </w:r>
      <w:r>
        <w:t xml:space="preserve">rther information </w:t>
      </w:r>
      <w:r w:rsidRPr="00B1049D">
        <w:t>can be found in the</w:t>
      </w:r>
      <w:r w:rsidR="00E904B2">
        <w:t xml:space="preserve"> </w:t>
      </w:r>
      <w:hyperlink r:id="rId30" w:anchor="minimum-funding-guarantee-mfg" w:history="1">
        <w:r w:rsidR="00E904B2" w:rsidRPr="00FC6C04">
          <w:rPr>
            <w:rStyle w:val="Hyperlink"/>
          </w:rPr>
          <w:t>schools operational guide</w:t>
        </w:r>
      </w:hyperlink>
      <w:r w:rsidRPr="00B1049D">
        <w:t>.</w:t>
      </w:r>
    </w:p>
    <w:p w14:paraId="77F35F6B" w14:textId="7D2F6E02" w:rsidR="002D0C99" w:rsidRPr="008E69CB" w:rsidRDefault="00E904B2" w:rsidP="00D45E63">
      <w:r>
        <w:t xml:space="preserve"> </w:t>
      </w:r>
    </w:p>
    <w:p w14:paraId="4547C8C0" w14:textId="4C6865D9" w:rsidR="00D45E63" w:rsidRPr="008E69CB" w:rsidRDefault="003F040A" w:rsidP="00D45E63">
      <w:r>
        <w:t xml:space="preserve">If you require </w:t>
      </w:r>
      <w:r w:rsidR="00C86EFF">
        <w:t xml:space="preserve">additional </w:t>
      </w:r>
      <w:r>
        <w:t>support with MFG contact your finance adviser</w:t>
      </w:r>
      <w:r w:rsidR="006A7B87">
        <w:t>.</w:t>
      </w:r>
      <w:r w:rsidR="00C84F3F" w:rsidRPr="008E69CB">
        <w:t xml:space="preserve"> </w:t>
      </w:r>
    </w:p>
    <w:p w14:paraId="5632BFE4" w14:textId="77777777" w:rsidR="00D45E63" w:rsidRPr="004D0FE0" w:rsidRDefault="00D45E63" w:rsidP="00D45E63">
      <w:pPr>
        <w:rPr>
          <w:b/>
          <w:color w:val="FF0000"/>
          <w:highlight w:val="yellow"/>
        </w:rPr>
      </w:pPr>
    </w:p>
    <w:p w14:paraId="19228976" w14:textId="74D963B2" w:rsidR="00D45E63" w:rsidRDefault="00E97B05" w:rsidP="009C215C">
      <w:pPr>
        <w:rPr>
          <w:b/>
        </w:rPr>
      </w:pPr>
      <w:bookmarkStart w:id="20" w:name="Dedelegation"/>
      <w:r>
        <w:rPr>
          <w:b/>
        </w:rPr>
        <w:t xml:space="preserve">4.13 </w:t>
      </w:r>
      <w:r w:rsidR="007D0690">
        <w:rPr>
          <w:b/>
        </w:rPr>
        <w:t>D</w:t>
      </w:r>
      <w:r w:rsidR="00D45E63" w:rsidRPr="009C215C">
        <w:rPr>
          <w:b/>
        </w:rPr>
        <w:t>e-delegation</w:t>
      </w:r>
      <w:bookmarkEnd w:id="20"/>
    </w:p>
    <w:p w14:paraId="7691E05F" w14:textId="77777777" w:rsidR="00662583" w:rsidRDefault="00662583" w:rsidP="009C215C">
      <w:pPr>
        <w:rPr>
          <w:b/>
        </w:rPr>
      </w:pPr>
    </w:p>
    <w:p w14:paraId="42C33CA7" w14:textId="6B252364" w:rsidR="00662583" w:rsidRDefault="00662583" w:rsidP="00662583">
      <w:pPr>
        <w:rPr>
          <w:spacing w:val="1"/>
        </w:rPr>
      </w:pPr>
      <w:r w:rsidRPr="00AA6446">
        <w:rPr>
          <w:spacing w:val="1"/>
        </w:rPr>
        <w:t xml:space="preserve">Schools Forum members representing maintained primary and secondary schools </w:t>
      </w:r>
      <w:r w:rsidR="005B0C42">
        <w:rPr>
          <w:spacing w:val="1"/>
        </w:rPr>
        <w:t xml:space="preserve">have </w:t>
      </w:r>
      <w:r w:rsidR="00E1311E">
        <w:rPr>
          <w:spacing w:val="1"/>
        </w:rPr>
        <w:t xml:space="preserve">separately </w:t>
      </w:r>
      <w:r w:rsidRPr="00AA6446">
        <w:rPr>
          <w:spacing w:val="1"/>
        </w:rPr>
        <w:t xml:space="preserve">agreed to the ‘de-delegation’ </w:t>
      </w:r>
      <w:r>
        <w:rPr>
          <w:spacing w:val="1"/>
        </w:rPr>
        <w:t>of</w:t>
      </w:r>
      <w:r w:rsidRPr="00AA6446">
        <w:rPr>
          <w:spacing w:val="1"/>
        </w:rPr>
        <w:t xml:space="preserve"> </w:t>
      </w:r>
      <w:r w:rsidR="00950283">
        <w:rPr>
          <w:spacing w:val="1"/>
        </w:rPr>
        <w:t>the following</w:t>
      </w:r>
      <w:r w:rsidRPr="00AA6446">
        <w:rPr>
          <w:spacing w:val="1"/>
        </w:rPr>
        <w:t xml:space="preserve"> services</w:t>
      </w:r>
      <w:r w:rsidR="005B0C42">
        <w:rPr>
          <w:spacing w:val="1"/>
        </w:rPr>
        <w:t>:</w:t>
      </w:r>
    </w:p>
    <w:p w14:paraId="6EA6D4EA" w14:textId="77777777" w:rsidR="00E1311E" w:rsidRDefault="00E1311E" w:rsidP="00662583">
      <w:pPr>
        <w:rPr>
          <w:spacing w:val="1"/>
        </w:rPr>
      </w:pPr>
    </w:p>
    <w:p w14:paraId="360DB104" w14:textId="77777777" w:rsidR="00E1311E" w:rsidRPr="00C22D9C" w:rsidRDefault="00E1311E" w:rsidP="00E1311E">
      <w:pPr>
        <w:pStyle w:val="ListParagraph"/>
        <w:numPr>
          <w:ilvl w:val="0"/>
          <w:numId w:val="17"/>
        </w:numPr>
        <w:ind w:left="284" w:hanging="284"/>
        <w:rPr>
          <w:b/>
          <w:bCs/>
        </w:rPr>
      </w:pPr>
      <w:r w:rsidRPr="00C22D9C">
        <w:rPr>
          <w:b/>
          <w:bCs/>
        </w:rPr>
        <w:t>Contingency</w:t>
      </w:r>
    </w:p>
    <w:p w14:paraId="464CA3F8" w14:textId="77777777" w:rsidR="00E1311E" w:rsidRPr="00571AD2" w:rsidRDefault="00E1311E" w:rsidP="00E1311E">
      <w:pPr>
        <w:ind w:left="284"/>
        <w:rPr>
          <w:b/>
          <w:spacing w:val="2"/>
        </w:rPr>
      </w:pPr>
      <w:r w:rsidRPr="00571AD2">
        <w:rPr>
          <w:spacing w:val="2"/>
        </w:rPr>
        <w:t xml:space="preserve">A </w:t>
      </w:r>
      <w:r w:rsidRPr="00571AD2">
        <w:t>contingency</w:t>
      </w:r>
      <w:r w:rsidRPr="00571AD2">
        <w:rPr>
          <w:spacing w:val="2"/>
        </w:rPr>
        <w:t xml:space="preserve"> is held centrally for all maintained schools to access in the following circumstances:</w:t>
      </w:r>
    </w:p>
    <w:p w14:paraId="053B3FCF" w14:textId="77777777" w:rsidR="00E1311E" w:rsidRPr="00571AD2" w:rsidRDefault="00E1311E" w:rsidP="00E1311E">
      <w:pPr>
        <w:numPr>
          <w:ilvl w:val="0"/>
          <w:numId w:val="18"/>
        </w:numPr>
      </w:pPr>
      <w:r w:rsidRPr="00571AD2">
        <w:t>Exceptional unforeseen costs</w:t>
      </w:r>
    </w:p>
    <w:p w14:paraId="4D0B8C17" w14:textId="77777777" w:rsidR="00E1311E" w:rsidRPr="00571AD2" w:rsidRDefault="00E1311E" w:rsidP="00E1311E">
      <w:pPr>
        <w:numPr>
          <w:ilvl w:val="0"/>
          <w:numId w:val="18"/>
        </w:numPr>
      </w:pPr>
      <w:r w:rsidRPr="00571AD2">
        <w:t>Schools in financial difficulty</w:t>
      </w:r>
    </w:p>
    <w:p w14:paraId="4F0A286B" w14:textId="77777777" w:rsidR="00E1311E" w:rsidRPr="00571AD2" w:rsidRDefault="00E1311E" w:rsidP="00E1311E">
      <w:pPr>
        <w:numPr>
          <w:ilvl w:val="0"/>
          <w:numId w:val="18"/>
        </w:numPr>
      </w:pPr>
      <w:r w:rsidRPr="00571AD2">
        <w:t>Deficits of closing schools</w:t>
      </w:r>
    </w:p>
    <w:p w14:paraId="53BD7772" w14:textId="77777777" w:rsidR="00E1311E" w:rsidRPr="00571AD2" w:rsidRDefault="00E1311E" w:rsidP="00E1311E">
      <w:pPr>
        <w:ind w:left="284" w:hanging="284"/>
        <w:rPr>
          <w:highlight w:val="yellow"/>
        </w:rPr>
      </w:pPr>
    </w:p>
    <w:p w14:paraId="20EDC3A1" w14:textId="77777777" w:rsidR="00E1311E" w:rsidRPr="00C22D9C" w:rsidRDefault="00E1311E" w:rsidP="00E1311E">
      <w:pPr>
        <w:pStyle w:val="ListParagraph"/>
        <w:numPr>
          <w:ilvl w:val="0"/>
          <w:numId w:val="19"/>
        </w:numPr>
        <w:ind w:left="284" w:hanging="284"/>
        <w:rPr>
          <w:b/>
          <w:bCs/>
        </w:rPr>
      </w:pPr>
      <w:r w:rsidRPr="00C22D9C">
        <w:rPr>
          <w:b/>
          <w:bCs/>
        </w:rPr>
        <w:t>EMTAS</w:t>
      </w:r>
    </w:p>
    <w:p w14:paraId="5C76AC03" w14:textId="27B8F685" w:rsidR="00E1311E" w:rsidRPr="004513B0" w:rsidRDefault="00E1311E" w:rsidP="00E1311E">
      <w:pPr>
        <w:ind w:left="284"/>
        <w:rPr>
          <w:spacing w:val="2"/>
        </w:rPr>
      </w:pPr>
      <w:r w:rsidRPr="004513B0">
        <w:rPr>
          <w:spacing w:val="2"/>
        </w:rPr>
        <w:t>EMTAS supports schools and families across Hampshire in raising ethnic minority achievement, through bilingual assistance, projects, training, family learning and advisory support. Of EMTAS funding, 75% is via the EAL factor and 25% through the per pupil factor.</w:t>
      </w:r>
    </w:p>
    <w:p w14:paraId="4FB1D597" w14:textId="77777777" w:rsidR="00E1311E" w:rsidRDefault="00E1311E" w:rsidP="00E1311E">
      <w:pPr>
        <w:rPr>
          <w:bCs/>
        </w:rPr>
      </w:pPr>
    </w:p>
    <w:p w14:paraId="581070FC" w14:textId="77777777" w:rsidR="006054DA" w:rsidRDefault="006054DA">
      <w:pPr>
        <w:spacing w:after="160" w:line="259" w:lineRule="auto"/>
        <w:rPr>
          <w:rFonts w:eastAsia="Times New Roman"/>
          <w:b/>
          <w:bCs/>
          <w:kern w:val="0"/>
          <w14:ligatures w14:val="none"/>
        </w:rPr>
      </w:pPr>
      <w:r>
        <w:rPr>
          <w:b/>
          <w:bCs/>
        </w:rPr>
        <w:br w:type="page"/>
      </w:r>
    </w:p>
    <w:p w14:paraId="745BEE46" w14:textId="77777777" w:rsidR="00E1311E" w:rsidRPr="00C22D9C" w:rsidRDefault="00E1311E" w:rsidP="00E1311E">
      <w:pPr>
        <w:pStyle w:val="ListParagraph"/>
        <w:numPr>
          <w:ilvl w:val="0"/>
          <w:numId w:val="19"/>
        </w:numPr>
        <w:ind w:left="284" w:hanging="284"/>
        <w:rPr>
          <w:b/>
          <w:bCs/>
        </w:rPr>
      </w:pPr>
      <w:r w:rsidRPr="00C22D9C">
        <w:rPr>
          <w:b/>
          <w:bCs/>
        </w:rPr>
        <w:lastRenderedPageBreak/>
        <w:t>Licenses and subscriptions</w:t>
      </w:r>
    </w:p>
    <w:p w14:paraId="0D6C727E" w14:textId="03896F62" w:rsidR="00E1311E" w:rsidRDefault="00E1311E" w:rsidP="00AD3C10">
      <w:pPr>
        <w:ind w:left="284"/>
        <w:rPr>
          <w:spacing w:val="2"/>
        </w:rPr>
      </w:pPr>
      <w:r w:rsidRPr="004513B0">
        <w:rPr>
          <w:spacing w:val="2"/>
        </w:rPr>
        <w:t>The budget funds the Fischer Family Trust subscription and a subscription for headteachers conferences.</w:t>
      </w:r>
    </w:p>
    <w:p w14:paraId="14F73EC6" w14:textId="77777777" w:rsidR="00AD3C10" w:rsidRDefault="00AD3C10" w:rsidP="00AD3C10">
      <w:pPr>
        <w:ind w:left="284"/>
        <w:rPr>
          <w:rFonts w:eastAsia="Times New Roman"/>
          <w:b/>
          <w:bCs/>
          <w:kern w:val="0"/>
          <w14:ligatures w14:val="none"/>
        </w:rPr>
      </w:pPr>
    </w:p>
    <w:p w14:paraId="7D45081A" w14:textId="155C3510" w:rsidR="00E1311E" w:rsidRPr="00C22D9C" w:rsidRDefault="00E1311E" w:rsidP="00E1311E">
      <w:pPr>
        <w:pStyle w:val="ListParagraph"/>
        <w:numPr>
          <w:ilvl w:val="0"/>
          <w:numId w:val="19"/>
        </w:numPr>
        <w:ind w:left="284" w:hanging="284"/>
        <w:rPr>
          <w:b/>
          <w:bCs/>
        </w:rPr>
      </w:pPr>
      <w:r w:rsidRPr="00C22D9C">
        <w:rPr>
          <w:b/>
          <w:bCs/>
        </w:rPr>
        <w:t>Staff costs</w:t>
      </w:r>
    </w:p>
    <w:p w14:paraId="5C54C04F" w14:textId="6D4B5E2A" w:rsidR="00E1311E" w:rsidRPr="00145189" w:rsidRDefault="00E1311E" w:rsidP="00E1311E">
      <w:pPr>
        <w:ind w:left="284"/>
        <w:rPr>
          <w:spacing w:val="2"/>
        </w:rPr>
      </w:pPr>
      <w:r w:rsidRPr="00801624">
        <w:rPr>
          <w:spacing w:val="2"/>
        </w:rPr>
        <w:t xml:space="preserve">Due to the unpredictability of these costs, </w:t>
      </w:r>
      <w:r w:rsidR="00231E3D">
        <w:rPr>
          <w:spacing w:val="2"/>
        </w:rPr>
        <w:t xml:space="preserve">the following </w:t>
      </w:r>
      <w:r w:rsidRPr="00801624">
        <w:rPr>
          <w:spacing w:val="2"/>
        </w:rPr>
        <w:t xml:space="preserve">budgets </w:t>
      </w:r>
      <w:r w:rsidR="007C3BD4">
        <w:rPr>
          <w:spacing w:val="2"/>
        </w:rPr>
        <w:t xml:space="preserve">for services </w:t>
      </w:r>
      <w:r w:rsidRPr="00801624">
        <w:rPr>
          <w:spacing w:val="2"/>
        </w:rPr>
        <w:t>a</w:t>
      </w:r>
      <w:r w:rsidR="00231E3D">
        <w:rPr>
          <w:spacing w:val="2"/>
        </w:rPr>
        <w:t xml:space="preserve">re held </w:t>
      </w:r>
      <w:r w:rsidRPr="00801624">
        <w:rPr>
          <w:spacing w:val="2"/>
        </w:rPr>
        <w:t xml:space="preserve">centrally to make it easier for schools to manage </w:t>
      </w:r>
      <w:r w:rsidRPr="00145189">
        <w:rPr>
          <w:spacing w:val="2"/>
        </w:rPr>
        <w:t>unplanned expenses</w:t>
      </w:r>
      <w:r w:rsidR="007C3BD4">
        <w:rPr>
          <w:spacing w:val="2"/>
        </w:rPr>
        <w:t>:</w:t>
      </w:r>
    </w:p>
    <w:p w14:paraId="3A628212" w14:textId="77777777" w:rsidR="00E1311E" w:rsidRPr="00145189" w:rsidRDefault="00E1311E" w:rsidP="00E1311E">
      <w:pPr>
        <w:numPr>
          <w:ilvl w:val="0"/>
          <w:numId w:val="20"/>
        </w:numPr>
      </w:pPr>
      <w:r w:rsidRPr="00145189">
        <w:t>Suspended staff - schools will be reimbursed for salary and on-costs of suspended staff to enable them to cover the staff absence</w:t>
      </w:r>
    </w:p>
    <w:p w14:paraId="7024D18A" w14:textId="77777777" w:rsidR="00E1311E" w:rsidRPr="00145189" w:rsidRDefault="00E1311E" w:rsidP="00E1311E">
      <w:pPr>
        <w:numPr>
          <w:ilvl w:val="0"/>
          <w:numId w:val="20"/>
        </w:numPr>
      </w:pPr>
      <w:r w:rsidRPr="00145189">
        <w:t>Public duties - schools will be reimbursed for salary and on-costs of staff who are absent due to being chosen for jury service and other public duties (less any allowance received from the Court)</w:t>
      </w:r>
    </w:p>
    <w:p w14:paraId="36040125" w14:textId="60D254F2" w:rsidR="002D71CA" w:rsidRPr="006054DA" w:rsidRDefault="00E1311E">
      <w:pPr>
        <w:numPr>
          <w:ilvl w:val="0"/>
          <w:numId w:val="20"/>
        </w:numPr>
        <w:spacing w:after="160" w:line="259" w:lineRule="auto"/>
        <w:rPr>
          <w:spacing w:val="2"/>
        </w:rPr>
      </w:pPr>
      <w:r w:rsidRPr="00145189">
        <w:t>Trade Union Duties - each school with a member of staff who has an accredited representative role recognised under the facilities arrangements as receiving an allocation of release time will receive re-imbursement of their salary and on-costs</w:t>
      </w:r>
    </w:p>
    <w:p w14:paraId="61CABD91" w14:textId="470EAE70" w:rsidR="00A61083" w:rsidRDefault="00D45E63" w:rsidP="001B2187">
      <w:pPr>
        <w:rPr>
          <w:spacing w:val="2"/>
        </w:rPr>
      </w:pPr>
      <w:r w:rsidRPr="00FA6591">
        <w:rPr>
          <w:spacing w:val="2"/>
        </w:rPr>
        <w:t xml:space="preserve">The </w:t>
      </w:r>
      <w:r w:rsidR="009C0E71">
        <w:rPr>
          <w:spacing w:val="2"/>
        </w:rPr>
        <w:t>Hampshire</w:t>
      </w:r>
      <w:r w:rsidRPr="00FA6591">
        <w:rPr>
          <w:spacing w:val="2"/>
        </w:rPr>
        <w:t xml:space="preserve"> f</w:t>
      </w:r>
      <w:r w:rsidR="00260AF5">
        <w:rPr>
          <w:spacing w:val="2"/>
        </w:rPr>
        <w:t>actor values are shown below along with the basis for calculating the funding</w:t>
      </w:r>
      <w:r w:rsidRPr="00FA6591">
        <w:rPr>
          <w:spacing w:val="2"/>
        </w:rPr>
        <w:t>:</w:t>
      </w:r>
    </w:p>
    <w:p w14:paraId="3A746542" w14:textId="77777777" w:rsidR="009C0E71" w:rsidRPr="004D0FE0" w:rsidRDefault="009C0E71" w:rsidP="001B2187">
      <w:pPr>
        <w:rPr>
          <w:color w:val="FF0000"/>
          <w:spacing w:val="2"/>
        </w:rPr>
      </w:pPr>
    </w:p>
    <w:tbl>
      <w:tblPr>
        <w:tblW w:w="9400" w:type="dxa"/>
        <w:tblLook w:val="04A0" w:firstRow="1" w:lastRow="0" w:firstColumn="1" w:lastColumn="0" w:noHBand="0" w:noVBand="1"/>
      </w:tblPr>
      <w:tblGrid>
        <w:gridCol w:w="3480"/>
        <w:gridCol w:w="2260"/>
        <w:gridCol w:w="1580"/>
        <w:gridCol w:w="2080"/>
      </w:tblGrid>
      <w:tr w:rsidR="004D0FE0" w:rsidRPr="004D0FE0" w14:paraId="70D4CE1C" w14:textId="77777777" w:rsidTr="00E56F9A">
        <w:trPr>
          <w:trHeight w:val="310"/>
        </w:trPr>
        <w:tc>
          <w:tcPr>
            <w:tcW w:w="3480" w:type="dxa"/>
            <w:tcBorders>
              <w:top w:val="single" w:sz="4" w:space="0" w:color="auto"/>
              <w:left w:val="single" w:sz="4" w:space="0" w:color="auto"/>
              <w:bottom w:val="single" w:sz="4" w:space="0" w:color="auto"/>
              <w:right w:val="single" w:sz="4" w:space="0" w:color="auto"/>
            </w:tcBorders>
            <w:vAlign w:val="center"/>
            <w:hideMark/>
          </w:tcPr>
          <w:p w14:paraId="510BB758" w14:textId="77777777" w:rsidR="00E56F9A" w:rsidRPr="00571AD2" w:rsidRDefault="00E56F9A" w:rsidP="00571AD2">
            <w:pPr>
              <w:rPr>
                <w:rFonts w:eastAsia="Times New Roman"/>
                <w:b/>
                <w:bCs/>
                <w:kern w:val="0"/>
                <w:lang w:eastAsia="en-GB"/>
                <w14:ligatures w14:val="none"/>
              </w:rPr>
            </w:pPr>
            <w:r w:rsidRPr="00571AD2">
              <w:rPr>
                <w:rFonts w:eastAsia="Times New Roman"/>
                <w:b/>
                <w:bCs/>
                <w:kern w:val="0"/>
                <w:lang w:eastAsia="en-GB"/>
                <w14:ligatures w14:val="none"/>
              </w:rPr>
              <w:t>Service</w:t>
            </w:r>
          </w:p>
        </w:tc>
        <w:tc>
          <w:tcPr>
            <w:tcW w:w="2260" w:type="dxa"/>
            <w:tcBorders>
              <w:top w:val="single" w:sz="4" w:space="0" w:color="auto"/>
              <w:left w:val="nil"/>
              <w:bottom w:val="single" w:sz="4" w:space="0" w:color="auto"/>
              <w:right w:val="single" w:sz="4" w:space="0" w:color="auto"/>
            </w:tcBorders>
            <w:vAlign w:val="center"/>
            <w:hideMark/>
          </w:tcPr>
          <w:p w14:paraId="4985918C" w14:textId="77777777" w:rsidR="00E56F9A" w:rsidRPr="00571AD2" w:rsidRDefault="00E56F9A" w:rsidP="00571AD2">
            <w:pPr>
              <w:rPr>
                <w:rFonts w:eastAsia="Times New Roman"/>
                <w:b/>
                <w:bCs/>
                <w:kern w:val="0"/>
                <w:lang w:eastAsia="en-GB"/>
                <w14:ligatures w14:val="none"/>
              </w:rPr>
            </w:pPr>
            <w:r w:rsidRPr="00571AD2">
              <w:rPr>
                <w:rFonts w:eastAsia="Times New Roman"/>
                <w:b/>
                <w:bCs/>
                <w:kern w:val="0"/>
                <w:lang w:eastAsia="en-GB"/>
                <w14:ligatures w14:val="none"/>
              </w:rPr>
              <w:t>Basis</w:t>
            </w:r>
          </w:p>
        </w:tc>
        <w:tc>
          <w:tcPr>
            <w:tcW w:w="1580" w:type="dxa"/>
            <w:tcBorders>
              <w:top w:val="single" w:sz="4" w:space="0" w:color="auto"/>
              <w:left w:val="nil"/>
              <w:bottom w:val="single" w:sz="4" w:space="0" w:color="auto"/>
              <w:right w:val="single" w:sz="4" w:space="0" w:color="auto"/>
            </w:tcBorders>
            <w:vAlign w:val="center"/>
            <w:hideMark/>
          </w:tcPr>
          <w:p w14:paraId="242D74E3" w14:textId="77777777" w:rsidR="00E56F9A" w:rsidRPr="00571AD2" w:rsidRDefault="00E56F9A" w:rsidP="00571AD2">
            <w:pPr>
              <w:jc w:val="right"/>
              <w:rPr>
                <w:rFonts w:eastAsia="Times New Roman"/>
                <w:b/>
                <w:bCs/>
                <w:kern w:val="0"/>
                <w:lang w:eastAsia="en-GB"/>
                <w14:ligatures w14:val="none"/>
              </w:rPr>
            </w:pPr>
            <w:r w:rsidRPr="00571AD2">
              <w:rPr>
                <w:rFonts w:eastAsia="Times New Roman"/>
                <w:b/>
                <w:bCs/>
                <w:kern w:val="0"/>
                <w:lang w:eastAsia="en-GB"/>
                <w14:ligatures w14:val="none"/>
              </w:rPr>
              <w:t>Primary</w:t>
            </w:r>
          </w:p>
        </w:tc>
        <w:tc>
          <w:tcPr>
            <w:tcW w:w="2080" w:type="dxa"/>
            <w:tcBorders>
              <w:top w:val="single" w:sz="4" w:space="0" w:color="auto"/>
              <w:left w:val="nil"/>
              <w:bottom w:val="single" w:sz="4" w:space="0" w:color="auto"/>
              <w:right w:val="single" w:sz="4" w:space="0" w:color="auto"/>
            </w:tcBorders>
            <w:vAlign w:val="center"/>
            <w:hideMark/>
          </w:tcPr>
          <w:p w14:paraId="7EE9F7CF" w14:textId="77777777" w:rsidR="00E56F9A" w:rsidRPr="00571AD2" w:rsidRDefault="00E56F9A" w:rsidP="00571AD2">
            <w:pPr>
              <w:jc w:val="right"/>
              <w:rPr>
                <w:rFonts w:eastAsia="Times New Roman"/>
                <w:b/>
                <w:bCs/>
                <w:kern w:val="0"/>
                <w:lang w:eastAsia="en-GB"/>
                <w14:ligatures w14:val="none"/>
              </w:rPr>
            </w:pPr>
            <w:r w:rsidRPr="00571AD2">
              <w:rPr>
                <w:rFonts w:eastAsia="Times New Roman"/>
                <w:b/>
                <w:bCs/>
                <w:kern w:val="0"/>
                <w:lang w:eastAsia="en-GB"/>
                <w14:ligatures w14:val="none"/>
              </w:rPr>
              <w:t>Secondary</w:t>
            </w:r>
          </w:p>
        </w:tc>
      </w:tr>
      <w:tr w:rsidR="004D0FE0" w:rsidRPr="004D0FE0" w14:paraId="4E478B2E" w14:textId="77777777" w:rsidTr="00E56F9A">
        <w:trPr>
          <w:trHeight w:val="310"/>
        </w:trPr>
        <w:tc>
          <w:tcPr>
            <w:tcW w:w="3480" w:type="dxa"/>
            <w:tcBorders>
              <w:top w:val="nil"/>
              <w:left w:val="single" w:sz="4" w:space="0" w:color="auto"/>
              <w:bottom w:val="single" w:sz="4" w:space="0" w:color="auto"/>
              <w:right w:val="single" w:sz="4" w:space="0" w:color="auto"/>
            </w:tcBorders>
            <w:vAlign w:val="center"/>
            <w:hideMark/>
          </w:tcPr>
          <w:p w14:paraId="2EF40993" w14:textId="77777777" w:rsidR="00E56F9A" w:rsidRPr="00571AD2" w:rsidRDefault="00E56F9A" w:rsidP="00E56F9A">
            <w:pPr>
              <w:rPr>
                <w:rFonts w:eastAsia="Times New Roman"/>
                <w:kern w:val="0"/>
                <w:lang w:eastAsia="en-GB"/>
                <w14:ligatures w14:val="none"/>
              </w:rPr>
            </w:pPr>
            <w:r w:rsidRPr="00571AD2">
              <w:rPr>
                <w:rFonts w:eastAsia="Times New Roman"/>
                <w:kern w:val="0"/>
                <w:lang w:eastAsia="en-GB"/>
                <w14:ligatures w14:val="none"/>
              </w:rPr>
              <w:t>Contingency</w:t>
            </w:r>
          </w:p>
        </w:tc>
        <w:tc>
          <w:tcPr>
            <w:tcW w:w="2260" w:type="dxa"/>
            <w:tcBorders>
              <w:top w:val="nil"/>
              <w:left w:val="nil"/>
              <w:bottom w:val="single" w:sz="4" w:space="0" w:color="auto"/>
              <w:right w:val="single" w:sz="4" w:space="0" w:color="auto"/>
            </w:tcBorders>
            <w:vAlign w:val="center"/>
            <w:hideMark/>
          </w:tcPr>
          <w:p w14:paraId="63201A8D" w14:textId="77777777" w:rsidR="00E56F9A" w:rsidRPr="00571AD2" w:rsidRDefault="00E56F9A" w:rsidP="00E56F9A">
            <w:pPr>
              <w:rPr>
                <w:rFonts w:eastAsia="Times New Roman"/>
                <w:kern w:val="0"/>
                <w:lang w:eastAsia="en-GB"/>
                <w14:ligatures w14:val="none"/>
              </w:rPr>
            </w:pPr>
            <w:r w:rsidRPr="00571AD2">
              <w:rPr>
                <w:rFonts w:eastAsia="Times New Roman"/>
                <w:kern w:val="0"/>
                <w:lang w:eastAsia="en-GB"/>
                <w14:ligatures w14:val="none"/>
              </w:rPr>
              <w:t>NOR</w:t>
            </w:r>
          </w:p>
        </w:tc>
        <w:tc>
          <w:tcPr>
            <w:tcW w:w="1580" w:type="dxa"/>
            <w:tcBorders>
              <w:top w:val="nil"/>
              <w:left w:val="nil"/>
              <w:bottom w:val="single" w:sz="4" w:space="0" w:color="auto"/>
              <w:right w:val="single" w:sz="4" w:space="0" w:color="auto"/>
            </w:tcBorders>
            <w:vAlign w:val="center"/>
            <w:hideMark/>
          </w:tcPr>
          <w:p w14:paraId="61A77E5E" w14:textId="35113971" w:rsidR="00E56F9A" w:rsidRPr="00F37A7D" w:rsidRDefault="00571AD2" w:rsidP="00571AD2">
            <w:pPr>
              <w:jc w:val="right"/>
              <w:rPr>
                <w:rFonts w:eastAsia="Times New Roman"/>
                <w:kern w:val="0"/>
                <w:lang w:eastAsia="en-GB"/>
                <w14:ligatures w14:val="none"/>
              </w:rPr>
            </w:pPr>
            <w:r w:rsidRPr="00F37A7D">
              <w:rPr>
                <w:rFonts w:eastAsia="Times New Roman"/>
                <w:kern w:val="0"/>
                <w:lang w:eastAsia="en-GB"/>
                <w14:ligatures w14:val="none"/>
              </w:rPr>
              <w:t>£</w:t>
            </w:r>
            <w:r w:rsidR="00BE2162" w:rsidRPr="00F37A7D">
              <w:rPr>
                <w:rFonts w:eastAsia="Times New Roman"/>
                <w:kern w:val="0"/>
                <w:lang w:eastAsia="en-GB"/>
                <w14:ligatures w14:val="none"/>
              </w:rPr>
              <w:t>2.44</w:t>
            </w:r>
          </w:p>
        </w:tc>
        <w:tc>
          <w:tcPr>
            <w:tcW w:w="2080" w:type="dxa"/>
            <w:tcBorders>
              <w:top w:val="nil"/>
              <w:left w:val="nil"/>
              <w:bottom w:val="single" w:sz="4" w:space="0" w:color="auto"/>
              <w:right w:val="single" w:sz="4" w:space="0" w:color="auto"/>
            </w:tcBorders>
            <w:vAlign w:val="center"/>
            <w:hideMark/>
          </w:tcPr>
          <w:p w14:paraId="71A7D29B" w14:textId="5A2E0232" w:rsidR="00E56F9A" w:rsidRPr="00F37A7D" w:rsidRDefault="00571AD2" w:rsidP="00571AD2">
            <w:pPr>
              <w:jc w:val="right"/>
              <w:rPr>
                <w:rFonts w:eastAsia="Times New Roman"/>
                <w:kern w:val="0"/>
                <w:lang w:eastAsia="en-GB"/>
                <w14:ligatures w14:val="none"/>
              </w:rPr>
            </w:pPr>
            <w:r w:rsidRPr="00F37A7D">
              <w:rPr>
                <w:rFonts w:eastAsia="Times New Roman"/>
                <w:kern w:val="0"/>
                <w:lang w:eastAsia="en-GB"/>
                <w14:ligatures w14:val="none"/>
              </w:rPr>
              <w:t>£</w:t>
            </w:r>
            <w:r w:rsidR="00BE2162" w:rsidRPr="00F37A7D">
              <w:rPr>
                <w:rFonts w:eastAsia="Times New Roman"/>
                <w:kern w:val="0"/>
                <w:lang w:eastAsia="en-GB"/>
                <w14:ligatures w14:val="none"/>
              </w:rPr>
              <w:t>2.44</w:t>
            </w:r>
          </w:p>
        </w:tc>
      </w:tr>
      <w:tr w:rsidR="004D0FE0" w:rsidRPr="004D0FE0" w14:paraId="5A7918F4" w14:textId="77777777" w:rsidTr="00B64265">
        <w:trPr>
          <w:trHeight w:val="344"/>
        </w:trPr>
        <w:tc>
          <w:tcPr>
            <w:tcW w:w="3480" w:type="dxa"/>
            <w:vMerge w:val="restart"/>
            <w:tcBorders>
              <w:top w:val="nil"/>
              <w:left w:val="single" w:sz="4" w:space="0" w:color="auto"/>
              <w:bottom w:val="single" w:sz="4" w:space="0" w:color="auto"/>
              <w:right w:val="single" w:sz="4" w:space="0" w:color="auto"/>
            </w:tcBorders>
            <w:hideMark/>
          </w:tcPr>
          <w:p w14:paraId="29B33BC1" w14:textId="04E643DD" w:rsidR="00E56F9A" w:rsidRPr="00571AD2" w:rsidRDefault="00B64265" w:rsidP="00E56F9A">
            <w:pPr>
              <w:rPr>
                <w:rFonts w:eastAsia="Times New Roman"/>
                <w:kern w:val="0"/>
                <w:lang w:eastAsia="en-GB"/>
                <w14:ligatures w14:val="none"/>
              </w:rPr>
            </w:pPr>
            <w:r w:rsidRPr="00571AD2">
              <w:rPr>
                <w:rFonts w:eastAsia="Times New Roman"/>
                <w:kern w:val="0"/>
                <w:lang w:eastAsia="en-GB"/>
                <w14:ligatures w14:val="none"/>
              </w:rPr>
              <w:t>EMTAS</w:t>
            </w:r>
          </w:p>
        </w:tc>
        <w:tc>
          <w:tcPr>
            <w:tcW w:w="2260" w:type="dxa"/>
            <w:tcBorders>
              <w:top w:val="nil"/>
              <w:left w:val="nil"/>
              <w:bottom w:val="single" w:sz="4" w:space="0" w:color="auto"/>
              <w:right w:val="single" w:sz="4" w:space="0" w:color="auto"/>
            </w:tcBorders>
            <w:hideMark/>
          </w:tcPr>
          <w:p w14:paraId="5C081EFF" w14:textId="62F66332" w:rsidR="00E56F9A" w:rsidRPr="00571AD2" w:rsidRDefault="00A9730D" w:rsidP="00E56F9A">
            <w:pPr>
              <w:rPr>
                <w:rFonts w:eastAsia="Times New Roman"/>
                <w:kern w:val="0"/>
                <w:lang w:eastAsia="en-GB"/>
                <w14:ligatures w14:val="none"/>
              </w:rPr>
            </w:pPr>
            <w:r>
              <w:rPr>
                <w:rFonts w:eastAsia="Times New Roman"/>
                <w:kern w:val="0"/>
                <w:lang w:eastAsia="en-GB"/>
                <w14:ligatures w14:val="none"/>
              </w:rPr>
              <w:t>NOR</w:t>
            </w:r>
          </w:p>
        </w:tc>
        <w:tc>
          <w:tcPr>
            <w:tcW w:w="1580" w:type="dxa"/>
            <w:tcBorders>
              <w:top w:val="nil"/>
              <w:left w:val="nil"/>
              <w:bottom w:val="single" w:sz="4" w:space="0" w:color="auto"/>
              <w:right w:val="single" w:sz="4" w:space="0" w:color="auto"/>
            </w:tcBorders>
            <w:vAlign w:val="center"/>
            <w:hideMark/>
          </w:tcPr>
          <w:p w14:paraId="3E9A0C35" w14:textId="3F5193AD" w:rsidR="00E56F9A" w:rsidRPr="006B2448" w:rsidRDefault="00571AD2" w:rsidP="00571AD2">
            <w:pPr>
              <w:jc w:val="right"/>
              <w:rPr>
                <w:rFonts w:eastAsia="Times New Roman"/>
                <w:kern w:val="0"/>
                <w:lang w:eastAsia="en-GB"/>
                <w14:ligatures w14:val="none"/>
              </w:rPr>
            </w:pPr>
            <w:r w:rsidRPr="006B2448">
              <w:rPr>
                <w:rFonts w:eastAsia="Times New Roman"/>
                <w:kern w:val="0"/>
                <w:lang w:eastAsia="en-GB"/>
                <w14:ligatures w14:val="none"/>
              </w:rPr>
              <w:t>£</w:t>
            </w:r>
            <w:r w:rsidR="002B462B" w:rsidRPr="006B2448">
              <w:rPr>
                <w:rFonts w:eastAsia="Times New Roman"/>
                <w:kern w:val="0"/>
                <w:lang w:eastAsia="en-GB"/>
                <w14:ligatures w14:val="none"/>
              </w:rPr>
              <w:t>3.49</w:t>
            </w:r>
          </w:p>
        </w:tc>
        <w:tc>
          <w:tcPr>
            <w:tcW w:w="2080" w:type="dxa"/>
            <w:tcBorders>
              <w:top w:val="nil"/>
              <w:left w:val="nil"/>
              <w:bottom w:val="single" w:sz="4" w:space="0" w:color="auto"/>
              <w:right w:val="single" w:sz="4" w:space="0" w:color="auto"/>
            </w:tcBorders>
            <w:vAlign w:val="center"/>
            <w:hideMark/>
          </w:tcPr>
          <w:p w14:paraId="36D3127D" w14:textId="7C018628" w:rsidR="00E56F9A" w:rsidRPr="006B2448" w:rsidRDefault="00571AD2" w:rsidP="00571AD2">
            <w:pPr>
              <w:jc w:val="right"/>
              <w:rPr>
                <w:rFonts w:eastAsia="Times New Roman"/>
                <w:kern w:val="0"/>
                <w:lang w:eastAsia="en-GB"/>
                <w14:ligatures w14:val="none"/>
              </w:rPr>
            </w:pPr>
            <w:r w:rsidRPr="006B2448">
              <w:rPr>
                <w:rFonts w:eastAsia="Times New Roman"/>
                <w:kern w:val="0"/>
                <w:lang w:eastAsia="en-GB"/>
                <w14:ligatures w14:val="none"/>
              </w:rPr>
              <w:t>£</w:t>
            </w:r>
            <w:r w:rsidR="002B462B" w:rsidRPr="006B2448">
              <w:rPr>
                <w:rFonts w:eastAsia="Times New Roman"/>
                <w:kern w:val="0"/>
                <w:lang w:eastAsia="en-GB"/>
                <w14:ligatures w14:val="none"/>
              </w:rPr>
              <w:t>1.22</w:t>
            </w:r>
          </w:p>
        </w:tc>
      </w:tr>
      <w:tr w:rsidR="004D0FE0" w:rsidRPr="004D0FE0" w14:paraId="3CA95901" w14:textId="77777777" w:rsidTr="00E56F9A">
        <w:trPr>
          <w:trHeight w:val="310"/>
        </w:trPr>
        <w:tc>
          <w:tcPr>
            <w:tcW w:w="3480" w:type="dxa"/>
            <w:vMerge/>
            <w:tcBorders>
              <w:top w:val="nil"/>
              <w:left w:val="single" w:sz="4" w:space="0" w:color="auto"/>
              <w:bottom w:val="single" w:sz="4" w:space="0" w:color="auto"/>
              <w:right w:val="single" w:sz="4" w:space="0" w:color="auto"/>
            </w:tcBorders>
            <w:vAlign w:val="center"/>
            <w:hideMark/>
          </w:tcPr>
          <w:p w14:paraId="72BF36C8" w14:textId="77777777" w:rsidR="00E56F9A" w:rsidRPr="00571AD2" w:rsidRDefault="00E56F9A" w:rsidP="00E56F9A">
            <w:pPr>
              <w:rPr>
                <w:rFonts w:eastAsia="Times New Roman"/>
                <w:kern w:val="0"/>
                <w:highlight w:val="yellow"/>
                <w:lang w:eastAsia="en-GB"/>
                <w14:ligatures w14:val="none"/>
              </w:rPr>
            </w:pPr>
          </w:p>
        </w:tc>
        <w:tc>
          <w:tcPr>
            <w:tcW w:w="2260" w:type="dxa"/>
            <w:tcBorders>
              <w:top w:val="nil"/>
              <w:left w:val="nil"/>
              <w:bottom w:val="single" w:sz="4" w:space="0" w:color="auto"/>
              <w:right w:val="single" w:sz="4" w:space="0" w:color="auto"/>
            </w:tcBorders>
            <w:hideMark/>
          </w:tcPr>
          <w:p w14:paraId="2CA5974F" w14:textId="68EFFD2B" w:rsidR="00E56F9A" w:rsidRPr="00571AD2" w:rsidRDefault="00A9730D" w:rsidP="00E56F9A">
            <w:pPr>
              <w:rPr>
                <w:rFonts w:eastAsia="Times New Roman"/>
                <w:kern w:val="0"/>
                <w:lang w:eastAsia="en-GB"/>
                <w14:ligatures w14:val="none"/>
              </w:rPr>
            </w:pPr>
            <w:r>
              <w:rPr>
                <w:rFonts w:eastAsia="Times New Roman"/>
                <w:kern w:val="0"/>
                <w:lang w:eastAsia="en-GB"/>
                <w14:ligatures w14:val="none"/>
              </w:rPr>
              <w:t>EAL</w:t>
            </w:r>
            <w:r w:rsidR="00E56F9A" w:rsidRPr="00571AD2">
              <w:rPr>
                <w:rFonts w:eastAsia="Times New Roman"/>
                <w:kern w:val="0"/>
                <w:lang w:eastAsia="en-GB"/>
                <w14:ligatures w14:val="none"/>
              </w:rPr>
              <w:t xml:space="preserve"> </w:t>
            </w:r>
          </w:p>
        </w:tc>
        <w:tc>
          <w:tcPr>
            <w:tcW w:w="1580" w:type="dxa"/>
            <w:tcBorders>
              <w:top w:val="nil"/>
              <w:left w:val="nil"/>
              <w:bottom w:val="single" w:sz="4" w:space="0" w:color="auto"/>
              <w:right w:val="single" w:sz="4" w:space="0" w:color="auto"/>
            </w:tcBorders>
            <w:vAlign w:val="center"/>
            <w:hideMark/>
          </w:tcPr>
          <w:p w14:paraId="67AA86E4" w14:textId="2C011A3D" w:rsidR="00E56F9A" w:rsidRPr="00DA6626" w:rsidRDefault="00571AD2" w:rsidP="00571AD2">
            <w:pPr>
              <w:jc w:val="right"/>
              <w:rPr>
                <w:rFonts w:eastAsia="Times New Roman"/>
                <w:kern w:val="0"/>
                <w:lang w:eastAsia="en-GB"/>
                <w14:ligatures w14:val="none"/>
              </w:rPr>
            </w:pPr>
            <w:r w:rsidRPr="00DA6626">
              <w:rPr>
                <w:rFonts w:eastAsia="Times New Roman"/>
                <w:kern w:val="0"/>
                <w:lang w:eastAsia="en-GB"/>
                <w14:ligatures w14:val="none"/>
              </w:rPr>
              <w:t>£</w:t>
            </w:r>
            <w:r w:rsidR="002B462B" w:rsidRPr="00DA6626">
              <w:rPr>
                <w:rFonts w:eastAsia="Times New Roman"/>
                <w:kern w:val="0"/>
                <w:lang w:eastAsia="en-GB"/>
                <w14:ligatures w14:val="none"/>
              </w:rPr>
              <w:t>1</w:t>
            </w:r>
            <w:r w:rsidR="00DA6626" w:rsidRPr="00DA6626">
              <w:rPr>
                <w:rFonts w:eastAsia="Times New Roman"/>
                <w:kern w:val="0"/>
                <w:lang w:eastAsia="en-GB"/>
                <w14:ligatures w14:val="none"/>
              </w:rPr>
              <w:t>42.50</w:t>
            </w:r>
          </w:p>
        </w:tc>
        <w:tc>
          <w:tcPr>
            <w:tcW w:w="2080" w:type="dxa"/>
            <w:tcBorders>
              <w:top w:val="nil"/>
              <w:left w:val="nil"/>
              <w:bottom w:val="single" w:sz="4" w:space="0" w:color="auto"/>
              <w:right w:val="single" w:sz="4" w:space="0" w:color="auto"/>
            </w:tcBorders>
            <w:vAlign w:val="center"/>
            <w:hideMark/>
          </w:tcPr>
          <w:p w14:paraId="1405C6D3" w14:textId="04E006A2" w:rsidR="00E56F9A" w:rsidRPr="00DA6626" w:rsidRDefault="00DA6626" w:rsidP="00571AD2">
            <w:pPr>
              <w:jc w:val="right"/>
              <w:rPr>
                <w:rFonts w:eastAsia="Times New Roman"/>
                <w:kern w:val="0"/>
                <w:lang w:eastAsia="en-GB"/>
                <w14:ligatures w14:val="none"/>
              </w:rPr>
            </w:pPr>
            <w:r w:rsidRPr="00DA6626">
              <w:rPr>
                <w:rFonts w:eastAsia="Times New Roman"/>
                <w:kern w:val="0"/>
                <w:lang w:eastAsia="en-GB"/>
                <w14:ligatures w14:val="none"/>
              </w:rPr>
              <w:t>£224.40</w:t>
            </w:r>
          </w:p>
        </w:tc>
      </w:tr>
      <w:tr w:rsidR="004D0FE0" w:rsidRPr="004D0FE0" w14:paraId="2D315492" w14:textId="77777777" w:rsidTr="00E56F9A">
        <w:trPr>
          <w:trHeight w:val="310"/>
        </w:trPr>
        <w:tc>
          <w:tcPr>
            <w:tcW w:w="3480" w:type="dxa"/>
            <w:tcBorders>
              <w:top w:val="nil"/>
              <w:left w:val="single" w:sz="4" w:space="0" w:color="auto"/>
              <w:bottom w:val="single" w:sz="4" w:space="0" w:color="auto"/>
              <w:right w:val="single" w:sz="4" w:space="0" w:color="auto"/>
            </w:tcBorders>
            <w:hideMark/>
          </w:tcPr>
          <w:p w14:paraId="47C858B9" w14:textId="77777777" w:rsidR="00E56F9A" w:rsidRPr="00571AD2" w:rsidRDefault="00E56F9A" w:rsidP="00E56F9A">
            <w:pPr>
              <w:rPr>
                <w:rFonts w:eastAsia="Times New Roman"/>
                <w:kern w:val="0"/>
                <w:lang w:eastAsia="en-GB"/>
                <w14:ligatures w14:val="none"/>
              </w:rPr>
            </w:pPr>
            <w:bookmarkStart w:id="21" w:name="_Hlk218522960"/>
            <w:r w:rsidRPr="00571AD2">
              <w:rPr>
                <w:rFonts w:eastAsia="Times New Roman"/>
                <w:kern w:val="0"/>
                <w:lang w:eastAsia="en-GB"/>
                <w14:ligatures w14:val="none"/>
              </w:rPr>
              <w:t>Licenses and Subscriptions</w:t>
            </w:r>
          </w:p>
        </w:tc>
        <w:tc>
          <w:tcPr>
            <w:tcW w:w="2260" w:type="dxa"/>
            <w:tcBorders>
              <w:top w:val="nil"/>
              <w:left w:val="nil"/>
              <w:bottom w:val="single" w:sz="4" w:space="0" w:color="auto"/>
              <w:right w:val="single" w:sz="4" w:space="0" w:color="auto"/>
            </w:tcBorders>
            <w:hideMark/>
          </w:tcPr>
          <w:p w14:paraId="6C00977B" w14:textId="77777777" w:rsidR="00E56F9A" w:rsidRPr="00571AD2" w:rsidRDefault="00E56F9A" w:rsidP="00E56F9A">
            <w:pPr>
              <w:rPr>
                <w:rFonts w:eastAsia="Times New Roman"/>
                <w:kern w:val="0"/>
                <w:lang w:eastAsia="en-GB"/>
                <w14:ligatures w14:val="none"/>
              </w:rPr>
            </w:pPr>
            <w:r w:rsidRPr="00571AD2">
              <w:rPr>
                <w:rFonts w:eastAsia="Times New Roman"/>
                <w:kern w:val="0"/>
                <w:lang w:eastAsia="en-GB"/>
                <w14:ligatures w14:val="none"/>
              </w:rPr>
              <w:t>NOR</w:t>
            </w:r>
          </w:p>
        </w:tc>
        <w:tc>
          <w:tcPr>
            <w:tcW w:w="1580" w:type="dxa"/>
            <w:tcBorders>
              <w:top w:val="nil"/>
              <w:left w:val="nil"/>
              <w:bottom w:val="single" w:sz="4" w:space="0" w:color="auto"/>
              <w:right w:val="single" w:sz="4" w:space="0" w:color="auto"/>
            </w:tcBorders>
            <w:vAlign w:val="center"/>
            <w:hideMark/>
          </w:tcPr>
          <w:p w14:paraId="6DC04790" w14:textId="3B7EE70E" w:rsidR="00E56F9A" w:rsidRPr="006B2448" w:rsidRDefault="00571AD2" w:rsidP="00571AD2">
            <w:pPr>
              <w:jc w:val="right"/>
              <w:rPr>
                <w:rFonts w:eastAsia="Times New Roman"/>
                <w:kern w:val="0"/>
                <w:lang w:eastAsia="en-GB"/>
                <w14:ligatures w14:val="none"/>
              </w:rPr>
            </w:pPr>
            <w:r w:rsidRPr="006B2448">
              <w:rPr>
                <w:rFonts w:eastAsia="Times New Roman"/>
                <w:kern w:val="0"/>
                <w:lang w:eastAsia="en-GB"/>
                <w14:ligatures w14:val="none"/>
              </w:rPr>
              <w:t>£</w:t>
            </w:r>
            <w:r w:rsidR="002B462B" w:rsidRPr="006B2448">
              <w:rPr>
                <w:rFonts w:eastAsia="Times New Roman"/>
                <w:kern w:val="0"/>
                <w:lang w:eastAsia="en-GB"/>
                <w14:ligatures w14:val="none"/>
              </w:rPr>
              <w:t>1.64</w:t>
            </w:r>
          </w:p>
        </w:tc>
        <w:tc>
          <w:tcPr>
            <w:tcW w:w="2080" w:type="dxa"/>
            <w:tcBorders>
              <w:top w:val="nil"/>
              <w:left w:val="nil"/>
              <w:bottom w:val="single" w:sz="4" w:space="0" w:color="auto"/>
              <w:right w:val="single" w:sz="4" w:space="0" w:color="auto"/>
            </w:tcBorders>
            <w:vAlign w:val="center"/>
            <w:hideMark/>
          </w:tcPr>
          <w:p w14:paraId="04863F26" w14:textId="2502F0BD" w:rsidR="00E56F9A" w:rsidRPr="006B2448" w:rsidRDefault="00571AD2" w:rsidP="00571AD2">
            <w:pPr>
              <w:jc w:val="right"/>
              <w:rPr>
                <w:rFonts w:eastAsia="Times New Roman"/>
                <w:kern w:val="0"/>
                <w:lang w:eastAsia="en-GB"/>
                <w14:ligatures w14:val="none"/>
              </w:rPr>
            </w:pPr>
            <w:r w:rsidRPr="006B2448">
              <w:rPr>
                <w:rFonts w:eastAsia="Times New Roman"/>
                <w:kern w:val="0"/>
                <w:lang w:eastAsia="en-GB"/>
                <w14:ligatures w14:val="none"/>
              </w:rPr>
              <w:t>£</w:t>
            </w:r>
            <w:r w:rsidR="00E13045" w:rsidRPr="006B2448">
              <w:rPr>
                <w:rFonts w:eastAsia="Times New Roman"/>
                <w:kern w:val="0"/>
                <w:lang w:eastAsia="en-GB"/>
                <w14:ligatures w14:val="none"/>
              </w:rPr>
              <w:t>1.32</w:t>
            </w:r>
          </w:p>
        </w:tc>
      </w:tr>
      <w:tr w:rsidR="00E13045" w:rsidRPr="004D0FE0" w14:paraId="5B3CCBC2" w14:textId="77777777">
        <w:trPr>
          <w:trHeight w:val="310"/>
        </w:trPr>
        <w:tc>
          <w:tcPr>
            <w:tcW w:w="3480" w:type="dxa"/>
            <w:tcBorders>
              <w:top w:val="nil"/>
              <w:left w:val="single" w:sz="4" w:space="0" w:color="auto"/>
              <w:bottom w:val="single" w:sz="4" w:space="0" w:color="auto"/>
              <w:right w:val="single" w:sz="4" w:space="0" w:color="auto"/>
            </w:tcBorders>
            <w:hideMark/>
          </w:tcPr>
          <w:p w14:paraId="557ECEC9" w14:textId="77777777" w:rsidR="00E13045" w:rsidRPr="00571AD2" w:rsidRDefault="00E13045">
            <w:pPr>
              <w:rPr>
                <w:rFonts w:eastAsia="Times New Roman"/>
                <w:kern w:val="0"/>
                <w:lang w:eastAsia="en-GB"/>
                <w14:ligatures w14:val="none"/>
              </w:rPr>
            </w:pPr>
            <w:bookmarkStart w:id="22" w:name="_Hlk218694939"/>
            <w:bookmarkEnd w:id="21"/>
            <w:r w:rsidRPr="00571AD2">
              <w:rPr>
                <w:rFonts w:eastAsia="Times New Roman"/>
                <w:kern w:val="0"/>
                <w:lang w:eastAsia="en-GB"/>
                <w14:ligatures w14:val="none"/>
              </w:rPr>
              <w:t>Licenses and Subscriptions</w:t>
            </w:r>
          </w:p>
        </w:tc>
        <w:tc>
          <w:tcPr>
            <w:tcW w:w="2260" w:type="dxa"/>
            <w:tcBorders>
              <w:top w:val="nil"/>
              <w:left w:val="nil"/>
              <w:bottom w:val="single" w:sz="4" w:space="0" w:color="auto"/>
              <w:right w:val="single" w:sz="4" w:space="0" w:color="auto"/>
            </w:tcBorders>
            <w:hideMark/>
          </w:tcPr>
          <w:p w14:paraId="7CCFDCF1" w14:textId="519536BC" w:rsidR="00E13045" w:rsidRPr="00571AD2" w:rsidRDefault="0036281E">
            <w:pPr>
              <w:rPr>
                <w:rFonts w:eastAsia="Times New Roman"/>
                <w:kern w:val="0"/>
                <w:lang w:eastAsia="en-GB"/>
                <w14:ligatures w14:val="none"/>
              </w:rPr>
            </w:pPr>
            <w:r>
              <w:rPr>
                <w:rFonts w:eastAsia="Times New Roman"/>
                <w:kern w:val="0"/>
                <w:lang w:eastAsia="en-GB"/>
                <w14:ligatures w14:val="none"/>
              </w:rPr>
              <w:t>Per school</w:t>
            </w:r>
          </w:p>
        </w:tc>
        <w:tc>
          <w:tcPr>
            <w:tcW w:w="1580" w:type="dxa"/>
            <w:tcBorders>
              <w:top w:val="nil"/>
              <w:left w:val="nil"/>
              <w:bottom w:val="single" w:sz="4" w:space="0" w:color="auto"/>
              <w:right w:val="single" w:sz="4" w:space="0" w:color="auto"/>
            </w:tcBorders>
            <w:vAlign w:val="center"/>
            <w:hideMark/>
          </w:tcPr>
          <w:p w14:paraId="4D5C0748" w14:textId="2C7FD894" w:rsidR="00E13045" w:rsidRPr="00DA6626" w:rsidRDefault="00DA6626">
            <w:pPr>
              <w:jc w:val="right"/>
              <w:rPr>
                <w:rFonts w:eastAsia="Times New Roman"/>
                <w:kern w:val="0"/>
                <w:lang w:eastAsia="en-GB"/>
                <w14:ligatures w14:val="none"/>
              </w:rPr>
            </w:pPr>
            <w:r w:rsidRPr="00DA6626">
              <w:rPr>
                <w:rFonts w:eastAsia="Times New Roman"/>
                <w:kern w:val="0"/>
                <w:lang w:eastAsia="en-GB"/>
                <w14:ligatures w14:val="none"/>
              </w:rPr>
              <w:t>-</w:t>
            </w:r>
          </w:p>
        </w:tc>
        <w:tc>
          <w:tcPr>
            <w:tcW w:w="2080" w:type="dxa"/>
            <w:tcBorders>
              <w:top w:val="nil"/>
              <w:left w:val="nil"/>
              <w:bottom w:val="single" w:sz="4" w:space="0" w:color="auto"/>
              <w:right w:val="single" w:sz="4" w:space="0" w:color="auto"/>
            </w:tcBorders>
            <w:vAlign w:val="center"/>
            <w:hideMark/>
          </w:tcPr>
          <w:p w14:paraId="5E902734" w14:textId="25699C00" w:rsidR="00E13045" w:rsidRPr="00DA6626" w:rsidRDefault="00DA6626">
            <w:pPr>
              <w:jc w:val="right"/>
              <w:rPr>
                <w:rFonts w:eastAsia="Times New Roman"/>
                <w:kern w:val="0"/>
                <w:lang w:eastAsia="en-GB"/>
                <w14:ligatures w14:val="none"/>
              </w:rPr>
            </w:pPr>
            <w:r w:rsidRPr="00DA6626">
              <w:rPr>
                <w:rFonts w:eastAsia="Times New Roman"/>
                <w:kern w:val="0"/>
                <w:lang w:eastAsia="en-GB"/>
                <w14:ligatures w14:val="none"/>
              </w:rPr>
              <w:t>£600</w:t>
            </w:r>
          </w:p>
        </w:tc>
      </w:tr>
      <w:bookmarkEnd w:id="22"/>
      <w:tr w:rsidR="00E56F9A" w:rsidRPr="004D0FE0" w14:paraId="2F839C52" w14:textId="77777777" w:rsidTr="00E56F9A">
        <w:trPr>
          <w:trHeight w:val="310"/>
        </w:trPr>
        <w:tc>
          <w:tcPr>
            <w:tcW w:w="3480" w:type="dxa"/>
            <w:tcBorders>
              <w:top w:val="nil"/>
              <w:left w:val="single" w:sz="4" w:space="0" w:color="auto"/>
              <w:bottom w:val="single" w:sz="4" w:space="0" w:color="auto"/>
              <w:right w:val="single" w:sz="4" w:space="0" w:color="auto"/>
            </w:tcBorders>
            <w:hideMark/>
          </w:tcPr>
          <w:p w14:paraId="58862E9E" w14:textId="77777777" w:rsidR="00E56F9A" w:rsidRPr="00571AD2" w:rsidRDefault="00E56F9A" w:rsidP="00E56F9A">
            <w:pPr>
              <w:rPr>
                <w:rFonts w:eastAsia="Times New Roman"/>
                <w:kern w:val="0"/>
                <w:lang w:eastAsia="en-GB"/>
                <w14:ligatures w14:val="none"/>
              </w:rPr>
            </w:pPr>
            <w:r w:rsidRPr="00571AD2">
              <w:rPr>
                <w:rFonts w:eastAsia="Times New Roman"/>
                <w:kern w:val="0"/>
                <w:lang w:eastAsia="en-GB"/>
                <w14:ligatures w14:val="none"/>
              </w:rPr>
              <w:t>Staff costs</w:t>
            </w:r>
          </w:p>
        </w:tc>
        <w:tc>
          <w:tcPr>
            <w:tcW w:w="2260" w:type="dxa"/>
            <w:tcBorders>
              <w:top w:val="nil"/>
              <w:left w:val="nil"/>
              <w:bottom w:val="single" w:sz="4" w:space="0" w:color="auto"/>
              <w:right w:val="single" w:sz="4" w:space="0" w:color="auto"/>
            </w:tcBorders>
            <w:hideMark/>
          </w:tcPr>
          <w:p w14:paraId="2EB74B7A" w14:textId="77777777" w:rsidR="00E56F9A" w:rsidRPr="00571AD2" w:rsidRDefault="00E56F9A" w:rsidP="00E56F9A">
            <w:pPr>
              <w:rPr>
                <w:rFonts w:eastAsia="Times New Roman"/>
                <w:kern w:val="0"/>
                <w:lang w:eastAsia="en-GB"/>
                <w14:ligatures w14:val="none"/>
              </w:rPr>
            </w:pPr>
            <w:r w:rsidRPr="00571AD2">
              <w:rPr>
                <w:rFonts w:eastAsia="Times New Roman"/>
                <w:kern w:val="0"/>
                <w:lang w:eastAsia="en-GB"/>
                <w14:ligatures w14:val="none"/>
              </w:rPr>
              <w:t>NOR</w:t>
            </w:r>
          </w:p>
        </w:tc>
        <w:tc>
          <w:tcPr>
            <w:tcW w:w="1580" w:type="dxa"/>
            <w:tcBorders>
              <w:top w:val="nil"/>
              <w:left w:val="nil"/>
              <w:bottom w:val="single" w:sz="4" w:space="0" w:color="auto"/>
              <w:right w:val="single" w:sz="4" w:space="0" w:color="auto"/>
            </w:tcBorders>
            <w:vAlign w:val="center"/>
            <w:hideMark/>
          </w:tcPr>
          <w:p w14:paraId="48D74643" w14:textId="1BBF9F7E" w:rsidR="00E56F9A" w:rsidRPr="006B2448" w:rsidRDefault="00571AD2" w:rsidP="00571AD2">
            <w:pPr>
              <w:jc w:val="right"/>
              <w:rPr>
                <w:rFonts w:eastAsia="Times New Roman"/>
                <w:kern w:val="0"/>
                <w:lang w:eastAsia="en-GB"/>
                <w14:ligatures w14:val="none"/>
              </w:rPr>
            </w:pPr>
            <w:r w:rsidRPr="006B2448">
              <w:rPr>
                <w:rFonts w:eastAsia="Times New Roman"/>
                <w:kern w:val="0"/>
                <w:lang w:eastAsia="en-GB"/>
                <w14:ligatures w14:val="none"/>
              </w:rPr>
              <w:t>£</w:t>
            </w:r>
            <w:r w:rsidR="00474789" w:rsidRPr="006B2448">
              <w:rPr>
                <w:rFonts w:eastAsia="Times New Roman"/>
                <w:kern w:val="0"/>
                <w:lang w:eastAsia="en-GB"/>
                <w14:ligatures w14:val="none"/>
              </w:rPr>
              <w:t>5.29</w:t>
            </w:r>
          </w:p>
        </w:tc>
        <w:tc>
          <w:tcPr>
            <w:tcW w:w="2080" w:type="dxa"/>
            <w:tcBorders>
              <w:top w:val="nil"/>
              <w:left w:val="nil"/>
              <w:bottom w:val="single" w:sz="4" w:space="0" w:color="auto"/>
              <w:right w:val="single" w:sz="4" w:space="0" w:color="auto"/>
            </w:tcBorders>
            <w:vAlign w:val="center"/>
            <w:hideMark/>
          </w:tcPr>
          <w:p w14:paraId="05AF4200" w14:textId="1A43DD14" w:rsidR="00E56F9A" w:rsidRPr="006B2448" w:rsidRDefault="00474789" w:rsidP="00571AD2">
            <w:pPr>
              <w:jc w:val="right"/>
              <w:rPr>
                <w:rFonts w:eastAsia="Times New Roman"/>
                <w:kern w:val="0"/>
                <w:lang w:eastAsia="en-GB"/>
                <w14:ligatures w14:val="none"/>
              </w:rPr>
            </w:pPr>
            <w:r w:rsidRPr="006B2448">
              <w:rPr>
                <w:rFonts w:eastAsia="Times New Roman"/>
                <w:kern w:val="0"/>
                <w:lang w:eastAsia="en-GB"/>
                <w14:ligatures w14:val="none"/>
              </w:rPr>
              <w:t>£10.35</w:t>
            </w:r>
          </w:p>
        </w:tc>
      </w:tr>
    </w:tbl>
    <w:p w14:paraId="64DE5FA4" w14:textId="77777777" w:rsidR="00D45E63" w:rsidRDefault="00D45E63" w:rsidP="00D45E63">
      <w:pPr>
        <w:rPr>
          <w:color w:val="FF0000"/>
          <w:spacing w:val="2"/>
        </w:rPr>
      </w:pPr>
    </w:p>
    <w:p w14:paraId="2AD0DBD2" w14:textId="4ECD05B7" w:rsidR="00260AF5" w:rsidRDefault="00260AF5" w:rsidP="00D45E63">
      <w:pPr>
        <w:rPr>
          <w:spacing w:val="2"/>
        </w:rPr>
      </w:pPr>
      <w:r w:rsidRPr="00AA6446">
        <w:rPr>
          <w:spacing w:val="1"/>
        </w:rPr>
        <w:t xml:space="preserve">The cost of de-delegated </w:t>
      </w:r>
      <w:r>
        <w:rPr>
          <w:spacing w:val="1"/>
        </w:rPr>
        <w:t>services</w:t>
      </w:r>
      <w:r w:rsidRPr="00AA6446">
        <w:rPr>
          <w:spacing w:val="1"/>
        </w:rPr>
        <w:t xml:space="preserve"> is effectively included in the main budget share so that maintained schools and academies receive their gross funding by the same formula. </w:t>
      </w:r>
      <w:r w:rsidR="006432B0">
        <w:rPr>
          <w:spacing w:val="1"/>
        </w:rPr>
        <w:t>M</w:t>
      </w:r>
      <w:r w:rsidRPr="00AA6446">
        <w:rPr>
          <w:spacing w:val="1"/>
        </w:rPr>
        <w:t xml:space="preserve">aintained schools </w:t>
      </w:r>
      <w:r w:rsidR="006432B0">
        <w:rPr>
          <w:spacing w:val="1"/>
        </w:rPr>
        <w:t xml:space="preserve">then </w:t>
      </w:r>
      <w:r w:rsidRPr="00AA6446">
        <w:rPr>
          <w:spacing w:val="1"/>
        </w:rPr>
        <w:t xml:space="preserve">have the cost of de-delegated services </w:t>
      </w:r>
      <w:r w:rsidR="00462AF4">
        <w:rPr>
          <w:spacing w:val="1"/>
        </w:rPr>
        <w:t>d</w:t>
      </w:r>
      <w:r w:rsidRPr="00AA6446">
        <w:rPr>
          <w:spacing w:val="1"/>
        </w:rPr>
        <w:t xml:space="preserve">educted </w:t>
      </w:r>
      <w:r w:rsidR="00FC013A">
        <w:rPr>
          <w:spacing w:val="1"/>
        </w:rPr>
        <w:t xml:space="preserve">and </w:t>
      </w:r>
      <w:r w:rsidRPr="00FA6591">
        <w:rPr>
          <w:spacing w:val="2"/>
        </w:rPr>
        <w:t>returned to the local authority to provide the services centrally.</w:t>
      </w:r>
    </w:p>
    <w:p w14:paraId="40C7B212" w14:textId="77777777" w:rsidR="00296FFD" w:rsidRDefault="00296FFD" w:rsidP="00D45E63">
      <w:pPr>
        <w:rPr>
          <w:spacing w:val="2"/>
        </w:rPr>
      </w:pPr>
    </w:p>
    <w:p w14:paraId="122B4013" w14:textId="7A38FD40" w:rsidR="00296FFD" w:rsidRDefault="00296FFD" w:rsidP="00296FFD">
      <w:pPr>
        <w:rPr>
          <w:spacing w:val="2"/>
        </w:rPr>
      </w:pPr>
      <w:r w:rsidRPr="00B1049D">
        <w:t>Fu</w:t>
      </w:r>
      <w:r>
        <w:t xml:space="preserve">rther information </w:t>
      </w:r>
      <w:r w:rsidRPr="00B1049D">
        <w:t>can be found in the</w:t>
      </w:r>
      <w:r>
        <w:t xml:space="preserve"> </w:t>
      </w:r>
      <w:hyperlink r:id="rId31" w:anchor="de-delegated-services" w:history="1">
        <w:r w:rsidRPr="00FC6C04">
          <w:rPr>
            <w:rStyle w:val="Hyperlink"/>
          </w:rPr>
          <w:t>schools operational guide</w:t>
        </w:r>
      </w:hyperlink>
    </w:p>
    <w:p w14:paraId="3F3CAC1D" w14:textId="77777777" w:rsidR="00260AF5" w:rsidRPr="004D0FE0" w:rsidRDefault="00260AF5" w:rsidP="00D45E63">
      <w:pPr>
        <w:rPr>
          <w:color w:val="FF0000"/>
          <w:spacing w:val="2"/>
        </w:rPr>
      </w:pPr>
    </w:p>
    <w:p w14:paraId="0C4F5924" w14:textId="3F0B79E8" w:rsidR="00D45E63" w:rsidRPr="007D0690" w:rsidRDefault="00E97B05" w:rsidP="007D0690">
      <w:pPr>
        <w:rPr>
          <w:b/>
        </w:rPr>
      </w:pPr>
      <w:bookmarkStart w:id="23" w:name="Centralprovision"/>
      <w:r>
        <w:rPr>
          <w:b/>
        </w:rPr>
        <w:t xml:space="preserve">4.14 </w:t>
      </w:r>
      <w:r w:rsidR="007D0690">
        <w:rPr>
          <w:b/>
        </w:rPr>
        <w:t>Central</w:t>
      </w:r>
      <w:r w:rsidR="00D45E63" w:rsidRPr="007D0690">
        <w:rPr>
          <w:b/>
        </w:rPr>
        <w:t xml:space="preserve"> </w:t>
      </w:r>
      <w:r w:rsidR="00F91783" w:rsidRPr="007D0690">
        <w:rPr>
          <w:b/>
        </w:rPr>
        <w:t>p</w:t>
      </w:r>
      <w:r w:rsidR="00D45E63" w:rsidRPr="007D0690">
        <w:rPr>
          <w:b/>
        </w:rPr>
        <w:t xml:space="preserve">rovision </w:t>
      </w:r>
      <w:r w:rsidR="00F91783" w:rsidRPr="007D0690">
        <w:rPr>
          <w:b/>
        </w:rPr>
        <w:t>f</w:t>
      </w:r>
      <w:r w:rsidR="00D45E63" w:rsidRPr="007D0690">
        <w:rPr>
          <w:b/>
        </w:rPr>
        <w:t xml:space="preserve">unded by </w:t>
      </w:r>
      <w:r w:rsidR="00F91783" w:rsidRPr="007D0690">
        <w:rPr>
          <w:b/>
        </w:rPr>
        <w:t>m</w:t>
      </w:r>
      <w:r w:rsidR="00D45E63" w:rsidRPr="007D0690">
        <w:rPr>
          <w:b/>
        </w:rPr>
        <w:t xml:space="preserve">aintained </w:t>
      </w:r>
      <w:r w:rsidR="00F91783" w:rsidRPr="007D0690">
        <w:rPr>
          <w:b/>
        </w:rPr>
        <w:t>s</w:t>
      </w:r>
      <w:r w:rsidR="00D45E63" w:rsidRPr="007D0690">
        <w:rPr>
          <w:b/>
        </w:rPr>
        <w:t>chools</w:t>
      </w:r>
      <w:bookmarkEnd w:id="23"/>
    </w:p>
    <w:p w14:paraId="47DC9A6A" w14:textId="77777777" w:rsidR="007D0690" w:rsidRPr="007D0690" w:rsidRDefault="007D0690" w:rsidP="007D0690">
      <w:pPr>
        <w:rPr>
          <w:b/>
        </w:rPr>
      </w:pPr>
    </w:p>
    <w:p w14:paraId="48129D91" w14:textId="54008AD8" w:rsidR="00D45E63" w:rsidRDefault="00D45E63" w:rsidP="00D45E63">
      <w:pPr>
        <w:rPr>
          <w:color w:val="FF0000"/>
        </w:rPr>
      </w:pPr>
      <w:r w:rsidRPr="006114D7">
        <w:t xml:space="preserve">With the agreement of the relevant maintained </w:t>
      </w:r>
      <w:r w:rsidR="00782446" w:rsidRPr="006114D7">
        <w:t>schools’</w:t>
      </w:r>
      <w:r w:rsidRPr="006114D7">
        <w:t xml:space="preserve"> members of the </w:t>
      </w:r>
      <w:r w:rsidR="00126A53">
        <w:t>S</w:t>
      </w:r>
      <w:r w:rsidR="001970F4" w:rsidRPr="006114D7">
        <w:t>chools</w:t>
      </w:r>
      <w:r w:rsidRPr="006114D7">
        <w:t xml:space="preserve"> Forum, local authorities can retain funding for statutory functions relating to maintained schools. This is funded by a per-pupil charge to maintained </w:t>
      </w:r>
      <w:r w:rsidR="00782446" w:rsidRPr="006114D7">
        <w:t>schools’</w:t>
      </w:r>
      <w:r w:rsidRPr="006114D7">
        <w:t xml:space="preserve"> budgets and is applied consistently across all maintained mainstream schools. The per pupil rate</w:t>
      </w:r>
      <w:r w:rsidRPr="001D4161">
        <w:t xml:space="preserve"> is </w:t>
      </w:r>
      <w:r w:rsidRPr="00CE2411">
        <w:t>£</w:t>
      </w:r>
      <w:r w:rsidR="00475436" w:rsidRPr="00CE2411">
        <w:t>5</w:t>
      </w:r>
      <w:r w:rsidR="001D4161" w:rsidRPr="00CE2411">
        <w:t>8.</w:t>
      </w:r>
      <w:r w:rsidR="0039371F" w:rsidRPr="00CE2411">
        <w:t>57</w:t>
      </w:r>
      <w:r w:rsidR="00CE2411">
        <w:t>.</w:t>
      </w:r>
    </w:p>
    <w:p w14:paraId="30CA6D41" w14:textId="77777777" w:rsidR="006432B0" w:rsidRDefault="006432B0" w:rsidP="00D45E63">
      <w:pPr>
        <w:rPr>
          <w:color w:val="FF0000"/>
        </w:rPr>
      </w:pPr>
    </w:p>
    <w:p w14:paraId="0F61BCB3" w14:textId="3C723138" w:rsidR="00A66C5B" w:rsidRDefault="00260AF5" w:rsidP="00E97B05">
      <w:pPr>
        <w:rPr>
          <w:spacing w:val="2"/>
        </w:rPr>
      </w:pPr>
      <w:r w:rsidRPr="00AA6446">
        <w:rPr>
          <w:spacing w:val="1"/>
        </w:rPr>
        <w:t xml:space="preserve">The cost of central provision funded by maintained schools is effectively included in the main budget share so that maintained schools and academies receive their gross funding by the same formula. </w:t>
      </w:r>
      <w:r w:rsidR="006432B0">
        <w:rPr>
          <w:spacing w:val="1"/>
        </w:rPr>
        <w:t>M</w:t>
      </w:r>
      <w:r w:rsidRPr="00AA6446">
        <w:rPr>
          <w:spacing w:val="1"/>
        </w:rPr>
        <w:t xml:space="preserve">aintained schools </w:t>
      </w:r>
      <w:r w:rsidR="006432B0">
        <w:rPr>
          <w:spacing w:val="1"/>
        </w:rPr>
        <w:t xml:space="preserve">then </w:t>
      </w:r>
      <w:r w:rsidRPr="00AA6446">
        <w:rPr>
          <w:spacing w:val="1"/>
        </w:rPr>
        <w:t xml:space="preserve">have the cost of central provision </w:t>
      </w:r>
      <w:r w:rsidR="00114036">
        <w:rPr>
          <w:spacing w:val="1"/>
        </w:rPr>
        <w:t xml:space="preserve">funded by maintained schools </w:t>
      </w:r>
      <w:r w:rsidRPr="00AA6446">
        <w:rPr>
          <w:spacing w:val="1"/>
        </w:rPr>
        <w:t xml:space="preserve">deducted </w:t>
      </w:r>
      <w:r w:rsidR="00114036">
        <w:rPr>
          <w:spacing w:val="1"/>
        </w:rPr>
        <w:t xml:space="preserve">and </w:t>
      </w:r>
      <w:r w:rsidRPr="00FA6591">
        <w:rPr>
          <w:spacing w:val="2"/>
        </w:rPr>
        <w:t>returned to the local authority to provide the services centrally.</w:t>
      </w:r>
    </w:p>
    <w:p w14:paraId="4A4B4487" w14:textId="77777777" w:rsidR="0018501F" w:rsidRDefault="0018501F" w:rsidP="00E97B05">
      <w:pPr>
        <w:rPr>
          <w:spacing w:val="2"/>
        </w:rPr>
      </w:pPr>
    </w:p>
    <w:p w14:paraId="694B38F9" w14:textId="0C5F0C3D" w:rsidR="00E97B05" w:rsidRDefault="0018501F" w:rsidP="00E97B05">
      <w:pPr>
        <w:rPr>
          <w:spacing w:val="2"/>
        </w:rPr>
      </w:pPr>
      <w:r w:rsidRPr="00B1049D">
        <w:t>Fu</w:t>
      </w:r>
      <w:r>
        <w:t xml:space="preserve">rther information </w:t>
      </w:r>
      <w:r w:rsidRPr="00B1049D">
        <w:t>can be found in the</w:t>
      </w:r>
      <w:r>
        <w:t xml:space="preserve"> </w:t>
      </w:r>
      <w:hyperlink r:id="rId32" w:anchor="services-for-maintained-schools" w:history="1">
        <w:r w:rsidRPr="00FC6C04">
          <w:rPr>
            <w:rStyle w:val="Hyperlink"/>
          </w:rPr>
          <w:t>schools operational guide</w:t>
        </w:r>
      </w:hyperlink>
    </w:p>
    <w:p w14:paraId="0604EB31" w14:textId="77777777" w:rsidR="006054DA" w:rsidRDefault="006054DA">
      <w:pPr>
        <w:spacing w:after="160" w:line="259" w:lineRule="auto"/>
        <w:rPr>
          <w:b/>
        </w:rPr>
      </w:pPr>
      <w:r>
        <w:rPr>
          <w:b/>
        </w:rPr>
        <w:br w:type="page"/>
      </w:r>
    </w:p>
    <w:p w14:paraId="78137CAA" w14:textId="35653091" w:rsidR="00D45E63" w:rsidRDefault="00597086" w:rsidP="00D45E63">
      <w:pPr>
        <w:rPr>
          <w:b/>
        </w:rPr>
      </w:pPr>
      <w:bookmarkStart w:id="24" w:name="Additionalinformation"/>
      <w:r>
        <w:rPr>
          <w:b/>
        </w:rPr>
        <w:lastRenderedPageBreak/>
        <w:t>5</w:t>
      </w:r>
      <w:r w:rsidR="00D45E63" w:rsidRPr="007870DC">
        <w:rPr>
          <w:b/>
        </w:rPr>
        <w:t>. Additional Information</w:t>
      </w:r>
    </w:p>
    <w:bookmarkEnd w:id="24"/>
    <w:p w14:paraId="66D5AA6C" w14:textId="77777777" w:rsidR="00A66C5B" w:rsidRDefault="00A66C5B" w:rsidP="00A66C5B">
      <w:pPr>
        <w:rPr>
          <w:b/>
        </w:rPr>
      </w:pPr>
    </w:p>
    <w:p w14:paraId="3DB4EE2A" w14:textId="53C637AD" w:rsidR="00D45E63" w:rsidRPr="00A66C5B" w:rsidRDefault="00A66C5B" w:rsidP="00A66C5B">
      <w:pPr>
        <w:rPr>
          <w:b/>
          <w:bCs/>
        </w:rPr>
      </w:pPr>
      <w:bookmarkStart w:id="25" w:name="NotionalSEN"/>
      <w:r>
        <w:rPr>
          <w:b/>
        </w:rPr>
        <w:t xml:space="preserve">5.1 </w:t>
      </w:r>
      <w:r w:rsidR="00D45E63" w:rsidRPr="00A66C5B">
        <w:rPr>
          <w:b/>
          <w:bCs/>
        </w:rPr>
        <w:t>Notional SEN budget</w:t>
      </w:r>
    </w:p>
    <w:bookmarkEnd w:id="25"/>
    <w:p w14:paraId="1CDEA542" w14:textId="77777777" w:rsidR="00C22D9C" w:rsidRDefault="00C22D9C" w:rsidP="0059498D">
      <w:pPr>
        <w:ind w:left="284"/>
        <w:rPr>
          <w:bCs/>
          <w:spacing w:val="1"/>
        </w:rPr>
      </w:pPr>
    </w:p>
    <w:p w14:paraId="61218F7B" w14:textId="7D32B1DF" w:rsidR="00D45E63" w:rsidRPr="007870DC" w:rsidRDefault="00D45E63" w:rsidP="00054C72">
      <w:pPr>
        <w:rPr>
          <w:spacing w:val="1"/>
        </w:rPr>
      </w:pPr>
      <w:r w:rsidRPr="007870DC">
        <w:rPr>
          <w:bCs/>
          <w:spacing w:val="1"/>
        </w:rPr>
        <w:t xml:space="preserve">The notional SEN </w:t>
      </w:r>
      <w:r w:rsidRPr="007870DC">
        <w:rPr>
          <w:spacing w:val="1"/>
        </w:rPr>
        <w:t xml:space="preserve">budget is the element of a school’s delegated budget allocated for its SEN provision. This is calculated on an annual basis and will not change during the financial year regardless of any children with SEN joining or leaving the school during the year. </w:t>
      </w:r>
    </w:p>
    <w:p w14:paraId="5F8A53CC" w14:textId="77777777" w:rsidR="00D45E63" w:rsidRPr="007870DC" w:rsidRDefault="00D45E63" w:rsidP="00054C72">
      <w:pPr>
        <w:rPr>
          <w:spacing w:val="1"/>
        </w:rPr>
      </w:pPr>
    </w:p>
    <w:p w14:paraId="55AACFC2" w14:textId="0BD1D511" w:rsidR="0008040B" w:rsidRDefault="00D45E63" w:rsidP="006054DA">
      <w:pPr>
        <w:rPr>
          <w:spacing w:val="1"/>
        </w:rPr>
      </w:pPr>
      <w:r w:rsidRPr="007870DC">
        <w:rPr>
          <w:spacing w:val="1"/>
        </w:rPr>
        <w:t>The notional SEN budget is not intended to be used exclusively for those pupils in the school with EHCPs,</w:t>
      </w:r>
      <w:r w:rsidRPr="007870DC">
        <w:rPr>
          <w:bCs/>
          <w:spacing w:val="1"/>
        </w:rPr>
        <w:t xml:space="preserve"> but to enable the school to make the necessary provision over and </w:t>
      </w:r>
      <w:r w:rsidRPr="007870DC">
        <w:rPr>
          <w:spacing w:val="1"/>
        </w:rPr>
        <w:t>above the standard offer of teaching and learning for all pupils. The notional budget simply “earmarks” an element of the school’s budget share using proxy indicators with no additional funding attached and, as a purely notional sum, it is not a fixed sum that can be “used up”.</w:t>
      </w:r>
      <w:bookmarkStart w:id="26" w:name="Nurseryprovision"/>
    </w:p>
    <w:p w14:paraId="4F7B3ECE" w14:textId="77777777" w:rsidR="006054DA" w:rsidRDefault="006054DA" w:rsidP="006054DA">
      <w:pPr>
        <w:rPr>
          <w:b/>
          <w:bCs/>
        </w:rPr>
      </w:pPr>
    </w:p>
    <w:p w14:paraId="27D84AAE" w14:textId="6185661A" w:rsidR="00DE0E9A" w:rsidRPr="00CA7D99" w:rsidRDefault="00181643" w:rsidP="00CA7D99">
      <w:pPr>
        <w:rPr>
          <w:b/>
          <w:bCs/>
        </w:rPr>
      </w:pPr>
      <w:bookmarkStart w:id="27" w:name="Nurseryfunding"/>
      <w:r>
        <w:rPr>
          <w:b/>
          <w:bCs/>
        </w:rPr>
        <w:t xml:space="preserve">5.2 </w:t>
      </w:r>
      <w:r w:rsidR="00DE0E9A" w:rsidRPr="00CA7D99">
        <w:rPr>
          <w:b/>
          <w:bCs/>
        </w:rPr>
        <w:t xml:space="preserve">Nursery </w:t>
      </w:r>
      <w:bookmarkEnd w:id="26"/>
      <w:r w:rsidR="007E0E5D" w:rsidRPr="00CA7D99">
        <w:rPr>
          <w:b/>
          <w:bCs/>
        </w:rPr>
        <w:t>funding</w:t>
      </w:r>
    </w:p>
    <w:bookmarkEnd w:id="27"/>
    <w:p w14:paraId="2B6D3AC9" w14:textId="77777777" w:rsidR="00DE0E9A" w:rsidRPr="00330B9D" w:rsidRDefault="00DE0E9A" w:rsidP="00DE7F00">
      <w:pPr>
        <w:ind w:hanging="284"/>
        <w:rPr>
          <w:b/>
          <w:bCs/>
          <w:spacing w:val="2"/>
        </w:rPr>
      </w:pPr>
    </w:p>
    <w:p w14:paraId="446D91CC" w14:textId="42115CB7" w:rsidR="007C7BB8" w:rsidRPr="00E97B05" w:rsidRDefault="00D45E63" w:rsidP="00DE7F00">
      <w:pPr>
        <w:pStyle w:val="ListParagraph"/>
        <w:numPr>
          <w:ilvl w:val="0"/>
          <w:numId w:val="21"/>
        </w:numPr>
        <w:ind w:left="284" w:hanging="284"/>
      </w:pPr>
      <w:r w:rsidRPr="00E97B05">
        <w:t xml:space="preserve">Primary </w:t>
      </w:r>
      <w:r w:rsidR="004B1506" w:rsidRPr="00E97B05">
        <w:t>s</w:t>
      </w:r>
      <w:r w:rsidRPr="00E97B05">
        <w:t xml:space="preserve">chools with a </w:t>
      </w:r>
      <w:r w:rsidR="004B1506" w:rsidRPr="00E97B05">
        <w:t>n</w:t>
      </w:r>
      <w:r w:rsidRPr="00E97B05">
        <w:t xml:space="preserve">ursery </w:t>
      </w:r>
      <w:r w:rsidR="004B1506" w:rsidRPr="00E97B05">
        <w:t>re</w:t>
      </w:r>
      <w:r w:rsidRPr="00E97B05">
        <w:t xml:space="preserve">sourced </w:t>
      </w:r>
      <w:r w:rsidR="004B1506" w:rsidRPr="00E97B05">
        <w:t>p</w:t>
      </w:r>
      <w:r w:rsidRPr="00E97B05">
        <w:t>rovision</w:t>
      </w:r>
    </w:p>
    <w:p w14:paraId="3A80A88C" w14:textId="49BA0979" w:rsidR="00961BD0" w:rsidRDefault="00D45E63" w:rsidP="0008040B">
      <w:pPr>
        <w:ind w:left="284"/>
        <w:rPr>
          <w:spacing w:val="1"/>
        </w:rPr>
      </w:pPr>
      <w:r w:rsidRPr="00330B9D">
        <w:rPr>
          <w:spacing w:val="1"/>
        </w:rPr>
        <w:t>The budget share show</w:t>
      </w:r>
      <w:r w:rsidR="002164FE">
        <w:rPr>
          <w:spacing w:val="1"/>
        </w:rPr>
        <w:t>s</w:t>
      </w:r>
      <w:r w:rsidRPr="00330B9D">
        <w:rPr>
          <w:spacing w:val="1"/>
        </w:rPr>
        <w:t xml:space="preserve"> the number of places that have been commissioned specifically for children with special education needs.</w:t>
      </w:r>
    </w:p>
    <w:p w14:paraId="06C4E596" w14:textId="77777777" w:rsidR="00181643" w:rsidRDefault="00181643" w:rsidP="00961BD0">
      <w:pPr>
        <w:ind w:left="284"/>
        <w:rPr>
          <w:spacing w:val="2"/>
        </w:rPr>
      </w:pPr>
    </w:p>
    <w:p w14:paraId="6067EDEA" w14:textId="7B145BB9" w:rsidR="00A72DFD" w:rsidRDefault="00A72DFD" w:rsidP="00E97B05">
      <w:pPr>
        <w:ind w:left="284"/>
        <w:rPr>
          <w:spacing w:val="1"/>
        </w:rPr>
      </w:pPr>
      <w:r w:rsidRPr="00FA6591">
        <w:rPr>
          <w:spacing w:val="2"/>
        </w:rPr>
        <w:t xml:space="preserve">The </w:t>
      </w:r>
      <w:r w:rsidR="00AF5CAB">
        <w:rPr>
          <w:spacing w:val="2"/>
        </w:rPr>
        <w:t xml:space="preserve">Hampshire </w:t>
      </w:r>
      <w:r w:rsidRPr="00FA6591">
        <w:rPr>
          <w:spacing w:val="2"/>
        </w:rPr>
        <w:t>f</w:t>
      </w:r>
      <w:r>
        <w:rPr>
          <w:spacing w:val="2"/>
        </w:rPr>
        <w:t>actor values are shown below</w:t>
      </w:r>
      <w:r w:rsidRPr="00FA6591">
        <w:rPr>
          <w:spacing w:val="2"/>
        </w:rPr>
        <w:t>:</w:t>
      </w:r>
    </w:p>
    <w:tbl>
      <w:tblPr>
        <w:tblW w:w="9095" w:type="dxa"/>
        <w:tblInd w:w="274" w:type="dxa"/>
        <w:tblCellMar>
          <w:top w:w="15" w:type="dxa"/>
        </w:tblCellMar>
        <w:tblLook w:val="04A0" w:firstRow="1" w:lastRow="0" w:firstColumn="1" w:lastColumn="0" w:noHBand="0" w:noVBand="1"/>
      </w:tblPr>
      <w:tblGrid>
        <w:gridCol w:w="6386"/>
        <w:gridCol w:w="2709"/>
      </w:tblGrid>
      <w:tr w:rsidR="00A72DFD" w:rsidRPr="004D0FE0" w14:paraId="2AC24343" w14:textId="77777777" w:rsidTr="00E97B05">
        <w:trPr>
          <w:trHeight w:hRule="exact" w:val="655"/>
        </w:trPr>
        <w:tc>
          <w:tcPr>
            <w:tcW w:w="6386"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A8C6B1A" w14:textId="77777777" w:rsidR="00A72DFD" w:rsidRPr="000D76F5" w:rsidRDefault="00A72DFD" w:rsidP="00E97B05">
            <w:pPr>
              <w:ind w:left="284"/>
              <w:rPr>
                <w:rFonts w:eastAsia="Times New Roman"/>
                <w:b/>
                <w:bCs/>
                <w:kern w:val="0"/>
                <w:sz w:val="22"/>
                <w:szCs w:val="22"/>
                <w:lang w:eastAsia="en-GB"/>
                <w14:ligatures w14:val="none"/>
              </w:rPr>
            </w:pPr>
            <w:r w:rsidRPr="000D76F5">
              <w:rPr>
                <w:rFonts w:eastAsia="Times New Roman"/>
                <w:b/>
                <w:bCs/>
                <w:kern w:val="0"/>
                <w:sz w:val="22"/>
                <w:szCs w:val="20"/>
                <w:lang w:eastAsia="en-GB"/>
                <w14:ligatures w14:val="none"/>
              </w:rPr>
              <w:t>Nursery Funding rates</w:t>
            </w:r>
          </w:p>
        </w:tc>
        <w:tc>
          <w:tcPr>
            <w:tcW w:w="2709" w:type="dxa"/>
            <w:tcBorders>
              <w:top w:val="single" w:sz="8" w:space="0" w:color="auto"/>
              <w:left w:val="nil"/>
              <w:bottom w:val="single" w:sz="8" w:space="0" w:color="000000"/>
              <w:right w:val="single" w:sz="8" w:space="0" w:color="000000"/>
            </w:tcBorders>
            <w:shd w:val="clear" w:color="000000" w:fill="FFFFFF"/>
            <w:vAlign w:val="center"/>
            <w:hideMark/>
          </w:tcPr>
          <w:p w14:paraId="77F5C638" w14:textId="77777777" w:rsidR="00A72DFD" w:rsidRPr="000D76F5" w:rsidRDefault="00A72DFD" w:rsidP="00E97B05">
            <w:pPr>
              <w:ind w:left="284"/>
              <w:jc w:val="right"/>
              <w:rPr>
                <w:rFonts w:eastAsia="Times New Roman"/>
                <w:b/>
                <w:bCs/>
                <w:kern w:val="0"/>
                <w:sz w:val="22"/>
                <w:szCs w:val="22"/>
                <w:lang w:eastAsia="en-GB"/>
                <w14:ligatures w14:val="none"/>
              </w:rPr>
            </w:pPr>
            <w:r w:rsidRPr="000D76F5">
              <w:rPr>
                <w:rFonts w:eastAsia="Times New Roman"/>
                <w:b/>
                <w:bCs/>
                <w:kern w:val="0"/>
                <w:sz w:val="22"/>
                <w:szCs w:val="20"/>
                <w:lang w:eastAsia="en-GB"/>
                <w14:ligatures w14:val="none"/>
              </w:rPr>
              <w:t>Per commissioned place </w:t>
            </w:r>
          </w:p>
        </w:tc>
      </w:tr>
      <w:tr w:rsidR="00A72DFD" w:rsidRPr="004D0FE0" w14:paraId="6350B902" w14:textId="77777777" w:rsidTr="00E97B05">
        <w:trPr>
          <w:trHeight w:hRule="exact" w:val="348"/>
        </w:trPr>
        <w:tc>
          <w:tcPr>
            <w:tcW w:w="6386" w:type="dxa"/>
            <w:tcBorders>
              <w:top w:val="nil"/>
              <w:left w:val="single" w:sz="8" w:space="0" w:color="auto"/>
              <w:bottom w:val="single" w:sz="8" w:space="0" w:color="000000"/>
              <w:right w:val="single" w:sz="8" w:space="0" w:color="000000"/>
            </w:tcBorders>
            <w:shd w:val="clear" w:color="000000" w:fill="FFFFFF"/>
            <w:vAlign w:val="center"/>
            <w:hideMark/>
          </w:tcPr>
          <w:p w14:paraId="799B30FC" w14:textId="77777777" w:rsidR="00A72DFD" w:rsidRPr="000D76F5" w:rsidRDefault="00A72DFD" w:rsidP="00E97B05">
            <w:pPr>
              <w:ind w:left="284"/>
              <w:rPr>
                <w:rFonts w:eastAsia="Times New Roman"/>
                <w:kern w:val="0"/>
                <w:sz w:val="22"/>
                <w:szCs w:val="22"/>
                <w:lang w:eastAsia="en-GB"/>
                <w14:ligatures w14:val="none"/>
              </w:rPr>
            </w:pPr>
            <w:bookmarkStart w:id="28" w:name="_Hlk211434830"/>
            <w:r w:rsidRPr="000D76F5">
              <w:rPr>
                <w:rFonts w:eastAsia="Times New Roman"/>
                <w:kern w:val="0"/>
                <w:sz w:val="22"/>
                <w:szCs w:val="20"/>
                <w:lang w:eastAsia="en-GB"/>
                <w14:ligatures w14:val="none"/>
              </w:rPr>
              <w:t>Speech, Language and Communication Needs (SLCN)</w:t>
            </w:r>
          </w:p>
        </w:tc>
        <w:tc>
          <w:tcPr>
            <w:tcW w:w="2709" w:type="dxa"/>
            <w:tcBorders>
              <w:top w:val="single" w:sz="8" w:space="0" w:color="000000"/>
              <w:left w:val="nil"/>
              <w:bottom w:val="single" w:sz="8" w:space="0" w:color="000000"/>
              <w:right w:val="single" w:sz="8" w:space="0" w:color="000000"/>
            </w:tcBorders>
            <w:shd w:val="clear" w:color="000000" w:fill="FFFFFF"/>
            <w:vAlign w:val="center"/>
            <w:hideMark/>
          </w:tcPr>
          <w:p w14:paraId="51B336F8" w14:textId="0E519B8E" w:rsidR="00A72DFD" w:rsidRPr="004610ED" w:rsidRDefault="00A72DFD" w:rsidP="00E97B05">
            <w:pPr>
              <w:ind w:left="284"/>
              <w:jc w:val="right"/>
              <w:rPr>
                <w:rFonts w:eastAsia="Times New Roman"/>
                <w:kern w:val="0"/>
                <w:sz w:val="22"/>
                <w:szCs w:val="22"/>
                <w:lang w:eastAsia="en-GB"/>
                <w14:ligatures w14:val="none"/>
              </w:rPr>
            </w:pPr>
            <w:r w:rsidRPr="004610ED">
              <w:rPr>
                <w:rFonts w:eastAsia="Times New Roman"/>
                <w:kern w:val="0"/>
                <w:sz w:val="22"/>
                <w:szCs w:val="20"/>
                <w:lang w:eastAsia="en-GB"/>
                <w14:ligatures w14:val="none"/>
              </w:rPr>
              <w:t>£13,</w:t>
            </w:r>
            <w:r w:rsidR="00000CC5">
              <w:rPr>
                <w:rFonts w:eastAsia="Times New Roman"/>
                <w:kern w:val="0"/>
                <w:sz w:val="22"/>
                <w:szCs w:val="20"/>
                <w:lang w:eastAsia="en-GB"/>
                <w14:ligatures w14:val="none"/>
              </w:rPr>
              <w:t>476</w:t>
            </w:r>
          </w:p>
        </w:tc>
      </w:tr>
      <w:bookmarkEnd w:id="28"/>
      <w:tr w:rsidR="00A72DFD" w:rsidRPr="004D0FE0" w14:paraId="69109BB8" w14:textId="77777777" w:rsidTr="00E97B05">
        <w:trPr>
          <w:trHeight w:hRule="exact" w:val="348"/>
        </w:trPr>
        <w:tc>
          <w:tcPr>
            <w:tcW w:w="6386" w:type="dxa"/>
            <w:tcBorders>
              <w:top w:val="nil"/>
              <w:left w:val="single" w:sz="8" w:space="0" w:color="auto"/>
              <w:bottom w:val="single" w:sz="8" w:space="0" w:color="000000"/>
              <w:right w:val="single" w:sz="8" w:space="0" w:color="000000"/>
            </w:tcBorders>
            <w:shd w:val="clear" w:color="000000" w:fill="FFFFFF"/>
            <w:vAlign w:val="center"/>
            <w:hideMark/>
          </w:tcPr>
          <w:p w14:paraId="2AD677AA" w14:textId="77777777" w:rsidR="00A72DFD" w:rsidRPr="000D76F5" w:rsidRDefault="00A72DFD" w:rsidP="00E97B05">
            <w:pPr>
              <w:ind w:left="284"/>
              <w:rPr>
                <w:rFonts w:eastAsia="Times New Roman"/>
                <w:kern w:val="0"/>
                <w:sz w:val="22"/>
                <w:szCs w:val="22"/>
                <w:lang w:eastAsia="en-GB"/>
                <w14:ligatures w14:val="none"/>
              </w:rPr>
            </w:pPr>
            <w:r w:rsidRPr="000D76F5">
              <w:rPr>
                <w:rFonts w:eastAsia="Times New Roman"/>
                <w:kern w:val="0"/>
                <w:sz w:val="22"/>
                <w:szCs w:val="20"/>
                <w:lang w:eastAsia="en-GB"/>
                <w14:ligatures w14:val="none"/>
              </w:rPr>
              <w:t>Pre-school Diagnostic Unit (PSDU)</w:t>
            </w:r>
          </w:p>
        </w:tc>
        <w:tc>
          <w:tcPr>
            <w:tcW w:w="2709" w:type="dxa"/>
            <w:tcBorders>
              <w:top w:val="single" w:sz="8" w:space="0" w:color="000000"/>
              <w:left w:val="nil"/>
              <w:bottom w:val="single" w:sz="8" w:space="0" w:color="000000"/>
              <w:right w:val="single" w:sz="8" w:space="0" w:color="000000"/>
            </w:tcBorders>
            <w:shd w:val="clear" w:color="000000" w:fill="FFFFFF"/>
            <w:vAlign w:val="center"/>
            <w:hideMark/>
          </w:tcPr>
          <w:p w14:paraId="00B98ADB" w14:textId="44986C41" w:rsidR="00A72DFD" w:rsidRPr="004610ED" w:rsidRDefault="00A72DFD" w:rsidP="00E97B05">
            <w:pPr>
              <w:ind w:left="284"/>
              <w:jc w:val="right"/>
              <w:rPr>
                <w:rFonts w:eastAsia="Times New Roman"/>
                <w:kern w:val="0"/>
                <w:sz w:val="22"/>
                <w:szCs w:val="22"/>
                <w:lang w:eastAsia="en-GB"/>
                <w14:ligatures w14:val="none"/>
              </w:rPr>
            </w:pPr>
            <w:r w:rsidRPr="004610ED">
              <w:rPr>
                <w:rFonts w:eastAsia="Times New Roman"/>
                <w:kern w:val="0"/>
                <w:sz w:val="22"/>
                <w:szCs w:val="20"/>
                <w:lang w:eastAsia="en-GB"/>
                <w14:ligatures w14:val="none"/>
              </w:rPr>
              <w:t>£1</w:t>
            </w:r>
            <w:r w:rsidR="004610ED" w:rsidRPr="004610ED">
              <w:rPr>
                <w:rFonts w:eastAsia="Times New Roman"/>
                <w:kern w:val="0"/>
                <w:sz w:val="22"/>
                <w:szCs w:val="20"/>
                <w:lang w:eastAsia="en-GB"/>
                <w14:ligatures w14:val="none"/>
              </w:rPr>
              <w:t>5</w:t>
            </w:r>
            <w:r w:rsidRPr="004610ED">
              <w:rPr>
                <w:rFonts w:eastAsia="Times New Roman"/>
                <w:kern w:val="0"/>
                <w:sz w:val="22"/>
                <w:szCs w:val="20"/>
                <w:lang w:eastAsia="en-GB"/>
                <w14:ligatures w14:val="none"/>
              </w:rPr>
              <w:t>,</w:t>
            </w:r>
            <w:r w:rsidR="00000CC5">
              <w:rPr>
                <w:rFonts w:eastAsia="Times New Roman"/>
                <w:kern w:val="0"/>
                <w:sz w:val="22"/>
                <w:szCs w:val="20"/>
                <w:lang w:eastAsia="en-GB"/>
                <w14:ligatures w14:val="none"/>
              </w:rPr>
              <w:t>207</w:t>
            </w:r>
          </w:p>
        </w:tc>
      </w:tr>
    </w:tbl>
    <w:p w14:paraId="198E1370" w14:textId="77777777" w:rsidR="00A72DFD" w:rsidRPr="00330B9D" w:rsidRDefault="00A72DFD" w:rsidP="00E97B05">
      <w:pPr>
        <w:ind w:left="284"/>
        <w:rPr>
          <w:spacing w:val="1"/>
        </w:rPr>
      </w:pPr>
    </w:p>
    <w:p w14:paraId="6E3AF596" w14:textId="225065A1" w:rsidR="004A2FE6" w:rsidRPr="00E97B05" w:rsidRDefault="00D45E63" w:rsidP="00E97B05">
      <w:pPr>
        <w:pStyle w:val="ListParagraph"/>
        <w:numPr>
          <w:ilvl w:val="0"/>
          <w:numId w:val="31"/>
        </w:numPr>
        <w:tabs>
          <w:tab w:val="clear" w:pos="720"/>
          <w:tab w:val="num" w:pos="284"/>
        </w:tabs>
        <w:ind w:left="284" w:hanging="284"/>
        <w:rPr>
          <w:b/>
          <w:bCs/>
        </w:rPr>
      </w:pPr>
      <w:r w:rsidRPr="00E97B05">
        <w:t xml:space="preserve">Primary </w:t>
      </w:r>
      <w:r w:rsidR="00F12BB8" w:rsidRPr="00E97B05">
        <w:t>s</w:t>
      </w:r>
      <w:r w:rsidRPr="00E97B05">
        <w:t>chools with a nursery unit</w:t>
      </w:r>
    </w:p>
    <w:p w14:paraId="19B632A7" w14:textId="382360E8" w:rsidR="00C71D8F" w:rsidRDefault="00D45E63" w:rsidP="00E97B05">
      <w:pPr>
        <w:ind w:left="284"/>
      </w:pPr>
      <w:r w:rsidRPr="00E70048">
        <w:t>Budget statements will be provided by Services for Young Children (SFYC) by 31/03/202</w:t>
      </w:r>
      <w:r w:rsidR="00784210" w:rsidRPr="00E70048">
        <w:t>6</w:t>
      </w:r>
      <w:r w:rsidRPr="00E70048">
        <w:t xml:space="preserve">. This will confirm </w:t>
      </w:r>
      <w:r w:rsidR="006A0781" w:rsidRPr="00E70048">
        <w:t>2026/27</w:t>
      </w:r>
      <w:r w:rsidRPr="00E70048">
        <w:t xml:space="preserve"> hourly rates for each provider and an estimate of funding based on claims in 202</w:t>
      </w:r>
      <w:r w:rsidR="00784210" w:rsidRPr="00E70048">
        <w:t>5</w:t>
      </w:r>
      <w:r w:rsidRPr="00E70048">
        <w:t>.</w:t>
      </w:r>
    </w:p>
    <w:p w14:paraId="5F1C158F" w14:textId="77777777" w:rsidR="0014115F" w:rsidRDefault="0014115F" w:rsidP="00C22D9C"/>
    <w:p w14:paraId="16B61222" w14:textId="460273BB" w:rsidR="00D45E63" w:rsidRPr="00FC16B8" w:rsidRDefault="00905A11" w:rsidP="00F165FF">
      <w:pPr>
        <w:ind w:left="284" w:hanging="284"/>
        <w:rPr>
          <w:b/>
          <w:bCs/>
          <w:spacing w:val="1"/>
        </w:rPr>
      </w:pPr>
      <w:bookmarkStart w:id="29" w:name="Sixthformfunding"/>
      <w:r>
        <w:rPr>
          <w:b/>
          <w:bCs/>
          <w:spacing w:val="1"/>
        </w:rPr>
        <w:t>5.</w:t>
      </w:r>
      <w:r w:rsidR="00F13BD2">
        <w:rPr>
          <w:b/>
          <w:bCs/>
          <w:spacing w:val="1"/>
        </w:rPr>
        <w:t>3</w:t>
      </w:r>
      <w:r w:rsidR="00F165FF" w:rsidRPr="00FC16B8">
        <w:rPr>
          <w:b/>
          <w:bCs/>
          <w:spacing w:val="1"/>
        </w:rPr>
        <w:t xml:space="preserve"> </w:t>
      </w:r>
      <w:r w:rsidR="00D45E63" w:rsidRPr="00FC16B8">
        <w:rPr>
          <w:b/>
          <w:bCs/>
          <w:spacing w:val="1"/>
        </w:rPr>
        <w:t xml:space="preserve">Sixth </w:t>
      </w:r>
      <w:r w:rsidR="00F165FF" w:rsidRPr="00FC16B8">
        <w:rPr>
          <w:b/>
          <w:bCs/>
          <w:spacing w:val="1"/>
        </w:rPr>
        <w:t>f</w:t>
      </w:r>
      <w:r w:rsidR="00D45E63" w:rsidRPr="00FC16B8">
        <w:rPr>
          <w:b/>
          <w:bCs/>
          <w:spacing w:val="1"/>
        </w:rPr>
        <w:t xml:space="preserve">orm </w:t>
      </w:r>
      <w:r w:rsidR="00F165FF" w:rsidRPr="00FC16B8">
        <w:rPr>
          <w:b/>
          <w:bCs/>
          <w:spacing w:val="1"/>
        </w:rPr>
        <w:t>f</w:t>
      </w:r>
      <w:r w:rsidR="00D45E63" w:rsidRPr="00FC16B8">
        <w:rPr>
          <w:b/>
          <w:bCs/>
          <w:spacing w:val="1"/>
        </w:rPr>
        <w:t>unding</w:t>
      </w:r>
    </w:p>
    <w:bookmarkEnd w:id="29"/>
    <w:p w14:paraId="61E251B4" w14:textId="77777777" w:rsidR="00D45E63" w:rsidRPr="00FC16B8" w:rsidRDefault="00D45E63" w:rsidP="00D45E63">
      <w:pPr>
        <w:rPr>
          <w:spacing w:val="1"/>
        </w:rPr>
      </w:pPr>
    </w:p>
    <w:p w14:paraId="36586174" w14:textId="4BABD2A1" w:rsidR="00D45E63" w:rsidRPr="00FC16B8" w:rsidRDefault="00D45E63" w:rsidP="00FC16B8">
      <w:pPr>
        <w:rPr>
          <w:spacing w:val="1"/>
        </w:rPr>
      </w:pPr>
      <w:r w:rsidRPr="00FC16B8">
        <w:rPr>
          <w:spacing w:val="1"/>
        </w:rPr>
        <w:t>A national funding formula is used to calculate how much money is paid for teaching 16</w:t>
      </w:r>
      <w:r w:rsidR="00902AFA" w:rsidRPr="00FC16B8">
        <w:rPr>
          <w:spacing w:val="1"/>
        </w:rPr>
        <w:t xml:space="preserve"> to</w:t>
      </w:r>
      <w:r w:rsidR="005133DC">
        <w:rPr>
          <w:spacing w:val="1"/>
        </w:rPr>
        <w:t xml:space="preserve"> </w:t>
      </w:r>
      <w:r w:rsidRPr="00FC16B8">
        <w:rPr>
          <w:spacing w:val="1"/>
        </w:rPr>
        <w:t>19</w:t>
      </w:r>
      <w:r w:rsidR="00FC16B8" w:rsidRPr="00FC16B8">
        <w:rPr>
          <w:spacing w:val="1"/>
        </w:rPr>
        <w:t xml:space="preserve"> </w:t>
      </w:r>
      <w:r w:rsidRPr="00FC16B8">
        <w:rPr>
          <w:spacing w:val="1"/>
        </w:rPr>
        <w:t>year</w:t>
      </w:r>
      <w:r w:rsidR="00FC16B8" w:rsidRPr="00FC16B8">
        <w:rPr>
          <w:spacing w:val="1"/>
        </w:rPr>
        <w:t xml:space="preserve"> </w:t>
      </w:r>
      <w:r w:rsidRPr="00FC16B8">
        <w:rPr>
          <w:spacing w:val="1"/>
        </w:rPr>
        <w:t>olds.</w:t>
      </w:r>
      <w:r w:rsidR="00EF288E" w:rsidRPr="00FC16B8">
        <w:rPr>
          <w:spacing w:val="1"/>
        </w:rPr>
        <w:t xml:space="preserve"> </w:t>
      </w:r>
      <w:r w:rsidRPr="00FC16B8">
        <w:t xml:space="preserve">Funding for maintained schools with sixth forms flows from the </w:t>
      </w:r>
      <w:r w:rsidR="00F96490" w:rsidRPr="00FC16B8">
        <w:t>D</w:t>
      </w:r>
      <w:r w:rsidR="00931FE4" w:rsidRPr="00FC16B8">
        <w:t>f</w:t>
      </w:r>
      <w:r w:rsidR="00F96490" w:rsidRPr="00FC16B8">
        <w:t>E</w:t>
      </w:r>
      <w:r w:rsidRPr="00FC16B8">
        <w:t xml:space="preserve"> through to local authorities, who pass the allocations onto the schools.</w:t>
      </w:r>
    </w:p>
    <w:p w14:paraId="779F7D06" w14:textId="77777777" w:rsidR="00D45E63" w:rsidRPr="00FC16B8" w:rsidRDefault="00D45E63" w:rsidP="00D45E63">
      <w:pPr>
        <w:rPr>
          <w:spacing w:val="1"/>
        </w:rPr>
      </w:pPr>
    </w:p>
    <w:p w14:paraId="3C8C3FDF" w14:textId="77777777" w:rsidR="00D45E63" w:rsidRPr="00FC16B8" w:rsidRDefault="00D45E63" w:rsidP="00D45E63">
      <w:pPr>
        <w:rPr>
          <w:spacing w:val="1"/>
        </w:rPr>
      </w:pPr>
      <w:r w:rsidRPr="00FC16B8">
        <w:rPr>
          <w:spacing w:val="1"/>
        </w:rPr>
        <w:t>Maintained schools will receive an allocation breakdown for the following categories:</w:t>
      </w:r>
    </w:p>
    <w:p w14:paraId="6B7B2F0B" w14:textId="416C6986" w:rsidR="00D45E63" w:rsidRPr="00FC16B8" w:rsidRDefault="00D45E63" w:rsidP="00C22D9C">
      <w:pPr>
        <w:numPr>
          <w:ilvl w:val="0"/>
          <w:numId w:val="3"/>
        </w:numPr>
        <w:ind w:left="284" w:hanging="284"/>
      </w:pPr>
      <w:r w:rsidRPr="00FC16B8">
        <w:t xml:space="preserve">Programme </w:t>
      </w:r>
      <w:r w:rsidR="008E7710" w:rsidRPr="00FC16B8">
        <w:t>f</w:t>
      </w:r>
      <w:r w:rsidRPr="00FC16B8">
        <w:t>unding</w:t>
      </w:r>
    </w:p>
    <w:p w14:paraId="6FC89B73" w14:textId="77019DF9" w:rsidR="00D45E63" w:rsidRPr="00F43BE3" w:rsidRDefault="008E7710" w:rsidP="00C22D9C">
      <w:pPr>
        <w:numPr>
          <w:ilvl w:val="0"/>
          <w:numId w:val="3"/>
        </w:numPr>
        <w:ind w:left="284" w:hanging="284"/>
      </w:pPr>
      <w:r w:rsidRPr="00F43BE3">
        <w:t>Student financial support funding</w:t>
      </w:r>
    </w:p>
    <w:p w14:paraId="7E007EB0" w14:textId="030ED40F" w:rsidR="00D45E63" w:rsidRPr="00FC16B8" w:rsidRDefault="008E7710" w:rsidP="00C22D9C">
      <w:pPr>
        <w:numPr>
          <w:ilvl w:val="0"/>
          <w:numId w:val="3"/>
        </w:numPr>
        <w:ind w:left="284" w:hanging="284"/>
      </w:pPr>
      <w:r w:rsidRPr="00FC16B8">
        <w:t>High value courses premium</w:t>
      </w:r>
    </w:p>
    <w:p w14:paraId="74092623" w14:textId="77777777" w:rsidR="00D45E63" w:rsidRPr="00FC16B8" w:rsidRDefault="00D45E63" w:rsidP="00D45E63">
      <w:pPr>
        <w:rPr>
          <w:spacing w:val="1"/>
        </w:rPr>
      </w:pPr>
    </w:p>
    <w:p w14:paraId="4FF75A88" w14:textId="4C87FEA0" w:rsidR="00E97B05" w:rsidRDefault="00D45E63" w:rsidP="00281BE2">
      <w:pPr>
        <w:rPr>
          <w:spacing w:val="1"/>
        </w:rPr>
      </w:pPr>
      <w:r w:rsidRPr="00FC16B8">
        <w:rPr>
          <w:spacing w:val="1"/>
        </w:rPr>
        <w:t xml:space="preserve">The budget share includes a full year allocation including an </w:t>
      </w:r>
      <w:r w:rsidRPr="00FC16B8">
        <w:rPr>
          <w:i/>
          <w:spacing w:val="1"/>
        </w:rPr>
        <w:t xml:space="preserve">estimation </w:t>
      </w:r>
      <w:r w:rsidRPr="00FC16B8">
        <w:rPr>
          <w:spacing w:val="1"/>
        </w:rPr>
        <w:t>of funding for August 202</w:t>
      </w:r>
      <w:r w:rsidR="00B95E0F">
        <w:rPr>
          <w:spacing w:val="1"/>
        </w:rPr>
        <w:t>6</w:t>
      </w:r>
      <w:r w:rsidRPr="00FC16B8">
        <w:rPr>
          <w:spacing w:val="1"/>
        </w:rPr>
        <w:t xml:space="preserve"> – March 202</w:t>
      </w:r>
      <w:r w:rsidR="00B95E0F">
        <w:rPr>
          <w:spacing w:val="1"/>
        </w:rPr>
        <w:t>7</w:t>
      </w:r>
      <w:r w:rsidRPr="00FC16B8">
        <w:rPr>
          <w:spacing w:val="1"/>
        </w:rPr>
        <w:t>. The budget share, and allocation, will be updated to reflect the actual allocation once confirmed.</w:t>
      </w:r>
    </w:p>
    <w:p w14:paraId="5885C69D" w14:textId="77777777" w:rsidR="00281BE2" w:rsidRDefault="00281BE2" w:rsidP="00281BE2">
      <w:pPr>
        <w:rPr>
          <w:b/>
          <w:bCs/>
          <w:spacing w:val="1"/>
        </w:rPr>
      </w:pPr>
    </w:p>
    <w:p w14:paraId="1FF32CBA" w14:textId="77777777" w:rsidR="006054DA" w:rsidRDefault="006054DA">
      <w:pPr>
        <w:spacing w:after="160" w:line="259" w:lineRule="auto"/>
        <w:rPr>
          <w:b/>
          <w:bCs/>
          <w:spacing w:val="1"/>
        </w:rPr>
      </w:pPr>
      <w:r>
        <w:rPr>
          <w:b/>
          <w:bCs/>
          <w:spacing w:val="1"/>
        </w:rPr>
        <w:br w:type="page"/>
      </w:r>
    </w:p>
    <w:p w14:paraId="2E8D370F" w14:textId="5A0F343C" w:rsidR="00D45E63" w:rsidRPr="002677D8" w:rsidRDefault="00E97B05" w:rsidP="002677D8">
      <w:pPr>
        <w:rPr>
          <w:b/>
          <w:bCs/>
          <w:spacing w:val="1"/>
        </w:rPr>
      </w:pPr>
      <w:bookmarkStart w:id="30" w:name="Moneyfollowingexcludedpupils"/>
      <w:r>
        <w:rPr>
          <w:b/>
          <w:bCs/>
          <w:spacing w:val="1"/>
        </w:rPr>
        <w:lastRenderedPageBreak/>
        <w:t xml:space="preserve">5.4 </w:t>
      </w:r>
      <w:r w:rsidR="002677D8" w:rsidRPr="002677D8">
        <w:rPr>
          <w:b/>
          <w:bCs/>
          <w:spacing w:val="1"/>
        </w:rPr>
        <w:t>M</w:t>
      </w:r>
      <w:r w:rsidR="00D45E63" w:rsidRPr="002677D8">
        <w:rPr>
          <w:b/>
          <w:bCs/>
          <w:spacing w:val="1"/>
        </w:rPr>
        <w:t xml:space="preserve">oney </w:t>
      </w:r>
      <w:r w:rsidR="002677D8" w:rsidRPr="002677D8">
        <w:rPr>
          <w:b/>
          <w:bCs/>
          <w:spacing w:val="1"/>
        </w:rPr>
        <w:t>f</w:t>
      </w:r>
      <w:r w:rsidR="00D45E63" w:rsidRPr="002677D8">
        <w:rPr>
          <w:b/>
          <w:bCs/>
          <w:spacing w:val="1"/>
        </w:rPr>
        <w:t xml:space="preserve">ollowing </w:t>
      </w:r>
      <w:r w:rsidR="002677D8" w:rsidRPr="002677D8">
        <w:rPr>
          <w:b/>
          <w:bCs/>
          <w:spacing w:val="1"/>
        </w:rPr>
        <w:t>e</w:t>
      </w:r>
      <w:r w:rsidR="00D45E63" w:rsidRPr="002677D8">
        <w:rPr>
          <w:b/>
          <w:bCs/>
          <w:spacing w:val="1"/>
        </w:rPr>
        <w:t xml:space="preserve">xcluded </w:t>
      </w:r>
      <w:r w:rsidR="002677D8" w:rsidRPr="002677D8">
        <w:rPr>
          <w:b/>
          <w:bCs/>
          <w:spacing w:val="1"/>
        </w:rPr>
        <w:t>pu</w:t>
      </w:r>
      <w:r w:rsidR="00D45E63" w:rsidRPr="002677D8">
        <w:rPr>
          <w:b/>
          <w:bCs/>
          <w:spacing w:val="1"/>
        </w:rPr>
        <w:t>pils</w:t>
      </w:r>
    </w:p>
    <w:bookmarkEnd w:id="30"/>
    <w:p w14:paraId="7A8609A5" w14:textId="77777777" w:rsidR="00D45E63" w:rsidRPr="002677D8" w:rsidRDefault="00D45E63" w:rsidP="00D45E63">
      <w:pPr>
        <w:rPr>
          <w:bCs/>
          <w:spacing w:val="1"/>
        </w:rPr>
      </w:pPr>
    </w:p>
    <w:p w14:paraId="032CFEEC" w14:textId="3711DFB7" w:rsidR="00D45E63" w:rsidRPr="002677D8" w:rsidRDefault="00D45E63" w:rsidP="00D45E63">
      <w:pPr>
        <w:rPr>
          <w:bCs/>
          <w:spacing w:val="1"/>
        </w:rPr>
      </w:pPr>
      <w:r w:rsidRPr="002677D8">
        <w:rPr>
          <w:bCs/>
          <w:spacing w:val="1"/>
        </w:rPr>
        <w:t>The “</w:t>
      </w:r>
      <w:hyperlink r:id="rId33" w:history="1">
        <w:r w:rsidRPr="00470C4A">
          <w:rPr>
            <w:rStyle w:val="Hyperlink"/>
            <w:bCs/>
            <w:spacing w:val="1"/>
          </w:rPr>
          <w:t>School and Early Years Finance Regulations</w:t>
        </w:r>
      </w:hyperlink>
      <w:r w:rsidRPr="002677D8">
        <w:rPr>
          <w:bCs/>
          <w:spacing w:val="1"/>
        </w:rPr>
        <w:t xml:space="preserve">” </w:t>
      </w:r>
      <w:r w:rsidR="00EC36FD">
        <w:rPr>
          <w:bCs/>
          <w:spacing w:val="1"/>
        </w:rPr>
        <w:t>requires</w:t>
      </w:r>
      <w:r w:rsidRPr="002677D8">
        <w:rPr>
          <w:bCs/>
          <w:spacing w:val="1"/>
        </w:rPr>
        <w:t xml:space="preserve"> the local authority </w:t>
      </w:r>
      <w:r w:rsidR="00EC36FD">
        <w:rPr>
          <w:bCs/>
          <w:spacing w:val="1"/>
        </w:rPr>
        <w:t>to</w:t>
      </w:r>
      <w:r w:rsidRPr="002677D8">
        <w:rPr>
          <w:bCs/>
          <w:spacing w:val="1"/>
        </w:rPr>
        <w:t xml:space="preserve"> adjust the budget of a mainstream school if a pupil is excluded so that the funding follows the pupil. </w:t>
      </w:r>
    </w:p>
    <w:p w14:paraId="703C6080" w14:textId="77777777" w:rsidR="00D45E63" w:rsidRPr="002677D8" w:rsidRDefault="00D45E63" w:rsidP="00D45E63">
      <w:pPr>
        <w:rPr>
          <w:bCs/>
          <w:spacing w:val="1"/>
        </w:rPr>
      </w:pPr>
    </w:p>
    <w:p w14:paraId="574EF441" w14:textId="77777777" w:rsidR="00D45E63" w:rsidRPr="002677D8" w:rsidRDefault="00D45E63" w:rsidP="00D45E63">
      <w:pPr>
        <w:rPr>
          <w:bCs/>
          <w:spacing w:val="1"/>
        </w:rPr>
      </w:pPr>
      <w:r w:rsidRPr="002677D8">
        <w:rPr>
          <w:bCs/>
          <w:spacing w:val="1"/>
        </w:rPr>
        <w:t>Therefore, the funding of the excluding school will be reduced accordingly and the funding for the admitting school will be increased accordingly. This includes funding for Pupil Premium payable in respect of the pupil.</w:t>
      </w:r>
    </w:p>
    <w:p w14:paraId="45DB0439" w14:textId="77777777" w:rsidR="00054C72" w:rsidRDefault="00054C72">
      <w:r>
        <w:br w:type="page"/>
      </w:r>
    </w:p>
    <w:tbl>
      <w:tblPr>
        <w:tblW w:w="9379" w:type="dxa"/>
        <w:tblInd w:w="-10" w:type="dxa"/>
        <w:tblCellMar>
          <w:top w:w="15" w:type="dxa"/>
        </w:tblCellMar>
        <w:tblLook w:val="04A0" w:firstRow="1" w:lastRow="0" w:firstColumn="1" w:lastColumn="0" w:noHBand="0" w:noVBand="1"/>
      </w:tblPr>
      <w:tblGrid>
        <w:gridCol w:w="1960"/>
        <w:gridCol w:w="4710"/>
        <w:gridCol w:w="1191"/>
        <w:gridCol w:w="1518"/>
      </w:tblGrid>
      <w:tr w:rsidR="001004C6" w:rsidRPr="004D0FE0" w14:paraId="20D9F48E" w14:textId="77777777" w:rsidTr="000D76F5">
        <w:trPr>
          <w:trHeight w:val="294"/>
        </w:trPr>
        <w:tc>
          <w:tcPr>
            <w:tcW w:w="1960" w:type="dxa"/>
            <w:tcBorders>
              <w:top w:val="single" w:sz="8" w:space="0" w:color="auto"/>
              <w:left w:val="single" w:sz="8" w:space="0" w:color="auto"/>
              <w:bottom w:val="single" w:sz="8" w:space="0" w:color="auto"/>
              <w:right w:val="single" w:sz="8" w:space="0" w:color="000000"/>
            </w:tcBorders>
            <w:shd w:val="clear" w:color="000000" w:fill="FFFFFF"/>
            <w:vAlign w:val="center"/>
          </w:tcPr>
          <w:p w14:paraId="0C77619D" w14:textId="65674550" w:rsidR="004B1506" w:rsidRPr="000D76F5" w:rsidRDefault="004B1506" w:rsidP="009C3A27">
            <w:pPr>
              <w:jc w:val="center"/>
              <w:rPr>
                <w:rFonts w:eastAsia="Times New Roman"/>
                <w:b/>
                <w:bCs/>
                <w:kern w:val="0"/>
                <w:sz w:val="22"/>
                <w:szCs w:val="20"/>
                <w:lang w:eastAsia="en-GB"/>
                <w14:ligatures w14:val="none"/>
              </w:rPr>
            </w:pPr>
            <w:bookmarkStart w:id="31" w:name="Appendix1"/>
            <w:r w:rsidRPr="000D76F5">
              <w:rPr>
                <w:rFonts w:eastAsia="Times New Roman"/>
                <w:b/>
                <w:bCs/>
                <w:spacing w:val="1"/>
                <w:kern w:val="0"/>
                <w:lang w:eastAsia="en-GB"/>
                <w14:ligatures w14:val="none"/>
              </w:rPr>
              <w:lastRenderedPageBreak/>
              <w:t>Appendix 1</w:t>
            </w:r>
            <w:bookmarkEnd w:id="31"/>
          </w:p>
        </w:tc>
        <w:tc>
          <w:tcPr>
            <w:tcW w:w="7419" w:type="dxa"/>
            <w:gridSpan w:val="3"/>
            <w:tcBorders>
              <w:top w:val="single" w:sz="8" w:space="0" w:color="auto"/>
              <w:left w:val="single" w:sz="8" w:space="0" w:color="000000"/>
              <w:bottom w:val="nil"/>
              <w:right w:val="single" w:sz="8" w:space="0" w:color="auto"/>
            </w:tcBorders>
            <w:shd w:val="clear" w:color="000000" w:fill="FFFFFF"/>
            <w:vAlign w:val="center"/>
          </w:tcPr>
          <w:p w14:paraId="3F2F9E55" w14:textId="6C972736" w:rsidR="004B1506" w:rsidRPr="000D76F5" w:rsidRDefault="004B1506" w:rsidP="009C3A27">
            <w:pPr>
              <w:jc w:val="center"/>
              <w:rPr>
                <w:rFonts w:eastAsia="Times New Roman"/>
                <w:b/>
                <w:bCs/>
                <w:kern w:val="0"/>
                <w:sz w:val="22"/>
                <w:szCs w:val="20"/>
                <w:lang w:eastAsia="en-GB"/>
                <w14:ligatures w14:val="none"/>
              </w:rPr>
            </w:pPr>
            <w:r w:rsidRPr="000D76F5">
              <w:rPr>
                <w:rFonts w:eastAsia="Times New Roman"/>
                <w:b/>
                <w:bCs/>
                <w:spacing w:val="1"/>
                <w:kern w:val="0"/>
                <w:lang w:eastAsia="en-GB"/>
                <w14:ligatures w14:val="none"/>
              </w:rPr>
              <w:t>2026/27 Table of values for school budget shares</w:t>
            </w:r>
          </w:p>
        </w:tc>
      </w:tr>
      <w:tr w:rsidR="00F43BE3" w:rsidRPr="004D0FE0" w14:paraId="20D814DE" w14:textId="77777777" w:rsidTr="000D76F5">
        <w:trPr>
          <w:trHeight w:val="294"/>
        </w:trPr>
        <w:tc>
          <w:tcPr>
            <w:tcW w:w="1960" w:type="dxa"/>
            <w:tcBorders>
              <w:top w:val="single" w:sz="8" w:space="0" w:color="auto"/>
              <w:left w:val="single" w:sz="8" w:space="0" w:color="auto"/>
              <w:bottom w:val="single" w:sz="8" w:space="0" w:color="000000"/>
              <w:right w:val="single" w:sz="8" w:space="0" w:color="000000"/>
            </w:tcBorders>
            <w:shd w:val="clear" w:color="000000" w:fill="FFFFFF"/>
            <w:vAlign w:val="center"/>
          </w:tcPr>
          <w:p w14:paraId="0292A3D5" w14:textId="29A0F392" w:rsidR="00C20DDF" w:rsidRPr="000D76F5" w:rsidRDefault="00C20DDF" w:rsidP="009C3A27">
            <w:pPr>
              <w:jc w:val="center"/>
              <w:rPr>
                <w:rFonts w:eastAsia="Times New Roman"/>
                <w:b/>
                <w:bCs/>
                <w:kern w:val="0"/>
                <w:sz w:val="22"/>
                <w:szCs w:val="20"/>
                <w:lang w:eastAsia="en-GB"/>
                <w14:ligatures w14:val="none"/>
              </w:rPr>
            </w:pPr>
            <w:r w:rsidRPr="000D76F5">
              <w:rPr>
                <w:rFonts w:eastAsia="Times New Roman"/>
                <w:b/>
                <w:bCs/>
                <w:kern w:val="0"/>
                <w:sz w:val="22"/>
                <w:szCs w:val="20"/>
                <w:lang w:eastAsia="en-GB"/>
                <w14:ligatures w14:val="none"/>
              </w:rPr>
              <w:t>Budget share reference</w:t>
            </w:r>
          </w:p>
        </w:tc>
        <w:tc>
          <w:tcPr>
            <w:tcW w:w="4710" w:type="dxa"/>
            <w:tcBorders>
              <w:top w:val="single" w:sz="8" w:space="0" w:color="auto"/>
              <w:left w:val="single" w:sz="8" w:space="0" w:color="000000"/>
              <w:bottom w:val="single" w:sz="8" w:space="0" w:color="000000"/>
              <w:right w:val="single" w:sz="8" w:space="0" w:color="000000"/>
            </w:tcBorders>
            <w:shd w:val="clear" w:color="000000" w:fill="FFFFFF"/>
            <w:vAlign w:val="center"/>
          </w:tcPr>
          <w:p w14:paraId="4EA3D435" w14:textId="7F1F1E10" w:rsidR="00C20DDF" w:rsidRPr="000D76F5" w:rsidRDefault="00C20DDF" w:rsidP="00C20DDF">
            <w:pPr>
              <w:rPr>
                <w:rFonts w:eastAsia="Times New Roman"/>
                <w:b/>
                <w:bCs/>
                <w:kern w:val="0"/>
                <w:sz w:val="22"/>
                <w:szCs w:val="20"/>
                <w:lang w:eastAsia="en-GB"/>
                <w14:ligatures w14:val="none"/>
              </w:rPr>
            </w:pPr>
            <w:r w:rsidRPr="000D76F5">
              <w:rPr>
                <w:rFonts w:eastAsia="Times New Roman"/>
                <w:b/>
                <w:bCs/>
                <w:kern w:val="0"/>
                <w:sz w:val="22"/>
                <w:szCs w:val="20"/>
                <w:lang w:eastAsia="en-GB"/>
                <w14:ligatures w14:val="none"/>
              </w:rPr>
              <w:t>Factor</w:t>
            </w:r>
          </w:p>
        </w:tc>
        <w:tc>
          <w:tcPr>
            <w:tcW w:w="1191" w:type="dxa"/>
            <w:tcBorders>
              <w:top w:val="single" w:sz="8" w:space="0" w:color="auto"/>
              <w:left w:val="single" w:sz="8" w:space="0" w:color="000000"/>
              <w:bottom w:val="single" w:sz="8" w:space="0" w:color="000000"/>
              <w:right w:val="single" w:sz="8" w:space="0" w:color="000000"/>
            </w:tcBorders>
            <w:shd w:val="clear" w:color="000000" w:fill="FFFFFF"/>
            <w:vAlign w:val="center"/>
          </w:tcPr>
          <w:p w14:paraId="7E10C713" w14:textId="682D0C7C" w:rsidR="00C20DDF" w:rsidRPr="000D76F5" w:rsidRDefault="00C20DDF" w:rsidP="000F15DB">
            <w:pPr>
              <w:jc w:val="right"/>
              <w:rPr>
                <w:rFonts w:eastAsia="Times New Roman"/>
                <w:b/>
                <w:bCs/>
                <w:kern w:val="0"/>
                <w:sz w:val="22"/>
                <w:szCs w:val="20"/>
                <w:lang w:eastAsia="en-GB"/>
                <w14:ligatures w14:val="none"/>
              </w:rPr>
            </w:pPr>
            <w:r w:rsidRPr="000D76F5">
              <w:rPr>
                <w:rFonts w:eastAsia="Times New Roman"/>
                <w:b/>
                <w:bCs/>
                <w:kern w:val="0"/>
                <w:sz w:val="22"/>
                <w:szCs w:val="20"/>
                <w:lang w:eastAsia="en-GB"/>
                <w14:ligatures w14:val="none"/>
              </w:rPr>
              <w:t>Primary</w:t>
            </w:r>
          </w:p>
        </w:tc>
        <w:tc>
          <w:tcPr>
            <w:tcW w:w="1518" w:type="dxa"/>
            <w:tcBorders>
              <w:top w:val="single" w:sz="8" w:space="0" w:color="auto"/>
              <w:left w:val="single" w:sz="8" w:space="0" w:color="000000"/>
              <w:bottom w:val="single" w:sz="8" w:space="0" w:color="000000"/>
              <w:right w:val="single" w:sz="8" w:space="0" w:color="auto"/>
            </w:tcBorders>
            <w:shd w:val="clear" w:color="000000" w:fill="FFFFFF"/>
            <w:vAlign w:val="center"/>
          </w:tcPr>
          <w:p w14:paraId="64B2223B" w14:textId="6F49BFE9" w:rsidR="00C20DDF" w:rsidRPr="000D76F5" w:rsidRDefault="00C20DDF" w:rsidP="000F15DB">
            <w:pPr>
              <w:jc w:val="right"/>
              <w:rPr>
                <w:rFonts w:eastAsia="Times New Roman"/>
                <w:b/>
                <w:bCs/>
                <w:kern w:val="0"/>
                <w:sz w:val="22"/>
                <w:szCs w:val="20"/>
                <w:lang w:eastAsia="en-GB"/>
                <w14:ligatures w14:val="none"/>
              </w:rPr>
            </w:pPr>
            <w:r w:rsidRPr="000D76F5">
              <w:rPr>
                <w:rFonts w:eastAsia="Times New Roman"/>
                <w:b/>
                <w:bCs/>
                <w:kern w:val="0"/>
                <w:sz w:val="22"/>
                <w:szCs w:val="20"/>
                <w:lang w:eastAsia="en-GB"/>
                <w14:ligatures w14:val="none"/>
              </w:rPr>
              <w:t>Secondary</w:t>
            </w:r>
          </w:p>
        </w:tc>
      </w:tr>
      <w:tr w:rsidR="00F43BE3" w:rsidRPr="004D0FE0" w14:paraId="10107FD9" w14:textId="77777777" w:rsidTr="000D76F5">
        <w:trPr>
          <w:trHeight w:val="294"/>
        </w:trPr>
        <w:tc>
          <w:tcPr>
            <w:tcW w:w="1960" w:type="dxa"/>
            <w:vMerge w:val="restart"/>
            <w:tcBorders>
              <w:top w:val="single" w:sz="8" w:space="0" w:color="000000"/>
              <w:left w:val="single" w:sz="8" w:space="0" w:color="auto"/>
              <w:bottom w:val="nil"/>
              <w:right w:val="single" w:sz="8" w:space="0" w:color="000000"/>
            </w:tcBorders>
            <w:vAlign w:val="center"/>
            <w:hideMark/>
          </w:tcPr>
          <w:p w14:paraId="1FEF04FF" w14:textId="1F305972" w:rsidR="00C20DDF" w:rsidRPr="000D76F5" w:rsidRDefault="00C20DDF" w:rsidP="00BF70A1">
            <w:pPr>
              <w:jc w:val="center"/>
              <w:rPr>
                <w:rFonts w:eastAsia="Times New Roman"/>
                <w:kern w:val="0"/>
                <w:sz w:val="22"/>
                <w:szCs w:val="22"/>
                <w:lang w:eastAsia="en-GB"/>
                <w14:ligatures w14:val="none"/>
              </w:rPr>
            </w:pPr>
            <w:r w:rsidRPr="000D76F5">
              <w:rPr>
                <w:rFonts w:eastAsia="Times New Roman"/>
                <w:kern w:val="0"/>
                <w:sz w:val="22"/>
                <w:szCs w:val="20"/>
                <w:lang w:eastAsia="en-GB"/>
                <w14:ligatures w14:val="none"/>
              </w:rPr>
              <w:t>1)</w:t>
            </w:r>
          </w:p>
        </w:tc>
        <w:tc>
          <w:tcPr>
            <w:tcW w:w="4710" w:type="dxa"/>
            <w:tcBorders>
              <w:top w:val="single" w:sz="8" w:space="0" w:color="000000"/>
              <w:left w:val="nil"/>
              <w:bottom w:val="nil"/>
              <w:right w:val="single" w:sz="8" w:space="0" w:color="000000"/>
            </w:tcBorders>
            <w:shd w:val="clear" w:color="000000" w:fill="FFFFFF"/>
            <w:vAlign w:val="center"/>
            <w:hideMark/>
          </w:tcPr>
          <w:p w14:paraId="2F9F6036" w14:textId="335E208B" w:rsidR="00C20DDF" w:rsidRPr="000D76F5" w:rsidRDefault="00C20DDF" w:rsidP="00C20DDF">
            <w:pPr>
              <w:rPr>
                <w:rFonts w:eastAsia="Times New Roman"/>
                <w:kern w:val="0"/>
                <w:sz w:val="22"/>
                <w:szCs w:val="22"/>
                <w:lang w:eastAsia="en-GB"/>
                <w14:ligatures w14:val="none"/>
              </w:rPr>
            </w:pPr>
            <w:r w:rsidRPr="000D76F5">
              <w:rPr>
                <w:rFonts w:eastAsia="Times New Roman"/>
                <w:kern w:val="0"/>
                <w:sz w:val="22"/>
                <w:szCs w:val="20"/>
                <w:lang w:eastAsia="en-GB"/>
                <w14:ligatures w14:val="none"/>
              </w:rPr>
              <w:t>Basic per pupil rate</w:t>
            </w:r>
          </w:p>
        </w:tc>
        <w:tc>
          <w:tcPr>
            <w:tcW w:w="1191" w:type="dxa"/>
            <w:tcBorders>
              <w:top w:val="single" w:sz="8" w:space="0" w:color="000000"/>
              <w:left w:val="nil"/>
              <w:bottom w:val="nil"/>
              <w:right w:val="nil"/>
            </w:tcBorders>
            <w:shd w:val="clear" w:color="000000" w:fill="FFFFFF"/>
            <w:vAlign w:val="center"/>
            <w:hideMark/>
          </w:tcPr>
          <w:p w14:paraId="103ACC97" w14:textId="77777777" w:rsidR="00C20DDF" w:rsidRPr="003D59F4" w:rsidRDefault="00C20DDF" w:rsidP="000F15DB">
            <w:pPr>
              <w:jc w:val="right"/>
              <w:rPr>
                <w:rFonts w:ascii="Calibri" w:eastAsia="Times New Roman" w:hAnsi="Calibri" w:cs="Calibri"/>
                <w:color w:val="7030A0"/>
                <w:kern w:val="0"/>
                <w:sz w:val="22"/>
                <w:szCs w:val="22"/>
                <w:lang w:eastAsia="en-GB"/>
                <w14:ligatures w14:val="none"/>
              </w:rPr>
            </w:pPr>
            <w:r w:rsidRPr="003D59F4">
              <w:rPr>
                <w:rFonts w:ascii="Calibri" w:eastAsia="Times New Roman" w:hAnsi="Calibri" w:cs="Calibri"/>
                <w:color w:val="7030A0"/>
                <w:kern w:val="0"/>
                <w:sz w:val="22"/>
                <w:szCs w:val="22"/>
                <w:lang w:eastAsia="en-GB"/>
                <w14:ligatures w14:val="none"/>
              </w:rPr>
              <w:t> </w:t>
            </w:r>
          </w:p>
        </w:tc>
        <w:tc>
          <w:tcPr>
            <w:tcW w:w="1518" w:type="dxa"/>
            <w:tcBorders>
              <w:top w:val="single" w:sz="8" w:space="0" w:color="000000"/>
              <w:left w:val="single" w:sz="8" w:space="0" w:color="auto"/>
              <w:bottom w:val="nil"/>
              <w:right w:val="single" w:sz="8" w:space="0" w:color="auto"/>
            </w:tcBorders>
            <w:shd w:val="clear" w:color="000000" w:fill="FFFFFF"/>
            <w:vAlign w:val="center"/>
            <w:hideMark/>
          </w:tcPr>
          <w:p w14:paraId="3AC76F95" w14:textId="77777777" w:rsidR="00C20DDF" w:rsidRPr="003D59F4" w:rsidRDefault="00C20DDF" w:rsidP="000F15DB">
            <w:pPr>
              <w:jc w:val="right"/>
              <w:rPr>
                <w:rFonts w:eastAsia="Times New Roman"/>
                <w:color w:val="7030A0"/>
                <w:kern w:val="0"/>
                <w:sz w:val="22"/>
                <w:szCs w:val="22"/>
                <w:lang w:eastAsia="en-GB"/>
                <w14:ligatures w14:val="none"/>
              </w:rPr>
            </w:pPr>
            <w:r w:rsidRPr="003D59F4">
              <w:rPr>
                <w:rFonts w:eastAsia="Times New Roman"/>
                <w:color w:val="7030A0"/>
                <w:kern w:val="0"/>
                <w:sz w:val="22"/>
                <w:szCs w:val="20"/>
                <w:lang w:eastAsia="en-GB"/>
                <w14:ligatures w14:val="none"/>
              </w:rPr>
              <w:t> </w:t>
            </w:r>
          </w:p>
        </w:tc>
      </w:tr>
      <w:tr w:rsidR="00F43BE3" w:rsidRPr="004D0FE0" w14:paraId="3DEB8F01" w14:textId="77777777" w:rsidTr="000D76F5">
        <w:trPr>
          <w:trHeight w:hRule="exact" w:val="294"/>
        </w:trPr>
        <w:tc>
          <w:tcPr>
            <w:tcW w:w="1960" w:type="dxa"/>
            <w:vMerge/>
            <w:tcBorders>
              <w:top w:val="nil"/>
              <w:left w:val="single" w:sz="8" w:space="0" w:color="auto"/>
              <w:bottom w:val="nil"/>
              <w:right w:val="single" w:sz="8" w:space="0" w:color="000000"/>
            </w:tcBorders>
            <w:vAlign w:val="center"/>
            <w:hideMark/>
          </w:tcPr>
          <w:p w14:paraId="64055DB4" w14:textId="77777777" w:rsidR="00C20DDF" w:rsidRPr="000D76F5" w:rsidRDefault="00C20DDF" w:rsidP="009C3A27">
            <w:pPr>
              <w:rPr>
                <w:rFonts w:eastAsia="Times New Roman"/>
                <w:kern w:val="0"/>
                <w:sz w:val="22"/>
                <w:szCs w:val="22"/>
                <w:lang w:eastAsia="en-GB"/>
                <w14:ligatures w14:val="none"/>
              </w:rPr>
            </w:pPr>
          </w:p>
        </w:tc>
        <w:tc>
          <w:tcPr>
            <w:tcW w:w="4710" w:type="dxa"/>
            <w:tcBorders>
              <w:top w:val="nil"/>
              <w:left w:val="nil"/>
              <w:bottom w:val="nil"/>
              <w:right w:val="single" w:sz="8" w:space="0" w:color="000000"/>
            </w:tcBorders>
            <w:shd w:val="clear" w:color="000000" w:fill="FFFFFF"/>
            <w:vAlign w:val="center"/>
            <w:hideMark/>
          </w:tcPr>
          <w:p w14:paraId="3CE8B33C" w14:textId="77777777" w:rsidR="00C20DDF" w:rsidRPr="000D76F5" w:rsidRDefault="00C20DDF" w:rsidP="00C20DDF">
            <w:pPr>
              <w:rPr>
                <w:rFonts w:eastAsia="Times New Roman"/>
                <w:kern w:val="0"/>
                <w:sz w:val="22"/>
                <w:szCs w:val="22"/>
                <w:lang w:eastAsia="en-GB"/>
                <w14:ligatures w14:val="none"/>
              </w:rPr>
            </w:pPr>
            <w:r w:rsidRPr="000D76F5">
              <w:rPr>
                <w:rFonts w:eastAsia="Times New Roman"/>
                <w:kern w:val="0"/>
                <w:sz w:val="22"/>
                <w:szCs w:val="20"/>
                <w:lang w:eastAsia="en-GB"/>
                <w14:ligatures w14:val="none"/>
              </w:rPr>
              <w:t>Primary</w:t>
            </w:r>
          </w:p>
        </w:tc>
        <w:tc>
          <w:tcPr>
            <w:tcW w:w="1191" w:type="dxa"/>
            <w:tcBorders>
              <w:top w:val="nil"/>
              <w:left w:val="nil"/>
              <w:bottom w:val="nil"/>
              <w:right w:val="nil"/>
            </w:tcBorders>
            <w:shd w:val="clear" w:color="000000" w:fill="FFFFFF"/>
            <w:vAlign w:val="center"/>
            <w:hideMark/>
          </w:tcPr>
          <w:p w14:paraId="4630CD67" w14:textId="2A800476"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w:t>
            </w:r>
            <w:r w:rsidR="00B03691" w:rsidRPr="005B7A2C">
              <w:rPr>
                <w:rFonts w:eastAsia="Times New Roman"/>
                <w:kern w:val="0"/>
                <w:sz w:val="22"/>
                <w:szCs w:val="20"/>
                <w:lang w:eastAsia="en-GB"/>
                <w14:ligatures w14:val="none"/>
              </w:rPr>
              <w:t>4,</w:t>
            </w:r>
            <w:r w:rsidR="003D59F4" w:rsidRPr="005B7A2C">
              <w:rPr>
                <w:rFonts w:eastAsia="Times New Roman"/>
                <w:kern w:val="0"/>
                <w:sz w:val="22"/>
                <w:szCs w:val="20"/>
                <w:lang w:eastAsia="en-GB"/>
                <w14:ligatures w14:val="none"/>
              </w:rPr>
              <w:t>101</w:t>
            </w:r>
          </w:p>
        </w:tc>
        <w:tc>
          <w:tcPr>
            <w:tcW w:w="1518" w:type="dxa"/>
            <w:tcBorders>
              <w:top w:val="nil"/>
              <w:left w:val="single" w:sz="8" w:space="0" w:color="auto"/>
              <w:bottom w:val="nil"/>
              <w:right w:val="single" w:sz="8" w:space="0" w:color="auto"/>
            </w:tcBorders>
            <w:shd w:val="clear" w:color="000000" w:fill="FFFFFF"/>
            <w:vAlign w:val="center"/>
            <w:hideMark/>
          </w:tcPr>
          <w:p w14:paraId="5944C2A1" w14:textId="77777777"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 </w:t>
            </w:r>
          </w:p>
        </w:tc>
      </w:tr>
      <w:tr w:rsidR="00F43BE3" w:rsidRPr="004D0FE0" w14:paraId="2D116177" w14:textId="77777777" w:rsidTr="000D76F5">
        <w:trPr>
          <w:trHeight w:hRule="exact" w:val="294"/>
        </w:trPr>
        <w:tc>
          <w:tcPr>
            <w:tcW w:w="1960" w:type="dxa"/>
            <w:vMerge/>
            <w:tcBorders>
              <w:top w:val="nil"/>
              <w:left w:val="single" w:sz="8" w:space="0" w:color="auto"/>
              <w:bottom w:val="nil"/>
              <w:right w:val="single" w:sz="8" w:space="0" w:color="000000"/>
            </w:tcBorders>
            <w:vAlign w:val="center"/>
            <w:hideMark/>
          </w:tcPr>
          <w:p w14:paraId="10D9DE27" w14:textId="77777777" w:rsidR="00C20DDF" w:rsidRPr="000D76F5" w:rsidRDefault="00C20DDF" w:rsidP="009C3A27">
            <w:pPr>
              <w:rPr>
                <w:rFonts w:eastAsia="Times New Roman"/>
                <w:kern w:val="0"/>
                <w:sz w:val="22"/>
                <w:szCs w:val="22"/>
                <w:lang w:eastAsia="en-GB"/>
                <w14:ligatures w14:val="none"/>
              </w:rPr>
            </w:pPr>
          </w:p>
        </w:tc>
        <w:tc>
          <w:tcPr>
            <w:tcW w:w="4710" w:type="dxa"/>
            <w:tcBorders>
              <w:top w:val="nil"/>
              <w:left w:val="nil"/>
              <w:right w:val="single" w:sz="8" w:space="0" w:color="000000"/>
            </w:tcBorders>
            <w:shd w:val="clear" w:color="000000" w:fill="FFFFFF"/>
            <w:vAlign w:val="center"/>
            <w:hideMark/>
          </w:tcPr>
          <w:p w14:paraId="112C27E8" w14:textId="77777777" w:rsidR="00C20DDF" w:rsidRPr="000D76F5" w:rsidRDefault="00C20DDF" w:rsidP="00C20DDF">
            <w:pPr>
              <w:rPr>
                <w:rFonts w:eastAsia="Times New Roman"/>
                <w:kern w:val="0"/>
                <w:sz w:val="22"/>
                <w:szCs w:val="22"/>
                <w:lang w:eastAsia="en-GB"/>
                <w14:ligatures w14:val="none"/>
              </w:rPr>
            </w:pPr>
            <w:r w:rsidRPr="000D76F5">
              <w:rPr>
                <w:rFonts w:eastAsia="Times New Roman"/>
                <w:kern w:val="0"/>
                <w:sz w:val="22"/>
                <w:szCs w:val="20"/>
                <w:lang w:eastAsia="en-GB"/>
                <w14:ligatures w14:val="none"/>
              </w:rPr>
              <w:t>KS3</w:t>
            </w:r>
          </w:p>
        </w:tc>
        <w:tc>
          <w:tcPr>
            <w:tcW w:w="1191" w:type="dxa"/>
            <w:tcBorders>
              <w:top w:val="nil"/>
              <w:left w:val="nil"/>
              <w:right w:val="nil"/>
            </w:tcBorders>
            <w:shd w:val="clear" w:color="000000" w:fill="FFFFFF"/>
            <w:vAlign w:val="center"/>
            <w:hideMark/>
          </w:tcPr>
          <w:p w14:paraId="6603A96C" w14:textId="77777777" w:rsidR="00C20DDF" w:rsidRPr="005B7A2C" w:rsidRDefault="00C20DDF" w:rsidP="000F15DB">
            <w:pPr>
              <w:jc w:val="right"/>
              <w:rPr>
                <w:rFonts w:ascii="Calibri" w:eastAsia="Times New Roman" w:hAnsi="Calibri" w:cs="Calibri"/>
                <w:kern w:val="0"/>
                <w:sz w:val="22"/>
                <w:szCs w:val="22"/>
                <w:lang w:eastAsia="en-GB"/>
                <w14:ligatures w14:val="none"/>
              </w:rPr>
            </w:pPr>
            <w:r w:rsidRPr="005B7A2C">
              <w:rPr>
                <w:rFonts w:ascii="Calibri" w:eastAsia="Times New Roman" w:hAnsi="Calibri" w:cs="Calibri"/>
                <w:kern w:val="0"/>
                <w:sz w:val="22"/>
                <w:szCs w:val="22"/>
                <w:lang w:eastAsia="en-GB"/>
                <w14:ligatures w14:val="none"/>
              </w:rPr>
              <w:t> </w:t>
            </w:r>
          </w:p>
        </w:tc>
        <w:tc>
          <w:tcPr>
            <w:tcW w:w="1518" w:type="dxa"/>
            <w:tcBorders>
              <w:top w:val="nil"/>
              <w:left w:val="single" w:sz="8" w:space="0" w:color="auto"/>
              <w:right w:val="single" w:sz="8" w:space="0" w:color="auto"/>
            </w:tcBorders>
            <w:shd w:val="clear" w:color="000000" w:fill="FFFFFF"/>
            <w:vAlign w:val="center"/>
            <w:hideMark/>
          </w:tcPr>
          <w:p w14:paraId="358792A4" w14:textId="56998EF5"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£5,</w:t>
            </w:r>
            <w:r w:rsidR="00A443EA" w:rsidRPr="005B7A2C">
              <w:rPr>
                <w:rFonts w:eastAsia="Times New Roman"/>
                <w:kern w:val="0"/>
                <w:sz w:val="22"/>
                <w:szCs w:val="20"/>
                <w:lang w:eastAsia="en-GB"/>
                <w14:ligatures w14:val="none"/>
              </w:rPr>
              <w:t>73</w:t>
            </w:r>
            <w:r w:rsidR="003D59F4" w:rsidRPr="005B7A2C">
              <w:rPr>
                <w:rFonts w:eastAsia="Times New Roman"/>
                <w:kern w:val="0"/>
                <w:sz w:val="22"/>
                <w:szCs w:val="20"/>
                <w:lang w:eastAsia="en-GB"/>
                <w14:ligatures w14:val="none"/>
              </w:rPr>
              <w:t>8</w:t>
            </w:r>
          </w:p>
        </w:tc>
      </w:tr>
      <w:tr w:rsidR="00F43BE3" w:rsidRPr="004D0FE0" w14:paraId="62E98379" w14:textId="77777777" w:rsidTr="000D76F5">
        <w:trPr>
          <w:trHeight w:val="294"/>
        </w:trPr>
        <w:tc>
          <w:tcPr>
            <w:tcW w:w="1960" w:type="dxa"/>
            <w:vMerge/>
            <w:tcBorders>
              <w:top w:val="nil"/>
              <w:left w:val="single" w:sz="8" w:space="0" w:color="auto"/>
              <w:bottom w:val="single" w:sz="8" w:space="0" w:color="000000"/>
              <w:right w:val="single" w:sz="8" w:space="0" w:color="000000"/>
            </w:tcBorders>
            <w:vAlign w:val="center"/>
            <w:hideMark/>
          </w:tcPr>
          <w:p w14:paraId="0ED4DB70" w14:textId="77777777" w:rsidR="00C20DDF" w:rsidRPr="000D76F5" w:rsidRDefault="00C20DDF" w:rsidP="009C3A27">
            <w:pPr>
              <w:rPr>
                <w:rFonts w:eastAsia="Times New Roman"/>
                <w:kern w:val="0"/>
                <w:sz w:val="22"/>
                <w:szCs w:val="22"/>
                <w:lang w:eastAsia="en-GB"/>
                <w14:ligatures w14:val="none"/>
              </w:rPr>
            </w:pPr>
          </w:p>
        </w:tc>
        <w:tc>
          <w:tcPr>
            <w:tcW w:w="4710" w:type="dxa"/>
            <w:tcBorders>
              <w:top w:val="nil"/>
              <w:left w:val="nil"/>
              <w:bottom w:val="single" w:sz="8" w:space="0" w:color="000000"/>
              <w:right w:val="single" w:sz="8" w:space="0" w:color="000000"/>
            </w:tcBorders>
            <w:shd w:val="clear" w:color="000000" w:fill="FFFFFF"/>
            <w:vAlign w:val="center"/>
            <w:hideMark/>
          </w:tcPr>
          <w:p w14:paraId="16F31CED" w14:textId="77777777" w:rsidR="00C20DDF" w:rsidRPr="000D76F5" w:rsidRDefault="00C20DDF" w:rsidP="00C20DDF">
            <w:pPr>
              <w:rPr>
                <w:rFonts w:eastAsia="Times New Roman"/>
                <w:kern w:val="0"/>
                <w:sz w:val="22"/>
                <w:szCs w:val="22"/>
                <w:lang w:eastAsia="en-GB"/>
                <w14:ligatures w14:val="none"/>
              </w:rPr>
            </w:pPr>
            <w:r w:rsidRPr="000D76F5">
              <w:rPr>
                <w:rFonts w:eastAsia="Times New Roman"/>
                <w:kern w:val="0"/>
                <w:sz w:val="22"/>
                <w:szCs w:val="20"/>
                <w:lang w:eastAsia="en-GB"/>
                <w14:ligatures w14:val="none"/>
              </w:rPr>
              <w:t>KS4</w:t>
            </w:r>
          </w:p>
        </w:tc>
        <w:tc>
          <w:tcPr>
            <w:tcW w:w="1191" w:type="dxa"/>
            <w:tcBorders>
              <w:top w:val="nil"/>
              <w:left w:val="nil"/>
              <w:bottom w:val="single" w:sz="8" w:space="0" w:color="000000"/>
              <w:right w:val="nil"/>
            </w:tcBorders>
            <w:shd w:val="clear" w:color="000000" w:fill="FFFFFF"/>
            <w:vAlign w:val="center"/>
            <w:hideMark/>
          </w:tcPr>
          <w:p w14:paraId="07A95D48" w14:textId="77777777" w:rsidR="00C20DDF" w:rsidRPr="005B7A2C" w:rsidRDefault="00C20DDF" w:rsidP="000F15DB">
            <w:pPr>
              <w:jc w:val="right"/>
              <w:rPr>
                <w:rFonts w:ascii="Calibri" w:eastAsia="Times New Roman" w:hAnsi="Calibri" w:cs="Calibri"/>
                <w:kern w:val="0"/>
                <w:sz w:val="22"/>
                <w:szCs w:val="22"/>
                <w:lang w:eastAsia="en-GB"/>
                <w14:ligatures w14:val="none"/>
              </w:rPr>
            </w:pPr>
            <w:r w:rsidRPr="005B7A2C">
              <w:rPr>
                <w:rFonts w:ascii="Calibri" w:eastAsia="Times New Roman" w:hAnsi="Calibri" w:cs="Calibri"/>
                <w:kern w:val="0"/>
                <w:sz w:val="22"/>
                <w:szCs w:val="22"/>
                <w:lang w:eastAsia="en-GB"/>
                <w14:ligatures w14:val="none"/>
              </w:rPr>
              <w:t> </w:t>
            </w:r>
          </w:p>
        </w:tc>
        <w:tc>
          <w:tcPr>
            <w:tcW w:w="1518" w:type="dxa"/>
            <w:tcBorders>
              <w:top w:val="nil"/>
              <w:left w:val="single" w:sz="8" w:space="0" w:color="auto"/>
              <w:bottom w:val="single" w:sz="8" w:space="0" w:color="000000"/>
              <w:right w:val="single" w:sz="8" w:space="0" w:color="auto"/>
            </w:tcBorders>
            <w:shd w:val="clear" w:color="000000" w:fill="FFFFFF"/>
            <w:vAlign w:val="center"/>
            <w:hideMark/>
          </w:tcPr>
          <w:p w14:paraId="076C5AF1" w14:textId="26B5957A"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£6,</w:t>
            </w:r>
            <w:r w:rsidR="00A443EA" w:rsidRPr="005B7A2C">
              <w:rPr>
                <w:rFonts w:eastAsia="Times New Roman"/>
                <w:kern w:val="0"/>
                <w:sz w:val="22"/>
                <w:szCs w:val="22"/>
                <w:lang w:eastAsia="en-GB"/>
                <w14:ligatures w14:val="none"/>
              </w:rPr>
              <w:t>46</w:t>
            </w:r>
            <w:r w:rsidR="003D59F4" w:rsidRPr="005B7A2C">
              <w:rPr>
                <w:rFonts w:eastAsia="Times New Roman"/>
                <w:kern w:val="0"/>
                <w:sz w:val="22"/>
                <w:szCs w:val="22"/>
                <w:lang w:eastAsia="en-GB"/>
                <w14:ligatures w14:val="none"/>
              </w:rPr>
              <w:t>9</w:t>
            </w:r>
          </w:p>
        </w:tc>
      </w:tr>
      <w:tr w:rsidR="00F43BE3" w:rsidRPr="004D0FE0" w14:paraId="5177D3B0" w14:textId="77777777" w:rsidTr="000D76F5">
        <w:trPr>
          <w:trHeight w:val="294"/>
        </w:trPr>
        <w:tc>
          <w:tcPr>
            <w:tcW w:w="1960" w:type="dxa"/>
            <w:vMerge w:val="restart"/>
            <w:tcBorders>
              <w:top w:val="single" w:sz="8" w:space="0" w:color="000000"/>
              <w:left w:val="single" w:sz="8" w:space="0" w:color="000000"/>
              <w:bottom w:val="single" w:sz="4" w:space="0" w:color="auto"/>
              <w:right w:val="single" w:sz="8" w:space="0" w:color="000000"/>
            </w:tcBorders>
            <w:shd w:val="clear" w:color="000000" w:fill="FFFFFF"/>
            <w:vAlign w:val="center"/>
            <w:hideMark/>
          </w:tcPr>
          <w:p w14:paraId="183604DC" w14:textId="10DB66D9" w:rsidR="00C20DDF" w:rsidRPr="000D76F5" w:rsidRDefault="00C20DDF" w:rsidP="00BF70A1">
            <w:pPr>
              <w:jc w:val="center"/>
              <w:rPr>
                <w:rFonts w:eastAsia="Times New Roman"/>
                <w:kern w:val="0"/>
                <w:sz w:val="22"/>
                <w:szCs w:val="22"/>
                <w:lang w:eastAsia="en-GB"/>
                <w14:ligatures w14:val="none"/>
              </w:rPr>
            </w:pPr>
            <w:bookmarkStart w:id="32" w:name="_Hlk349047974" w:colFirst="3" w:colLast="3"/>
            <w:r w:rsidRPr="000D76F5">
              <w:rPr>
                <w:rFonts w:eastAsia="Times New Roman"/>
                <w:kern w:val="0"/>
                <w:sz w:val="22"/>
                <w:szCs w:val="20"/>
                <w:lang w:eastAsia="en-GB"/>
                <w14:ligatures w14:val="none"/>
              </w:rPr>
              <w:t>2)</w:t>
            </w:r>
          </w:p>
        </w:tc>
        <w:tc>
          <w:tcPr>
            <w:tcW w:w="4710" w:type="dxa"/>
            <w:tcBorders>
              <w:top w:val="single" w:sz="8" w:space="0" w:color="000000"/>
              <w:left w:val="single" w:sz="8" w:space="0" w:color="000000"/>
              <w:bottom w:val="nil"/>
              <w:right w:val="single" w:sz="8" w:space="0" w:color="000000"/>
            </w:tcBorders>
            <w:shd w:val="clear" w:color="000000" w:fill="FFFFFF"/>
            <w:vAlign w:val="center"/>
            <w:hideMark/>
          </w:tcPr>
          <w:p w14:paraId="6B652397" w14:textId="6D788C66" w:rsidR="00C20DDF" w:rsidRPr="000D76F5" w:rsidRDefault="00C20DDF" w:rsidP="00824131">
            <w:pPr>
              <w:rPr>
                <w:rFonts w:eastAsia="Times New Roman"/>
                <w:kern w:val="0"/>
                <w:sz w:val="22"/>
                <w:szCs w:val="22"/>
                <w:lang w:eastAsia="en-GB"/>
                <w14:ligatures w14:val="none"/>
              </w:rPr>
            </w:pPr>
          </w:p>
        </w:tc>
        <w:tc>
          <w:tcPr>
            <w:tcW w:w="1191" w:type="dxa"/>
            <w:tcBorders>
              <w:top w:val="single" w:sz="8" w:space="0" w:color="000000"/>
              <w:left w:val="nil"/>
              <w:bottom w:val="nil"/>
              <w:right w:val="single" w:sz="8" w:space="0" w:color="000000"/>
            </w:tcBorders>
            <w:shd w:val="clear" w:color="000000" w:fill="FFFFFF"/>
            <w:vAlign w:val="center"/>
            <w:hideMark/>
          </w:tcPr>
          <w:p w14:paraId="2213567D" w14:textId="77777777"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 </w:t>
            </w:r>
          </w:p>
        </w:tc>
        <w:tc>
          <w:tcPr>
            <w:tcW w:w="1518" w:type="dxa"/>
            <w:tcBorders>
              <w:top w:val="single" w:sz="8" w:space="0" w:color="000000"/>
              <w:left w:val="nil"/>
              <w:bottom w:val="nil"/>
              <w:right w:val="single" w:sz="8" w:space="0" w:color="auto"/>
            </w:tcBorders>
            <w:shd w:val="clear" w:color="000000" w:fill="FFFFFF"/>
            <w:vAlign w:val="center"/>
            <w:hideMark/>
          </w:tcPr>
          <w:p w14:paraId="5AE9ABFC" w14:textId="77777777"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 </w:t>
            </w:r>
          </w:p>
        </w:tc>
      </w:tr>
      <w:tr w:rsidR="00F43BE3" w:rsidRPr="004D0FE0" w14:paraId="5A13588F"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7D00EB6A" w14:textId="18D62853" w:rsidR="00C20DDF" w:rsidRPr="000D76F5" w:rsidRDefault="00C20DDF" w:rsidP="009C3A27">
            <w:pPr>
              <w:jc w:val="center"/>
              <w:rPr>
                <w:rFonts w:eastAsia="Times New Roman"/>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2754319A" w14:textId="77777777"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FSM</w:t>
            </w:r>
          </w:p>
        </w:tc>
        <w:tc>
          <w:tcPr>
            <w:tcW w:w="1191" w:type="dxa"/>
            <w:tcBorders>
              <w:top w:val="nil"/>
              <w:left w:val="nil"/>
              <w:bottom w:val="nil"/>
              <w:right w:val="single" w:sz="8" w:space="0" w:color="000000"/>
            </w:tcBorders>
            <w:shd w:val="clear" w:color="000000" w:fill="FFFFFF"/>
            <w:vAlign w:val="center"/>
            <w:hideMark/>
          </w:tcPr>
          <w:p w14:paraId="63FFB098" w14:textId="46082B99"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w:t>
            </w:r>
            <w:r w:rsidR="000442E6" w:rsidRPr="005B7A2C">
              <w:rPr>
                <w:rFonts w:eastAsia="Times New Roman"/>
                <w:kern w:val="0"/>
                <w:sz w:val="22"/>
                <w:szCs w:val="22"/>
                <w:lang w:eastAsia="en-GB"/>
                <w14:ligatures w14:val="none"/>
              </w:rPr>
              <w:t>50</w:t>
            </w:r>
            <w:r w:rsidRPr="005B7A2C">
              <w:rPr>
                <w:rFonts w:eastAsia="Times New Roman"/>
                <w:kern w:val="0"/>
                <w:sz w:val="22"/>
                <w:szCs w:val="22"/>
                <w:lang w:eastAsia="en-GB"/>
                <w14:ligatures w14:val="none"/>
              </w:rPr>
              <w:t>9</w:t>
            </w:r>
          </w:p>
        </w:tc>
        <w:tc>
          <w:tcPr>
            <w:tcW w:w="1518" w:type="dxa"/>
            <w:tcBorders>
              <w:top w:val="nil"/>
              <w:left w:val="nil"/>
              <w:bottom w:val="nil"/>
              <w:right w:val="single" w:sz="8" w:space="0" w:color="auto"/>
            </w:tcBorders>
            <w:shd w:val="clear" w:color="000000" w:fill="FFFFFF"/>
            <w:vAlign w:val="center"/>
            <w:hideMark/>
          </w:tcPr>
          <w:p w14:paraId="63269447" w14:textId="06752828"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w:t>
            </w:r>
            <w:r w:rsidR="00A443EA" w:rsidRPr="005B7A2C">
              <w:rPr>
                <w:rFonts w:eastAsia="Times New Roman"/>
                <w:kern w:val="0"/>
                <w:sz w:val="22"/>
                <w:szCs w:val="22"/>
                <w:lang w:eastAsia="en-GB"/>
                <w14:ligatures w14:val="none"/>
              </w:rPr>
              <w:t>50</w:t>
            </w:r>
            <w:r w:rsidRPr="005B7A2C">
              <w:rPr>
                <w:rFonts w:eastAsia="Times New Roman"/>
                <w:kern w:val="0"/>
                <w:sz w:val="22"/>
                <w:szCs w:val="22"/>
                <w:lang w:eastAsia="en-GB"/>
                <w14:ligatures w14:val="none"/>
              </w:rPr>
              <w:t>9</w:t>
            </w:r>
          </w:p>
        </w:tc>
      </w:tr>
      <w:tr w:rsidR="00F43BE3" w:rsidRPr="004D0FE0" w14:paraId="2DBAA95A"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33394DF3" w14:textId="0AF0535F" w:rsidR="00C20DDF" w:rsidRPr="000D76F5" w:rsidRDefault="00C20DDF" w:rsidP="009C3A27">
            <w:pPr>
              <w:jc w:val="center"/>
              <w:rPr>
                <w:rFonts w:eastAsia="Times New Roman"/>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3870419D" w14:textId="77777777"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FSM (Ever 6)</w:t>
            </w:r>
          </w:p>
        </w:tc>
        <w:tc>
          <w:tcPr>
            <w:tcW w:w="1191" w:type="dxa"/>
            <w:tcBorders>
              <w:top w:val="nil"/>
              <w:left w:val="nil"/>
              <w:bottom w:val="nil"/>
              <w:right w:val="single" w:sz="8" w:space="0" w:color="000000"/>
            </w:tcBorders>
            <w:shd w:val="clear" w:color="000000" w:fill="FFFFFF"/>
            <w:vAlign w:val="center"/>
            <w:hideMark/>
          </w:tcPr>
          <w:p w14:paraId="4591F1D0" w14:textId="601773CB"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£1,</w:t>
            </w:r>
            <w:r w:rsidR="000442E6" w:rsidRPr="005B7A2C">
              <w:rPr>
                <w:rFonts w:eastAsia="Times New Roman"/>
                <w:kern w:val="0"/>
                <w:sz w:val="22"/>
                <w:szCs w:val="22"/>
                <w:lang w:eastAsia="en-GB"/>
                <w14:ligatures w14:val="none"/>
              </w:rPr>
              <w:t>221</w:t>
            </w:r>
          </w:p>
        </w:tc>
        <w:tc>
          <w:tcPr>
            <w:tcW w:w="1518" w:type="dxa"/>
            <w:tcBorders>
              <w:top w:val="nil"/>
              <w:left w:val="nil"/>
              <w:bottom w:val="nil"/>
              <w:right w:val="single" w:sz="8" w:space="0" w:color="auto"/>
            </w:tcBorders>
            <w:shd w:val="clear" w:color="000000" w:fill="FFFFFF"/>
            <w:vAlign w:val="center"/>
            <w:hideMark/>
          </w:tcPr>
          <w:p w14:paraId="0AF680DF" w14:textId="3417A72C"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£1,</w:t>
            </w:r>
            <w:r w:rsidR="00A443EA" w:rsidRPr="005B7A2C">
              <w:rPr>
                <w:rFonts w:eastAsia="Times New Roman"/>
                <w:kern w:val="0"/>
                <w:sz w:val="22"/>
                <w:szCs w:val="22"/>
                <w:lang w:eastAsia="en-GB"/>
                <w14:ligatures w14:val="none"/>
              </w:rPr>
              <w:t>7</w:t>
            </w:r>
            <w:r w:rsidR="005B7A2C" w:rsidRPr="005B7A2C">
              <w:rPr>
                <w:rFonts w:eastAsia="Times New Roman"/>
                <w:kern w:val="0"/>
                <w:sz w:val="22"/>
                <w:szCs w:val="22"/>
                <w:lang w:eastAsia="en-GB"/>
                <w14:ligatures w14:val="none"/>
              </w:rPr>
              <w:t>40</w:t>
            </w:r>
          </w:p>
        </w:tc>
      </w:tr>
      <w:tr w:rsidR="00F43BE3" w:rsidRPr="004D0FE0" w14:paraId="13F333F2" w14:textId="77777777" w:rsidTr="000D76F5">
        <w:trPr>
          <w:trHeight w:val="123"/>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6CFFC054" w14:textId="22EA5F17" w:rsidR="00C20DDF" w:rsidRPr="000D76F5" w:rsidRDefault="00C20DDF" w:rsidP="009C3A27">
            <w:pPr>
              <w:jc w:val="center"/>
              <w:rPr>
                <w:rFonts w:eastAsia="Times New Roman"/>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2A82402B" w14:textId="77777777"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 </w:t>
            </w:r>
          </w:p>
        </w:tc>
        <w:tc>
          <w:tcPr>
            <w:tcW w:w="1191" w:type="dxa"/>
            <w:tcBorders>
              <w:top w:val="nil"/>
              <w:left w:val="nil"/>
              <w:bottom w:val="nil"/>
              <w:right w:val="single" w:sz="8" w:space="0" w:color="000000"/>
            </w:tcBorders>
            <w:shd w:val="clear" w:color="000000" w:fill="FFFFFF"/>
            <w:vAlign w:val="center"/>
            <w:hideMark/>
          </w:tcPr>
          <w:p w14:paraId="61E46997" w14:textId="77777777"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 </w:t>
            </w:r>
          </w:p>
        </w:tc>
        <w:tc>
          <w:tcPr>
            <w:tcW w:w="1518" w:type="dxa"/>
            <w:tcBorders>
              <w:top w:val="nil"/>
              <w:left w:val="nil"/>
              <w:bottom w:val="nil"/>
              <w:right w:val="single" w:sz="8" w:space="0" w:color="auto"/>
            </w:tcBorders>
            <w:shd w:val="clear" w:color="000000" w:fill="FFFFFF"/>
            <w:vAlign w:val="center"/>
            <w:hideMark/>
          </w:tcPr>
          <w:p w14:paraId="12B3B9FF" w14:textId="77777777"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 </w:t>
            </w:r>
          </w:p>
        </w:tc>
      </w:tr>
      <w:tr w:rsidR="00F43BE3" w:rsidRPr="004D0FE0" w14:paraId="62EDE95C"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19BE9D39" w14:textId="4F29ED9E" w:rsidR="00C20DDF" w:rsidRPr="000D76F5" w:rsidRDefault="00C20DDF" w:rsidP="009C3A27">
            <w:pPr>
              <w:jc w:val="center"/>
              <w:rPr>
                <w:rFonts w:eastAsia="Times New Roman"/>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40A24DC7" w14:textId="3E019FA6"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IDACI BAND F</w:t>
            </w:r>
          </w:p>
        </w:tc>
        <w:tc>
          <w:tcPr>
            <w:tcW w:w="1191" w:type="dxa"/>
            <w:tcBorders>
              <w:top w:val="nil"/>
              <w:left w:val="nil"/>
              <w:bottom w:val="nil"/>
              <w:right w:val="single" w:sz="8" w:space="0" w:color="000000"/>
            </w:tcBorders>
            <w:shd w:val="clear" w:color="000000" w:fill="FFFFFF"/>
            <w:vAlign w:val="center"/>
            <w:hideMark/>
          </w:tcPr>
          <w:p w14:paraId="2D8E9C5E" w14:textId="7CF489F0"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£2</w:t>
            </w:r>
            <w:r w:rsidR="001226C9" w:rsidRPr="005B7A2C">
              <w:rPr>
                <w:rFonts w:eastAsia="Times New Roman"/>
                <w:kern w:val="0"/>
                <w:sz w:val="22"/>
                <w:szCs w:val="22"/>
                <w:lang w:eastAsia="en-GB"/>
                <w14:ligatures w14:val="none"/>
              </w:rPr>
              <w:t>43</w:t>
            </w:r>
          </w:p>
        </w:tc>
        <w:tc>
          <w:tcPr>
            <w:tcW w:w="1518" w:type="dxa"/>
            <w:tcBorders>
              <w:top w:val="nil"/>
              <w:left w:val="nil"/>
              <w:bottom w:val="nil"/>
              <w:right w:val="single" w:sz="8" w:space="0" w:color="auto"/>
            </w:tcBorders>
            <w:shd w:val="clear" w:color="000000" w:fill="FFFFFF"/>
            <w:vAlign w:val="center"/>
            <w:hideMark/>
          </w:tcPr>
          <w:p w14:paraId="53118A27" w14:textId="6E67D31B"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£34</w:t>
            </w:r>
            <w:r w:rsidR="00A443EA" w:rsidRPr="005B7A2C">
              <w:rPr>
                <w:rFonts w:eastAsia="Times New Roman"/>
                <w:kern w:val="0"/>
                <w:sz w:val="22"/>
                <w:szCs w:val="20"/>
                <w:lang w:eastAsia="en-GB"/>
                <w14:ligatures w14:val="none"/>
              </w:rPr>
              <w:t>8</w:t>
            </w:r>
          </w:p>
        </w:tc>
      </w:tr>
      <w:tr w:rsidR="00F43BE3" w:rsidRPr="004D0FE0" w14:paraId="506F2F31"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5C1E5D8A" w14:textId="1A28F755" w:rsidR="00C20DDF" w:rsidRPr="000D76F5" w:rsidRDefault="00C20DDF" w:rsidP="009C3A27">
            <w:pPr>
              <w:jc w:val="center"/>
              <w:rPr>
                <w:rFonts w:ascii="Calibri" w:eastAsia="Times New Roman" w:hAnsi="Calibri" w:cs="Calibri"/>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13F75F49" w14:textId="7FDA994E"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IDACI BAND E</w:t>
            </w:r>
          </w:p>
        </w:tc>
        <w:tc>
          <w:tcPr>
            <w:tcW w:w="1191" w:type="dxa"/>
            <w:tcBorders>
              <w:top w:val="nil"/>
              <w:left w:val="nil"/>
              <w:bottom w:val="nil"/>
              <w:right w:val="single" w:sz="8" w:space="0" w:color="000000"/>
            </w:tcBorders>
            <w:shd w:val="clear" w:color="000000" w:fill="FFFFFF"/>
            <w:vAlign w:val="center"/>
            <w:hideMark/>
          </w:tcPr>
          <w:p w14:paraId="140F396E" w14:textId="4112FD24"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£2</w:t>
            </w:r>
            <w:r w:rsidR="001226C9" w:rsidRPr="005B7A2C">
              <w:rPr>
                <w:rFonts w:eastAsia="Times New Roman"/>
                <w:kern w:val="0"/>
                <w:sz w:val="22"/>
                <w:szCs w:val="20"/>
                <w:lang w:eastAsia="en-GB"/>
                <w14:ligatures w14:val="none"/>
              </w:rPr>
              <w:t>92</w:t>
            </w:r>
          </w:p>
        </w:tc>
        <w:tc>
          <w:tcPr>
            <w:tcW w:w="1518" w:type="dxa"/>
            <w:tcBorders>
              <w:top w:val="nil"/>
              <w:left w:val="nil"/>
              <w:bottom w:val="nil"/>
              <w:right w:val="single" w:sz="8" w:space="0" w:color="auto"/>
            </w:tcBorders>
            <w:shd w:val="clear" w:color="000000" w:fill="FFFFFF"/>
            <w:vAlign w:val="center"/>
            <w:hideMark/>
          </w:tcPr>
          <w:p w14:paraId="271AF67F" w14:textId="39894053"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£4</w:t>
            </w:r>
            <w:r w:rsidR="00A443EA" w:rsidRPr="005B7A2C">
              <w:rPr>
                <w:rFonts w:eastAsia="Times New Roman"/>
                <w:kern w:val="0"/>
                <w:sz w:val="22"/>
                <w:szCs w:val="22"/>
                <w:lang w:eastAsia="en-GB"/>
                <w14:ligatures w14:val="none"/>
              </w:rPr>
              <w:t>6</w:t>
            </w:r>
            <w:r w:rsidRPr="005B7A2C">
              <w:rPr>
                <w:rFonts w:eastAsia="Times New Roman"/>
                <w:kern w:val="0"/>
                <w:sz w:val="22"/>
                <w:szCs w:val="22"/>
                <w:lang w:eastAsia="en-GB"/>
                <w14:ligatures w14:val="none"/>
              </w:rPr>
              <w:t>4</w:t>
            </w:r>
          </w:p>
        </w:tc>
      </w:tr>
      <w:tr w:rsidR="00F43BE3" w:rsidRPr="004D0FE0" w14:paraId="23C73C69"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54724876" w14:textId="007A3360" w:rsidR="00C20DDF" w:rsidRPr="000D76F5" w:rsidRDefault="00C20DDF" w:rsidP="009C3A27">
            <w:pPr>
              <w:jc w:val="center"/>
              <w:rPr>
                <w:rFonts w:ascii="Calibri" w:eastAsia="Times New Roman" w:hAnsi="Calibri" w:cs="Calibri"/>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3F52B2A8" w14:textId="07C885F3"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IDACI BAND D</w:t>
            </w:r>
          </w:p>
        </w:tc>
        <w:tc>
          <w:tcPr>
            <w:tcW w:w="1191" w:type="dxa"/>
            <w:tcBorders>
              <w:top w:val="nil"/>
              <w:left w:val="nil"/>
              <w:bottom w:val="nil"/>
              <w:right w:val="single" w:sz="8" w:space="0" w:color="000000"/>
            </w:tcBorders>
            <w:shd w:val="clear" w:color="000000" w:fill="FFFFFF"/>
            <w:vAlign w:val="center"/>
            <w:hideMark/>
          </w:tcPr>
          <w:p w14:paraId="629C9E10" w14:textId="0437E53F"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£4</w:t>
            </w:r>
            <w:r w:rsidR="001226C9" w:rsidRPr="005B7A2C">
              <w:rPr>
                <w:rFonts w:eastAsia="Times New Roman"/>
                <w:kern w:val="0"/>
                <w:sz w:val="22"/>
                <w:szCs w:val="20"/>
                <w:lang w:eastAsia="en-GB"/>
                <w14:ligatures w14:val="none"/>
              </w:rPr>
              <w:t>5</w:t>
            </w:r>
            <w:r w:rsidRPr="005B7A2C">
              <w:rPr>
                <w:rFonts w:eastAsia="Times New Roman"/>
                <w:kern w:val="0"/>
                <w:sz w:val="22"/>
                <w:szCs w:val="20"/>
                <w:lang w:eastAsia="en-GB"/>
                <w14:ligatures w14:val="none"/>
              </w:rPr>
              <w:t>9</w:t>
            </w:r>
          </w:p>
        </w:tc>
        <w:tc>
          <w:tcPr>
            <w:tcW w:w="1518" w:type="dxa"/>
            <w:tcBorders>
              <w:top w:val="nil"/>
              <w:left w:val="nil"/>
              <w:bottom w:val="nil"/>
              <w:right w:val="single" w:sz="8" w:space="0" w:color="auto"/>
            </w:tcBorders>
            <w:shd w:val="clear" w:color="000000" w:fill="FFFFFF"/>
            <w:vAlign w:val="center"/>
            <w:hideMark/>
          </w:tcPr>
          <w:p w14:paraId="2D68AD25" w14:textId="291054A9"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£6</w:t>
            </w:r>
            <w:r w:rsidR="00A443EA" w:rsidRPr="005B7A2C">
              <w:rPr>
                <w:rFonts w:eastAsia="Times New Roman"/>
                <w:kern w:val="0"/>
                <w:sz w:val="22"/>
                <w:szCs w:val="20"/>
                <w:lang w:eastAsia="en-GB"/>
                <w14:ligatures w14:val="none"/>
              </w:rPr>
              <w:t>56</w:t>
            </w:r>
          </w:p>
        </w:tc>
      </w:tr>
      <w:tr w:rsidR="00F43BE3" w:rsidRPr="004D0FE0" w14:paraId="5980F500"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2D654510" w14:textId="3738A9BB" w:rsidR="00C20DDF" w:rsidRPr="000D76F5" w:rsidRDefault="00C20DDF" w:rsidP="009C3A27">
            <w:pPr>
              <w:jc w:val="center"/>
              <w:rPr>
                <w:rFonts w:ascii="Calibri" w:eastAsia="Times New Roman" w:hAnsi="Calibri" w:cs="Calibri"/>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21174424" w14:textId="75B80EB6" w:rsidR="00C20DDF" w:rsidRPr="000D76F5" w:rsidRDefault="00707471"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w:t>
            </w:r>
            <w:r w:rsidR="00C20DDF" w:rsidRPr="000D76F5">
              <w:rPr>
                <w:rFonts w:eastAsia="Times New Roman"/>
                <w:kern w:val="0"/>
                <w:sz w:val="22"/>
                <w:szCs w:val="22"/>
                <w:lang w:eastAsia="en-GB"/>
                <w14:ligatures w14:val="none"/>
              </w:rPr>
              <w:t>DACI BAND C</w:t>
            </w:r>
          </w:p>
        </w:tc>
        <w:tc>
          <w:tcPr>
            <w:tcW w:w="1191" w:type="dxa"/>
            <w:tcBorders>
              <w:top w:val="nil"/>
              <w:left w:val="nil"/>
              <w:bottom w:val="nil"/>
              <w:right w:val="single" w:sz="8" w:space="0" w:color="000000"/>
            </w:tcBorders>
            <w:shd w:val="clear" w:color="000000" w:fill="FFFFFF"/>
            <w:vAlign w:val="center"/>
            <w:hideMark/>
          </w:tcPr>
          <w:p w14:paraId="149DDDF1" w14:textId="5E7B9AE0"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w:t>
            </w:r>
            <w:r w:rsidR="001226C9" w:rsidRPr="005B7A2C">
              <w:rPr>
                <w:rFonts w:eastAsia="Times New Roman"/>
                <w:kern w:val="0"/>
                <w:sz w:val="22"/>
                <w:szCs w:val="22"/>
                <w:lang w:eastAsia="en-GB"/>
                <w14:ligatures w14:val="none"/>
              </w:rPr>
              <w:t>50</w:t>
            </w:r>
            <w:r w:rsidRPr="005B7A2C">
              <w:rPr>
                <w:rFonts w:eastAsia="Times New Roman"/>
                <w:kern w:val="0"/>
                <w:sz w:val="22"/>
                <w:szCs w:val="22"/>
                <w:lang w:eastAsia="en-GB"/>
                <w14:ligatures w14:val="none"/>
              </w:rPr>
              <w:t>4</w:t>
            </w:r>
          </w:p>
        </w:tc>
        <w:tc>
          <w:tcPr>
            <w:tcW w:w="1518" w:type="dxa"/>
            <w:tcBorders>
              <w:top w:val="nil"/>
              <w:left w:val="nil"/>
              <w:bottom w:val="nil"/>
              <w:right w:val="single" w:sz="8" w:space="0" w:color="auto"/>
            </w:tcBorders>
            <w:shd w:val="clear" w:color="000000" w:fill="FFFFFF"/>
            <w:vAlign w:val="center"/>
            <w:hideMark/>
          </w:tcPr>
          <w:p w14:paraId="07581742" w14:textId="5CB44658"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£7</w:t>
            </w:r>
            <w:r w:rsidR="00744203" w:rsidRPr="005B7A2C">
              <w:rPr>
                <w:rFonts w:eastAsia="Times New Roman"/>
                <w:kern w:val="0"/>
                <w:sz w:val="22"/>
                <w:szCs w:val="22"/>
                <w:lang w:eastAsia="en-GB"/>
                <w14:ligatures w14:val="none"/>
              </w:rPr>
              <w:t>16</w:t>
            </w:r>
          </w:p>
        </w:tc>
      </w:tr>
      <w:tr w:rsidR="00F43BE3" w:rsidRPr="004D0FE0" w14:paraId="48367D37" w14:textId="77777777" w:rsidTr="000D76F5">
        <w:trPr>
          <w:trHeight w:val="294"/>
        </w:trPr>
        <w:tc>
          <w:tcPr>
            <w:tcW w:w="1960" w:type="dxa"/>
            <w:vMerge/>
            <w:tcBorders>
              <w:top w:val="single" w:sz="4" w:space="0" w:color="auto"/>
              <w:left w:val="single" w:sz="8" w:space="0" w:color="000000"/>
              <w:bottom w:val="single" w:sz="4" w:space="0" w:color="auto"/>
              <w:right w:val="single" w:sz="8" w:space="0" w:color="000000"/>
            </w:tcBorders>
            <w:shd w:val="clear" w:color="000000" w:fill="FFFFFF"/>
            <w:vAlign w:val="center"/>
            <w:hideMark/>
          </w:tcPr>
          <w:p w14:paraId="4343D96A" w14:textId="41C9CACD" w:rsidR="00C20DDF" w:rsidRPr="000D76F5" w:rsidRDefault="00C20DDF" w:rsidP="009C3A27">
            <w:pPr>
              <w:jc w:val="center"/>
              <w:rPr>
                <w:rFonts w:ascii="Calibri" w:eastAsia="Times New Roman" w:hAnsi="Calibri" w:cs="Calibri"/>
                <w:kern w:val="0"/>
                <w:sz w:val="22"/>
                <w:szCs w:val="22"/>
                <w:lang w:eastAsia="en-GB"/>
                <w14:ligatures w14:val="none"/>
              </w:rPr>
            </w:pPr>
          </w:p>
        </w:tc>
        <w:tc>
          <w:tcPr>
            <w:tcW w:w="4710" w:type="dxa"/>
            <w:tcBorders>
              <w:top w:val="nil"/>
              <w:left w:val="single" w:sz="8" w:space="0" w:color="000000"/>
              <w:bottom w:val="nil"/>
              <w:right w:val="single" w:sz="8" w:space="0" w:color="000000"/>
            </w:tcBorders>
            <w:shd w:val="clear" w:color="000000" w:fill="FFFFFF"/>
            <w:vAlign w:val="center"/>
            <w:hideMark/>
          </w:tcPr>
          <w:p w14:paraId="1CF89E3D" w14:textId="35760B01"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IDACI BAND B</w:t>
            </w:r>
          </w:p>
        </w:tc>
        <w:tc>
          <w:tcPr>
            <w:tcW w:w="1191" w:type="dxa"/>
            <w:tcBorders>
              <w:top w:val="nil"/>
              <w:left w:val="nil"/>
              <w:bottom w:val="nil"/>
              <w:right w:val="single" w:sz="8" w:space="0" w:color="000000"/>
            </w:tcBorders>
            <w:shd w:val="clear" w:color="000000" w:fill="FFFFFF"/>
            <w:vAlign w:val="center"/>
            <w:hideMark/>
          </w:tcPr>
          <w:p w14:paraId="08DB3EC3" w14:textId="08E1621A"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£5</w:t>
            </w:r>
            <w:r w:rsidR="001226C9" w:rsidRPr="005B7A2C">
              <w:rPr>
                <w:rFonts w:eastAsia="Times New Roman"/>
                <w:kern w:val="0"/>
                <w:sz w:val="22"/>
                <w:szCs w:val="20"/>
                <w:lang w:eastAsia="en-GB"/>
                <w14:ligatures w14:val="none"/>
              </w:rPr>
              <w:t>35</w:t>
            </w:r>
          </w:p>
        </w:tc>
        <w:tc>
          <w:tcPr>
            <w:tcW w:w="1518" w:type="dxa"/>
            <w:tcBorders>
              <w:top w:val="nil"/>
              <w:left w:val="nil"/>
              <w:bottom w:val="nil"/>
              <w:right w:val="single" w:sz="8" w:space="0" w:color="auto"/>
            </w:tcBorders>
            <w:shd w:val="clear" w:color="000000" w:fill="FFFFFF"/>
            <w:vAlign w:val="center"/>
            <w:hideMark/>
          </w:tcPr>
          <w:p w14:paraId="5E0385F2" w14:textId="4924C4BB"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£7</w:t>
            </w:r>
            <w:r w:rsidR="00744203" w:rsidRPr="005B7A2C">
              <w:rPr>
                <w:rFonts w:eastAsia="Times New Roman"/>
                <w:kern w:val="0"/>
                <w:sz w:val="22"/>
                <w:szCs w:val="22"/>
                <w:lang w:eastAsia="en-GB"/>
                <w14:ligatures w14:val="none"/>
              </w:rPr>
              <w:t>6</w:t>
            </w:r>
            <w:r w:rsidR="005B7A2C" w:rsidRPr="005B7A2C">
              <w:rPr>
                <w:rFonts w:eastAsia="Times New Roman"/>
                <w:kern w:val="0"/>
                <w:sz w:val="22"/>
                <w:szCs w:val="22"/>
                <w:lang w:eastAsia="en-GB"/>
                <w14:ligatures w14:val="none"/>
              </w:rPr>
              <w:t>7</w:t>
            </w:r>
          </w:p>
        </w:tc>
      </w:tr>
      <w:tr w:rsidR="00F43BE3" w:rsidRPr="004D0FE0" w14:paraId="6AE97E67" w14:textId="77777777" w:rsidTr="000D76F5">
        <w:trPr>
          <w:trHeight w:val="389"/>
        </w:trPr>
        <w:tc>
          <w:tcPr>
            <w:tcW w:w="1960" w:type="dxa"/>
            <w:vMerge/>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6D6E7AD3" w14:textId="04AA8294" w:rsidR="00C20DDF" w:rsidRPr="000D76F5" w:rsidRDefault="00C20DDF" w:rsidP="009C3A27">
            <w:pPr>
              <w:jc w:val="center"/>
              <w:rPr>
                <w:rFonts w:ascii="Calibri" w:eastAsia="Times New Roman" w:hAnsi="Calibri" w:cs="Calibri"/>
                <w:kern w:val="0"/>
                <w:sz w:val="22"/>
                <w:szCs w:val="22"/>
                <w:lang w:eastAsia="en-GB"/>
                <w14:ligatures w14:val="none"/>
              </w:rPr>
            </w:pPr>
          </w:p>
        </w:tc>
        <w:tc>
          <w:tcPr>
            <w:tcW w:w="4710" w:type="dxa"/>
            <w:tcBorders>
              <w:top w:val="nil"/>
              <w:left w:val="single" w:sz="4" w:space="0" w:color="auto"/>
              <w:bottom w:val="single" w:sz="8" w:space="0" w:color="000000"/>
              <w:right w:val="single" w:sz="8" w:space="0" w:color="000000"/>
            </w:tcBorders>
            <w:shd w:val="clear" w:color="000000" w:fill="FFFFFF"/>
            <w:vAlign w:val="center"/>
            <w:hideMark/>
          </w:tcPr>
          <w:p w14:paraId="426AD44F" w14:textId="12DE9125" w:rsidR="00C20DDF" w:rsidRPr="000D76F5" w:rsidRDefault="00C20DDF" w:rsidP="00824131">
            <w:pPr>
              <w:rPr>
                <w:rFonts w:eastAsia="Times New Roman"/>
                <w:kern w:val="0"/>
                <w:sz w:val="22"/>
                <w:szCs w:val="22"/>
                <w:lang w:eastAsia="en-GB"/>
                <w14:ligatures w14:val="none"/>
              </w:rPr>
            </w:pPr>
            <w:r w:rsidRPr="000D76F5">
              <w:rPr>
                <w:rFonts w:eastAsia="Times New Roman"/>
                <w:kern w:val="0"/>
                <w:sz w:val="22"/>
                <w:szCs w:val="22"/>
                <w:lang w:eastAsia="en-GB"/>
                <w14:ligatures w14:val="none"/>
              </w:rPr>
              <w:t>IDACI BAND A</w:t>
            </w:r>
            <w:r w:rsidRPr="000D76F5">
              <w:rPr>
                <w:rFonts w:eastAsia="Times New Roman"/>
                <w:kern w:val="0"/>
                <w:lang w:eastAsia="en-GB"/>
                <w14:ligatures w14:val="none"/>
              </w:rPr>
              <w:t xml:space="preserve">  </w:t>
            </w:r>
          </w:p>
        </w:tc>
        <w:tc>
          <w:tcPr>
            <w:tcW w:w="1191" w:type="dxa"/>
            <w:tcBorders>
              <w:top w:val="nil"/>
              <w:left w:val="nil"/>
              <w:bottom w:val="nil"/>
              <w:right w:val="single" w:sz="8" w:space="0" w:color="000000"/>
            </w:tcBorders>
            <w:shd w:val="clear" w:color="000000" w:fill="FFFFFF"/>
            <w:vAlign w:val="center"/>
            <w:hideMark/>
          </w:tcPr>
          <w:p w14:paraId="175FA4A8" w14:textId="08CA8648"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2"/>
                <w:lang w:eastAsia="en-GB"/>
                <w14:ligatures w14:val="none"/>
              </w:rPr>
              <w:t>£</w:t>
            </w:r>
            <w:r w:rsidR="001226C9" w:rsidRPr="005B7A2C">
              <w:rPr>
                <w:rFonts w:eastAsia="Times New Roman"/>
                <w:kern w:val="0"/>
                <w:sz w:val="22"/>
                <w:szCs w:val="22"/>
                <w:lang w:eastAsia="en-GB"/>
                <w14:ligatures w14:val="none"/>
              </w:rPr>
              <w:t>706</w:t>
            </w:r>
          </w:p>
        </w:tc>
        <w:tc>
          <w:tcPr>
            <w:tcW w:w="1518" w:type="dxa"/>
            <w:tcBorders>
              <w:top w:val="nil"/>
              <w:left w:val="nil"/>
              <w:bottom w:val="nil"/>
              <w:right w:val="single" w:sz="8" w:space="0" w:color="auto"/>
            </w:tcBorders>
            <w:shd w:val="clear" w:color="000000" w:fill="FFFFFF"/>
            <w:vAlign w:val="center"/>
            <w:hideMark/>
          </w:tcPr>
          <w:p w14:paraId="4B3C7F39" w14:textId="5884468A" w:rsidR="00C20DDF" w:rsidRPr="005B7A2C" w:rsidRDefault="00C20DDF" w:rsidP="000F15DB">
            <w:pPr>
              <w:jc w:val="right"/>
              <w:rPr>
                <w:rFonts w:eastAsia="Times New Roman"/>
                <w:kern w:val="0"/>
                <w:sz w:val="22"/>
                <w:szCs w:val="22"/>
                <w:lang w:eastAsia="en-GB"/>
                <w14:ligatures w14:val="none"/>
              </w:rPr>
            </w:pPr>
            <w:r w:rsidRPr="005B7A2C">
              <w:rPr>
                <w:rFonts w:eastAsia="Times New Roman"/>
                <w:kern w:val="0"/>
                <w:sz w:val="22"/>
                <w:szCs w:val="20"/>
                <w:lang w:eastAsia="en-GB"/>
                <w14:ligatures w14:val="none"/>
              </w:rPr>
              <w:t>£9</w:t>
            </w:r>
            <w:r w:rsidR="00747452" w:rsidRPr="005B7A2C">
              <w:rPr>
                <w:rFonts w:eastAsia="Times New Roman"/>
                <w:kern w:val="0"/>
                <w:sz w:val="22"/>
                <w:szCs w:val="20"/>
                <w:lang w:eastAsia="en-GB"/>
                <w14:ligatures w14:val="none"/>
              </w:rPr>
              <w:t>7</w:t>
            </w:r>
            <w:r w:rsidR="005B7A2C" w:rsidRPr="005B7A2C">
              <w:rPr>
                <w:rFonts w:eastAsia="Times New Roman"/>
                <w:kern w:val="0"/>
                <w:sz w:val="22"/>
                <w:szCs w:val="20"/>
                <w:lang w:eastAsia="en-GB"/>
                <w14:ligatures w14:val="none"/>
              </w:rPr>
              <w:t>9</w:t>
            </w:r>
          </w:p>
        </w:tc>
      </w:tr>
      <w:tr w:rsidR="00F43BE3" w:rsidRPr="004D0FE0" w14:paraId="03856D66" w14:textId="77777777" w:rsidTr="000D76F5">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1AA32750" w14:textId="24A62AC2" w:rsidR="00B76484" w:rsidRPr="000D76F5" w:rsidRDefault="00C24E04" w:rsidP="00BF70A1">
            <w:pPr>
              <w:jc w:val="center"/>
              <w:rPr>
                <w:rFonts w:eastAsia="Times New Roman"/>
                <w:kern w:val="0"/>
                <w:sz w:val="22"/>
                <w:szCs w:val="22"/>
                <w:lang w:eastAsia="en-GB"/>
                <w14:ligatures w14:val="none"/>
              </w:rPr>
            </w:pPr>
            <w:bookmarkStart w:id="33" w:name="_Hlk211434105"/>
            <w:bookmarkEnd w:id="32"/>
            <w:r>
              <w:rPr>
                <w:rFonts w:eastAsia="Times New Roman"/>
                <w:kern w:val="0"/>
                <w:sz w:val="22"/>
                <w:szCs w:val="20"/>
                <w:lang w:eastAsia="en-GB"/>
                <w14:ligatures w14:val="none"/>
              </w:rPr>
              <w:t>3</w:t>
            </w:r>
            <w:r w:rsidR="00B76484"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nil"/>
            </w:tcBorders>
            <w:shd w:val="clear" w:color="000000" w:fill="FFFFFF"/>
            <w:vAlign w:val="center"/>
            <w:hideMark/>
          </w:tcPr>
          <w:p w14:paraId="0027DF24" w14:textId="6CE3C190" w:rsidR="00B76484" w:rsidRPr="000D76F5" w:rsidRDefault="00B76484" w:rsidP="00B76484">
            <w:pPr>
              <w:rPr>
                <w:rFonts w:eastAsia="Times New Roman"/>
                <w:kern w:val="0"/>
                <w:sz w:val="22"/>
                <w:szCs w:val="22"/>
                <w:lang w:eastAsia="en-GB"/>
                <w14:ligatures w14:val="none"/>
              </w:rPr>
            </w:pPr>
            <w:r w:rsidRPr="000D76F5">
              <w:rPr>
                <w:rFonts w:eastAsia="Times New Roman"/>
                <w:kern w:val="0"/>
                <w:sz w:val="22"/>
                <w:szCs w:val="20"/>
                <w:lang w:eastAsia="en-GB"/>
                <w14:ligatures w14:val="none"/>
              </w:rPr>
              <w:t>Low prior attainment</w:t>
            </w:r>
          </w:p>
        </w:tc>
        <w:tc>
          <w:tcPr>
            <w:tcW w:w="1191"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A8089A" w14:textId="043F4EAC" w:rsidR="00B76484" w:rsidRPr="00267A8B" w:rsidRDefault="00B76484" w:rsidP="00B76484">
            <w:pPr>
              <w:jc w:val="right"/>
              <w:rPr>
                <w:rFonts w:eastAsia="Times New Roman"/>
                <w:kern w:val="0"/>
                <w:sz w:val="22"/>
                <w:szCs w:val="22"/>
                <w:lang w:eastAsia="en-GB"/>
                <w14:ligatures w14:val="none"/>
              </w:rPr>
            </w:pPr>
            <w:r w:rsidRPr="00267A8B">
              <w:rPr>
                <w:rFonts w:eastAsia="Times New Roman"/>
                <w:kern w:val="0"/>
                <w:sz w:val="22"/>
                <w:szCs w:val="20"/>
                <w:lang w:eastAsia="en-GB"/>
                <w14:ligatures w14:val="none"/>
              </w:rPr>
              <w:t>£1,</w:t>
            </w:r>
            <w:r w:rsidR="001226C9" w:rsidRPr="00267A8B">
              <w:rPr>
                <w:rFonts w:eastAsia="Times New Roman"/>
                <w:kern w:val="0"/>
                <w:sz w:val="22"/>
                <w:szCs w:val="20"/>
                <w:lang w:eastAsia="en-GB"/>
                <w14:ligatures w14:val="none"/>
              </w:rPr>
              <w:t>211</w:t>
            </w:r>
          </w:p>
        </w:tc>
        <w:tc>
          <w:tcPr>
            <w:tcW w:w="1518" w:type="dxa"/>
            <w:tcBorders>
              <w:top w:val="single" w:sz="8" w:space="0" w:color="auto"/>
              <w:left w:val="nil"/>
              <w:bottom w:val="single" w:sz="8" w:space="0" w:color="auto"/>
              <w:right w:val="single" w:sz="8" w:space="0" w:color="auto"/>
            </w:tcBorders>
            <w:shd w:val="clear" w:color="000000" w:fill="FFFFFF"/>
            <w:vAlign w:val="center"/>
            <w:hideMark/>
          </w:tcPr>
          <w:p w14:paraId="0D5EA8FB" w14:textId="7D527E02" w:rsidR="00B76484" w:rsidRPr="00267A8B" w:rsidRDefault="00B76484" w:rsidP="00B76484">
            <w:pPr>
              <w:jc w:val="right"/>
              <w:rPr>
                <w:rFonts w:eastAsia="Times New Roman"/>
                <w:kern w:val="0"/>
                <w:sz w:val="22"/>
                <w:szCs w:val="22"/>
                <w:lang w:eastAsia="en-GB"/>
                <w14:ligatures w14:val="none"/>
              </w:rPr>
            </w:pPr>
            <w:r w:rsidRPr="00267A8B">
              <w:rPr>
                <w:rFonts w:eastAsia="Times New Roman"/>
                <w:kern w:val="0"/>
                <w:sz w:val="22"/>
                <w:szCs w:val="20"/>
                <w:lang w:eastAsia="en-GB"/>
                <w14:ligatures w14:val="none"/>
              </w:rPr>
              <w:t>£1,</w:t>
            </w:r>
            <w:r w:rsidR="00747452" w:rsidRPr="00267A8B">
              <w:rPr>
                <w:rFonts w:eastAsia="Times New Roman"/>
                <w:kern w:val="0"/>
                <w:sz w:val="22"/>
                <w:szCs w:val="20"/>
                <w:lang w:eastAsia="en-GB"/>
                <w14:ligatures w14:val="none"/>
              </w:rPr>
              <w:t>84</w:t>
            </w:r>
            <w:r w:rsidR="00267A8B" w:rsidRPr="00267A8B">
              <w:rPr>
                <w:rFonts w:eastAsia="Times New Roman"/>
                <w:kern w:val="0"/>
                <w:sz w:val="22"/>
                <w:szCs w:val="20"/>
                <w:lang w:eastAsia="en-GB"/>
                <w14:ligatures w14:val="none"/>
              </w:rPr>
              <w:t>2</w:t>
            </w:r>
          </w:p>
        </w:tc>
      </w:tr>
      <w:bookmarkEnd w:id="33"/>
      <w:tr w:rsidR="00F43BE3" w:rsidRPr="004D0FE0" w14:paraId="58E7944A" w14:textId="77777777" w:rsidTr="000D76F5">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30C2A147" w14:textId="783FCB5A" w:rsidR="00B76484" w:rsidRPr="000D76F5" w:rsidRDefault="00C24E04" w:rsidP="00BF70A1">
            <w:pPr>
              <w:jc w:val="center"/>
              <w:rPr>
                <w:rFonts w:eastAsia="Times New Roman"/>
                <w:kern w:val="0"/>
                <w:sz w:val="22"/>
                <w:szCs w:val="22"/>
                <w:lang w:eastAsia="en-GB"/>
                <w14:ligatures w14:val="none"/>
              </w:rPr>
            </w:pPr>
            <w:r>
              <w:rPr>
                <w:rFonts w:eastAsia="Times New Roman"/>
                <w:kern w:val="0"/>
                <w:sz w:val="22"/>
                <w:szCs w:val="20"/>
                <w:lang w:eastAsia="en-GB"/>
                <w14:ligatures w14:val="none"/>
              </w:rPr>
              <w:t>4</w:t>
            </w:r>
            <w:r w:rsidR="00B76484"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nil"/>
            </w:tcBorders>
            <w:shd w:val="clear" w:color="000000" w:fill="FFFFFF"/>
            <w:vAlign w:val="center"/>
            <w:hideMark/>
          </w:tcPr>
          <w:p w14:paraId="35B1E7CF" w14:textId="394605BD" w:rsidR="00B76484" w:rsidRPr="000D76F5" w:rsidRDefault="00B76484" w:rsidP="00B76484">
            <w:pPr>
              <w:rPr>
                <w:rFonts w:eastAsia="Times New Roman"/>
                <w:kern w:val="0"/>
                <w:sz w:val="22"/>
                <w:szCs w:val="22"/>
                <w:lang w:eastAsia="en-GB"/>
                <w14:ligatures w14:val="none"/>
              </w:rPr>
            </w:pPr>
            <w:r w:rsidRPr="000D76F5">
              <w:rPr>
                <w:rFonts w:eastAsia="Times New Roman"/>
                <w:kern w:val="0"/>
                <w:sz w:val="22"/>
                <w:szCs w:val="20"/>
                <w:lang w:eastAsia="en-GB"/>
                <w14:ligatures w14:val="none"/>
              </w:rPr>
              <w:t>English as an additional language (EAL)</w:t>
            </w:r>
          </w:p>
        </w:tc>
        <w:tc>
          <w:tcPr>
            <w:tcW w:w="1191" w:type="dxa"/>
            <w:tcBorders>
              <w:top w:val="nil"/>
              <w:left w:val="single" w:sz="8" w:space="0" w:color="auto"/>
              <w:bottom w:val="single" w:sz="8" w:space="0" w:color="auto"/>
              <w:right w:val="single" w:sz="8" w:space="0" w:color="auto"/>
            </w:tcBorders>
            <w:shd w:val="clear" w:color="000000" w:fill="FFFFFF"/>
            <w:vAlign w:val="center"/>
            <w:hideMark/>
          </w:tcPr>
          <w:p w14:paraId="0516B30A" w14:textId="7B714FDB" w:rsidR="00B76484" w:rsidRPr="00102BE2" w:rsidRDefault="00B76484" w:rsidP="00B76484">
            <w:pPr>
              <w:jc w:val="right"/>
              <w:rPr>
                <w:rFonts w:eastAsia="Times New Roman"/>
                <w:kern w:val="0"/>
                <w:sz w:val="22"/>
                <w:szCs w:val="22"/>
                <w:lang w:eastAsia="en-GB"/>
                <w14:ligatures w14:val="none"/>
              </w:rPr>
            </w:pPr>
            <w:r w:rsidRPr="00102BE2">
              <w:rPr>
                <w:rFonts w:eastAsia="Times New Roman"/>
                <w:kern w:val="0"/>
                <w:sz w:val="22"/>
                <w:szCs w:val="22"/>
                <w:lang w:eastAsia="en-GB"/>
                <w14:ligatures w14:val="none"/>
              </w:rPr>
              <w:t>£6</w:t>
            </w:r>
            <w:r w:rsidR="00245F58" w:rsidRPr="00102BE2">
              <w:rPr>
                <w:rFonts w:eastAsia="Times New Roman"/>
                <w:kern w:val="0"/>
                <w:sz w:val="22"/>
                <w:szCs w:val="22"/>
                <w:lang w:eastAsia="en-GB"/>
                <w14:ligatures w14:val="none"/>
              </w:rPr>
              <w:t>1</w:t>
            </w:r>
            <w:r w:rsidR="00102BE2" w:rsidRPr="00102BE2">
              <w:rPr>
                <w:rFonts w:eastAsia="Times New Roman"/>
                <w:kern w:val="0"/>
                <w:sz w:val="22"/>
                <w:szCs w:val="22"/>
                <w:lang w:eastAsia="en-GB"/>
                <w14:ligatures w14:val="none"/>
              </w:rPr>
              <w:t>6</w:t>
            </w:r>
          </w:p>
        </w:tc>
        <w:tc>
          <w:tcPr>
            <w:tcW w:w="1518" w:type="dxa"/>
            <w:tcBorders>
              <w:top w:val="nil"/>
              <w:left w:val="nil"/>
              <w:bottom w:val="single" w:sz="8" w:space="0" w:color="auto"/>
              <w:right w:val="single" w:sz="8" w:space="0" w:color="auto"/>
            </w:tcBorders>
            <w:shd w:val="clear" w:color="000000" w:fill="FFFFFF"/>
            <w:vAlign w:val="center"/>
            <w:hideMark/>
          </w:tcPr>
          <w:p w14:paraId="52DF3B02" w14:textId="4884482D" w:rsidR="00B76484" w:rsidRPr="00102BE2" w:rsidRDefault="00B76484" w:rsidP="00B76484">
            <w:pPr>
              <w:jc w:val="right"/>
              <w:rPr>
                <w:rFonts w:eastAsia="Times New Roman"/>
                <w:kern w:val="0"/>
                <w:sz w:val="22"/>
                <w:szCs w:val="22"/>
                <w:lang w:eastAsia="en-GB"/>
                <w14:ligatures w14:val="none"/>
              </w:rPr>
            </w:pPr>
            <w:r w:rsidRPr="00102BE2">
              <w:rPr>
                <w:rFonts w:eastAsia="Times New Roman"/>
                <w:kern w:val="0"/>
                <w:sz w:val="22"/>
                <w:szCs w:val="20"/>
                <w:lang w:eastAsia="en-GB"/>
                <w14:ligatures w14:val="none"/>
              </w:rPr>
              <w:t>£1,6</w:t>
            </w:r>
            <w:r w:rsidR="00747452" w:rsidRPr="00102BE2">
              <w:rPr>
                <w:rFonts w:eastAsia="Times New Roman"/>
                <w:kern w:val="0"/>
                <w:sz w:val="22"/>
                <w:szCs w:val="20"/>
                <w:lang w:eastAsia="en-GB"/>
                <w14:ligatures w14:val="none"/>
              </w:rPr>
              <w:t>4</w:t>
            </w:r>
            <w:r w:rsidR="00102BE2" w:rsidRPr="00102BE2">
              <w:rPr>
                <w:rFonts w:eastAsia="Times New Roman"/>
                <w:kern w:val="0"/>
                <w:sz w:val="22"/>
                <w:szCs w:val="20"/>
                <w:lang w:eastAsia="en-GB"/>
                <w14:ligatures w14:val="none"/>
              </w:rPr>
              <w:t>5</w:t>
            </w:r>
          </w:p>
        </w:tc>
      </w:tr>
      <w:tr w:rsidR="001B0346" w:rsidRPr="004D0FE0" w14:paraId="685B76D5" w14:textId="77777777" w:rsidTr="000D76F5">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4730CF8C" w14:textId="5A487702" w:rsidR="00B76484" w:rsidRPr="000D76F5" w:rsidRDefault="00C24E04" w:rsidP="00BF70A1">
            <w:pPr>
              <w:jc w:val="center"/>
              <w:rPr>
                <w:rFonts w:eastAsia="Times New Roman"/>
                <w:kern w:val="0"/>
                <w:sz w:val="22"/>
                <w:szCs w:val="22"/>
                <w:lang w:eastAsia="en-GB"/>
                <w14:ligatures w14:val="none"/>
              </w:rPr>
            </w:pPr>
            <w:r>
              <w:rPr>
                <w:rFonts w:eastAsia="Times New Roman"/>
                <w:kern w:val="0"/>
                <w:sz w:val="22"/>
                <w:szCs w:val="20"/>
                <w:lang w:eastAsia="en-GB"/>
                <w14:ligatures w14:val="none"/>
              </w:rPr>
              <w:t>5</w:t>
            </w:r>
            <w:r w:rsidR="00B76484"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single" w:sz="8" w:space="0" w:color="000000"/>
            </w:tcBorders>
            <w:shd w:val="clear" w:color="000000" w:fill="FFFFFF"/>
            <w:vAlign w:val="center"/>
            <w:hideMark/>
          </w:tcPr>
          <w:p w14:paraId="36970095" w14:textId="6EE5CCC8" w:rsidR="00B76484" w:rsidRPr="000D76F5" w:rsidRDefault="00F30D73" w:rsidP="00F30D73">
            <w:pPr>
              <w:rPr>
                <w:rFonts w:eastAsia="Times New Roman"/>
                <w:kern w:val="0"/>
                <w:sz w:val="22"/>
                <w:szCs w:val="22"/>
                <w:lang w:eastAsia="en-GB"/>
                <w14:ligatures w14:val="none"/>
              </w:rPr>
            </w:pPr>
            <w:r w:rsidRPr="000D76F5">
              <w:rPr>
                <w:rFonts w:eastAsia="Times New Roman"/>
                <w:kern w:val="0"/>
                <w:sz w:val="22"/>
                <w:szCs w:val="20"/>
                <w:lang w:eastAsia="en-GB"/>
                <w14:ligatures w14:val="none"/>
              </w:rPr>
              <w:t>Pupil m</w:t>
            </w:r>
            <w:r w:rsidR="00B76484" w:rsidRPr="000D76F5">
              <w:rPr>
                <w:rFonts w:eastAsia="Times New Roman"/>
                <w:kern w:val="0"/>
                <w:sz w:val="22"/>
                <w:szCs w:val="20"/>
                <w:lang w:eastAsia="en-GB"/>
                <w14:ligatures w14:val="none"/>
              </w:rPr>
              <w:t>obility</w:t>
            </w:r>
          </w:p>
        </w:tc>
        <w:tc>
          <w:tcPr>
            <w:tcW w:w="1191" w:type="dxa"/>
            <w:tcBorders>
              <w:top w:val="nil"/>
              <w:left w:val="nil"/>
              <w:bottom w:val="single" w:sz="8" w:space="0" w:color="000000"/>
              <w:right w:val="single" w:sz="8" w:space="0" w:color="000000"/>
            </w:tcBorders>
            <w:shd w:val="clear" w:color="000000" w:fill="FFFFFF"/>
            <w:vAlign w:val="center"/>
            <w:hideMark/>
          </w:tcPr>
          <w:p w14:paraId="59FE1BFC" w14:textId="29D26E1B" w:rsidR="00B76484" w:rsidRPr="00102BE2" w:rsidRDefault="00B76484" w:rsidP="00B76484">
            <w:pPr>
              <w:jc w:val="right"/>
              <w:rPr>
                <w:rFonts w:eastAsia="Times New Roman"/>
                <w:kern w:val="0"/>
                <w:sz w:val="22"/>
                <w:szCs w:val="22"/>
                <w:lang w:eastAsia="en-GB"/>
                <w14:ligatures w14:val="none"/>
              </w:rPr>
            </w:pPr>
            <w:r w:rsidRPr="00102BE2">
              <w:rPr>
                <w:rFonts w:eastAsia="Times New Roman"/>
                <w:kern w:val="0"/>
                <w:sz w:val="22"/>
                <w:szCs w:val="22"/>
                <w:lang w:eastAsia="en-GB"/>
                <w14:ligatures w14:val="none"/>
              </w:rPr>
              <w:t>£9</w:t>
            </w:r>
            <w:r w:rsidR="00245F58" w:rsidRPr="00102BE2">
              <w:rPr>
                <w:rFonts w:eastAsia="Times New Roman"/>
                <w:kern w:val="0"/>
                <w:sz w:val="22"/>
                <w:szCs w:val="22"/>
                <w:lang w:eastAsia="en-GB"/>
                <w14:ligatures w14:val="none"/>
              </w:rPr>
              <w:t>9</w:t>
            </w:r>
            <w:r w:rsidR="00102BE2" w:rsidRPr="00102BE2">
              <w:rPr>
                <w:rFonts w:eastAsia="Times New Roman"/>
                <w:kern w:val="0"/>
                <w:sz w:val="22"/>
                <w:szCs w:val="22"/>
                <w:lang w:eastAsia="en-GB"/>
                <w14:ligatures w14:val="none"/>
              </w:rPr>
              <w:t>5</w:t>
            </w:r>
          </w:p>
        </w:tc>
        <w:tc>
          <w:tcPr>
            <w:tcW w:w="1518" w:type="dxa"/>
            <w:tcBorders>
              <w:top w:val="nil"/>
              <w:left w:val="nil"/>
              <w:bottom w:val="single" w:sz="8" w:space="0" w:color="000000"/>
              <w:right w:val="single" w:sz="8" w:space="0" w:color="auto"/>
            </w:tcBorders>
            <w:shd w:val="clear" w:color="000000" w:fill="FFFFFF"/>
            <w:vAlign w:val="center"/>
            <w:hideMark/>
          </w:tcPr>
          <w:p w14:paraId="048473CF" w14:textId="30A4DB4E" w:rsidR="00B76484" w:rsidRPr="00102BE2" w:rsidRDefault="00B76484" w:rsidP="00B76484">
            <w:pPr>
              <w:jc w:val="right"/>
              <w:rPr>
                <w:rFonts w:eastAsia="Times New Roman"/>
                <w:kern w:val="0"/>
                <w:sz w:val="22"/>
                <w:szCs w:val="22"/>
                <w:lang w:eastAsia="en-GB"/>
                <w14:ligatures w14:val="none"/>
              </w:rPr>
            </w:pPr>
            <w:r w:rsidRPr="00102BE2">
              <w:rPr>
                <w:rFonts w:eastAsia="Times New Roman"/>
                <w:kern w:val="0"/>
                <w:sz w:val="22"/>
                <w:szCs w:val="22"/>
                <w:lang w:eastAsia="en-GB"/>
                <w14:ligatures w14:val="none"/>
              </w:rPr>
              <w:t>£1,</w:t>
            </w:r>
            <w:r w:rsidR="005E53A0" w:rsidRPr="00102BE2">
              <w:rPr>
                <w:rFonts w:eastAsia="Times New Roman"/>
                <w:kern w:val="0"/>
                <w:sz w:val="22"/>
                <w:szCs w:val="22"/>
                <w:lang w:eastAsia="en-GB"/>
                <w14:ligatures w14:val="none"/>
              </w:rPr>
              <w:t>42</w:t>
            </w:r>
            <w:r w:rsidR="00102BE2" w:rsidRPr="00102BE2">
              <w:rPr>
                <w:rFonts w:eastAsia="Times New Roman"/>
                <w:kern w:val="0"/>
                <w:sz w:val="22"/>
                <w:szCs w:val="22"/>
                <w:lang w:eastAsia="en-GB"/>
                <w14:ligatures w14:val="none"/>
              </w:rPr>
              <w:t>8</w:t>
            </w:r>
          </w:p>
        </w:tc>
      </w:tr>
      <w:tr w:rsidR="001B0346" w:rsidRPr="004D0FE0" w14:paraId="148C451D" w14:textId="77777777">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7AD25CF5" w14:textId="77777777" w:rsidR="00C24E04" w:rsidRPr="000D76F5" w:rsidRDefault="00C24E04">
            <w:pPr>
              <w:jc w:val="center"/>
              <w:rPr>
                <w:rFonts w:eastAsia="Times New Roman"/>
                <w:kern w:val="0"/>
                <w:sz w:val="22"/>
                <w:szCs w:val="22"/>
                <w:lang w:eastAsia="en-GB"/>
                <w14:ligatures w14:val="none"/>
              </w:rPr>
            </w:pPr>
            <w:r>
              <w:rPr>
                <w:rFonts w:eastAsia="Times New Roman"/>
                <w:kern w:val="0"/>
                <w:sz w:val="22"/>
                <w:szCs w:val="20"/>
                <w:lang w:eastAsia="en-GB"/>
                <w14:ligatures w14:val="none"/>
              </w:rPr>
              <w:t>6</w:t>
            </w:r>
            <w:r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single" w:sz="8" w:space="0" w:color="000000"/>
            </w:tcBorders>
            <w:shd w:val="clear" w:color="000000" w:fill="FFFFFF"/>
            <w:vAlign w:val="center"/>
            <w:hideMark/>
          </w:tcPr>
          <w:p w14:paraId="734510EC" w14:textId="77777777" w:rsidR="00C24E04" w:rsidRPr="000D76F5" w:rsidRDefault="00C24E04">
            <w:pPr>
              <w:rPr>
                <w:rFonts w:eastAsia="Times New Roman"/>
                <w:kern w:val="0"/>
                <w:sz w:val="22"/>
                <w:szCs w:val="22"/>
                <w:lang w:eastAsia="en-GB"/>
                <w14:ligatures w14:val="none"/>
              </w:rPr>
            </w:pPr>
            <w:r w:rsidRPr="000D76F5">
              <w:rPr>
                <w:rFonts w:eastAsia="Times New Roman"/>
                <w:kern w:val="0"/>
                <w:sz w:val="22"/>
                <w:szCs w:val="20"/>
                <w:lang w:eastAsia="en-GB"/>
                <w14:ligatures w14:val="none"/>
              </w:rPr>
              <w:t>Lump sum</w:t>
            </w:r>
          </w:p>
        </w:tc>
        <w:tc>
          <w:tcPr>
            <w:tcW w:w="270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A7198F" w14:textId="1E6274D0" w:rsidR="00C24E04" w:rsidRPr="003D59F4" w:rsidRDefault="00C24E04">
            <w:pPr>
              <w:jc w:val="center"/>
              <w:rPr>
                <w:rFonts w:eastAsia="Times New Roman"/>
                <w:color w:val="7030A0"/>
                <w:kern w:val="0"/>
                <w:sz w:val="22"/>
                <w:szCs w:val="22"/>
                <w:lang w:eastAsia="en-GB"/>
                <w14:ligatures w14:val="none"/>
              </w:rPr>
            </w:pPr>
            <w:r w:rsidRPr="00267A8B">
              <w:rPr>
                <w:rFonts w:eastAsia="Times New Roman"/>
                <w:kern w:val="0"/>
                <w:sz w:val="22"/>
                <w:szCs w:val="20"/>
                <w:lang w:eastAsia="en-GB"/>
                <w14:ligatures w14:val="none"/>
              </w:rPr>
              <w:t>£1</w:t>
            </w:r>
            <w:r w:rsidR="009059CF" w:rsidRPr="00267A8B">
              <w:rPr>
                <w:rFonts w:eastAsia="Times New Roman"/>
                <w:kern w:val="0"/>
                <w:sz w:val="22"/>
                <w:szCs w:val="20"/>
                <w:lang w:eastAsia="en-GB"/>
                <w14:ligatures w14:val="none"/>
              </w:rPr>
              <w:t>54,</w:t>
            </w:r>
            <w:r w:rsidR="00267A8B" w:rsidRPr="00267A8B">
              <w:rPr>
                <w:rFonts w:eastAsia="Times New Roman"/>
                <w:kern w:val="0"/>
                <w:sz w:val="22"/>
                <w:szCs w:val="20"/>
                <w:lang w:eastAsia="en-GB"/>
                <w14:ligatures w14:val="none"/>
              </w:rPr>
              <w:t>105</w:t>
            </w:r>
          </w:p>
        </w:tc>
      </w:tr>
      <w:tr w:rsidR="001B0346" w:rsidRPr="004D0FE0" w14:paraId="089A6FC6" w14:textId="77777777" w:rsidTr="000D76F5">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1D9F9C02" w14:textId="608E4356" w:rsidR="00F30D73" w:rsidRPr="000D76F5" w:rsidRDefault="00F30D73" w:rsidP="00BF70A1">
            <w:pPr>
              <w:jc w:val="center"/>
              <w:rPr>
                <w:rFonts w:eastAsia="Times New Roman"/>
                <w:kern w:val="0"/>
                <w:sz w:val="22"/>
                <w:szCs w:val="22"/>
                <w:lang w:eastAsia="en-GB"/>
                <w14:ligatures w14:val="none"/>
              </w:rPr>
            </w:pPr>
            <w:r w:rsidRPr="000D76F5">
              <w:rPr>
                <w:rFonts w:eastAsia="Times New Roman"/>
                <w:kern w:val="0"/>
                <w:sz w:val="22"/>
                <w:szCs w:val="20"/>
                <w:lang w:eastAsia="en-GB"/>
                <w14:ligatures w14:val="none"/>
              </w:rPr>
              <w:t>7)</w:t>
            </w:r>
          </w:p>
        </w:tc>
        <w:tc>
          <w:tcPr>
            <w:tcW w:w="4710" w:type="dxa"/>
            <w:tcBorders>
              <w:top w:val="nil"/>
              <w:left w:val="nil"/>
              <w:bottom w:val="single" w:sz="8" w:space="0" w:color="000000"/>
              <w:right w:val="single" w:sz="8" w:space="0" w:color="000000"/>
            </w:tcBorders>
            <w:shd w:val="clear" w:color="000000" w:fill="FFFFFF"/>
            <w:vAlign w:val="center"/>
            <w:hideMark/>
          </w:tcPr>
          <w:p w14:paraId="0F30C096" w14:textId="7770C716" w:rsidR="00F30D73" w:rsidRPr="000D76F5" w:rsidRDefault="00F30D73" w:rsidP="00F30D73">
            <w:pPr>
              <w:rPr>
                <w:rFonts w:eastAsia="Times New Roman"/>
                <w:kern w:val="0"/>
                <w:sz w:val="22"/>
                <w:szCs w:val="22"/>
                <w:lang w:eastAsia="en-GB"/>
                <w14:ligatures w14:val="none"/>
              </w:rPr>
            </w:pPr>
            <w:r w:rsidRPr="000D76F5">
              <w:rPr>
                <w:rFonts w:eastAsia="Times New Roman"/>
                <w:kern w:val="0"/>
                <w:sz w:val="22"/>
                <w:szCs w:val="20"/>
                <w:lang w:eastAsia="en-GB"/>
                <w14:ligatures w14:val="none"/>
              </w:rPr>
              <w:t>Sparsity (tapered)</w:t>
            </w:r>
          </w:p>
        </w:tc>
        <w:tc>
          <w:tcPr>
            <w:tcW w:w="1191" w:type="dxa"/>
            <w:tcBorders>
              <w:top w:val="nil"/>
              <w:left w:val="nil"/>
              <w:bottom w:val="single" w:sz="8" w:space="0" w:color="000000"/>
              <w:right w:val="single" w:sz="8" w:space="0" w:color="000000"/>
            </w:tcBorders>
            <w:shd w:val="clear" w:color="000000" w:fill="FFFFFF"/>
            <w:vAlign w:val="center"/>
            <w:hideMark/>
          </w:tcPr>
          <w:p w14:paraId="5C58F562" w14:textId="63008289" w:rsidR="00F30D73" w:rsidRPr="00267A8B" w:rsidRDefault="00F30D73">
            <w:pPr>
              <w:jc w:val="right"/>
              <w:rPr>
                <w:rFonts w:eastAsia="Times New Roman"/>
                <w:kern w:val="0"/>
                <w:sz w:val="22"/>
                <w:szCs w:val="22"/>
                <w:lang w:eastAsia="en-GB"/>
                <w14:ligatures w14:val="none"/>
              </w:rPr>
            </w:pPr>
            <w:r w:rsidRPr="00267A8B">
              <w:rPr>
                <w:rFonts w:eastAsia="Times New Roman"/>
                <w:kern w:val="0"/>
                <w:sz w:val="22"/>
                <w:szCs w:val="20"/>
                <w:lang w:eastAsia="en-GB"/>
                <w14:ligatures w14:val="none"/>
              </w:rPr>
              <w:t>£5</w:t>
            </w:r>
            <w:r w:rsidR="00FB41FF" w:rsidRPr="00267A8B">
              <w:rPr>
                <w:rFonts w:eastAsia="Times New Roman"/>
                <w:kern w:val="0"/>
                <w:sz w:val="22"/>
                <w:szCs w:val="20"/>
                <w:lang w:eastAsia="en-GB"/>
                <w14:ligatures w14:val="none"/>
              </w:rPr>
              <w:t>9,1</w:t>
            </w:r>
            <w:r w:rsidR="00267A8B" w:rsidRPr="00267A8B">
              <w:rPr>
                <w:rFonts w:eastAsia="Times New Roman"/>
                <w:kern w:val="0"/>
                <w:sz w:val="22"/>
                <w:szCs w:val="20"/>
                <w:lang w:eastAsia="en-GB"/>
                <w14:ligatures w14:val="none"/>
              </w:rPr>
              <w:t>39</w:t>
            </w:r>
          </w:p>
        </w:tc>
        <w:tc>
          <w:tcPr>
            <w:tcW w:w="1518" w:type="dxa"/>
            <w:tcBorders>
              <w:top w:val="nil"/>
              <w:left w:val="nil"/>
              <w:bottom w:val="single" w:sz="8" w:space="0" w:color="000000"/>
              <w:right w:val="single" w:sz="8" w:space="0" w:color="auto"/>
            </w:tcBorders>
            <w:shd w:val="clear" w:color="000000" w:fill="FFFFFF"/>
            <w:vAlign w:val="center"/>
            <w:hideMark/>
          </w:tcPr>
          <w:p w14:paraId="5BCAA7F6" w14:textId="3728E828" w:rsidR="00F30D73" w:rsidRPr="00267A8B" w:rsidRDefault="00F30D73">
            <w:pPr>
              <w:jc w:val="right"/>
              <w:rPr>
                <w:rFonts w:eastAsia="Times New Roman"/>
                <w:kern w:val="0"/>
                <w:sz w:val="22"/>
                <w:szCs w:val="22"/>
                <w:lang w:eastAsia="en-GB"/>
                <w14:ligatures w14:val="none"/>
              </w:rPr>
            </w:pPr>
            <w:r w:rsidRPr="00267A8B">
              <w:rPr>
                <w:rFonts w:eastAsia="Times New Roman"/>
                <w:kern w:val="0"/>
                <w:sz w:val="22"/>
                <w:szCs w:val="22"/>
                <w:lang w:eastAsia="en-GB"/>
                <w14:ligatures w14:val="none"/>
              </w:rPr>
              <w:t>£8</w:t>
            </w:r>
            <w:r w:rsidR="005E53A0" w:rsidRPr="00267A8B">
              <w:rPr>
                <w:rFonts w:eastAsia="Times New Roman"/>
                <w:kern w:val="0"/>
                <w:sz w:val="22"/>
                <w:szCs w:val="22"/>
                <w:lang w:eastAsia="en-GB"/>
                <w14:ligatures w14:val="none"/>
              </w:rPr>
              <w:t>5,9</w:t>
            </w:r>
            <w:r w:rsidR="00267A8B" w:rsidRPr="00267A8B">
              <w:rPr>
                <w:rFonts w:eastAsia="Times New Roman"/>
                <w:kern w:val="0"/>
                <w:sz w:val="22"/>
                <w:szCs w:val="22"/>
                <w:lang w:eastAsia="en-GB"/>
                <w14:ligatures w14:val="none"/>
              </w:rPr>
              <w:t>83</w:t>
            </w:r>
          </w:p>
        </w:tc>
      </w:tr>
      <w:tr w:rsidR="001B0346" w:rsidRPr="004D0FE0" w14:paraId="758253C6" w14:textId="77777777">
        <w:trPr>
          <w:trHeight w:hRule="exact" w:val="303"/>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4D3DD49E" w14:textId="77777777" w:rsidR="00C24E04" w:rsidRPr="000D76F5" w:rsidRDefault="00C24E04">
            <w:pPr>
              <w:jc w:val="center"/>
              <w:rPr>
                <w:rFonts w:eastAsia="Times New Roman"/>
                <w:kern w:val="0"/>
                <w:sz w:val="22"/>
                <w:szCs w:val="22"/>
                <w:lang w:eastAsia="en-GB"/>
                <w14:ligatures w14:val="none"/>
              </w:rPr>
            </w:pPr>
            <w:r>
              <w:rPr>
                <w:rFonts w:eastAsia="Times New Roman"/>
                <w:kern w:val="0"/>
                <w:sz w:val="22"/>
                <w:szCs w:val="20"/>
                <w:lang w:eastAsia="en-GB"/>
                <w14:ligatures w14:val="none"/>
              </w:rPr>
              <w:t>8</w:t>
            </w:r>
            <w:r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single" w:sz="8" w:space="0" w:color="000000"/>
            </w:tcBorders>
            <w:shd w:val="clear" w:color="000000" w:fill="FFFFFF"/>
            <w:vAlign w:val="center"/>
            <w:hideMark/>
          </w:tcPr>
          <w:p w14:paraId="5812999F" w14:textId="77777777" w:rsidR="00C24E04" w:rsidRPr="000D76F5" w:rsidRDefault="00C24E04">
            <w:pPr>
              <w:rPr>
                <w:rFonts w:eastAsia="Times New Roman"/>
                <w:kern w:val="0"/>
                <w:sz w:val="22"/>
                <w:szCs w:val="22"/>
                <w:lang w:eastAsia="en-GB"/>
                <w14:ligatures w14:val="none"/>
              </w:rPr>
            </w:pPr>
            <w:r w:rsidRPr="000D76F5">
              <w:rPr>
                <w:rFonts w:eastAsia="Times New Roman"/>
                <w:kern w:val="0"/>
                <w:sz w:val="22"/>
                <w:szCs w:val="20"/>
                <w:lang w:eastAsia="en-GB"/>
                <w14:ligatures w14:val="none"/>
              </w:rPr>
              <w:t>Rates</w:t>
            </w:r>
          </w:p>
        </w:tc>
        <w:tc>
          <w:tcPr>
            <w:tcW w:w="270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C9C5C00" w14:textId="77777777" w:rsidR="00C24E04" w:rsidRPr="00267A8B" w:rsidRDefault="00C24E04">
            <w:pPr>
              <w:jc w:val="center"/>
              <w:rPr>
                <w:rFonts w:eastAsia="Times New Roman"/>
                <w:kern w:val="0"/>
                <w:sz w:val="22"/>
                <w:szCs w:val="22"/>
                <w:lang w:eastAsia="en-GB"/>
                <w14:ligatures w14:val="none"/>
              </w:rPr>
            </w:pPr>
            <w:r w:rsidRPr="00267A8B">
              <w:rPr>
                <w:rFonts w:eastAsia="Times New Roman"/>
                <w:kern w:val="0"/>
                <w:sz w:val="22"/>
                <w:szCs w:val="20"/>
                <w:lang w:eastAsia="en-GB"/>
                <w14:ligatures w14:val="none"/>
              </w:rPr>
              <w:t>Based on actuals</w:t>
            </w:r>
          </w:p>
        </w:tc>
      </w:tr>
      <w:tr w:rsidR="001B0346" w:rsidRPr="004D0FE0" w14:paraId="64FE5B7B" w14:textId="77777777" w:rsidTr="000D76F5">
        <w:trPr>
          <w:trHeight w:hRule="exact" w:val="958"/>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36DEFD7F" w14:textId="4E8EC58B" w:rsidR="00F30D73" w:rsidRPr="000D76F5" w:rsidRDefault="00F30D73" w:rsidP="00BF70A1">
            <w:pPr>
              <w:jc w:val="center"/>
              <w:rPr>
                <w:rFonts w:eastAsia="Times New Roman"/>
                <w:kern w:val="0"/>
                <w:sz w:val="22"/>
                <w:szCs w:val="22"/>
                <w:lang w:eastAsia="en-GB"/>
                <w14:ligatures w14:val="none"/>
              </w:rPr>
            </w:pPr>
            <w:r w:rsidRPr="000D76F5">
              <w:rPr>
                <w:rFonts w:eastAsia="Times New Roman"/>
                <w:kern w:val="0"/>
                <w:sz w:val="22"/>
                <w:szCs w:val="20"/>
                <w:lang w:eastAsia="en-GB"/>
                <w14:ligatures w14:val="none"/>
              </w:rPr>
              <w:t>9)</w:t>
            </w:r>
          </w:p>
        </w:tc>
        <w:tc>
          <w:tcPr>
            <w:tcW w:w="4710" w:type="dxa"/>
            <w:tcBorders>
              <w:top w:val="nil"/>
              <w:left w:val="nil"/>
              <w:bottom w:val="single" w:sz="8" w:space="0" w:color="000000"/>
              <w:right w:val="single" w:sz="8" w:space="0" w:color="000000"/>
            </w:tcBorders>
            <w:shd w:val="clear" w:color="000000" w:fill="FFFFFF"/>
            <w:vAlign w:val="center"/>
            <w:hideMark/>
          </w:tcPr>
          <w:p w14:paraId="23AFB792" w14:textId="51F912D8" w:rsidR="00F30D73" w:rsidRPr="000D76F5" w:rsidRDefault="00F30D73" w:rsidP="00BF70A1">
            <w:pPr>
              <w:rPr>
                <w:rFonts w:eastAsia="Times New Roman"/>
                <w:kern w:val="0"/>
                <w:sz w:val="22"/>
                <w:szCs w:val="22"/>
                <w:lang w:eastAsia="en-GB"/>
                <w14:ligatures w14:val="none"/>
              </w:rPr>
            </w:pPr>
            <w:r w:rsidRPr="000D76F5">
              <w:rPr>
                <w:rFonts w:eastAsia="Times New Roman"/>
                <w:kern w:val="0"/>
                <w:sz w:val="22"/>
                <w:szCs w:val="20"/>
                <w:lang w:eastAsia="en-GB"/>
                <w14:ligatures w14:val="none"/>
              </w:rPr>
              <w:t>Split site</w:t>
            </w:r>
            <w:r w:rsidR="000F0EAE" w:rsidRPr="000D76F5">
              <w:rPr>
                <w:rFonts w:eastAsia="Times New Roman"/>
                <w:kern w:val="0"/>
                <w:sz w:val="22"/>
                <w:szCs w:val="20"/>
                <w:lang w:eastAsia="en-GB"/>
                <w14:ligatures w14:val="none"/>
              </w:rPr>
              <w:t>s</w:t>
            </w:r>
          </w:p>
        </w:tc>
        <w:tc>
          <w:tcPr>
            <w:tcW w:w="270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7222BFD" w14:textId="5E384777" w:rsidR="00F30D73" w:rsidRPr="003D59F4" w:rsidRDefault="00F30D73">
            <w:pPr>
              <w:jc w:val="center"/>
              <w:rPr>
                <w:rFonts w:eastAsia="Times New Roman"/>
                <w:color w:val="7030A0"/>
                <w:kern w:val="0"/>
                <w:sz w:val="22"/>
                <w:szCs w:val="22"/>
                <w:lang w:eastAsia="en-GB"/>
                <w14:ligatures w14:val="none"/>
              </w:rPr>
            </w:pPr>
            <w:r w:rsidRPr="00267A8B">
              <w:rPr>
                <w:rFonts w:eastAsia="Times New Roman"/>
                <w:kern w:val="0"/>
                <w:sz w:val="22"/>
                <w:szCs w:val="20"/>
                <w:lang w:eastAsia="en-GB"/>
                <w14:ligatures w14:val="none"/>
              </w:rPr>
              <w:t>£5</w:t>
            </w:r>
            <w:r w:rsidR="002604E2" w:rsidRPr="00267A8B">
              <w:rPr>
                <w:rFonts w:eastAsia="Times New Roman"/>
                <w:kern w:val="0"/>
                <w:sz w:val="22"/>
                <w:szCs w:val="20"/>
                <w:lang w:eastAsia="en-GB"/>
                <w14:ligatures w14:val="none"/>
              </w:rPr>
              <w:t>5,</w:t>
            </w:r>
            <w:r w:rsidR="00267A8B" w:rsidRPr="00267A8B">
              <w:rPr>
                <w:rFonts w:eastAsia="Times New Roman"/>
                <w:kern w:val="0"/>
                <w:sz w:val="22"/>
                <w:szCs w:val="20"/>
                <w:lang w:eastAsia="en-GB"/>
                <w14:ligatures w14:val="none"/>
              </w:rPr>
              <w:t>606</w:t>
            </w:r>
            <w:r w:rsidRPr="00267A8B">
              <w:rPr>
                <w:rFonts w:eastAsia="Times New Roman"/>
                <w:kern w:val="0"/>
                <w:sz w:val="22"/>
                <w:szCs w:val="20"/>
                <w:lang w:eastAsia="en-GB"/>
                <w14:ligatures w14:val="none"/>
              </w:rPr>
              <w:t xml:space="preserve"> per site (max 3) + up to £27,</w:t>
            </w:r>
            <w:r w:rsidR="002604E2" w:rsidRPr="00267A8B">
              <w:rPr>
                <w:rFonts w:eastAsia="Times New Roman"/>
                <w:kern w:val="0"/>
                <w:sz w:val="22"/>
                <w:szCs w:val="20"/>
                <w:lang w:eastAsia="en-GB"/>
                <w14:ligatures w14:val="none"/>
              </w:rPr>
              <w:t>8</w:t>
            </w:r>
            <w:r w:rsidR="00267A8B" w:rsidRPr="00267A8B">
              <w:rPr>
                <w:rFonts w:eastAsia="Times New Roman"/>
                <w:kern w:val="0"/>
                <w:sz w:val="22"/>
                <w:szCs w:val="20"/>
                <w:lang w:eastAsia="en-GB"/>
                <w14:ligatures w14:val="none"/>
              </w:rPr>
              <w:t>54</w:t>
            </w:r>
            <w:r w:rsidRPr="00267A8B">
              <w:rPr>
                <w:rFonts w:eastAsia="Times New Roman"/>
                <w:kern w:val="0"/>
                <w:sz w:val="22"/>
                <w:szCs w:val="20"/>
                <w:lang w:eastAsia="en-GB"/>
                <w14:ligatures w14:val="none"/>
              </w:rPr>
              <w:t xml:space="preserve"> tapered based on distance</w:t>
            </w:r>
          </w:p>
        </w:tc>
      </w:tr>
      <w:tr w:rsidR="001B0346" w:rsidRPr="004D0FE0" w14:paraId="6661BA9C" w14:textId="77777777" w:rsidTr="000D76F5">
        <w:trPr>
          <w:trHeight w:hRule="exact" w:val="303"/>
        </w:trPr>
        <w:tc>
          <w:tcPr>
            <w:tcW w:w="196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2FBFE1F" w14:textId="343F0D59" w:rsidR="00B76484" w:rsidRPr="000D76F5" w:rsidRDefault="00B76484" w:rsidP="00BF70A1">
            <w:pPr>
              <w:jc w:val="center"/>
              <w:rPr>
                <w:rFonts w:eastAsia="Times New Roman"/>
                <w:kern w:val="0"/>
                <w:sz w:val="22"/>
                <w:szCs w:val="22"/>
                <w:lang w:eastAsia="en-GB"/>
                <w14:ligatures w14:val="none"/>
              </w:rPr>
            </w:pPr>
            <w:r w:rsidRPr="000D76F5">
              <w:rPr>
                <w:rFonts w:eastAsia="Times New Roman"/>
                <w:kern w:val="0"/>
                <w:sz w:val="22"/>
                <w:szCs w:val="20"/>
                <w:lang w:eastAsia="en-GB"/>
                <w14:ligatures w14:val="none"/>
              </w:rPr>
              <w:t>1</w:t>
            </w:r>
            <w:r w:rsidR="00C24E04">
              <w:rPr>
                <w:rFonts w:eastAsia="Times New Roman"/>
                <w:kern w:val="0"/>
                <w:sz w:val="22"/>
                <w:szCs w:val="20"/>
                <w:lang w:eastAsia="en-GB"/>
                <w14:ligatures w14:val="none"/>
              </w:rPr>
              <w:t>0</w:t>
            </w:r>
            <w:r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single" w:sz="8" w:space="0" w:color="000000"/>
            </w:tcBorders>
            <w:shd w:val="clear" w:color="000000" w:fill="FFFFFF"/>
            <w:vAlign w:val="center"/>
            <w:hideMark/>
          </w:tcPr>
          <w:p w14:paraId="68509A64" w14:textId="75C1E395" w:rsidR="00B76484" w:rsidRPr="000D76F5" w:rsidRDefault="00B76484" w:rsidP="00BF70A1">
            <w:pPr>
              <w:rPr>
                <w:rFonts w:eastAsia="Times New Roman"/>
                <w:kern w:val="0"/>
                <w:sz w:val="22"/>
                <w:szCs w:val="22"/>
                <w:lang w:eastAsia="en-GB"/>
                <w14:ligatures w14:val="none"/>
              </w:rPr>
            </w:pPr>
            <w:r w:rsidRPr="000D76F5">
              <w:rPr>
                <w:rFonts w:eastAsia="Times New Roman"/>
                <w:kern w:val="0"/>
                <w:sz w:val="22"/>
                <w:szCs w:val="20"/>
                <w:lang w:eastAsia="en-GB"/>
                <w14:ligatures w14:val="none"/>
              </w:rPr>
              <w:t xml:space="preserve">Exceptional </w:t>
            </w:r>
            <w:r w:rsidR="000F0EAE" w:rsidRPr="000D76F5">
              <w:rPr>
                <w:rFonts w:eastAsia="Times New Roman"/>
                <w:kern w:val="0"/>
                <w:sz w:val="22"/>
                <w:szCs w:val="20"/>
                <w:lang w:eastAsia="en-GB"/>
                <w14:ligatures w14:val="none"/>
              </w:rPr>
              <w:t>c</w:t>
            </w:r>
            <w:r w:rsidRPr="000D76F5">
              <w:rPr>
                <w:rFonts w:eastAsia="Times New Roman"/>
                <w:kern w:val="0"/>
                <w:sz w:val="22"/>
                <w:szCs w:val="20"/>
                <w:lang w:eastAsia="en-GB"/>
                <w14:ligatures w14:val="none"/>
              </w:rPr>
              <w:t xml:space="preserve">ircumstances - </w:t>
            </w:r>
            <w:r w:rsidR="000F0EAE" w:rsidRPr="000D76F5">
              <w:rPr>
                <w:rFonts w:eastAsia="Times New Roman"/>
                <w:kern w:val="0"/>
                <w:sz w:val="22"/>
                <w:szCs w:val="20"/>
                <w:lang w:eastAsia="en-GB"/>
                <w14:ligatures w14:val="none"/>
              </w:rPr>
              <w:t>r</w:t>
            </w:r>
            <w:r w:rsidRPr="000D76F5">
              <w:rPr>
                <w:rFonts w:eastAsia="Times New Roman"/>
                <w:kern w:val="0"/>
                <w:sz w:val="22"/>
                <w:szCs w:val="20"/>
                <w:lang w:eastAsia="en-GB"/>
                <w14:ligatures w14:val="none"/>
              </w:rPr>
              <w:t>ents</w:t>
            </w:r>
          </w:p>
        </w:tc>
        <w:tc>
          <w:tcPr>
            <w:tcW w:w="270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73FD1D4" w14:textId="77777777" w:rsidR="00B76484" w:rsidRPr="000D76F5" w:rsidRDefault="00B76484" w:rsidP="00B76484">
            <w:pPr>
              <w:jc w:val="center"/>
              <w:rPr>
                <w:rFonts w:eastAsia="Times New Roman"/>
                <w:kern w:val="0"/>
                <w:sz w:val="22"/>
                <w:szCs w:val="22"/>
                <w:lang w:eastAsia="en-GB"/>
                <w14:ligatures w14:val="none"/>
              </w:rPr>
            </w:pPr>
            <w:r w:rsidRPr="000D76F5">
              <w:rPr>
                <w:rFonts w:eastAsia="Times New Roman"/>
                <w:kern w:val="0"/>
                <w:sz w:val="22"/>
                <w:szCs w:val="20"/>
                <w:lang w:eastAsia="en-GB"/>
                <w14:ligatures w14:val="none"/>
              </w:rPr>
              <w:t>Based on actuals</w:t>
            </w:r>
          </w:p>
        </w:tc>
      </w:tr>
      <w:tr w:rsidR="00F43BE3" w:rsidRPr="004D0FE0" w14:paraId="15CD5814" w14:textId="77777777">
        <w:trPr>
          <w:trHeight w:hRule="exact" w:val="635"/>
        </w:trPr>
        <w:tc>
          <w:tcPr>
            <w:tcW w:w="1960" w:type="dxa"/>
            <w:tcBorders>
              <w:top w:val="nil"/>
              <w:left w:val="single" w:sz="8" w:space="0" w:color="auto"/>
              <w:bottom w:val="single" w:sz="8" w:space="0" w:color="000000"/>
              <w:right w:val="single" w:sz="8" w:space="0" w:color="000000"/>
            </w:tcBorders>
            <w:shd w:val="clear" w:color="000000" w:fill="FFFFFF"/>
            <w:vAlign w:val="center"/>
            <w:hideMark/>
          </w:tcPr>
          <w:p w14:paraId="08A77718" w14:textId="7BAF1DB8" w:rsidR="00C24E04" w:rsidRPr="000D76F5" w:rsidRDefault="00C24E04">
            <w:pPr>
              <w:jc w:val="center"/>
              <w:rPr>
                <w:rFonts w:eastAsia="Times New Roman"/>
                <w:kern w:val="0"/>
                <w:sz w:val="22"/>
                <w:szCs w:val="22"/>
                <w:lang w:eastAsia="en-GB"/>
                <w14:ligatures w14:val="none"/>
              </w:rPr>
            </w:pPr>
            <w:r>
              <w:rPr>
                <w:rFonts w:eastAsia="Times New Roman"/>
                <w:kern w:val="0"/>
                <w:sz w:val="22"/>
                <w:szCs w:val="20"/>
                <w:lang w:eastAsia="en-GB"/>
                <w14:ligatures w14:val="none"/>
              </w:rPr>
              <w:t>11</w:t>
            </w:r>
            <w:r w:rsidRPr="000D76F5">
              <w:rPr>
                <w:rFonts w:eastAsia="Times New Roman"/>
                <w:kern w:val="0"/>
                <w:sz w:val="22"/>
                <w:szCs w:val="20"/>
                <w:lang w:eastAsia="en-GB"/>
                <w14:ligatures w14:val="none"/>
              </w:rPr>
              <w:t>)</w:t>
            </w:r>
          </w:p>
        </w:tc>
        <w:tc>
          <w:tcPr>
            <w:tcW w:w="4710" w:type="dxa"/>
            <w:tcBorders>
              <w:top w:val="nil"/>
              <w:left w:val="nil"/>
              <w:bottom w:val="single" w:sz="8" w:space="0" w:color="000000"/>
              <w:right w:val="nil"/>
            </w:tcBorders>
            <w:shd w:val="clear" w:color="000000" w:fill="FFFFFF"/>
            <w:vAlign w:val="center"/>
            <w:hideMark/>
          </w:tcPr>
          <w:p w14:paraId="1B90846D" w14:textId="77777777" w:rsidR="00C24E04" w:rsidRPr="000D76F5" w:rsidRDefault="00C24E04">
            <w:pPr>
              <w:rPr>
                <w:rFonts w:eastAsia="Times New Roman"/>
                <w:kern w:val="0"/>
                <w:sz w:val="22"/>
                <w:szCs w:val="22"/>
                <w:lang w:eastAsia="en-GB"/>
                <w14:ligatures w14:val="none"/>
              </w:rPr>
            </w:pPr>
            <w:r w:rsidRPr="000D76F5">
              <w:rPr>
                <w:rFonts w:eastAsia="Times New Roman"/>
                <w:kern w:val="0"/>
                <w:sz w:val="22"/>
                <w:szCs w:val="22"/>
                <w:lang w:eastAsia="en-GB"/>
                <w14:ligatures w14:val="none"/>
              </w:rPr>
              <w:t>Minimum per pupil level (MPPL) for primary and secondary schools</w:t>
            </w:r>
          </w:p>
        </w:tc>
        <w:tc>
          <w:tcPr>
            <w:tcW w:w="1191"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34FFA0" w14:textId="6CDE6913" w:rsidR="00C24E04" w:rsidRPr="004D0FE0" w:rsidRDefault="00C24E04">
            <w:pPr>
              <w:jc w:val="right"/>
              <w:rPr>
                <w:rFonts w:eastAsia="Times New Roman"/>
                <w:color w:val="FF0000"/>
                <w:kern w:val="0"/>
                <w:sz w:val="22"/>
                <w:szCs w:val="22"/>
                <w:lang w:eastAsia="en-GB"/>
                <w14:ligatures w14:val="none"/>
              </w:rPr>
            </w:pPr>
            <w:r w:rsidRPr="008950AF">
              <w:rPr>
                <w:rFonts w:eastAsia="Times New Roman"/>
                <w:kern w:val="0"/>
                <w:sz w:val="22"/>
                <w:szCs w:val="20"/>
                <w:lang w:eastAsia="en-GB"/>
                <w14:ligatures w14:val="none"/>
              </w:rPr>
              <w:t>£</w:t>
            </w:r>
            <w:r w:rsidR="008950AF" w:rsidRPr="008950AF">
              <w:rPr>
                <w:rFonts w:eastAsia="Times New Roman"/>
                <w:kern w:val="0"/>
                <w:sz w:val="22"/>
                <w:szCs w:val="20"/>
                <w:lang w:eastAsia="en-GB"/>
                <w14:ligatures w14:val="none"/>
              </w:rPr>
              <w:t>5,115</w:t>
            </w:r>
          </w:p>
        </w:tc>
        <w:tc>
          <w:tcPr>
            <w:tcW w:w="1518" w:type="dxa"/>
            <w:tcBorders>
              <w:top w:val="single" w:sz="8" w:space="0" w:color="auto"/>
              <w:left w:val="nil"/>
              <w:bottom w:val="single" w:sz="8" w:space="0" w:color="auto"/>
              <w:right w:val="single" w:sz="8" w:space="0" w:color="auto"/>
            </w:tcBorders>
            <w:shd w:val="clear" w:color="000000" w:fill="FFFFFF"/>
            <w:vAlign w:val="center"/>
            <w:hideMark/>
          </w:tcPr>
          <w:p w14:paraId="163F4F2E" w14:textId="02C08B52" w:rsidR="00C24E04" w:rsidRPr="004D0FE0" w:rsidRDefault="00C24E04">
            <w:pPr>
              <w:jc w:val="right"/>
              <w:rPr>
                <w:rFonts w:eastAsia="Times New Roman"/>
                <w:color w:val="FF0000"/>
                <w:kern w:val="0"/>
                <w:sz w:val="22"/>
                <w:szCs w:val="22"/>
                <w:lang w:eastAsia="en-GB"/>
                <w14:ligatures w14:val="none"/>
              </w:rPr>
            </w:pPr>
            <w:r w:rsidRPr="008950AF">
              <w:rPr>
                <w:rFonts w:eastAsia="Times New Roman"/>
                <w:kern w:val="0"/>
                <w:sz w:val="22"/>
                <w:szCs w:val="20"/>
                <w:lang w:eastAsia="en-GB"/>
                <w14:ligatures w14:val="none"/>
              </w:rPr>
              <w:t>£6,</w:t>
            </w:r>
            <w:r w:rsidR="008950AF" w:rsidRPr="008950AF">
              <w:rPr>
                <w:rFonts w:eastAsia="Times New Roman"/>
                <w:kern w:val="0"/>
                <w:sz w:val="22"/>
                <w:szCs w:val="20"/>
                <w:lang w:eastAsia="en-GB"/>
                <w14:ligatures w14:val="none"/>
              </w:rPr>
              <w:t>640</w:t>
            </w:r>
          </w:p>
        </w:tc>
      </w:tr>
      <w:tr w:rsidR="001B0346" w:rsidRPr="004D0FE0" w14:paraId="285B04B2" w14:textId="77777777" w:rsidTr="000D76F5">
        <w:trPr>
          <w:trHeight w:val="303"/>
        </w:trPr>
        <w:tc>
          <w:tcPr>
            <w:tcW w:w="1960" w:type="dxa"/>
            <w:tcBorders>
              <w:top w:val="single" w:sz="8" w:space="0" w:color="000000"/>
              <w:left w:val="single" w:sz="8" w:space="0" w:color="auto"/>
              <w:bottom w:val="single" w:sz="8" w:space="0" w:color="000000"/>
              <w:right w:val="single" w:sz="8" w:space="0" w:color="000000"/>
            </w:tcBorders>
            <w:vAlign w:val="center"/>
            <w:hideMark/>
          </w:tcPr>
          <w:p w14:paraId="444CE6B7" w14:textId="492EEFAE" w:rsidR="00B76484" w:rsidRPr="000D76F5" w:rsidRDefault="00F30D73" w:rsidP="00BF70A1">
            <w:pPr>
              <w:jc w:val="center"/>
              <w:rPr>
                <w:rFonts w:eastAsia="Times New Roman"/>
                <w:kern w:val="0"/>
                <w:sz w:val="22"/>
                <w:szCs w:val="22"/>
                <w:lang w:eastAsia="en-GB"/>
                <w14:ligatures w14:val="none"/>
              </w:rPr>
            </w:pPr>
            <w:r w:rsidRPr="000D76F5">
              <w:rPr>
                <w:rFonts w:eastAsia="Times New Roman"/>
                <w:kern w:val="0"/>
                <w:sz w:val="22"/>
                <w:szCs w:val="22"/>
                <w:lang w:eastAsia="en-GB"/>
                <w14:ligatures w14:val="none"/>
              </w:rPr>
              <w:t>12)</w:t>
            </w:r>
          </w:p>
        </w:tc>
        <w:tc>
          <w:tcPr>
            <w:tcW w:w="4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3BC0E0" w14:textId="7DD7979D" w:rsidR="00B76484" w:rsidRPr="000D76F5" w:rsidRDefault="00B76484" w:rsidP="00BF70A1">
            <w:pPr>
              <w:rPr>
                <w:rFonts w:eastAsia="Times New Roman"/>
                <w:kern w:val="0"/>
                <w:sz w:val="22"/>
                <w:szCs w:val="20"/>
                <w:lang w:eastAsia="en-GB"/>
                <w14:ligatures w14:val="none"/>
              </w:rPr>
            </w:pPr>
            <w:r w:rsidRPr="000D76F5">
              <w:rPr>
                <w:rFonts w:eastAsia="Times New Roman"/>
                <w:kern w:val="0"/>
                <w:sz w:val="22"/>
                <w:szCs w:val="20"/>
                <w:lang w:eastAsia="en-GB"/>
                <w14:ligatures w14:val="none"/>
              </w:rPr>
              <w:t>M</w:t>
            </w:r>
            <w:r w:rsidR="000F0EAE" w:rsidRPr="000D76F5">
              <w:rPr>
                <w:rFonts w:eastAsia="Times New Roman"/>
                <w:kern w:val="0"/>
                <w:sz w:val="22"/>
                <w:szCs w:val="20"/>
                <w:lang w:eastAsia="en-GB"/>
                <w14:ligatures w14:val="none"/>
              </w:rPr>
              <w:t>inimum funding guarantee (MFG)</w:t>
            </w:r>
          </w:p>
        </w:tc>
        <w:tc>
          <w:tcPr>
            <w:tcW w:w="27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06330FB" w14:textId="37906F7F" w:rsidR="00B76484" w:rsidRPr="004D0FE0" w:rsidRDefault="00B76484" w:rsidP="00B76484">
            <w:pPr>
              <w:jc w:val="center"/>
              <w:rPr>
                <w:rFonts w:eastAsia="Times New Roman"/>
                <w:color w:val="FF0000"/>
                <w:kern w:val="0"/>
                <w:sz w:val="22"/>
                <w:szCs w:val="22"/>
                <w:lang w:eastAsia="en-GB"/>
                <w14:ligatures w14:val="none"/>
              </w:rPr>
            </w:pPr>
            <w:r w:rsidRPr="008950AF">
              <w:rPr>
                <w:rFonts w:eastAsia="Times New Roman"/>
                <w:kern w:val="0"/>
                <w:sz w:val="22"/>
                <w:szCs w:val="20"/>
                <w:lang w:eastAsia="en-GB"/>
                <w14:ligatures w14:val="none"/>
              </w:rPr>
              <w:t>0.0%</w:t>
            </w:r>
          </w:p>
        </w:tc>
      </w:tr>
    </w:tbl>
    <w:p w14:paraId="016F1A42" w14:textId="01629B65" w:rsidR="00D45E63" w:rsidRPr="004D0FE0" w:rsidRDefault="00D45E63" w:rsidP="4C9B2323">
      <w:pPr>
        <w:rPr>
          <w:b/>
          <w:bCs/>
          <w:color w:val="FF0000"/>
        </w:rPr>
      </w:pPr>
    </w:p>
    <w:sectPr w:rsidR="00D45E63" w:rsidRPr="004D0FE0" w:rsidSect="001722A2">
      <w:footerReference w:type="default" r:id="rId34"/>
      <w:footerReference w:type="first" r:id="rId35"/>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03A3" w14:textId="77777777" w:rsidR="002E65A3" w:rsidRDefault="002E65A3" w:rsidP="006503CA">
      <w:r>
        <w:separator/>
      </w:r>
    </w:p>
  </w:endnote>
  <w:endnote w:type="continuationSeparator" w:id="0">
    <w:p w14:paraId="0635B6A3" w14:textId="77777777" w:rsidR="002E65A3" w:rsidRDefault="002E65A3" w:rsidP="006503CA">
      <w:r>
        <w:continuationSeparator/>
      </w:r>
    </w:p>
  </w:endnote>
  <w:endnote w:type="continuationNotice" w:id="1">
    <w:p w14:paraId="4D975654" w14:textId="77777777" w:rsidR="002E65A3" w:rsidRDefault="002E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115F4C93" w:rsidR="00863A0F" w:rsidRPr="00863A0F" w:rsidRDefault="00000000" w:rsidP="004900C5">
    <w:pPr>
      <w:pStyle w:val="Footer"/>
      <w:jc w:val="both"/>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6A7B87">
          <w:t>February</w:t>
        </w:r>
        <w:r w:rsidR="00A04934">
          <w:t xml:space="preserve"> 202</w:t>
        </w:r>
        <w:r w:rsidR="00DE55B5">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282074"/>
      <w:docPartObj>
        <w:docPartGallery w:val="Page Numbers (Bottom of Page)"/>
        <w:docPartUnique/>
      </w:docPartObj>
    </w:sdtPr>
    <w:sdtEndPr>
      <w:rPr>
        <w:noProof/>
      </w:rPr>
    </w:sdtEndPr>
    <w:sdtContent>
      <w:p w14:paraId="7852A0F7" w14:textId="46AF9E7F" w:rsidR="004902A0" w:rsidRDefault="00490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B2B39" w14:textId="77777777" w:rsidR="004902A0" w:rsidRDefault="00490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0FBF" w14:textId="77777777" w:rsidR="002E65A3" w:rsidRDefault="002E65A3" w:rsidP="006503CA">
      <w:r>
        <w:separator/>
      </w:r>
    </w:p>
  </w:footnote>
  <w:footnote w:type="continuationSeparator" w:id="0">
    <w:p w14:paraId="24E593CF" w14:textId="77777777" w:rsidR="002E65A3" w:rsidRDefault="002E65A3" w:rsidP="006503CA">
      <w:r>
        <w:continuationSeparator/>
      </w:r>
    </w:p>
  </w:footnote>
  <w:footnote w:type="continuationNotice" w:id="1">
    <w:p w14:paraId="1BFD2C0E" w14:textId="77777777" w:rsidR="002E65A3" w:rsidRDefault="002E6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04"/>
    <w:multiLevelType w:val="hybridMultilevel"/>
    <w:tmpl w:val="8EF0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36FB"/>
    <w:multiLevelType w:val="hybridMultilevel"/>
    <w:tmpl w:val="FB4C1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96EDE"/>
    <w:multiLevelType w:val="hybridMultilevel"/>
    <w:tmpl w:val="F7C8710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929A8"/>
    <w:multiLevelType w:val="multilevel"/>
    <w:tmpl w:val="C96828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83B0C"/>
    <w:multiLevelType w:val="multilevel"/>
    <w:tmpl w:val="795C4B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0"/>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7AEB"/>
    <w:multiLevelType w:val="hybridMultilevel"/>
    <w:tmpl w:val="9B62A5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EB0D5F"/>
    <w:multiLevelType w:val="multilevel"/>
    <w:tmpl w:val="37C04326"/>
    <w:lvl w:ilvl="0">
      <w:start w:val="1"/>
      <w:numFmt w:val="decimal"/>
      <w:lvlRestart w:val="0"/>
      <w:pStyle w:val="DfESOutNumbered1"/>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7B5F49"/>
    <w:multiLevelType w:val="multilevel"/>
    <w:tmpl w:val="14F4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5"/>
      <w:numFmt w:val="lowerLetter"/>
      <w:lvlText w:val="%3)"/>
      <w:lvlJc w:val="left"/>
      <w:pPr>
        <w:ind w:left="2160" w:hanging="360"/>
      </w:pPr>
      <w:rPr>
        <w:rFonts w:hint="default"/>
        <w:color w:val="auto"/>
      </w:rPr>
    </w:lvl>
    <w:lvl w:ilvl="3">
      <w:start w:val="4"/>
      <w:numFmt w:val="decimal"/>
      <w:lvlText w:val="%4."/>
      <w:lvlJc w:val="left"/>
      <w:pPr>
        <w:ind w:left="2880" w:hanging="360"/>
      </w:pPr>
      <w:rPr>
        <w:rFonts w:hint="default"/>
        <w:color w:val="auto"/>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A564C"/>
    <w:multiLevelType w:val="hybridMultilevel"/>
    <w:tmpl w:val="9DB4AC14"/>
    <w:lvl w:ilvl="0" w:tplc="A8EACDE6">
      <w:start w:val="12"/>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ED571E"/>
    <w:multiLevelType w:val="multilevel"/>
    <w:tmpl w:val="B91ABB4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E60F32"/>
    <w:multiLevelType w:val="hybridMultilevel"/>
    <w:tmpl w:val="A2E24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543508"/>
    <w:multiLevelType w:val="hybridMultilevel"/>
    <w:tmpl w:val="7CEE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C7E2B"/>
    <w:multiLevelType w:val="multilevel"/>
    <w:tmpl w:val="B4D6FC68"/>
    <w:lvl w:ilvl="0">
      <w:start w:val="1"/>
      <w:numFmt w:val="decimal"/>
      <w:lvlText w:val="%1."/>
      <w:lvlJc w:val="left"/>
      <w:pPr>
        <w:ind w:left="720" w:hanging="360"/>
      </w:pPr>
      <w:rPr>
        <w:rFonts w:ascii="Arial" w:eastAsiaTheme="minorHAnsi" w:hAnsi="Arial" w:cs="Arial"/>
        <w:b w:val="0"/>
        <w:bCs/>
      </w:rPr>
    </w:lvl>
    <w:lvl w:ilvl="1">
      <w:start w:val="3"/>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77991"/>
    <w:multiLevelType w:val="multilevel"/>
    <w:tmpl w:val="21340C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B95A43"/>
    <w:multiLevelType w:val="multilevel"/>
    <w:tmpl w:val="831AF1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4"/>
      <w:numFmt w:val="decimal"/>
      <w:lvlText w:val="%3."/>
      <w:lvlJc w:val="left"/>
      <w:pPr>
        <w:ind w:left="2160" w:hanging="360"/>
      </w:pPr>
      <w:rPr>
        <w:rFonts w:hint="default"/>
        <w:b/>
        <w:bCs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3B0311"/>
    <w:multiLevelType w:val="multilevel"/>
    <w:tmpl w:val="A34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358EE"/>
    <w:multiLevelType w:val="multilevel"/>
    <w:tmpl w:val="C390F8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CD1F4F"/>
    <w:multiLevelType w:val="hybridMultilevel"/>
    <w:tmpl w:val="8C48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13286"/>
    <w:multiLevelType w:val="multilevel"/>
    <w:tmpl w:val="FA2C1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F52197"/>
    <w:multiLevelType w:val="multilevel"/>
    <w:tmpl w:val="A306BA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A67457"/>
    <w:multiLevelType w:val="multilevel"/>
    <w:tmpl w:val="6212A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6D240D"/>
    <w:multiLevelType w:val="multilevel"/>
    <w:tmpl w:val="6CD0FD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855357"/>
    <w:multiLevelType w:val="hybridMultilevel"/>
    <w:tmpl w:val="F2F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224B7"/>
    <w:multiLevelType w:val="hybridMultilevel"/>
    <w:tmpl w:val="13BC5F9C"/>
    <w:lvl w:ilvl="0" w:tplc="7D34ACD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B7E73"/>
    <w:multiLevelType w:val="hybridMultilevel"/>
    <w:tmpl w:val="F49811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9B67E6"/>
    <w:multiLevelType w:val="multilevel"/>
    <w:tmpl w:val="6F28F358"/>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0D46E2"/>
    <w:multiLevelType w:val="hybridMultilevel"/>
    <w:tmpl w:val="51303018"/>
    <w:lvl w:ilvl="0" w:tplc="0809000F">
      <w:start w:val="1"/>
      <w:numFmt w:val="decimal"/>
      <w:pStyle w:val="ListParagraph"/>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200485"/>
    <w:multiLevelType w:val="multilevel"/>
    <w:tmpl w:val="39ACD8D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9427B2"/>
    <w:multiLevelType w:val="multilevel"/>
    <w:tmpl w:val="133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209E5"/>
    <w:multiLevelType w:val="hybridMultilevel"/>
    <w:tmpl w:val="C340E320"/>
    <w:lvl w:ilvl="0" w:tplc="F13E7BB8">
      <w:start w:val="12"/>
      <w:numFmt w:val="decimal"/>
      <w:lvlText w:val="%1."/>
      <w:lvlJc w:val="left"/>
      <w:pPr>
        <w:ind w:left="3780" w:hanging="360"/>
      </w:pPr>
      <w:rPr>
        <w:rFonts w:hint="default"/>
      </w:r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30" w15:restartNumberingAfterBreak="0">
    <w:nsid w:val="57F05BE7"/>
    <w:multiLevelType w:val="hybridMultilevel"/>
    <w:tmpl w:val="AEA4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00726"/>
    <w:multiLevelType w:val="hybridMultilevel"/>
    <w:tmpl w:val="4448D0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DE7DD1"/>
    <w:multiLevelType w:val="hybridMultilevel"/>
    <w:tmpl w:val="615ED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536EE6"/>
    <w:multiLevelType w:val="hybridMultilevel"/>
    <w:tmpl w:val="53CC27C8"/>
    <w:lvl w:ilvl="0" w:tplc="FAC8519C">
      <w:start w:val="9"/>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4594FEE"/>
    <w:multiLevelType w:val="hybridMultilevel"/>
    <w:tmpl w:val="34062E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7302FD"/>
    <w:multiLevelType w:val="hybridMultilevel"/>
    <w:tmpl w:val="A6687F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DC43F7"/>
    <w:multiLevelType w:val="hybridMultilevel"/>
    <w:tmpl w:val="3A4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12587"/>
    <w:multiLevelType w:val="hybridMultilevel"/>
    <w:tmpl w:val="C4DA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55522"/>
    <w:multiLevelType w:val="multilevel"/>
    <w:tmpl w:val="7C565BD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EA2550C"/>
    <w:multiLevelType w:val="hybridMultilevel"/>
    <w:tmpl w:val="7340F0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06470830">
    <w:abstractNumId w:val="6"/>
  </w:num>
  <w:num w:numId="2" w16cid:durableId="1911184296">
    <w:abstractNumId w:val="1"/>
  </w:num>
  <w:num w:numId="3" w16cid:durableId="964579950">
    <w:abstractNumId w:val="30"/>
  </w:num>
  <w:num w:numId="4" w16cid:durableId="1827821611">
    <w:abstractNumId w:val="15"/>
  </w:num>
  <w:num w:numId="5" w16cid:durableId="1648779861">
    <w:abstractNumId w:val="14"/>
  </w:num>
  <w:num w:numId="6" w16cid:durableId="1847741136">
    <w:abstractNumId w:val="4"/>
  </w:num>
  <w:num w:numId="7" w16cid:durableId="2093970392">
    <w:abstractNumId w:val="28"/>
  </w:num>
  <w:num w:numId="8" w16cid:durableId="953514133">
    <w:abstractNumId w:val="7"/>
  </w:num>
  <w:num w:numId="9" w16cid:durableId="861943102">
    <w:abstractNumId w:val="10"/>
  </w:num>
  <w:num w:numId="10" w16cid:durableId="534075816">
    <w:abstractNumId w:val="23"/>
  </w:num>
  <w:num w:numId="11" w16cid:durableId="368648385">
    <w:abstractNumId w:val="26"/>
  </w:num>
  <w:num w:numId="12" w16cid:durableId="2001273878">
    <w:abstractNumId w:val="0"/>
  </w:num>
  <w:num w:numId="13" w16cid:durableId="1836875310">
    <w:abstractNumId w:val="5"/>
  </w:num>
  <w:num w:numId="14" w16cid:durableId="1359545069">
    <w:abstractNumId w:val="34"/>
  </w:num>
  <w:num w:numId="15" w16cid:durableId="1941446228">
    <w:abstractNumId w:val="17"/>
  </w:num>
  <w:num w:numId="16" w16cid:durableId="533541166">
    <w:abstractNumId w:val="39"/>
  </w:num>
  <w:num w:numId="17" w16cid:durableId="92746714">
    <w:abstractNumId w:val="37"/>
  </w:num>
  <w:num w:numId="18" w16cid:durableId="1531988636">
    <w:abstractNumId w:val="24"/>
  </w:num>
  <w:num w:numId="19" w16cid:durableId="1670985743">
    <w:abstractNumId w:val="31"/>
  </w:num>
  <w:num w:numId="20" w16cid:durableId="2143884045">
    <w:abstractNumId w:val="2"/>
  </w:num>
  <w:num w:numId="21" w16cid:durableId="1318194438">
    <w:abstractNumId w:val="22"/>
  </w:num>
  <w:num w:numId="22" w16cid:durableId="1449276710">
    <w:abstractNumId w:val="32"/>
  </w:num>
  <w:num w:numId="23" w16cid:durableId="1138183876">
    <w:abstractNumId w:val="33"/>
  </w:num>
  <w:num w:numId="24" w16cid:durableId="1913924620">
    <w:abstractNumId w:val="29"/>
  </w:num>
  <w:num w:numId="25" w16cid:durableId="1136995556">
    <w:abstractNumId w:val="8"/>
  </w:num>
  <w:num w:numId="26" w16cid:durableId="442699752">
    <w:abstractNumId w:val="36"/>
  </w:num>
  <w:num w:numId="27" w16cid:durableId="1542128516">
    <w:abstractNumId w:val="3"/>
  </w:num>
  <w:num w:numId="28" w16cid:durableId="1203175552">
    <w:abstractNumId w:val="12"/>
  </w:num>
  <w:num w:numId="29" w16cid:durableId="871771884">
    <w:abstractNumId w:val="19"/>
  </w:num>
  <w:num w:numId="30" w16cid:durableId="1340541604">
    <w:abstractNumId w:val="21"/>
  </w:num>
  <w:num w:numId="31" w16cid:durableId="1717046210">
    <w:abstractNumId w:val="20"/>
  </w:num>
  <w:num w:numId="32" w16cid:durableId="52701388">
    <w:abstractNumId w:val="16"/>
  </w:num>
  <w:num w:numId="33" w16cid:durableId="40710258">
    <w:abstractNumId w:val="27"/>
  </w:num>
  <w:num w:numId="34" w16cid:durableId="394015272">
    <w:abstractNumId w:val="25"/>
  </w:num>
  <w:num w:numId="35" w16cid:durableId="162672305">
    <w:abstractNumId w:val="9"/>
  </w:num>
  <w:num w:numId="36" w16cid:durableId="862325222">
    <w:abstractNumId w:val="38"/>
  </w:num>
  <w:num w:numId="37" w16cid:durableId="102498730">
    <w:abstractNumId w:val="13"/>
  </w:num>
  <w:num w:numId="38" w16cid:durableId="140267511">
    <w:abstractNumId w:val="18"/>
  </w:num>
  <w:num w:numId="39" w16cid:durableId="1428844795">
    <w:abstractNumId w:val="11"/>
  </w:num>
  <w:num w:numId="40" w16cid:durableId="164484718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0D2"/>
    <w:rsid w:val="00000CC5"/>
    <w:rsid w:val="000015A7"/>
    <w:rsid w:val="000015B7"/>
    <w:rsid w:val="00002962"/>
    <w:rsid w:val="0000381D"/>
    <w:rsid w:val="00003EE4"/>
    <w:rsid w:val="00004710"/>
    <w:rsid w:val="00004B63"/>
    <w:rsid w:val="00004D1A"/>
    <w:rsid w:val="000053F3"/>
    <w:rsid w:val="00005A7F"/>
    <w:rsid w:val="000063EE"/>
    <w:rsid w:val="0000701F"/>
    <w:rsid w:val="00007B66"/>
    <w:rsid w:val="00007E20"/>
    <w:rsid w:val="00010423"/>
    <w:rsid w:val="00010EEF"/>
    <w:rsid w:val="0001128C"/>
    <w:rsid w:val="0001138F"/>
    <w:rsid w:val="00012FC7"/>
    <w:rsid w:val="0001333B"/>
    <w:rsid w:val="000137D9"/>
    <w:rsid w:val="00013CDE"/>
    <w:rsid w:val="00015734"/>
    <w:rsid w:val="000215C0"/>
    <w:rsid w:val="00021984"/>
    <w:rsid w:val="00021DCC"/>
    <w:rsid w:val="00021FC4"/>
    <w:rsid w:val="00022281"/>
    <w:rsid w:val="00022290"/>
    <w:rsid w:val="00022573"/>
    <w:rsid w:val="0002258A"/>
    <w:rsid w:val="00022C3C"/>
    <w:rsid w:val="00023479"/>
    <w:rsid w:val="00023945"/>
    <w:rsid w:val="00023FB6"/>
    <w:rsid w:val="00025359"/>
    <w:rsid w:val="00026D3C"/>
    <w:rsid w:val="0002704F"/>
    <w:rsid w:val="0002745A"/>
    <w:rsid w:val="00027571"/>
    <w:rsid w:val="000300B5"/>
    <w:rsid w:val="00031D02"/>
    <w:rsid w:val="00033742"/>
    <w:rsid w:val="000341A4"/>
    <w:rsid w:val="00035B25"/>
    <w:rsid w:val="00037F5A"/>
    <w:rsid w:val="000405C2"/>
    <w:rsid w:val="00041132"/>
    <w:rsid w:val="000424C7"/>
    <w:rsid w:val="000429A3"/>
    <w:rsid w:val="00043960"/>
    <w:rsid w:val="00043CAE"/>
    <w:rsid w:val="000442E6"/>
    <w:rsid w:val="00044601"/>
    <w:rsid w:val="000448DF"/>
    <w:rsid w:val="00045A6C"/>
    <w:rsid w:val="00045A9B"/>
    <w:rsid w:val="00050454"/>
    <w:rsid w:val="00050A78"/>
    <w:rsid w:val="00051408"/>
    <w:rsid w:val="00051969"/>
    <w:rsid w:val="00053A43"/>
    <w:rsid w:val="00053C71"/>
    <w:rsid w:val="00054377"/>
    <w:rsid w:val="000544AE"/>
    <w:rsid w:val="00054C72"/>
    <w:rsid w:val="000610DE"/>
    <w:rsid w:val="0006252F"/>
    <w:rsid w:val="00063157"/>
    <w:rsid w:val="00065DE2"/>
    <w:rsid w:val="00066AD8"/>
    <w:rsid w:val="00067990"/>
    <w:rsid w:val="00070573"/>
    <w:rsid w:val="00071B98"/>
    <w:rsid w:val="000740E5"/>
    <w:rsid w:val="00075863"/>
    <w:rsid w:val="00076A5E"/>
    <w:rsid w:val="0008040B"/>
    <w:rsid w:val="000832F4"/>
    <w:rsid w:val="000857C1"/>
    <w:rsid w:val="00087FF4"/>
    <w:rsid w:val="0009041F"/>
    <w:rsid w:val="000919C3"/>
    <w:rsid w:val="00091D66"/>
    <w:rsid w:val="00092118"/>
    <w:rsid w:val="00092A48"/>
    <w:rsid w:val="00094BC6"/>
    <w:rsid w:val="00094F76"/>
    <w:rsid w:val="0009723B"/>
    <w:rsid w:val="000978D0"/>
    <w:rsid w:val="000A70A6"/>
    <w:rsid w:val="000B12A8"/>
    <w:rsid w:val="000B1796"/>
    <w:rsid w:val="000B1AF5"/>
    <w:rsid w:val="000B1DB6"/>
    <w:rsid w:val="000B57AA"/>
    <w:rsid w:val="000B5E67"/>
    <w:rsid w:val="000B6E58"/>
    <w:rsid w:val="000B78D3"/>
    <w:rsid w:val="000B7BA6"/>
    <w:rsid w:val="000B7C59"/>
    <w:rsid w:val="000C19BB"/>
    <w:rsid w:val="000C2431"/>
    <w:rsid w:val="000C2438"/>
    <w:rsid w:val="000C3A28"/>
    <w:rsid w:val="000C4678"/>
    <w:rsid w:val="000C50F2"/>
    <w:rsid w:val="000D0004"/>
    <w:rsid w:val="000D09C9"/>
    <w:rsid w:val="000D0B6E"/>
    <w:rsid w:val="000D2277"/>
    <w:rsid w:val="000D513F"/>
    <w:rsid w:val="000D6220"/>
    <w:rsid w:val="000D6AD1"/>
    <w:rsid w:val="000D76F5"/>
    <w:rsid w:val="000D7888"/>
    <w:rsid w:val="000E0694"/>
    <w:rsid w:val="000E11DD"/>
    <w:rsid w:val="000E13DE"/>
    <w:rsid w:val="000E4001"/>
    <w:rsid w:val="000E4460"/>
    <w:rsid w:val="000E5064"/>
    <w:rsid w:val="000E56EF"/>
    <w:rsid w:val="000E5A5C"/>
    <w:rsid w:val="000E6145"/>
    <w:rsid w:val="000E627C"/>
    <w:rsid w:val="000E7248"/>
    <w:rsid w:val="000E79CD"/>
    <w:rsid w:val="000F059A"/>
    <w:rsid w:val="000F0C38"/>
    <w:rsid w:val="000F0DE1"/>
    <w:rsid w:val="000F0EAE"/>
    <w:rsid w:val="000F15DB"/>
    <w:rsid w:val="000F3C48"/>
    <w:rsid w:val="000F7237"/>
    <w:rsid w:val="001004C6"/>
    <w:rsid w:val="00100B44"/>
    <w:rsid w:val="001015BE"/>
    <w:rsid w:val="00102BA1"/>
    <w:rsid w:val="00102BE2"/>
    <w:rsid w:val="00103603"/>
    <w:rsid w:val="00104BC2"/>
    <w:rsid w:val="00105FF5"/>
    <w:rsid w:val="001072C2"/>
    <w:rsid w:val="00111546"/>
    <w:rsid w:val="00111EC6"/>
    <w:rsid w:val="00112E9B"/>
    <w:rsid w:val="00114036"/>
    <w:rsid w:val="00114FFF"/>
    <w:rsid w:val="00120875"/>
    <w:rsid w:val="00120F50"/>
    <w:rsid w:val="00121B20"/>
    <w:rsid w:val="001226C9"/>
    <w:rsid w:val="00124EAB"/>
    <w:rsid w:val="001267F3"/>
    <w:rsid w:val="00126A53"/>
    <w:rsid w:val="00127360"/>
    <w:rsid w:val="001305AB"/>
    <w:rsid w:val="001311AE"/>
    <w:rsid w:val="00131F17"/>
    <w:rsid w:val="0013260E"/>
    <w:rsid w:val="00137817"/>
    <w:rsid w:val="00137C74"/>
    <w:rsid w:val="0014115F"/>
    <w:rsid w:val="00142B35"/>
    <w:rsid w:val="00145189"/>
    <w:rsid w:val="00146C9B"/>
    <w:rsid w:val="00147EAA"/>
    <w:rsid w:val="00150D43"/>
    <w:rsid w:val="00150DA1"/>
    <w:rsid w:val="00151FC7"/>
    <w:rsid w:val="0015366C"/>
    <w:rsid w:val="001538CC"/>
    <w:rsid w:val="00155D01"/>
    <w:rsid w:val="0015679A"/>
    <w:rsid w:val="00157B0A"/>
    <w:rsid w:val="00157D64"/>
    <w:rsid w:val="00161042"/>
    <w:rsid w:val="00161623"/>
    <w:rsid w:val="00163CBC"/>
    <w:rsid w:val="00171103"/>
    <w:rsid w:val="001722A2"/>
    <w:rsid w:val="00174CE7"/>
    <w:rsid w:val="00176CD2"/>
    <w:rsid w:val="00176E86"/>
    <w:rsid w:val="00177054"/>
    <w:rsid w:val="00180655"/>
    <w:rsid w:val="00181643"/>
    <w:rsid w:val="00181AF9"/>
    <w:rsid w:val="00181DD0"/>
    <w:rsid w:val="0018264F"/>
    <w:rsid w:val="0018269A"/>
    <w:rsid w:val="00184A7D"/>
    <w:rsid w:val="00184F7D"/>
    <w:rsid w:val="0018501F"/>
    <w:rsid w:val="00186CCF"/>
    <w:rsid w:val="001907B4"/>
    <w:rsid w:val="00191503"/>
    <w:rsid w:val="00191DCE"/>
    <w:rsid w:val="001934BD"/>
    <w:rsid w:val="001948EF"/>
    <w:rsid w:val="00194DCA"/>
    <w:rsid w:val="00195E0D"/>
    <w:rsid w:val="001970F4"/>
    <w:rsid w:val="00197152"/>
    <w:rsid w:val="001A0585"/>
    <w:rsid w:val="001A0C0E"/>
    <w:rsid w:val="001A1305"/>
    <w:rsid w:val="001A1BC1"/>
    <w:rsid w:val="001A1F9E"/>
    <w:rsid w:val="001A200B"/>
    <w:rsid w:val="001A28C1"/>
    <w:rsid w:val="001A362B"/>
    <w:rsid w:val="001A3A89"/>
    <w:rsid w:val="001A4169"/>
    <w:rsid w:val="001A4254"/>
    <w:rsid w:val="001A4D93"/>
    <w:rsid w:val="001A5745"/>
    <w:rsid w:val="001A5921"/>
    <w:rsid w:val="001A67CA"/>
    <w:rsid w:val="001A69F2"/>
    <w:rsid w:val="001A7DF5"/>
    <w:rsid w:val="001B0346"/>
    <w:rsid w:val="001B11E5"/>
    <w:rsid w:val="001B15AC"/>
    <w:rsid w:val="001B2187"/>
    <w:rsid w:val="001B2550"/>
    <w:rsid w:val="001B4D76"/>
    <w:rsid w:val="001B7CCD"/>
    <w:rsid w:val="001C0462"/>
    <w:rsid w:val="001C07DA"/>
    <w:rsid w:val="001C20A7"/>
    <w:rsid w:val="001C2C3B"/>
    <w:rsid w:val="001C33BB"/>
    <w:rsid w:val="001C350C"/>
    <w:rsid w:val="001C3A8A"/>
    <w:rsid w:val="001C4404"/>
    <w:rsid w:val="001C7564"/>
    <w:rsid w:val="001D04CF"/>
    <w:rsid w:val="001D2B66"/>
    <w:rsid w:val="001D38E9"/>
    <w:rsid w:val="001D4161"/>
    <w:rsid w:val="001D5C42"/>
    <w:rsid w:val="001D5DC7"/>
    <w:rsid w:val="001D5F3A"/>
    <w:rsid w:val="001D7AD6"/>
    <w:rsid w:val="001E05C0"/>
    <w:rsid w:val="001E11B9"/>
    <w:rsid w:val="001E16B8"/>
    <w:rsid w:val="001E2EC7"/>
    <w:rsid w:val="001E3429"/>
    <w:rsid w:val="001E487A"/>
    <w:rsid w:val="001E4A30"/>
    <w:rsid w:val="001E4BAB"/>
    <w:rsid w:val="001E4DCE"/>
    <w:rsid w:val="001E699D"/>
    <w:rsid w:val="001E7731"/>
    <w:rsid w:val="001F35CA"/>
    <w:rsid w:val="001F4317"/>
    <w:rsid w:val="001F4ADC"/>
    <w:rsid w:val="001F622D"/>
    <w:rsid w:val="00200AB6"/>
    <w:rsid w:val="0020115E"/>
    <w:rsid w:val="00201AAC"/>
    <w:rsid w:val="00202688"/>
    <w:rsid w:val="00202FB0"/>
    <w:rsid w:val="00204476"/>
    <w:rsid w:val="00204F3D"/>
    <w:rsid w:val="00205051"/>
    <w:rsid w:val="002051BA"/>
    <w:rsid w:val="00207D43"/>
    <w:rsid w:val="00210B4A"/>
    <w:rsid w:val="00212AB0"/>
    <w:rsid w:val="00213E81"/>
    <w:rsid w:val="00213E9A"/>
    <w:rsid w:val="002148D2"/>
    <w:rsid w:val="0021533F"/>
    <w:rsid w:val="00215FDF"/>
    <w:rsid w:val="002164FE"/>
    <w:rsid w:val="00216F8A"/>
    <w:rsid w:val="00222A2B"/>
    <w:rsid w:val="00224420"/>
    <w:rsid w:val="002249F5"/>
    <w:rsid w:val="00226956"/>
    <w:rsid w:val="002306DB"/>
    <w:rsid w:val="00231E3D"/>
    <w:rsid w:val="00232384"/>
    <w:rsid w:val="00232EFC"/>
    <w:rsid w:val="00234EB7"/>
    <w:rsid w:val="00236D96"/>
    <w:rsid w:val="002408CF"/>
    <w:rsid w:val="00241FF6"/>
    <w:rsid w:val="0024366A"/>
    <w:rsid w:val="00243D6C"/>
    <w:rsid w:val="00244742"/>
    <w:rsid w:val="00245F58"/>
    <w:rsid w:val="0024613B"/>
    <w:rsid w:val="00247846"/>
    <w:rsid w:val="00247A60"/>
    <w:rsid w:val="00247E54"/>
    <w:rsid w:val="002503D0"/>
    <w:rsid w:val="00252A6F"/>
    <w:rsid w:val="0025309D"/>
    <w:rsid w:val="002546DC"/>
    <w:rsid w:val="002604E2"/>
    <w:rsid w:val="00260AF5"/>
    <w:rsid w:val="0026130E"/>
    <w:rsid w:val="00261B24"/>
    <w:rsid w:val="00262CBA"/>
    <w:rsid w:val="00264840"/>
    <w:rsid w:val="002656AA"/>
    <w:rsid w:val="00265720"/>
    <w:rsid w:val="002665EF"/>
    <w:rsid w:val="0026668B"/>
    <w:rsid w:val="00266C53"/>
    <w:rsid w:val="002677D8"/>
    <w:rsid w:val="00267A8B"/>
    <w:rsid w:val="00267AC2"/>
    <w:rsid w:val="002705CE"/>
    <w:rsid w:val="00270D65"/>
    <w:rsid w:val="00270F35"/>
    <w:rsid w:val="002717C5"/>
    <w:rsid w:val="00271951"/>
    <w:rsid w:val="00272C59"/>
    <w:rsid w:val="0027349E"/>
    <w:rsid w:val="00273FD5"/>
    <w:rsid w:val="00275AEE"/>
    <w:rsid w:val="002776FD"/>
    <w:rsid w:val="00280773"/>
    <w:rsid w:val="00280A49"/>
    <w:rsid w:val="00281BE2"/>
    <w:rsid w:val="00283EB1"/>
    <w:rsid w:val="0028484B"/>
    <w:rsid w:val="0028518B"/>
    <w:rsid w:val="00286962"/>
    <w:rsid w:val="00287187"/>
    <w:rsid w:val="00287264"/>
    <w:rsid w:val="002904E8"/>
    <w:rsid w:val="002911D7"/>
    <w:rsid w:val="002913CB"/>
    <w:rsid w:val="0029451C"/>
    <w:rsid w:val="00296FFD"/>
    <w:rsid w:val="002A0867"/>
    <w:rsid w:val="002A1CF5"/>
    <w:rsid w:val="002A2B5A"/>
    <w:rsid w:val="002A31FF"/>
    <w:rsid w:val="002A4444"/>
    <w:rsid w:val="002A7E39"/>
    <w:rsid w:val="002B1328"/>
    <w:rsid w:val="002B23DA"/>
    <w:rsid w:val="002B3F76"/>
    <w:rsid w:val="002B462B"/>
    <w:rsid w:val="002B4B89"/>
    <w:rsid w:val="002B4EBF"/>
    <w:rsid w:val="002B5174"/>
    <w:rsid w:val="002B7E52"/>
    <w:rsid w:val="002C1DE2"/>
    <w:rsid w:val="002C27E0"/>
    <w:rsid w:val="002C331B"/>
    <w:rsid w:val="002C5353"/>
    <w:rsid w:val="002C6CE1"/>
    <w:rsid w:val="002D0C99"/>
    <w:rsid w:val="002D0E33"/>
    <w:rsid w:val="002D5712"/>
    <w:rsid w:val="002D6A05"/>
    <w:rsid w:val="002D6F37"/>
    <w:rsid w:val="002D71CA"/>
    <w:rsid w:val="002D7A5D"/>
    <w:rsid w:val="002D7F1B"/>
    <w:rsid w:val="002E1467"/>
    <w:rsid w:val="002E3EA8"/>
    <w:rsid w:val="002E65A3"/>
    <w:rsid w:val="002E67BD"/>
    <w:rsid w:val="002E69CA"/>
    <w:rsid w:val="002E792A"/>
    <w:rsid w:val="002F0C6B"/>
    <w:rsid w:val="002F1A6B"/>
    <w:rsid w:val="002F2A47"/>
    <w:rsid w:val="002F2C38"/>
    <w:rsid w:val="002F4C49"/>
    <w:rsid w:val="002F546C"/>
    <w:rsid w:val="002F5A64"/>
    <w:rsid w:val="002F72EE"/>
    <w:rsid w:val="002F7750"/>
    <w:rsid w:val="002F7A81"/>
    <w:rsid w:val="00303D2E"/>
    <w:rsid w:val="003052D5"/>
    <w:rsid w:val="003075C8"/>
    <w:rsid w:val="00307F60"/>
    <w:rsid w:val="003114E9"/>
    <w:rsid w:val="00314317"/>
    <w:rsid w:val="003147FB"/>
    <w:rsid w:val="00317896"/>
    <w:rsid w:val="00317F77"/>
    <w:rsid w:val="0032255F"/>
    <w:rsid w:val="00322E6D"/>
    <w:rsid w:val="0032390B"/>
    <w:rsid w:val="00324C27"/>
    <w:rsid w:val="00327444"/>
    <w:rsid w:val="00327643"/>
    <w:rsid w:val="00327E03"/>
    <w:rsid w:val="0033035F"/>
    <w:rsid w:val="003305BE"/>
    <w:rsid w:val="00330B9D"/>
    <w:rsid w:val="003319B0"/>
    <w:rsid w:val="0033269D"/>
    <w:rsid w:val="0033410D"/>
    <w:rsid w:val="0033644D"/>
    <w:rsid w:val="00336E00"/>
    <w:rsid w:val="0033702A"/>
    <w:rsid w:val="0033746D"/>
    <w:rsid w:val="0034214D"/>
    <w:rsid w:val="00342512"/>
    <w:rsid w:val="00343758"/>
    <w:rsid w:val="00343B43"/>
    <w:rsid w:val="0034418C"/>
    <w:rsid w:val="003448E2"/>
    <w:rsid w:val="00346483"/>
    <w:rsid w:val="003467E5"/>
    <w:rsid w:val="00347C08"/>
    <w:rsid w:val="00351E7F"/>
    <w:rsid w:val="003529BE"/>
    <w:rsid w:val="00353BE1"/>
    <w:rsid w:val="00355343"/>
    <w:rsid w:val="003564F5"/>
    <w:rsid w:val="003569D2"/>
    <w:rsid w:val="0035752B"/>
    <w:rsid w:val="00357A2D"/>
    <w:rsid w:val="00357B10"/>
    <w:rsid w:val="00357F87"/>
    <w:rsid w:val="003613FD"/>
    <w:rsid w:val="0036281E"/>
    <w:rsid w:val="00363233"/>
    <w:rsid w:val="00366764"/>
    <w:rsid w:val="00370ADF"/>
    <w:rsid w:val="00370BF3"/>
    <w:rsid w:val="00372A95"/>
    <w:rsid w:val="00373A5D"/>
    <w:rsid w:val="00373EB7"/>
    <w:rsid w:val="00374BAE"/>
    <w:rsid w:val="0037508E"/>
    <w:rsid w:val="0037707D"/>
    <w:rsid w:val="00377607"/>
    <w:rsid w:val="00380AB6"/>
    <w:rsid w:val="0038358A"/>
    <w:rsid w:val="00383F4F"/>
    <w:rsid w:val="003841CC"/>
    <w:rsid w:val="0038487B"/>
    <w:rsid w:val="00385A0E"/>
    <w:rsid w:val="003907B2"/>
    <w:rsid w:val="0039197D"/>
    <w:rsid w:val="0039371F"/>
    <w:rsid w:val="00393842"/>
    <w:rsid w:val="003941A4"/>
    <w:rsid w:val="00394829"/>
    <w:rsid w:val="00394FD2"/>
    <w:rsid w:val="0039583D"/>
    <w:rsid w:val="00396197"/>
    <w:rsid w:val="00397EF1"/>
    <w:rsid w:val="003A0804"/>
    <w:rsid w:val="003A1958"/>
    <w:rsid w:val="003A2165"/>
    <w:rsid w:val="003A3A57"/>
    <w:rsid w:val="003A6195"/>
    <w:rsid w:val="003A705E"/>
    <w:rsid w:val="003B2314"/>
    <w:rsid w:val="003B3095"/>
    <w:rsid w:val="003B4E3D"/>
    <w:rsid w:val="003B5648"/>
    <w:rsid w:val="003B5A05"/>
    <w:rsid w:val="003B5A08"/>
    <w:rsid w:val="003B653F"/>
    <w:rsid w:val="003B6656"/>
    <w:rsid w:val="003B77B6"/>
    <w:rsid w:val="003B7DB5"/>
    <w:rsid w:val="003C1144"/>
    <w:rsid w:val="003C15D2"/>
    <w:rsid w:val="003C2731"/>
    <w:rsid w:val="003C2A9A"/>
    <w:rsid w:val="003C577B"/>
    <w:rsid w:val="003C684E"/>
    <w:rsid w:val="003C6DC6"/>
    <w:rsid w:val="003C7920"/>
    <w:rsid w:val="003C7E7E"/>
    <w:rsid w:val="003D051F"/>
    <w:rsid w:val="003D1B71"/>
    <w:rsid w:val="003D246A"/>
    <w:rsid w:val="003D2966"/>
    <w:rsid w:val="003D4927"/>
    <w:rsid w:val="003D4E49"/>
    <w:rsid w:val="003D59F4"/>
    <w:rsid w:val="003D7D30"/>
    <w:rsid w:val="003E0551"/>
    <w:rsid w:val="003E56FD"/>
    <w:rsid w:val="003E69FC"/>
    <w:rsid w:val="003E72BC"/>
    <w:rsid w:val="003E7632"/>
    <w:rsid w:val="003E7D9D"/>
    <w:rsid w:val="003F040A"/>
    <w:rsid w:val="003F19CF"/>
    <w:rsid w:val="003F1B94"/>
    <w:rsid w:val="003F2B7D"/>
    <w:rsid w:val="003F3995"/>
    <w:rsid w:val="003F479A"/>
    <w:rsid w:val="003F48F1"/>
    <w:rsid w:val="003F4F01"/>
    <w:rsid w:val="003F5834"/>
    <w:rsid w:val="003F59FE"/>
    <w:rsid w:val="003F6679"/>
    <w:rsid w:val="003F6935"/>
    <w:rsid w:val="003F7330"/>
    <w:rsid w:val="004012E4"/>
    <w:rsid w:val="004021A6"/>
    <w:rsid w:val="00404B7D"/>
    <w:rsid w:val="00405D5D"/>
    <w:rsid w:val="004141DF"/>
    <w:rsid w:val="0041489F"/>
    <w:rsid w:val="004205FC"/>
    <w:rsid w:val="004218BA"/>
    <w:rsid w:val="00421A0E"/>
    <w:rsid w:val="00426E76"/>
    <w:rsid w:val="0043242E"/>
    <w:rsid w:val="004326C0"/>
    <w:rsid w:val="00433C1C"/>
    <w:rsid w:val="00433FD9"/>
    <w:rsid w:val="004347DB"/>
    <w:rsid w:val="00435CC0"/>
    <w:rsid w:val="0044123A"/>
    <w:rsid w:val="00442EC8"/>
    <w:rsid w:val="00443A62"/>
    <w:rsid w:val="004453A0"/>
    <w:rsid w:val="004456F1"/>
    <w:rsid w:val="00445FE5"/>
    <w:rsid w:val="004471F4"/>
    <w:rsid w:val="004513B0"/>
    <w:rsid w:val="00451E3E"/>
    <w:rsid w:val="00452397"/>
    <w:rsid w:val="004534CD"/>
    <w:rsid w:val="00453737"/>
    <w:rsid w:val="00454B00"/>
    <w:rsid w:val="00454F5C"/>
    <w:rsid w:val="004609AF"/>
    <w:rsid w:val="004610ED"/>
    <w:rsid w:val="00461C44"/>
    <w:rsid w:val="004623A6"/>
    <w:rsid w:val="00462AF4"/>
    <w:rsid w:val="0046343E"/>
    <w:rsid w:val="0046430E"/>
    <w:rsid w:val="0046540D"/>
    <w:rsid w:val="0046680B"/>
    <w:rsid w:val="00470C4A"/>
    <w:rsid w:val="004716A6"/>
    <w:rsid w:val="004723C1"/>
    <w:rsid w:val="00474284"/>
    <w:rsid w:val="00474789"/>
    <w:rsid w:val="00475436"/>
    <w:rsid w:val="00476AEC"/>
    <w:rsid w:val="0047717E"/>
    <w:rsid w:val="00477EEC"/>
    <w:rsid w:val="004800D3"/>
    <w:rsid w:val="00483B24"/>
    <w:rsid w:val="00485223"/>
    <w:rsid w:val="004855A4"/>
    <w:rsid w:val="00486DDF"/>
    <w:rsid w:val="004870E2"/>
    <w:rsid w:val="004900C5"/>
    <w:rsid w:val="004902A0"/>
    <w:rsid w:val="00491303"/>
    <w:rsid w:val="00492BC2"/>
    <w:rsid w:val="00493CA2"/>
    <w:rsid w:val="004960B7"/>
    <w:rsid w:val="00496272"/>
    <w:rsid w:val="00496BA9"/>
    <w:rsid w:val="004A0CCC"/>
    <w:rsid w:val="004A0E06"/>
    <w:rsid w:val="004A1480"/>
    <w:rsid w:val="004A2487"/>
    <w:rsid w:val="004A2FE6"/>
    <w:rsid w:val="004A3391"/>
    <w:rsid w:val="004A393E"/>
    <w:rsid w:val="004A3E4A"/>
    <w:rsid w:val="004A42E1"/>
    <w:rsid w:val="004A4C60"/>
    <w:rsid w:val="004A5870"/>
    <w:rsid w:val="004A6504"/>
    <w:rsid w:val="004A7719"/>
    <w:rsid w:val="004A7BF3"/>
    <w:rsid w:val="004A7D71"/>
    <w:rsid w:val="004B01AD"/>
    <w:rsid w:val="004B03A4"/>
    <w:rsid w:val="004B1499"/>
    <w:rsid w:val="004B1506"/>
    <w:rsid w:val="004B28A3"/>
    <w:rsid w:val="004B2D77"/>
    <w:rsid w:val="004B6915"/>
    <w:rsid w:val="004C06D5"/>
    <w:rsid w:val="004C10A2"/>
    <w:rsid w:val="004C33DE"/>
    <w:rsid w:val="004C36B2"/>
    <w:rsid w:val="004C4A82"/>
    <w:rsid w:val="004C5E6F"/>
    <w:rsid w:val="004C6511"/>
    <w:rsid w:val="004D033E"/>
    <w:rsid w:val="004D0736"/>
    <w:rsid w:val="004D0FE0"/>
    <w:rsid w:val="004D2EF6"/>
    <w:rsid w:val="004D370B"/>
    <w:rsid w:val="004D7009"/>
    <w:rsid w:val="004D7451"/>
    <w:rsid w:val="004E0F47"/>
    <w:rsid w:val="004E342F"/>
    <w:rsid w:val="004E5F8F"/>
    <w:rsid w:val="004E73BA"/>
    <w:rsid w:val="004F33CD"/>
    <w:rsid w:val="004F497E"/>
    <w:rsid w:val="004F4C0E"/>
    <w:rsid w:val="004F5622"/>
    <w:rsid w:val="004F58BE"/>
    <w:rsid w:val="004F5AA9"/>
    <w:rsid w:val="0050033B"/>
    <w:rsid w:val="00501949"/>
    <w:rsid w:val="005039B3"/>
    <w:rsid w:val="00505CBD"/>
    <w:rsid w:val="00505D61"/>
    <w:rsid w:val="005079B8"/>
    <w:rsid w:val="00512017"/>
    <w:rsid w:val="005120C7"/>
    <w:rsid w:val="005124FE"/>
    <w:rsid w:val="00513054"/>
    <w:rsid w:val="005133DC"/>
    <w:rsid w:val="00513DF2"/>
    <w:rsid w:val="00514F26"/>
    <w:rsid w:val="005175BF"/>
    <w:rsid w:val="005200BE"/>
    <w:rsid w:val="005206A6"/>
    <w:rsid w:val="0052144F"/>
    <w:rsid w:val="005233F7"/>
    <w:rsid w:val="00523F5B"/>
    <w:rsid w:val="00525007"/>
    <w:rsid w:val="005262D0"/>
    <w:rsid w:val="00530D96"/>
    <w:rsid w:val="00531181"/>
    <w:rsid w:val="00532B95"/>
    <w:rsid w:val="00532FCA"/>
    <w:rsid w:val="0053381B"/>
    <w:rsid w:val="00537C92"/>
    <w:rsid w:val="00537D79"/>
    <w:rsid w:val="00541835"/>
    <w:rsid w:val="00542987"/>
    <w:rsid w:val="00544A57"/>
    <w:rsid w:val="00545676"/>
    <w:rsid w:val="00545820"/>
    <w:rsid w:val="00546A50"/>
    <w:rsid w:val="00546FE6"/>
    <w:rsid w:val="00547353"/>
    <w:rsid w:val="00550C4F"/>
    <w:rsid w:val="00551299"/>
    <w:rsid w:val="00551B40"/>
    <w:rsid w:val="00551DB3"/>
    <w:rsid w:val="005523C7"/>
    <w:rsid w:val="005526F6"/>
    <w:rsid w:val="00553096"/>
    <w:rsid w:val="005538C9"/>
    <w:rsid w:val="005547A2"/>
    <w:rsid w:val="005553A0"/>
    <w:rsid w:val="00555C2E"/>
    <w:rsid w:val="00555FC8"/>
    <w:rsid w:val="00560CFA"/>
    <w:rsid w:val="00562429"/>
    <w:rsid w:val="005651F3"/>
    <w:rsid w:val="0056595A"/>
    <w:rsid w:val="00565F8F"/>
    <w:rsid w:val="00565F9F"/>
    <w:rsid w:val="005662AE"/>
    <w:rsid w:val="005665B9"/>
    <w:rsid w:val="00571AD2"/>
    <w:rsid w:val="00571D4E"/>
    <w:rsid w:val="00573D53"/>
    <w:rsid w:val="005741D0"/>
    <w:rsid w:val="005752BD"/>
    <w:rsid w:val="00575940"/>
    <w:rsid w:val="00575F23"/>
    <w:rsid w:val="00575F56"/>
    <w:rsid w:val="005761C0"/>
    <w:rsid w:val="0057658A"/>
    <w:rsid w:val="005803C2"/>
    <w:rsid w:val="00580905"/>
    <w:rsid w:val="00581A47"/>
    <w:rsid w:val="005822E3"/>
    <w:rsid w:val="005830A0"/>
    <w:rsid w:val="005833C4"/>
    <w:rsid w:val="005848BE"/>
    <w:rsid w:val="005852BF"/>
    <w:rsid w:val="00585B50"/>
    <w:rsid w:val="005864BE"/>
    <w:rsid w:val="005867D7"/>
    <w:rsid w:val="005872B0"/>
    <w:rsid w:val="00590441"/>
    <w:rsid w:val="0059236F"/>
    <w:rsid w:val="005924EE"/>
    <w:rsid w:val="00592607"/>
    <w:rsid w:val="00592778"/>
    <w:rsid w:val="00592977"/>
    <w:rsid w:val="005929DA"/>
    <w:rsid w:val="005932B6"/>
    <w:rsid w:val="005939F9"/>
    <w:rsid w:val="0059498D"/>
    <w:rsid w:val="005951C1"/>
    <w:rsid w:val="005959DC"/>
    <w:rsid w:val="00596B12"/>
    <w:rsid w:val="00597086"/>
    <w:rsid w:val="005975C5"/>
    <w:rsid w:val="005A0911"/>
    <w:rsid w:val="005A0B00"/>
    <w:rsid w:val="005A17F2"/>
    <w:rsid w:val="005A1C66"/>
    <w:rsid w:val="005A2164"/>
    <w:rsid w:val="005A2BF7"/>
    <w:rsid w:val="005A5AD7"/>
    <w:rsid w:val="005A5E0E"/>
    <w:rsid w:val="005A7891"/>
    <w:rsid w:val="005B0C42"/>
    <w:rsid w:val="005B0DFE"/>
    <w:rsid w:val="005B1A89"/>
    <w:rsid w:val="005B1B25"/>
    <w:rsid w:val="005B1BDE"/>
    <w:rsid w:val="005B792C"/>
    <w:rsid w:val="005B7A2C"/>
    <w:rsid w:val="005C00DA"/>
    <w:rsid w:val="005C02C6"/>
    <w:rsid w:val="005C10EB"/>
    <w:rsid w:val="005C1310"/>
    <w:rsid w:val="005C2312"/>
    <w:rsid w:val="005C364F"/>
    <w:rsid w:val="005C55BB"/>
    <w:rsid w:val="005C5973"/>
    <w:rsid w:val="005C59FE"/>
    <w:rsid w:val="005C6753"/>
    <w:rsid w:val="005D02AC"/>
    <w:rsid w:val="005D02BE"/>
    <w:rsid w:val="005D05F8"/>
    <w:rsid w:val="005D060C"/>
    <w:rsid w:val="005D361D"/>
    <w:rsid w:val="005D53CC"/>
    <w:rsid w:val="005D5691"/>
    <w:rsid w:val="005E0F27"/>
    <w:rsid w:val="005E156A"/>
    <w:rsid w:val="005E53A0"/>
    <w:rsid w:val="005E5BA6"/>
    <w:rsid w:val="005E7E4C"/>
    <w:rsid w:val="005F35EC"/>
    <w:rsid w:val="005F6AD9"/>
    <w:rsid w:val="005F707E"/>
    <w:rsid w:val="00600544"/>
    <w:rsid w:val="00602624"/>
    <w:rsid w:val="0060291F"/>
    <w:rsid w:val="00603A5E"/>
    <w:rsid w:val="006054DA"/>
    <w:rsid w:val="00605935"/>
    <w:rsid w:val="00605CC1"/>
    <w:rsid w:val="006102AA"/>
    <w:rsid w:val="0061092C"/>
    <w:rsid w:val="006114D7"/>
    <w:rsid w:val="00612046"/>
    <w:rsid w:val="006123E1"/>
    <w:rsid w:val="00612691"/>
    <w:rsid w:val="006134F1"/>
    <w:rsid w:val="0061456B"/>
    <w:rsid w:val="006168F5"/>
    <w:rsid w:val="00616E87"/>
    <w:rsid w:val="006207FD"/>
    <w:rsid w:val="00620F08"/>
    <w:rsid w:val="00621F6A"/>
    <w:rsid w:val="00623DAB"/>
    <w:rsid w:val="00624452"/>
    <w:rsid w:val="006254A7"/>
    <w:rsid w:val="00625601"/>
    <w:rsid w:val="006257A3"/>
    <w:rsid w:val="006258C0"/>
    <w:rsid w:val="00625E96"/>
    <w:rsid w:val="006263C7"/>
    <w:rsid w:val="00626889"/>
    <w:rsid w:val="00627FA7"/>
    <w:rsid w:val="00630020"/>
    <w:rsid w:val="00630A4A"/>
    <w:rsid w:val="006317BA"/>
    <w:rsid w:val="00631BDF"/>
    <w:rsid w:val="00631C7F"/>
    <w:rsid w:val="00631E47"/>
    <w:rsid w:val="00632C26"/>
    <w:rsid w:val="0063602A"/>
    <w:rsid w:val="006366C0"/>
    <w:rsid w:val="0063721E"/>
    <w:rsid w:val="00637919"/>
    <w:rsid w:val="006432B0"/>
    <w:rsid w:val="006433C3"/>
    <w:rsid w:val="006439EC"/>
    <w:rsid w:val="0064637F"/>
    <w:rsid w:val="00646C89"/>
    <w:rsid w:val="00647A72"/>
    <w:rsid w:val="006503CA"/>
    <w:rsid w:val="00650A77"/>
    <w:rsid w:val="0065174B"/>
    <w:rsid w:val="00652AE6"/>
    <w:rsid w:val="006533FB"/>
    <w:rsid w:val="00653FD2"/>
    <w:rsid w:val="006548C0"/>
    <w:rsid w:val="00654E8A"/>
    <w:rsid w:val="00655C8C"/>
    <w:rsid w:val="0065608E"/>
    <w:rsid w:val="0065679A"/>
    <w:rsid w:val="0066007C"/>
    <w:rsid w:val="006612A1"/>
    <w:rsid w:val="00661A22"/>
    <w:rsid w:val="00662583"/>
    <w:rsid w:val="0066298D"/>
    <w:rsid w:val="00665437"/>
    <w:rsid w:val="00665669"/>
    <w:rsid w:val="00667F7C"/>
    <w:rsid w:val="00673B52"/>
    <w:rsid w:val="0068021D"/>
    <w:rsid w:val="00683A8D"/>
    <w:rsid w:val="00683C37"/>
    <w:rsid w:val="00684EF3"/>
    <w:rsid w:val="006861B8"/>
    <w:rsid w:val="00686595"/>
    <w:rsid w:val="00687389"/>
    <w:rsid w:val="00692E8A"/>
    <w:rsid w:val="0069317B"/>
    <w:rsid w:val="00695D52"/>
    <w:rsid w:val="00695FA9"/>
    <w:rsid w:val="00696A4A"/>
    <w:rsid w:val="00696EBB"/>
    <w:rsid w:val="006A03F7"/>
    <w:rsid w:val="006A0781"/>
    <w:rsid w:val="006A1B59"/>
    <w:rsid w:val="006A2231"/>
    <w:rsid w:val="006A311B"/>
    <w:rsid w:val="006A4442"/>
    <w:rsid w:val="006A4A2D"/>
    <w:rsid w:val="006A5851"/>
    <w:rsid w:val="006A623D"/>
    <w:rsid w:val="006A754E"/>
    <w:rsid w:val="006A76CD"/>
    <w:rsid w:val="006A7B87"/>
    <w:rsid w:val="006A7CA3"/>
    <w:rsid w:val="006B2448"/>
    <w:rsid w:val="006B2978"/>
    <w:rsid w:val="006B4724"/>
    <w:rsid w:val="006B4E51"/>
    <w:rsid w:val="006B6EB1"/>
    <w:rsid w:val="006B7BE7"/>
    <w:rsid w:val="006C0B41"/>
    <w:rsid w:val="006C11DC"/>
    <w:rsid w:val="006C1B5D"/>
    <w:rsid w:val="006C2685"/>
    <w:rsid w:val="006C3874"/>
    <w:rsid w:val="006C5F6E"/>
    <w:rsid w:val="006D0163"/>
    <w:rsid w:val="006D0542"/>
    <w:rsid w:val="006D06F1"/>
    <w:rsid w:val="006D14AE"/>
    <w:rsid w:val="006D2340"/>
    <w:rsid w:val="006D244F"/>
    <w:rsid w:val="006D26C8"/>
    <w:rsid w:val="006D2F9A"/>
    <w:rsid w:val="006D3A36"/>
    <w:rsid w:val="006D4384"/>
    <w:rsid w:val="006D6842"/>
    <w:rsid w:val="006E060F"/>
    <w:rsid w:val="006E2E12"/>
    <w:rsid w:val="006E5187"/>
    <w:rsid w:val="006E6D69"/>
    <w:rsid w:val="006E7621"/>
    <w:rsid w:val="006F1EA3"/>
    <w:rsid w:val="006F6D96"/>
    <w:rsid w:val="0070282F"/>
    <w:rsid w:val="00703A92"/>
    <w:rsid w:val="00703C01"/>
    <w:rsid w:val="00704EF7"/>
    <w:rsid w:val="00705EAC"/>
    <w:rsid w:val="00706290"/>
    <w:rsid w:val="0070660B"/>
    <w:rsid w:val="00707471"/>
    <w:rsid w:val="00707873"/>
    <w:rsid w:val="0071004B"/>
    <w:rsid w:val="00711712"/>
    <w:rsid w:val="00713625"/>
    <w:rsid w:val="00713C85"/>
    <w:rsid w:val="00714AD8"/>
    <w:rsid w:val="00717D49"/>
    <w:rsid w:val="007208E9"/>
    <w:rsid w:val="0072311C"/>
    <w:rsid w:val="007269D6"/>
    <w:rsid w:val="00726C09"/>
    <w:rsid w:val="00726CB0"/>
    <w:rsid w:val="00730260"/>
    <w:rsid w:val="00731D90"/>
    <w:rsid w:val="007338EF"/>
    <w:rsid w:val="0073409E"/>
    <w:rsid w:val="00734FE9"/>
    <w:rsid w:val="007368FD"/>
    <w:rsid w:val="00740085"/>
    <w:rsid w:val="00740132"/>
    <w:rsid w:val="007409C8"/>
    <w:rsid w:val="00744203"/>
    <w:rsid w:val="00744BC1"/>
    <w:rsid w:val="00747452"/>
    <w:rsid w:val="00747D98"/>
    <w:rsid w:val="00751420"/>
    <w:rsid w:val="007543CE"/>
    <w:rsid w:val="007550E4"/>
    <w:rsid w:val="00755900"/>
    <w:rsid w:val="00762DEF"/>
    <w:rsid w:val="00767977"/>
    <w:rsid w:val="00770594"/>
    <w:rsid w:val="00770657"/>
    <w:rsid w:val="00774FCB"/>
    <w:rsid w:val="0077525C"/>
    <w:rsid w:val="007752B0"/>
    <w:rsid w:val="00776248"/>
    <w:rsid w:val="00777AD0"/>
    <w:rsid w:val="00777EF4"/>
    <w:rsid w:val="007808C0"/>
    <w:rsid w:val="00781EA2"/>
    <w:rsid w:val="00782446"/>
    <w:rsid w:val="00782AE6"/>
    <w:rsid w:val="00784210"/>
    <w:rsid w:val="0078444C"/>
    <w:rsid w:val="00785232"/>
    <w:rsid w:val="00786EC1"/>
    <w:rsid w:val="007870DC"/>
    <w:rsid w:val="007910A8"/>
    <w:rsid w:val="00791147"/>
    <w:rsid w:val="00791595"/>
    <w:rsid w:val="007921C8"/>
    <w:rsid w:val="00792E23"/>
    <w:rsid w:val="00794A8C"/>
    <w:rsid w:val="007A18DA"/>
    <w:rsid w:val="007A1D05"/>
    <w:rsid w:val="007A23B2"/>
    <w:rsid w:val="007A3412"/>
    <w:rsid w:val="007A510B"/>
    <w:rsid w:val="007A51DF"/>
    <w:rsid w:val="007A5D99"/>
    <w:rsid w:val="007A6834"/>
    <w:rsid w:val="007B3603"/>
    <w:rsid w:val="007B3AD4"/>
    <w:rsid w:val="007B6C9C"/>
    <w:rsid w:val="007C07EB"/>
    <w:rsid w:val="007C1621"/>
    <w:rsid w:val="007C3075"/>
    <w:rsid w:val="007C3434"/>
    <w:rsid w:val="007C362B"/>
    <w:rsid w:val="007C387A"/>
    <w:rsid w:val="007C3BD4"/>
    <w:rsid w:val="007C4FCA"/>
    <w:rsid w:val="007C5988"/>
    <w:rsid w:val="007C660D"/>
    <w:rsid w:val="007C7BB8"/>
    <w:rsid w:val="007D0690"/>
    <w:rsid w:val="007D2117"/>
    <w:rsid w:val="007D2B68"/>
    <w:rsid w:val="007D42AE"/>
    <w:rsid w:val="007D63C6"/>
    <w:rsid w:val="007D6734"/>
    <w:rsid w:val="007D6D9B"/>
    <w:rsid w:val="007D7B8B"/>
    <w:rsid w:val="007E0732"/>
    <w:rsid w:val="007E0E5D"/>
    <w:rsid w:val="007E18D1"/>
    <w:rsid w:val="007E1F0C"/>
    <w:rsid w:val="007E2D2F"/>
    <w:rsid w:val="007E2D95"/>
    <w:rsid w:val="007E30AB"/>
    <w:rsid w:val="007E3130"/>
    <w:rsid w:val="007E3423"/>
    <w:rsid w:val="007E4DE5"/>
    <w:rsid w:val="007E54DE"/>
    <w:rsid w:val="007E5680"/>
    <w:rsid w:val="007E56FD"/>
    <w:rsid w:val="007F0CB8"/>
    <w:rsid w:val="007F39E6"/>
    <w:rsid w:val="007F4B3F"/>
    <w:rsid w:val="007F5BD9"/>
    <w:rsid w:val="007F79B4"/>
    <w:rsid w:val="008015C5"/>
    <w:rsid w:val="00801624"/>
    <w:rsid w:val="0080283C"/>
    <w:rsid w:val="0080482D"/>
    <w:rsid w:val="00805F6F"/>
    <w:rsid w:val="00806DCC"/>
    <w:rsid w:val="0080791A"/>
    <w:rsid w:val="00807B1D"/>
    <w:rsid w:val="008107B8"/>
    <w:rsid w:val="00814CA4"/>
    <w:rsid w:val="008170C4"/>
    <w:rsid w:val="008179C3"/>
    <w:rsid w:val="008218F0"/>
    <w:rsid w:val="00821C50"/>
    <w:rsid w:val="00822B67"/>
    <w:rsid w:val="00822E6F"/>
    <w:rsid w:val="00823701"/>
    <w:rsid w:val="00823FB2"/>
    <w:rsid w:val="00824131"/>
    <w:rsid w:val="008273C9"/>
    <w:rsid w:val="008305EF"/>
    <w:rsid w:val="00831AB2"/>
    <w:rsid w:val="00833E54"/>
    <w:rsid w:val="00835496"/>
    <w:rsid w:val="008366C0"/>
    <w:rsid w:val="00837138"/>
    <w:rsid w:val="00837AE1"/>
    <w:rsid w:val="00841B5B"/>
    <w:rsid w:val="00843E9D"/>
    <w:rsid w:val="0084407F"/>
    <w:rsid w:val="008443B2"/>
    <w:rsid w:val="00844660"/>
    <w:rsid w:val="00850555"/>
    <w:rsid w:val="00854462"/>
    <w:rsid w:val="0085674D"/>
    <w:rsid w:val="00856A7B"/>
    <w:rsid w:val="00861DEE"/>
    <w:rsid w:val="00862570"/>
    <w:rsid w:val="00862FEC"/>
    <w:rsid w:val="00863A0F"/>
    <w:rsid w:val="0086497C"/>
    <w:rsid w:val="0086540A"/>
    <w:rsid w:val="00866BC2"/>
    <w:rsid w:val="008709BA"/>
    <w:rsid w:val="00871C71"/>
    <w:rsid w:val="00871FA2"/>
    <w:rsid w:val="008733A8"/>
    <w:rsid w:val="008743CB"/>
    <w:rsid w:val="00874A1C"/>
    <w:rsid w:val="008761B3"/>
    <w:rsid w:val="00876C20"/>
    <w:rsid w:val="00883270"/>
    <w:rsid w:val="00883DD0"/>
    <w:rsid w:val="00884088"/>
    <w:rsid w:val="00884CD0"/>
    <w:rsid w:val="00887B78"/>
    <w:rsid w:val="00892F60"/>
    <w:rsid w:val="00893855"/>
    <w:rsid w:val="008950AF"/>
    <w:rsid w:val="008958BF"/>
    <w:rsid w:val="00896AA5"/>
    <w:rsid w:val="008A006F"/>
    <w:rsid w:val="008A06C2"/>
    <w:rsid w:val="008A0A5F"/>
    <w:rsid w:val="008A12BE"/>
    <w:rsid w:val="008A189F"/>
    <w:rsid w:val="008A18DE"/>
    <w:rsid w:val="008A254A"/>
    <w:rsid w:val="008A6F85"/>
    <w:rsid w:val="008B1377"/>
    <w:rsid w:val="008B2F9F"/>
    <w:rsid w:val="008B7BBB"/>
    <w:rsid w:val="008C191A"/>
    <w:rsid w:val="008C1D46"/>
    <w:rsid w:val="008C1E62"/>
    <w:rsid w:val="008C2BCF"/>
    <w:rsid w:val="008C42B9"/>
    <w:rsid w:val="008C4477"/>
    <w:rsid w:val="008C4687"/>
    <w:rsid w:val="008C7571"/>
    <w:rsid w:val="008D1D4F"/>
    <w:rsid w:val="008D2685"/>
    <w:rsid w:val="008D2DCA"/>
    <w:rsid w:val="008D30F4"/>
    <w:rsid w:val="008D51A7"/>
    <w:rsid w:val="008D6DFE"/>
    <w:rsid w:val="008D785F"/>
    <w:rsid w:val="008E0B6D"/>
    <w:rsid w:val="008E348A"/>
    <w:rsid w:val="008E3F61"/>
    <w:rsid w:val="008E471F"/>
    <w:rsid w:val="008E50D2"/>
    <w:rsid w:val="008E53BD"/>
    <w:rsid w:val="008E5AC3"/>
    <w:rsid w:val="008E69CB"/>
    <w:rsid w:val="008E7462"/>
    <w:rsid w:val="008E7710"/>
    <w:rsid w:val="008F0CA1"/>
    <w:rsid w:val="008F1065"/>
    <w:rsid w:val="008F1CEA"/>
    <w:rsid w:val="008F3765"/>
    <w:rsid w:val="008F5DAC"/>
    <w:rsid w:val="008F67F7"/>
    <w:rsid w:val="008F74FC"/>
    <w:rsid w:val="008F7A3A"/>
    <w:rsid w:val="00900FC0"/>
    <w:rsid w:val="00901086"/>
    <w:rsid w:val="00901875"/>
    <w:rsid w:val="00902475"/>
    <w:rsid w:val="009025A5"/>
    <w:rsid w:val="00902AFA"/>
    <w:rsid w:val="009035C6"/>
    <w:rsid w:val="009049CB"/>
    <w:rsid w:val="00904DE8"/>
    <w:rsid w:val="009059CF"/>
    <w:rsid w:val="00905A11"/>
    <w:rsid w:val="00905F65"/>
    <w:rsid w:val="009073F8"/>
    <w:rsid w:val="00910516"/>
    <w:rsid w:val="0091188A"/>
    <w:rsid w:val="00911A2E"/>
    <w:rsid w:val="00911C3B"/>
    <w:rsid w:val="0091222F"/>
    <w:rsid w:val="009138D0"/>
    <w:rsid w:val="00914962"/>
    <w:rsid w:val="009150D0"/>
    <w:rsid w:val="00915FBA"/>
    <w:rsid w:val="009164BF"/>
    <w:rsid w:val="00920CE2"/>
    <w:rsid w:val="009215F2"/>
    <w:rsid w:val="009215FA"/>
    <w:rsid w:val="00921779"/>
    <w:rsid w:val="009226A7"/>
    <w:rsid w:val="009238DD"/>
    <w:rsid w:val="0092699C"/>
    <w:rsid w:val="00927C98"/>
    <w:rsid w:val="009303B9"/>
    <w:rsid w:val="00931FE4"/>
    <w:rsid w:val="00932152"/>
    <w:rsid w:val="0093491E"/>
    <w:rsid w:val="00934D9D"/>
    <w:rsid w:val="00936661"/>
    <w:rsid w:val="009374F3"/>
    <w:rsid w:val="009402FE"/>
    <w:rsid w:val="0094107C"/>
    <w:rsid w:val="00941FA5"/>
    <w:rsid w:val="0094398F"/>
    <w:rsid w:val="00943F5A"/>
    <w:rsid w:val="009475F6"/>
    <w:rsid w:val="00950283"/>
    <w:rsid w:val="00950C72"/>
    <w:rsid w:val="009513A9"/>
    <w:rsid w:val="009547B3"/>
    <w:rsid w:val="00957A08"/>
    <w:rsid w:val="00957C19"/>
    <w:rsid w:val="00961BD0"/>
    <w:rsid w:val="00962CBC"/>
    <w:rsid w:val="00963BC9"/>
    <w:rsid w:val="00963FBB"/>
    <w:rsid w:val="00965E67"/>
    <w:rsid w:val="00966003"/>
    <w:rsid w:val="0096643E"/>
    <w:rsid w:val="00966643"/>
    <w:rsid w:val="00970103"/>
    <w:rsid w:val="00972347"/>
    <w:rsid w:val="00972ABC"/>
    <w:rsid w:val="00974D2B"/>
    <w:rsid w:val="0097692C"/>
    <w:rsid w:val="00981349"/>
    <w:rsid w:val="00982D3C"/>
    <w:rsid w:val="009834D3"/>
    <w:rsid w:val="00983614"/>
    <w:rsid w:val="00984630"/>
    <w:rsid w:val="0098610A"/>
    <w:rsid w:val="0098668E"/>
    <w:rsid w:val="00991F5E"/>
    <w:rsid w:val="009924DE"/>
    <w:rsid w:val="009962E6"/>
    <w:rsid w:val="0099678F"/>
    <w:rsid w:val="009971A5"/>
    <w:rsid w:val="009A32A1"/>
    <w:rsid w:val="009A42E0"/>
    <w:rsid w:val="009A49B2"/>
    <w:rsid w:val="009A5A4B"/>
    <w:rsid w:val="009A5CEC"/>
    <w:rsid w:val="009A6284"/>
    <w:rsid w:val="009A62DD"/>
    <w:rsid w:val="009A726E"/>
    <w:rsid w:val="009A7916"/>
    <w:rsid w:val="009B17DE"/>
    <w:rsid w:val="009B4391"/>
    <w:rsid w:val="009B7EFF"/>
    <w:rsid w:val="009C0E71"/>
    <w:rsid w:val="009C1176"/>
    <w:rsid w:val="009C170E"/>
    <w:rsid w:val="009C181F"/>
    <w:rsid w:val="009C1826"/>
    <w:rsid w:val="009C1A5D"/>
    <w:rsid w:val="009C215C"/>
    <w:rsid w:val="009C3A27"/>
    <w:rsid w:val="009C3AF9"/>
    <w:rsid w:val="009C3C53"/>
    <w:rsid w:val="009C49F1"/>
    <w:rsid w:val="009C6A4C"/>
    <w:rsid w:val="009C7E4E"/>
    <w:rsid w:val="009D03D1"/>
    <w:rsid w:val="009D18E1"/>
    <w:rsid w:val="009D1C75"/>
    <w:rsid w:val="009D2462"/>
    <w:rsid w:val="009D2DFF"/>
    <w:rsid w:val="009D3ED1"/>
    <w:rsid w:val="009D4DA2"/>
    <w:rsid w:val="009D5521"/>
    <w:rsid w:val="009D5709"/>
    <w:rsid w:val="009D6B0E"/>
    <w:rsid w:val="009D6B19"/>
    <w:rsid w:val="009D6CE2"/>
    <w:rsid w:val="009D701A"/>
    <w:rsid w:val="009D7F6E"/>
    <w:rsid w:val="009E0A0F"/>
    <w:rsid w:val="009E2EC5"/>
    <w:rsid w:val="009E38E9"/>
    <w:rsid w:val="009E4A89"/>
    <w:rsid w:val="009E7B9E"/>
    <w:rsid w:val="009F0386"/>
    <w:rsid w:val="009F0E56"/>
    <w:rsid w:val="009F6452"/>
    <w:rsid w:val="009F777C"/>
    <w:rsid w:val="00A043F4"/>
    <w:rsid w:val="00A04934"/>
    <w:rsid w:val="00A1075D"/>
    <w:rsid w:val="00A1183D"/>
    <w:rsid w:val="00A133D9"/>
    <w:rsid w:val="00A143AB"/>
    <w:rsid w:val="00A143DE"/>
    <w:rsid w:val="00A1580A"/>
    <w:rsid w:val="00A200BB"/>
    <w:rsid w:val="00A212B8"/>
    <w:rsid w:val="00A21FB2"/>
    <w:rsid w:val="00A22D18"/>
    <w:rsid w:val="00A22D7A"/>
    <w:rsid w:val="00A25D4F"/>
    <w:rsid w:val="00A26AB7"/>
    <w:rsid w:val="00A27E59"/>
    <w:rsid w:val="00A3107E"/>
    <w:rsid w:val="00A339EB"/>
    <w:rsid w:val="00A33DFA"/>
    <w:rsid w:val="00A33FDC"/>
    <w:rsid w:val="00A34A99"/>
    <w:rsid w:val="00A37D44"/>
    <w:rsid w:val="00A400E6"/>
    <w:rsid w:val="00A407E1"/>
    <w:rsid w:val="00A40F20"/>
    <w:rsid w:val="00A419E9"/>
    <w:rsid w:val="00A41D30"/>
    <w:rsid w:val="00A42BF7"/>
    <w:rsid w:val="00A43A49"/>
    <w:rsid w:val="00A443EA"/>
    <w:rsid w:val="00A447D1"/>
    <w:rsid w:val="00A5287E"/>
    <w:rsid w:val="00A534EF"/>
    <w:rsid w:val="00A53FB4"/>
    <w:rsid w:val="00A55EDE"/>
    <w:rsid w:val="00A578E0"/>
    <w:rsid w:val="00A60E72"/>
    <w:rsid w:val="00A61083"/>
    <w:rsid w:val="00A625CD"/>
    <w:rsid w:val="00A62651"/>
    <w:rsid w:val="00A63C76"/>
    <w:rsid w:val="00A6415B"/>
    <w:rsid w:val="00A654A9"/>
    <w:rsid w:val="00A6578E"/>
    <w:rsid w:val="00A66C5B"/>
    <w:rsid w:val="00A67D7B"/>
    <w:rsid w:val="00A70546"/>
    <w:rsid w:val="00A7075D"/>
    <w:rsid w:val="00A72DFD"/>
    <w:rsid w:val="00A7318A"/>
    <w:rsid w:val="00A74A4C"/>
    <w:rsid w:val="00A756EE"/>
    <w:rsid w:val="00A757D6"/>
    <w:rsid w:val="00A7655C"/>
    <w:rsid w:val="00A8245E"/>
    <w:rsid w:val="00A82D0E"/>
    <w:rsid w:val="00A90649"/>
    <w:rsid w:val="00A907EF"/>
    <w:rsid w:val="00A90BEA"/>
    <w:rsid w:val="00A90BFD"/>
    <w:rsid w:val="00A90F3C"/>
    <w:rsid w:val="00A9390E"/>
    <w:rsid w:val="00A94033"/>
    <w:rsid w:val="00A94299"/>
    <w:rsid w:val="00A9607A"/>
    <w:rsid w:val="00A96B83"/>
    <w:rsid w:val="00A9730D"/>
    <w:rsid w:val="00AA0E65"/>
    <w:rsid w:val="00AA4126"/>
    <w:rsid w:val="00AA4DB5"/>
    <w:rsid w:val="00AA5E40"/>
    <w:rsid w:val="00AA5F79"/>
    <w:rsid w:val="00AA6446"/>
    <w:rsid w:val="00AA74F5"/>
    <w:rsid w:val="00AB0E59"/>
    <w:rsid w:val="00AB3CF8"/>
    <w:rsid w:val="00AB416C"/>
    <w:rsid w:val="00AB4BCB"/>
    <w:rsid w:val="00AB550B"/>
    <w:rsid w:val="00AB56CB"/>
    <w:rsid w:val="00AB59FE"/>
    <w:rsid w:val="00AB5C21"/>
    <w:rsid w:val="00AB60A9"/>
    <w:rsid w:val="00AB65DB"/>
    <w:rsid w:val="00AB6EC2"/>
    <w:rsid w:val="00AB7F4F"/>
    <w:rsid w:val="00AC0891"/>
    <w:rsid w:val="00AC1705"/>
    <w:rsid w:val="00AC4653"/>
    <w:rsid w:val="00AC5EEC"/>
    <w:rsid w:val="00AC732B"/>
    <w:rsid w:val="00AD073C"/>
    <w:rsid w:val="00AD33F5"/>
    <w:rsid w:val="00AD3C10"/>
    <w:rsid w:val="00AD4FB4"/>
    <w:rsid w:val="00AD5595"/>
    <w:rsid w:val="00AD5BBC"/>
    <w:rsid w:val="00AE1C97"/>
    <w:rsid w:val="00AE26BF"/>
    <w:rsid w:val="00AE44A4"/>
    <w:rsid w:val="00AE54FB"/>
    <w:rsid w:val="00AF258A"/>
    <w:rsid w:val="00AF2D20"/>
    <w:rsid w:val="00AF3260"/>
    <w:rsid w:val="00AF4616"/>
    <w:rsid w:val="00AF5642"/>
    <w:rsid w:val="00AF5CAB"/>
    <w:rsid w:val="00AF7DFD"/>
    <w:rsid w:val="00B031D1"/>
    <w:rsid w:val="00B03691"/>
    <w:rsid w:val="00B0376F"/>
    <w:rsid w:val="00B048B4"/>
    <w:rsid w:val="00B1049D"/>
    <w:rsid w:val="00B105C4"/>
    <w:rsid w:val="00B10981"/>
    <w:rsid w:val="00B11052"/>
    <w:rsid w:val="00B1210D"/>
    <w:rsid w:val="00B12671"/>
    <w:rsid w:val="00B143E0"/>
    <w:rsid w:val="00B16113"/>
    <w:rsid w:val="00B161FC"/>
    <w:rsid w:val="00B17211"/>
    <w:rsid w:val="00B1734F"/>
    <w:rsid w:val="00B23A99"/>
    <w:rsid w:val="00B252F7"/>
    <w:rsid w:val="00B267BA"/>
    <w:rsid w:val="00B2710D"/>
    <w:rsid w:val="00B27D06"/>
    <w:rsid w:val="00B307D8"/>
    <w:rsid w:val="00B34E36"/>
    <w:rsid w:val="00B3588F"/>
    <w:rsid w:val="00B358FE"/>
    <w:rsid w:val="00B35BCD"/>
    <w:rsid w:val="00B3612B"/>
    <w:rsid w:val="00B37713"/>
    <w:rsid w:val="00B40710"/>
    <w:rsid w:val="00B41253"/>
    <w:rsid w:val="00B41D40"/>
    <w:rsid w:val="00B42077"/>
    <w:rsid w:val="00B42969"/>
    <w:rsid w:val="00B43B82"/>
    <w:rsid w:val="00B43D05"/>
    <w:rsid w:val="00B44372"/>
    <w:rsid w:val="00B447B8"/>
    <w:rsid w:val="00B45265"/>
    <w:rsid w:val="00B51517"/>
    <w:rsid w:val="00B5236C"/>
    <w:rsid w:val="00B52AD7"/>
    <w:rsid w:val="00B55028"/>
    <w:rsid w:val="00B55AF2"/>
    <w:rsid w:val="00B56D0B"/>
    <w:rsid w:val="00B60FDA"/>
    <w:rsid w:val="00B63EC4"/>
    <w:rsid w:val="00B64265"/>
    <w:rsid w:val="00B64495"/>
    <w:rsid w:val="00B6563E"/>
    <w:rsid w:val="00B65C9C"/>
    <w:rsid w:val="00B72975"/>
    <w:rsid w:val="00B73022"/>
    <w:rsid w:val="00B73B55"/>
    <w:rsid w:val="00B73D89"/>
    <w:rsid w:val="00B742B8"/>
    <w:rsid w:val="00B76484"/>
    <w:rsid w:val="00B766C3"/>
    <w:rsid w:val="00B779B2"/>
    <w:rsid w:val="00B80108"/>
    <w:rsid w:val="00B81B0E"/>
    <w:rsid w:val="00B8227E"/>
    <w:rsid w:val="00B826FE"/>
    <w:rsid w:val="00B837DA"/>
    <w:rsid w:val="00B83C76"/>
    <w:rsid w:val="00B84AF6"/>
    <w:rsid w:val="00B85DC2"/>
    <w:rsid w:val="00B86B99"/>
    <w:rsid w:val="00B86E8F"/>
    <w:rsid w:val="00B87055"/>
    <w:rsid w:val="00B8789C"/>
    <w:rsid w:val="00B87F64"/>
    <w:rsid w:val="00B913E2"/>
    <w:rsid w:val="00B9241E"/>
    <w:rsid w:val="00B92913"/>
    <w:rsid w:val="00B93BA7"/>
    <w:rsid w:val="00B94595"/>
    <w:rsid w:val="00B949AB"/>
    <w:rsid w:val="00B95DC1"/>
    <w:rsid w:val="00B95E0F"/>
    <w:rsid w:val="00B960CA"/>
    <w:rsid w:val="00BA0C45"/>
    <w:rsid w:val="00BA18A0"/>
    <w:rsid w:val="00BA36F5"/>
    <w:rsid w:val="00BA4F8C"/>
    <w:rsid w:val="00BA6147"/>
    <w:rsid w:val="00BA784F"/>
    <w:rsid w:val="00BA7ECF"/>
    <w:rsid w:val="00BB4DF3"/>
    <w:rsid w:val="00BB6D9E"/>
    <w:rsid w:val="00BB6E6D"/>
    <w:rsid w:val="00BB78EB"/>
    <w:rsid w:val="00BC09DA"/>
    <w:rsid w:val="00BC2967"/>
    <w:rsid w:val="00BC5108"/>
    <w:rsid w:val="00BC5181"/>
    <w:rsid w:val="00BC5EB7"/>
    <w:rsid w:val="00BC7291"/>
    <w:rsid w:val="00BD1ED6"/>
    <w:rsid w:val="00BD345C"/>
    <w:rsid w:val="00BD3BAA"/>
    <w:rsid w:val="00BD4B2B"/>
    <w:rsid w:val="00BD6186"/>
    <w:rsid w:val="00BD6F9F"/>
    <w:rsid w:val="00BD76C4"/>
    <w:rsid w:val="00BD7B52"/>
    <w:rsid w:val="00BD7CA2"/>
    <w:rsid w:val="00BE1296"/>
    <w:rsid w:val="00BE1E67"/>
    <w:rsid w:val="00BE2162"/>
    <w:rsid w:val="00BE5116"/>
    <w:rsid w:val="00BE6DD8"/>
    <w:rsid w:val="00BE7080"/>
    <w:rsid w:val="00BE7B39"/>
    <w:rsid w:val="00BF127A"/>
    <w:rsid w:val="00BF128C"/>
    <w:rsid w:val="00BF159F"/>
    <w:rsid w:val="00BF16A9"/>
    <w:rsid w:val="00BF25B5"/>
    <w:rsid w:val="00BF3D35"/>
    <w:rsid w:val="00BF48F4"/>
    <w:rsid w:val="00BF59B7"/>
    <w:rsid w:val="00BF5FA6"/>
    <w:rsid w:val="00BF6845"/>
    <w:rsid w:val="00BF70A1"/>
    <w:rsid w:val="00BF726F"/>
    <w:rsid w:val="00BF7CCC"/>
    <w:rsid w:val="00C00EDC"/>
    <w:rsid w:val="00C02967"/>
    <w:rsid w:val="00C029D2"/>
    <w:rsid w:val="00C02F19"/>
    <w:rsid w:val="00C0453D"/>
    <w:rsid w:val="00C04BCA"/>
    <w:rsid w:val="00C063C6"/>
    <w:rsid w:val="00C068E7"/>
    <w:rsid w:val="00C068FD"/>
    <w:rsid w:val="00C10A64"/>
    <w:rsid w:val="00C11021"/>
    <w:rsid w:val="00C126B6"/>
    <w:rsid w:val="00C127EB"/>
    <w:rsid w:val="00C12F3B"/>
    <w:rsid w:val="00C160E2"/>
    <w:rsid w:val="00C1626F"/>
    <w:rsid w:val="00C20DDF"/>
    <w:rsid w:val="00C21403"/>
    <w:rsid w:val="00C2193D"/>
    <w:rsid w:val="00C221B4"/>
    <w:rsid w:val="00C22D9C"/>
    <w:rsid w:val="00C234A4"/>
    <w:rsid w:val="00C23634"/>
    <w:rsid w:val="00C24E04"/>
    <w:rsid w:val="00C25599"/>
    <w:rsid w:val="00C257A5"/>
    <w:rsid w:val="00C265F5"/>
    <w:rsid w:val="00C271B3"/>
    <w:rsid w:val="00C27907"/>
    <w:rsid w:val="00C301EF"/>
    <w:rsid w:val="00C31616"/>
    <w:rsid w:val="00C31974"/>
    <w:rsid w:val="00C319F9"/>
    <w:rsid w:val="00C35C18"/>
    <w:rsid w:val="00C36F8E"/>
    <w:rsid w:val="00C3754D"/>
    <w:rsid w:val="00C37907"/>
    <w:rsid w:val="00C37E64"/>
    <w:rsid w:val="00C43ABA"/>
    <w:rsid w:val="00C44CBF"/>
    <w:rsid w:val="00C44E9A"/>
    <w:rsid w:val="00C45787"/>
    <w:rsid w:val="00C45CDA"/>
    <w:rsid w:val="00C53913"/>
    <w:rsid w:val="00C53D14"/>
    <w:rsid w:val="00C546B8"/>
    <w:rsid w:val="00C55735"/>
    <w:rsid w:val="00C55906"/>
    <w:rsid w:val="00C55CCF"/>
    <w:rsid w:val="00C56B9C"/>
    <w:rsid w:val="00C57362"/>
    <w:rsid w:val="00C60961"/>
    <w:rsid w:val="00C60AF4"/>
    <w:rsid w:val="00C61B6A"/>
    <w:rsid w:val="00C62EF1"/>
    <w:rsid w:val="00C63AD2"/>
    <w:rsid w:val="00C6529E"/>
    <w:rsid w:val="00C658B1"/>
    <w:rsid w:val="00C66C48"/>
    <w:rsid w:val="00C71A99"/>
    <w:rsid w:val="00C71D8F"/>
    <w:rsid w:val="00C759A4"/>
    <w:rsid w:val="00C816D5"/>
    <w:rsid w:val="00C8265C"/>
    <w:rsid w:val="00C830D1"/>
    <w:rsid w:val="00C834BD"/>
    <w:rsid w:val="00C836DA"/>
    <w:rsid w:val="00C84020"/>
    <w:rsid w:val="00C84F3F"/>
    <w:rsid w:val="00C86EFF"/>
    <w:rsid w:val="00C91035"/>
    <w:rsid w:val="00C94BA1"/>
    <w:rsid w:val="00C96020"/>
    <w:rsid w:val="00C96104"/>
    <w:rsid w:val="00CA0A93"/>
    <w:rsid w:val="00CA15FA"/>
    <w:rsid w:val="00CA2774"/>
    <w:rsid w:val="00CA2CA8"/>
    <w:rsid w:val="00CA33FA"/>
    <w:rsid w:val="00CA418E"/>
    <w:rsid w:val="00CA552E"/>
    <w:rsid w:val="00CA63E8"/>
    <w:rsid w:val="00CA6775"/>
    <w:rsid w:val="00CA7D2A"/>
    <w:rsid w:val="00CA7D99"/>
    <w:rsid w:val="00CB1019"/>
    <w:rsid w:val="00CB1ECF"/>
    <w:rsid w:val="00CB2AE6"/>
    <w:rsid w:val="00CB3EB4"/>
    <w:rsid w:val="00CB4477"/>
    <w:rsid w:val="00CB5F74"/>
    <w:rsid w:val="00CB63AE"/>
    <w:rsid w:val="00CB7C47"/>
    <w:rsid w:val="00CC2C32"/>
    <w:rsid w:val="00CC2CE1"/>
    <w:rsid w:val="00CC455E"/>
    <w:rsid w:val="00CC6BF3"/>
    <w:rsid w:val="00CD171A"/>
    <w:rsid w:val="00CD177F"/>
    <w:rsid w:val="00CD19E7"/>
    <w:rsid w:val="00CD2626"/>
    <w:rsid w:val="00CD2656"/>
    <w:rsid w:val="00CD2E4E"/>
    <w:rsid w:val="00CD3A78"/>
    <w:rsid w:val="00CD4082"/>
    <w:rsid w:val="00CD4148"/>
    <w:rsid w:val="00CD48A2"/>
    <w:rsid w:val="00CD5264"/>
    <w:rsid w:val="00CD6061"/>
    <w:rsid w:val="00CD65FE"/>
    <w:rsid w:val="00CE0A7C"/>
    <w:rsid w:val="00CE0A90"/>
    <w:rsid w:val="00CE18F0"/>
    <w:rsid w:val="00CE1919"/>
    <w:rsid w:val="00CE1DB0"/>
    <w:rsid w:val="00CE2411"/>
    <w:rsid w:val="00CE3DD5"/>
    <w:rsid w:val="00CE6C0A"/>
    <w:rsid w:val="00CE7F55"/>
    <w:rsid w:val="00CF0BB8"/>
    <w:rsid w:val="00CF22D4"/>
    <w:rsid w:val="00CF36E8"/>
    <w:rsid w:val="00CF42C5"/>
    <w:rsid w:val="00CF6331"/>
    <w:rsid w:val="00CF7796"/>
    <w:rsid w:val="00D05A7F"/>
    <w:rsid w:val="00D0663D"/>
    <w:rsid w:val="00D06B8A"/>
    <w:rsid w:val="00D07D3F"/>
    <w:rsid w:val="00D10034"/>
    <w:rsid w:val="00D11C46"/>
    <w:rsid w:val="00D13FF6"/>
    <w:rsid w:val="00D15CD8"/>
    <w:rsid w:val="00D15F8B"/>
    <w:rsid w:val="00D174BF"/>
    <w:rsid w:val="00D17517"/>
    <w:rsid w:val="00D17679"/>
    <w:rsid w:val="00D2038E"/>
    <w:rsid w:val="00D21C18"/>
    <w:rsid w:val="00D21E49"/>
    <w:rsid w:val="00D22048"/>
    <w:rsid w:val="00D22C01"/>
    <w:rsid w:val="00D24CE1"/>
    <w:rsid w:val="00D24F71"/>
    <w:rsid w:val="00D2525D"/>
    <w:rsid w:val="00D2569A"/>
    <w:rsid w:val="00D26D61"/>
    <w:rsid w:val="00D276C4"/>
    <w:rsid w:val="00D30FB7"/>
    <w:rsid w:val="00D31557"/>
    <w:rsid w:val="00D3297E"/>
    <w:rsid w:val="00D32F37"/>
    <w:rsid w:val="00D34359"/>
    <w:rsid w:val="00D365AA"/>
    <w:rsid w:val="00D401D5"/>
    <w:rsid w:val="00D412E2"/>
    <w:rsid w:val="00D42C85"/>
    <w:rsid w:val="00D434BB"/>
    <w:rsid w:val="00D442C9"/>
    <w:rsid w:val="00D45E63"/>
    <w:rsid w:val="00D45F91"/>
    <w:rsid w:val="00D46A6B"/>
    <w:rsid w:val="00D46F4C"/>
    <w:rsid w:val="00D50233"/>
    <w:rsid w:val="00D50C64"/>
    <w:rsid w:val="00D51FB0"/>
    <w:rsid w:val="00D53A74"/>
    <w:rsid w:val="00D550E6"/>
    <w:rsid w:val="00D55453"/>
    <w:rsid w:val="00D55CE9"/>
    <w:rsid w:val="00D562BE"/>
    <w:rsid w:val="00D5728A"/>
    <w:rsid w:val="00D57527"/>
    <w:rsid w:val="00D57D05"/>
    <w:rsid w:val="00D57DA9"/>
    <w:rsid w:val="00D625A1"/>
    <w:rsid w:val="00D6340A"/>
    <w:rsid w:val="00D647CF"/>
    <w:rsid w:val="00D6542D"/>
    <w:rsid w:val="00D723DD"/>
    <w:rsid w:val="00D7350B"/>
    <w:rsid w:val="00D73903"/>
    <w:rsid w:val="00D73A6E"/>
    <w:rsid w:val="00D74A7B"/>
    <w:rsid w:val="00D752AD"/>
    <w:rsid w:val="00D7616E"/>
    <w:rsid w:val="00D76B47"/>
    <w:rsid w:val="00D80818"/>
    <w:rsid w:val="00D81C12"/>
    <w:rsid w:val="00D8200C"/>
    <w:rsid w:val="00D827BA"/>
    <w:rsid w:val="00D82D33"/>
    <w:rsid w:val="00D839F3"/>
    <w:rsid w:val="00D843CD"/>
    <w:rsid w:val="00D85D7C"/>
    <w:rsid w:val="00D87E4C"/>
    <w:rsid w:val="00D90233"/>
    <w:rsid w:val="00D93564"/>
    <w:rsid w:val="00D94B72"/>
    <w:rsid w:val="00D97B55"/>
    <w:rsid w:val="00D97E87"/>
    <w:rsid w:val="00DA1057"/>
    <w:rsid w:val="00DA1361"/>
    <w:rsid w:val="00DA6048"/>
    <w:rsid w:val="00DA6626"/>
    <w:rsid w:val="00DA6CF1"/>
    <w:rsid w:val="00DA79CE"/>
    <w:rsid w:val="00DB2DB4"/>
    <w:rsid w:val="00DB4F8A"/>
    <w:rsid w:val="00DB5403"/>
    <w:rsid w:val="00DB5FDF"/>
    <w:rsid w:val="00DB6551"/>
    <w:rsid w:val="00DB681F"/>
    <w:rsid w:val="00DB6C33"/>
    <w:rsid w:val="00DB77B7"/>
    <w:rsid w:val="00DC1FE1"/>
    <w:rsid w:val="00DC33B2"/>
    <w:rsid w:val="00DC3EF5"/>
    <w:rsid w:val="00DC47FF"/>
    <w:rsid w:val="00DC4CD2"/>
    <w:rsid w:val="00DC4FA1"/>
    <w:rsid w:val="00DC66CF"/>
    <w:rsid w:val="00DC7AED"/>
    <w:rsid w:val="00DC7D0D"/>
    <w:rsid w:val="00DD0AA3"/>
    <w:rsid w:val="00DD10D5"/>
    <w:rsid w:val="00DD1B0B"/>
    <w:rsid w:val="00DD2239"/>
    <w:rsid w:val="00DD267D"/>
    <w:rsid w:val="00DD30A0"/>
    <w:rsid w:val="00DD5DC4"/>
    <w:rsid w:val="00DD6745"/>
    <w:rsid w:val="00DE01E7"/>
    <w:rsid w:val="00DE0E9A"/>
    <w:rsid w:val="00DE16A3"/>
    <w:rsid w:val="00DE26E8"/>
    <w:rsid w:val="00DE3E88"/>
    <w:rsid w:val="00DE55B5"/>
    <w:rsid w:val="00DE7608"/>
    <w:rsid w:val="00DE7F00"/>
    <w:rsid w:val="00DF10CC"/>
    <w:rsid w:val="00DF18E5"/>
    <w:rsid w:val="00DF2327"/>
    <w:rsid w:val="00DF331B"/>
    <w:rsid w:val="00DF639B"/>
    <w:rsid w:val="00DF66ED"/>
    <w:rsid w:val="00DF69E9"/>
    <w:rsid w:val="00DF7285"/>
    <w:rsid w:val="00E0151D"/>
    <w:rsid w:val="00E01C0E"/>
    <w:rsid w:val="00E0223B"/>
    <w:rsid w:val="00E0550C"/>
    <w:rsid w:val="00E069A3"/>
    <w:rsid w:val="00E111DC"/>
    <w:rsid w:val="00E13045"/>
    <w:rsid w:val="00E130CE"/>
    <w:rsid w:val="00E1311E"/>
    <w:rsid w:val="00E136B2"/>
    <w:rsid w:val="00E1523F"/>
    <w:rsid w:val="00E153A1"/>
    <w:rsid w:val="00E15F8D"/>
    <w:rsid w:val="00E171CC"/>
    <w:rsid w:val="00E17C48"/>
    <w:rsid w:val="00E204B7"/>
    <w:rsid w:val="00E20FCF"/>
    <w:rsid w:val="00E235C3"/>
    <w:rsid w:val="00E2408A"/>
    <w:rsid w:val="00E2471A"/>
    <w:rsid w:val="00E25F35"/>
    <w:rsid w:val="00E27042"/>
    <w:rsid w:val="00E27EC1"/>
    <w:rsid w:val="00E302DD"/>
    <w:rsid w:val="00E31873"/>
    <w:rsid w:val="00E31E62"/>
    <w:rsid w:val="00E34B99"/>
    <w:rsid w:val="00E35D51"/>
    <w:rsid w:val="00E36DBB"/>
    <w:rsid w:val="00E37248"/>
    <w:rsid w:val="00E402F8"/>
    <w:rsid w:val="00E405F3"/>
    <w:rsid w:val="00E4083D"/>
    <w:rsid w:val="00E40F77"/>
    <w:rsid w:val="00E41748"/>
    <w:rsid w:val="00E42A71"/>
    <w:rsid w:val="00E42DF9"/>
    <w:rsid w:val="00E43B22"/>
    <w:rsid w:val="00E43F6E"/>
    <w:rsid w:val="00E453D2"/>
    <w:rsid w:val="00E45C24"/>
    <w:rsid w:val="00E54084"/>
    <w:rsid w:val="00E56531"/>
    <w:rsid w:val="00E56F9A"/>
    <w:rsid w:val="00E57B30"/>
    <w:rsid w:val="00E6226F"/>
    <w:rsid w:val="00E6235A"/>
    <w:rsid w:val="00E626CE"/>
    <w:rsid w:val="00E632F2"/>
    <w:rsid w:val="00E647E4"/>
    <w:rsid w:val="00E66CD6"/>
    <w:rsid w:val="00E6781D"/>
    <w:rsid w:val="00E70048"/>
    <w:rsid w:val="00E71187"/>
    <w:rsid w:val="00E734FB"/>
    <w:rsid w:val="00E75517"/>
    <w:rsid w:val="00E75645"/>
    <w:rsid w:val="00E76D68"/>
    <w:rsid w:val="00E774CD"/>
    <w:rsid w:val="00E80232"/>
    <w:rsid w:val="00E8191C"/>
    <w:rsid w:val="00E84729"/>
    <w:rsid w:val="00E84B63"/>
    <w:rsid w:val="00E85874"/>
    <w:rsid w:val="00E86B4D"/>
    <w:rsid w:val="00E904B2"/>
    <w:rsid w:val="00E90603"/>
    <w:rsid w:val="00E92496"/>
    <w:rsid w:val="00E92D3C"/>
    <w:rsid w:val="00E96347"/>
    <w:rsid w:val="00E973EA"/>
    <w:rsid w:val="00E97B05"/>
    <w:rsid w:val="00EA10FD"/>
    <w:rsid w:val="00EA15FB"/>
    <w:rsid w:val="00EA166A"/>
    <w:rsid w:val="00EA22EF"/>
    <w:rsid w:val="00EA5A06"/>
    <w:rsid w:val="00EA6A2E"/>
    <w:rsid w:val="00EB3950"/>
    <w:rsid w:val="00EB66ED"/>
    <w:rsid w:val="00EC152E"/>
    <w:rsid w:val="00EC2276"/>
    <w:rsid w:val="00EC36FD"/>
    <w:rsid w:val="00EC4A61"/>
    <w:rsid w:val="00EC51F9"/>
    <w:rsid w:val="00EC54C3"/>
    <w:rsid w:val="00EC6A2C"/>
    <w:rsid w:val="00ED0A4C"/>
    <w:rsid w:val="00ED0C24"/>
    <w:rsid w:val="00ED1D4E"/>
    <w:rsid w:val="00ED3181"/>
    <w:rsid w:val="00ED3F74"/>
    <w:rsid w:val="00ED42D5"/>
    <w:rsid w:val="00ED4516"/>
    <w:rsid w:val="00ED56CF"/>
    <w:rsid w:val="00ED7482"/>
    <w:rsid w:val="00EE1375"/>
    <w:rsid w:val="00EE1E9C"/>
    <w:rsid w:val="00EE1FF5"/>
    <w:rsid w:val="00EE20C7"/>
    <w:rsid w:val="00EE24F5"/>
    <w:rsid w:val="00EE48D5"/>
    <w:rsid w:val="00EE6F12"/>
    <w:rsid w:val="00EE7F8F"/>
    <w:rsid w:val="00EF007E"/>
    <w:rsid w:val="00EF037B"/>
    <w:rsid w:val="00EF123F"/>
    <w:rsid w:val="00EF288E"/>
    <w:rsid w:val="00EF2F6B"/>
    <w:rsid w:val="00EF4C96"/>
    <w:rsid w:val="00EF5B36"/>
    <w:rsid w:val="00EF6246"/>
    <w:rsid w:val="00F00468"/>
    <w:rsid w:val="00F00B9F"/>
    <w:rsid w:val="00F00DBC"/>
    <w:rsid w:val="00F01573"/>
    <w:rsid w:val="00F015B3"/>
    <w:rsid w:val="00F0501B"/>
    <w:rsid w:val="00F0542D"/>
    <w:rsid w:val="00F06ABC"/>
    <w:rsid w:val="00F12BB8"/>
    <w:rsid w:val="00F13BD2"/>
    <w:rsid w:val="00F1535B"/>
    <w:rsid w:val="00F165FF"/>
    <w:rsid w:val="00F20A0A"/>
    <w:rsid w:val="00F24DD7"/>
    <w:rsid w:val="00F269F6"/>
    <w:rsid w:val="00F27501"/>
    <w:rsid w:val="00F30D73"/>
    <w:rsid w:val="00F34323"/>
    <w:rsid w:val="00F345ED"/>
    <w:rsid w:val="00F34BCF"/>
    <w:rsid w:val="00F35831"/>
    <w:rsid w:val="00F37A7D"/>
    <w:rsid w:val="00F40F10"/>
    <w:rsid w:val="00F41857"/>
    <w:rsid w:val="00F423BE"/>
    <w:rsid w:val="00F43BE3"/>
    <w:rsid w:val="00F443BE"/>
    <w:rsid w:val="00F4561F"/>
    <w:rsid w:val="00F462CE"/>
    <w:rsid w:val="00F463FC"/>
    <w:rsid w:val="00F46AA5"/>
    <w:rsid w:val="00F503C5"/>
    <w:rsid w:val="00F5055A"/>
    <w:rsid w:val="00F51215"/>
    <w:rsid w:val="00F512A3"/>
    <w:rsid w:val="00F5413E"/>
    <w:rsid w:val="00F54272"/>
    <w:rsid w:val="00F574EB"/>
    <w:rsid w:val="00F576EC"/>
    <w:rsid w:val="00F578CC"/>
    <w:rsid w:val="00F609CE"/>
    <w:rsid w:val="00F63074"/>
    <w:rsid w:val="00F6311C"/>
    <w:rsid w:val="00F635FC"/>
    <w:rsid w:val="00F63C07"/>
    <w:rsid w:val="00F65CB3"/>
    <w:rsid w:val="00F663AE"/>
    <w:rsid w:val="00F664FC"/>
    <w:rsid w:val="00F6682C"/>
    <w:rsid w:val="00F670AF"/>
    <w:rsid w:val="00F671ED"/>
    <w:rsid w:val="00F67382"/>
    <w:rsid w:val="00F70680"/>
    <w:rsid w:val="00F71E9F"/>
    <w:rsid w:val="00F71F87"/>
    <w:rsid w:val="00F73226"/>
    <w:rsid w:val="00F74D70"/>
    <w:rsid w:val="00F7522B"/>
    <w:rsid w:val="00F75479"/>
    <w:rsid w:val="00F75AFE"/>
    <w:rsid w:val="00F75CE2"/>
    <w:rsid w:val="00F760C5"/>
    <w:rsid w:val="00F76EBA"/>
    <w:rsid w:val="00F80F99"/>
    <w:rsid w:val="00F8109D"/>
    <w:rsid w:val="00F833C4"/>
    <w:rsid w:val="00F843A8"/>
    <w:rsid w:val="00F84834"/>
    <w:rsid w:val="00F852A9"/>
    <w:rsid w:val="00F8541E"/>
    <w:rsid w:val="00F86F92"/>
    <w:rsid w:val="00F903F1"/>
    <w:rsid w:val="00F91783"/>
    <w:rsid w:val="00F92942"/>
    <w:rsid w:val="00F94CDF"/>
    <w:rsid w:val="00F94DEE"/>
    <w:rsid w:val="00F95104"/>
    <w:rsid w:val="00F95B9C"/>
    <w:rsid w:val="00F95E96"/>
    <w:rsid w:val="00F96490"/>
    <w:rsid w:val="00FA0ABC"/>
    <w:rsid w:val="00FA4C15"/>
    <w:rsid w:val="00FA53CE"/>
    <w:rsid w:val="00FA6591"/>
    <w:rsid w:val="00FA7A9B"/>
    <w:rsid w:val="00FA7F49"/>
    <w:rsid w:val="00FB1FFD"/>
    <w:rsid w:val="00FB28A6"/>
    <w:rsid w:val="00FB41FF"/>
    <w:rsid w:val="00FB554F"/>
    <w:rsid w:val="00FB58AE"/>
    <w:rsid w:val="00FB73E6"/>
    <w:rsid w:val="00FB7D9F"/>
    <w:rsid w:val="00FC013A"/>
    <w:rsid w:val="00FC0324"/>
    <w:rsid w:val="00FC034B"/>
    <w:rsid w:val="00FC16B8"/>
    <w:rsid w:val="00FC1908"/>
    <w:rsid w:val="00FC44BC"/>
    <w:rsid w:val="00FC6C04"/>
    <w:rsid w:val="00FD1BDC"/>
    <w:rsid w:val="00FD2030"/>
    <w:rsid w:val="00FD4D07"/>
    <w:rsid w:val="00FE0EFB"/>
    <w:rsid w:val="00FE189E"/>
    <w:rsid w:val="00FE3014"/>
    <w:rsid w:val="00FE448B"/>
    <w:rsid w:val="00FE48EF"/>
    <w:rsid w:val="00FE5429"/>
    <w:rsid w:val="00FE6955"/>
    <w:rsid w:val="00FE7530"/>
    <w:rsid w:val="00FF0C3E"/>
    <w:rsid w:val="00FF2240"/>
    <w:rsid w:val="00FF2411"/>
    <w:rsid w:val="00FF2FF2"/>
    <w:rsid w:val="00FF33BB"/>
    <w:rsid w:val="00FF5585"/>
    <w:rsid w:val="00FF6EEE"/>
    <w:rsid w:val="00FF76F3"/>
    <w:rsid w:val="00FF796D"/>
    <w:rsid w:val="10D88B62"/>
    <w:rsid w:val="17DD46DA"/>
    <w:rsid w:val="2298F5FE"/>
    <w:rsid w:val="238993BB"/>
    <w:rsid w:val="29EAEA63"/>
    <w:rsid w:val="35F24952"/>
    <w:rsid w:val="44502C4D"/>
    <w:rsid w:val="46FC3506"/>
    <w:rsid w:val="4C9B2323"/>
    <w:rsid w:val="4E9C4EA2"/>
    <w:rsid w:val="504EE980"/>
    <w:rsid w:val="521FA198"/>
    <w:rsid w:val="5EC8556C"/>
    <w:rsid w:val="63B5AF6B"/>
    <w:rsid w:val="64B695BE"/>
    <w:rsid w:val="75D16E95"/>
    <w:rsid w:val="79AF4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E0E9E15D-EEAC-4B13-BEE0-899C6376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59"/>
    <w:pPr>
      <w:spacing w:after="0" w:line="240" w:lineRule="auto"/>
    </w:pPr>
    <w:rPr>
      <w:rFonts w:ascii="Arial" w:hAnsi="Arial" w:cs="Arial"/>
      <w:sz w:val="24"/>
      <w:szCs w:val="24"/>
    </w:rPr>
  </w:style>
  <w:style w:type="paragraph" w:styleId="Heading1">
    <w:name w:val="heading 1"/>
    <w:basedOn w:val="Documenttitle"/>
    <w:next w:val="Normal"/>
    <w:link w:val="Heading1Char"/>
    <w:qFormat/>
    <w:rsid w:val="00863A0F"/>
    <w:pPr>
      <w:outlineLvl w:val="0"/>
    </w:pPr>
    <w:rPr>
      <w:color w:val="000000" w:themeColor="text1"/>
      <w:sz w:val="72"/>
      <w:szCs w:val="72"/>
    </w:rPr>
  </w:style>
  <w:style w:type="paragraph" w:styleId="Heading2">
    <w:name w:val="heading 2"/>
    <w:basedOn w:val="Normal"/>
    <w:link w:val="Heading2Char"/>
    <w:qFormat/>
    <w:rsid w:val="00D45E63"/>
    <w:pPr>
      <w:tabs>
        <w:tab w:val="num" w:pos="6533"/>
      </w:tabs>
      <w:spacing w:before="60" w:after="120"/>
      <w:ind w:left="6533" w:hanging="720"/>
      <w:outlineLvl w:val="1"/>
    </w:pPr>
    <w:rPr>
      <w:rFonts w:ascii="Garamond" w:eastAsia="Times New Roman" w:hAnsi="Garamond" w:cs="Times New Roman"/>
      <w:kern w:val="0"/>
      <w:szCs w:val="20"/>
      <w:lang w:val="en-US"/>
      <w14:ligatures w14:val="none"/>
    </w:rPr>
  </w:style>
  <w:style w:type="paragraph" w:styleId="Heading3">
    <w:name w:val="heading 3"/>
    <w:basedOn w:val="Normal"/>
    <w:link w:val="Heading3Char"/>
    <w:qFormat/>
    <w:rsid w:val="00D45E63"/>
    <w:pPr>
      <w:tabs>
        <w:tab w:val="num" w:pos="720"/>
      </w:tabs>
      <w:spacing w:before="120"/>
      <w:ind w:left="720" w:hanging="720"/>
      <w:outlineLvl w:val="2"/>
    </w:pPr>
    <w:rPr>
      <w:rFonts w:ascii="Garamond" w:eastAsia="Times New Roman" w:hAnsi="Garamond" w:cs="Times New Roman"/>
      <w:kern w:val="0"/>
      <w:szCs w:val="20"/>
      <w:lang w:val="en-US"/>
      <w14:ligatures w14:val="none"/>
    </w:rPr>
  </w:style>
  <w:style w:type="paragraph" w:styleId="Heading4">
    <w:name w:val="heading 4"/>
    <w:aliases w:val=" Char Char, Char,Char Char,Heading 41, Char Char1, Char1, Char2,Char,Char Char2,Char Char1 Char,Char1 Char,Char2 Char,Char Char1, Char Char Char,Char1,Char2,Char Char Char,Char Char Char Char"/>
    <w:basedOn w:val="Normal"/>
    <w:next w:val="Normal"/>
    <w:link w:val="Heading4Char"/>
    <w:qFormat/>
    <w:rsid w:val="00D45E63"/>
    <w:pPr>
      <w:keepNext/>
      <w:tabs>
        <w:tab w:val="num" w:pos="864"/>
      </w:tabs>
      <w:spacing w:after="240"/>
      <w:ind w:left="864" w:hanging="864"/>
      <w:jc w:val="both"/>
      <w:outlineLvl w:val="3"/>
    </w:pPr>
    <w:rPr>
      <w:rFonts w:ascii="Times New Roman" w:eastAsia="Times New Roman" w:hAnsi="Times New Roman" w:cs="Times New Roman"/>
      <w:kern w:val="0"/>
      <w:szCs w:val="20"/>
      <w:lang w:val="en-US"/>
      <w14:ligatures w14:val="none"/>
    </w:rPr>
  </w:style>
  <w:style w:type="paragraph" w:styleId="Heading5">
    <w:name w:val="heading 5"/>
    <w:basedOn w:val="Normal"/>
    <w:next w:val="Normal"/>
    <w:link w:val="Heading5Char"/>
    <w:qFormat/>
    <w:rsid w:val="00D45E63"/>
    <w:pPr>
      <w:tabs>
        <w:tab w:val="num" w:pos="1008"/>
      </w:tabs>
      <w:spacing w:after="240"/>
      <w:ind w:left="1008" w:hanging="1008"/>
      <w:jc w:val="both"/>
      <w:outlineLvl w:val="4"/>
    </w:pPr>
    <w:rPr>
      <w:rFonts w:ascii="Times New Roman" w:eastAsia="Times New Roman" w:hAnsi="Times New Roman" w:cs="Times New Roman"/>
      <w:kern w:val="0"/>
      <w:sz w:val="22"/>
      <w:szCs w:val="20"/>
      <w:lang w:val="en-US"/>
      <w14:ligatures w14:val="none"/>
    </w:rPr>
  </w:style>
  <w:style w:type="paragraph" w:styleId="Heading6">
    <w:name w:val="heading 6"/>
    <w:basedOn w:val="Normal"/>
    <w:next w:val="Normal"/>
    <w:link w:val="Heading6Char"/>
    <w:qFormat/>
    <w:rsid w:val="00D45E63"/>
    <w:pPr>
      <w:tabs>
        <w:tab w:val="num" w:pos="1152"/>
      </w:tabs>
      <w:spacing w:after="240"/>
      <w:ind w:left="1152" w:hanging="1152"/>
      <w:jc w:val="both"/>
      <w:outlineLvl w:val="5"/>
    </w:pPr>
    <w:rPr>
      <w:rFonts w:ascii="Times New Roman" w:eastAsia="Times New Roman" w:hAnsi="Times New Roman" w:cs="Times New Roman"/>
      <w:i/>
      <w:kern w:val="0"/>
      <w:sz w:val="22"/>
      <w:szCs w:val="20"/>
      <w:lang w:val="en-US"/>
      <w14:ligatures w14:val="none"/>
    </w:rPr>
  </w:style>
  <w:style w:type="paragraph" w:styleId="Heading7">
    <w:name w:val="heading 7"/>
    <w:basedOn w:val="Normal"/>
    <w:next w:val="Normal"/>
    <w:link w:val="Heading7Char"/>
    <w:qFormat/>
    <w:rsid w:val="00D45E63"/>
    <w:pPr>
      <w:tabs>
        <w:tab w:val="num" w:pos="1296"/>
      </w:tabs>
      <w:spacing w:after="240"/>
      <w:ind w:left="1296" w:hanging="1296"/>
      <w:jc w:val="both"/>
      <w:outlineLvl w:val="6"/>
    </w:pPr>
    <w:rPr>
      <w:rFonts w:eastAsia="Times New Roman" w:cs="Times New Roman"/>
      <w:kern w:val="0"/>
      <w:sz w:val="20"/>
      <w:szCs w:val="20"/>
      <w:lang w:val="en-US"/>
      <w14:ligatures w14:val="none"/>
    </w:rPr>
  </w:style>
  <w:style w:type="paragraph" w:styleId="Heading8">
    <w:name w:val="heading 8"/>
    <w:basedOn w:val="Normal"/>
    <w:next w:val="Normal"/>
    <w:link w:val="Heading8Char"/>
    <w:qFormat/>
    <w:rsid w:val="00D45E63"/>
    <w:pPr>
      <w:tabs>
        <w:tab w:val="num" w:pos="1440"/>
      </w:tabs>
      <w:spacing w:after="240"/>
      <w:ind w:left="1440" w:hanging="1440"/>
      <w:jc w:val="both"/>
      <w:outlineLvl w:val="7"/>
    </w:pPr>
    <w:rPr>
      <w:rFonts w:eastAsia="Times New Roman" w:cs="Times New Roman"/>
      <w:i/>
      <w:kern w:val="0"/>
      <w:sz w:val="20"/>
      <w:szCs w:val="20"/>
      <w:lang w:val="en-US"/>
      <w14:ligatures w14:val="none"/>
    </w:rPr>
  </w:style>
  <w:style w:type="paragraph" w:styleId="Heading9">
    <w:name w:val="heading 9"/>
    <w:basedOn w:val="Normal"/>
    <w:next w:val="Normal"/>
    <w:link w:val="Heading9Char"/>
    <w:qFormat/>
    <w:rsid w:val="00D45E63"/>
    <w:pPr>
      <w:tabs>
        <w:tab w:val="num" w:pos="1584"/>
      </w:tabs>
      <w:spacing w:after="240"/>
      <w:ind w:left="1584" w:hanging="1584"/>
      <w:jc w:val="both"/>
      <w:outlineLvl w:val="8"/>
    </w:pPr>
    <w:rPr>
      <w:rFonts w:eastAsia="Times New Roman" w:cs="Times New Roman"/>
      <w:kern w:val="0"/>
      <w:sz w:val="1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qFormat/>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nhideWhenUsed/>
    <w:qFormat/>
    <w:rsid w:val="003B7DB5"/>
    <w:rPr>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3B7DB5"/>
    <w:pPr>
      <w:numPr>
        <w:numId w:val="11"/>
      </w:numPr>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3B7DB5"/>
    <w:rPr>
      <w:rFonts w:ascii="Arial" w:eastAsia="Times New Roman" w:hAnsi="Arial" w:cs="Arial"/>
      <w:kern w:val="0"/>
      <w:sz w:val="24"/>
      <w:szCs w:val="24"/>
      <w14:ligatures w14:val="none"/>
    </w:rPr>
  </w:style>
  <w:style w:type="character" w:styleId="CommentReference">
    <w:name w:val="annotation reference"/>
    <w:semiHidden/>
    <w:rsid w:val="00B55028"/>
    <w:rPr>
      <w:sz w:val="16"/>
      <w:szCs w:val="16"/>
    </w:rPr>
  </w:style>
  <w:style w:type="paragraph" w:styleId="CommentText">
    <w:name w:val="annotation text"/>
    <w:basedOn w:val="Normal"/>
    <w:link w:val="CommentTextChar"/>
    <w:semiHidden/>
    <w:rsid w:val="00B55028"/>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semiHidden/>
    <w:rsid w:val="00B55028"/>
    <w:rPr>
      <w:rFonts w:ascii="Times New Roman" w:eastAsia="Times New Roman" w:hAnsi="Times New Roman" w:cs="Times New Roman"/>
      <w:kern w:val="0"/>
      <w:sz w:val="20"/>
      <w:szCs w:val="20"/>
      <w:lang w:val="en-US"/>
      <w14:ligatures w14:val="none"/>
    </w:rPr>
  </w:style>
  <w:style w:type="character" w:customStyle="1" w:styleId="Heading2Char">
    <w:name w:val="Heading 2 Char"/>
    <w:basedOn w:val="DefaultParagraphFont"/>
    <w:link w:val="Heading2"/>
    <w:rsid w:val="00D45E63"/>
    <w:rPr>
      <w:rFonts w:ascii="Garamond" w:eastAsia="Times New Roman" w:hAnsi="Garamond" w:cs="Times New Roman"/>
      <w:kern w:val="0"/>
      <w:sz w:val="24"/>
      <w:szCs w:val="20"/>
      <w:lang w:val="en-US"/>
      <w14:ligatures w14:val="none"/>
    </w:rPr>
  </w:style>
  <w:style w:type="character" w:customStyle="1" w:styleId="Heading3Char">
    <w:name w:val="Heading 3 Char"/>
    <w:basedOn w:val="DefaultParagraphFont"/>
    <w:link w:val="Heading3"/>
    <w:rsid w:val="00D45E63"/>
    <w:rPr>
      <w:rFonts w:ascii="Garamond" w:eastAsia="Times New Roman" w:hAnsi="Garamond" w:cs="Times New Roman"/>
      <w:kern w:val="0"/>
      <w:sz w:val="24"/>
      <w:szCs w:val="20"/>
      <w:lang w:val="en-US"/>
      <w14:ligatures w14:val="none"/>
    </w:rPr>
  </w:style>
  <w:style w:type="character" w:customStyle="1" w:styleId="Heading4Char">
    <w:name w:val="Heading 4 Char"/>
    <w:aliases w:val=" Char Char Char1, Char Char2,Char Char Char1,Heading 41 Char, Char Char1 Char, Char1 Char, Char2 Char,Char Char3,Char Char2 Char,Char Char1 Char Char,Char1 Char Char,Char2 Char Char,Char Char1 Char1, Char Char Char Char,Char1 Char1"/>
    <w:basedOn w:val="DefaultParagraphFont"/>
    <w:link w:val="Heading4"/>
    <w:rsid w:val="00D45E63"/>
    <w:rPr>
      <w:rFonts w:ascii="Times New Roman" w:eastAsia="Times New Roman" w:hAnsi="Times New Roman" w:cs="Times New Roman"/>
      <w:kern w:val="0"/>
      <w:sz w:val="24"/>
      <w:szCs w:val="20"/>
      <w:lang w:val="en-US"/>
      <w14:ligatures w14:val="none"/>
    </w:rPr>
  </w:style>
  <w:style w:type="character" w:customStyle="1" w:styleId="Heading5Char">
    <w:name w:val="Heading 5 Char"/>
    <w:basedOn w:val="DefaultParagraphFont"/>
    <w:link w:val="Heading5"/>
    <w:rsid w:val="00D45E63"/>
    <w:rPr>
      <w:rFonts w:ascii="Times New Roman" w:eastAsia="Times New Roman" w:hAnsi="Times New Roman" w:cs="Times New Roman"/>
      <w:kern w:val="0"/>
      <w:szCs w:val="20"/>
      <w:lang w:val="en-US"/>
      <w14:ligatures w14:val="none"/>
    </w:rPr>
  </w:style>
  <w:style w:type="character" w:customStyle="1" w:styleId="Heading6Char">
    <w:name w:val="Heading 6 Char"/>
    <w:basedOn w:val="DefaultParagraphFont"/>
    <w:link w:val="Heading6"/>
    <w:rsid w:val="00D45E63"/>
    <w:rPr>
      <w:rFonts w:ascii="Times New Roman" w:eastAsia="Times New Roman" w:hAnsi="Times New Roman" w:cs="Times New Roman"/>
      <w:i/>
      <w:kern w:val="0"/>
      <w:szCs w:val="20"/>
      <w:lang w:val="en-US"/>
      <w14:ligatures w14:val="none"/>
    </w:rPr>
  </w:style>
  <w:style w:type="character" w:customStyle="1" w:styleId="Heading7Char">
    <w:name w:val="Heading 7 Char"/>
    <w:basedOn w:val="DefaultParagraphFont"/>
    <w:link w:val="Heading7"/>
    <w:rsid w:val="00D45E63"/>
    <w:rPr>
      <w:rFonts w:ascii="Arial" w:eastAsia="Times New Roman" w:hAnsi="Arial" w:cs="Times New Roman"/>
      <w:kern w:val="0"/>
      <w:sz w:val="20"/>
      <w:szCs w:val="20"/>
      <w:lang w:val="en-US"/>
      <w14:ligatures w14:val="none"/>
    </w:rPr>
  </w:style>
  <w:style w:type="character" w:customStyle="1" w:styleId="Heading8Char">
    <w:name w:val="Heading 8 Char"/>
    <w:basedOn w:val="DefaultParagraphFont"/>
    <w:link w:val="Heading8"/>
    <w:rsid w:val="00D45E63"/>
    <w:rPr>
      <w:rFonts w:ascii="Arial" w:eastAsia="Times New Roman" w:hAnsi="Arial" w:cs="Times New Roman"/>
      <w:i/>
      <w:kern w:val="0"/>
      <w:sz w:val="20"/>
      <w:szCs w:val="20"/>
      <w:lang w:val="en-US"/>
      <w14:ligatures w14:val="none"/>
    </w:rPr>
  </w:style>
  <w:style w:type="character" w:customStyle="1" w:styleId="Heading9Char">
    <w:name w:val="Heading 9 Char"/>
    <w:basedOn w:val="DefaultParagraphFont"/>
    <w:link w:val="Heading9"/>
    <w:rsid w:val="00D45E63"/>
    <w:rPr>
      <w:rFonts w:ascii="Arial" w:eastAsia="Times New Roman" w:hAnsi="Arial" w:cs="Times New Roman"/>
      <w:kern w:val="0"/>
      <w:sz w:val="18"/>
      <w:szCs w:val="20"/>
      <w:lang w:val="en-US"/>
      <w14:ligatures w14:val="none"/>
    </w:rPr>
  </w:style>
  <w:style w:type="character" w:customStyle="1" w:styleId="st1">
    <w:name w:val="st1"/>
    <w:basedOn w:val="DefaultParagraphFont"/>
    <w:rsid w:val="00D45E63"/>
  </w:style>
  <w:style w:type="paragraph" w:styleId="CommentSubject">
    <w:name w:val="annotation subject"/>
    <w:basedOn w:val="CommentText"/>
    <w:next w:val="CommentText"/>
    <w:link w:val="CommentSubjectChar"/>
    <w:semiHidden/>
    <w:rsid w:val="00D45E63"/>
    <w:rPr>
      <w:b/>
      <w:bCs/>
    </w:rPr>
  </w:style>
  <w:style w:type="character" w:customStyle="1" w:styleId="CommentSubjectChar">
    <w:name w:val="Comment Subject Char"/>
    <w:basedOn w:val="CommentTextChar"/>
    <w:link w:val="CommentSubject"/>
    <w:semiHidden/>
    <w:rsid w:val="00D45E63"/>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semiHidden/>
    <w:rsid w:val="00D45E63"/>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D45E63"/>
    <w:rPr>
      <w:rFonts w:ascii="Tahoma" w:eastAsia="Times New Roman" w:hAnsi="Tahoma" w:cs="Tahoma"/>
      <w:kern w:val="0"/>
      <w:sz w:val="16"/>
      <w:szCs w:val="16"/>
      <w:lang w:val="en-US"/>
      <w14:ligatures w14:val="none"/>
    </w:rPr>
  </w:style>
  <w:style w:type="paragraph" w:styleId="DocumentMap">
    <w:name w:val="Document Map"/>
    <w:basedOn w:val="Normal"/>
    <w:link w:val="DocumentMapChar"/>
    <w:semiHidden/>
    <w:rsid w:val="00D45E63"/>
    <w:pPr>
      <w:shd w:val="clear" w:color="auto" w:fill="000080"/>
    </w:pPr>
    <w:rPr>
      <w:rFonts w:ascii="Tahoma" w:eastAsia="Times New Roman" w:hAnsi="Tahoma" w:cs="Tahoma"/>
      <w:kern w:val="0"/>
      <w:sz w:val="20"/>
      <w:szCs w:val="20"/>
      <w:lang w:val="en-US"/>
      <w14:ligatures w14:val="none"/>
    </w:rPr>
  </w:style>
  <w:style w:type="character" w:customStyle="1" w:styleId="DocumentMapChar">
    <w:name w:val="Document Map Char"/>
    <w:basedOn w:val="DefaultParagraphFont"/>
    <w:link w:val="DocumentMap"/>
    <w:semiHidden/>
    <w:rsid w:val="00D45E63"/>
    <w:rPr>
      <w:rFonts w:ascii="Tahoma" w:eastAsia="Times New Roman" w:hAnsi="Tahoma" w:cs="Tahoma"/>
      <w:kern w:val="0"/>
      <w:sz w:val="20"/>
      <w:szCs w:val="20"/>
      <w:shd w:val="clear" w:color="auto" w:fill="000080"/>
      <w:lang w:val="en-US"/>
      <w14:ligatures w14:val="none"/>
    </w:rPr>
  </w:style>
  <w:style w:type="character" w:styleId="FollowedHyperlink">
    <w:name w:val="FollowedHyperlink"/>
    <w:rsid w:val="00D45E63"/>
    <w:rPr>
      <w:color w:val="800080"/>
      <w:u w:val="single"/>
    </w:rPr>
  </w:style>
  <w:style w:type="paragraph" w:customStyle="1" w:styleId="Default">
    <w:name w:val="Default"/>
    <w:rsid w:val="00D45E6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BodyText">
    <w:name w:val="Body Text"/>
    <w:basedOn w:val="Normal"/>
    <w:link w:val="BodyTextChar"/>
    <w:rsid w:val="00D45E63"/>
    <w:pPr>
      <w:spacing w:after="120"/>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rsid w:val="00D45E63"/>
    <w:rPr>
      <w:rFonts w:ascii="Times New Roman" w:eastAsia="Times New Roman" w:hAnsi="Times New Roman" w:cs="Times New Roman"/>
      <w:kern w:val="0"/>
      <w:sz w:val="24"/>
      <w:szCs w:val="24"/>
      <w:lang w:val="en-US"/>
      <w14:ligatures w14:val="none"/>
    </w:rPr>
  </w:style>
  <w:style w:type="table" w:styleId="TableGrid">
    <w:name w:val="Table Grid"/>
    <w:basedOn w:val="TableNormal"/>
    <w:rsid w:val="00D45E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45E63"/>
  </w:style>
  <w:style w:type="paragraph" w:styleId="FootnoteText">
    <w:name w:val="footnote text"/>
    <w:basedOn w:val="Normal"/>
    <w:link w:val="FootnoteTextChar"/>
    <w:rsid w:val="00D45E63"/>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D45E63"/>
    <w:rPr>
      <w:rFonts w:ascii="Times New Roman" w:eastAsia="Times New Roman" w:hAnsi="Times New Roman" w:cs="Times New Roman"/>
      <w:kern w:val="0"/>
      <w:sz w:val="20"/>
      <w:szCs w:val="20"/>
      <w:lang w:val="en-US"/>
      <w14:ligatures w14:val="none"/>
    </w:rPr>
  </w:style>
  <w:style w:type="character" w:styleId="FootnoteReference">
    <w:name w:val="footnote reference"/>
    <w:rsid w:val="00D45E63"/>
    <w:rPr>
      <w:vertAlign w:val="superscript"/>
    </w:rPr>
  </w:style>
  <w:style w:type="paragraph" w:styleId="NormalWeb">
    <w:name w:val="Normal (Web)"/>
    <w:basedOn w:val="Normal"/>
    <w:uiPriority w:val="99"/>
    <w:rsid w:val="00D45E63"/>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uiPriority w:val="22"/>
    <w:qFormat/>
    <w:rsid w:val="00D45E63"/>
    <w:rPr>
      <w:b/>
      <w:bCs/>
    </w:rPr>
  </w:style>
  <w:style w:type="paragraph" w:styleId="Revision">
    <w:name w:val="Revision"/>
    <w:hidden/>
    <w:uiPriority w:val="99"/>
    <w:semiHidden/>
    <w:rsid w:val="00D45E63"/>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Heading4Italic">
    <w:name w:val="Style Heading 4 + Italic"/>
    <w:basedOn w:val="Heading4"/>
    <w:next w:val="Heading4"/>
    <w:rsid w:val="00D45E63"/>
    <w:pPr>
      <w:keepNext w:val="0"/>
      <w:tabs>
        <w:tab w:val="clear" w:pos="864"/>
        <w:tab w:val="num" w:pos="1144"/>
      </w:tabs>
      <w:spacing w:before="120" w:after="120"/>
      <w:ind w:left="1144" w:hanging="576"/>
      <w:jc w:val="left"/>
    </w:pPr>
    <w:rPr>
      <w:rFonts w:ascii="Arial" w:eastAsia="Calibri" w:hAnsi="Arial" w:cs="Arial"/>
      <w:i/>
      <w:iCs/>
      <w:szCs w:val="24"/>
      <w:lang w:eastAsia="en-GB"/>
    </w:rPr>
  </w:style>
  <w:style w:type="paragraph" w:customStyle="1" w:styleId="DfESOutNumbered1">
    <w:name w:val="DfESOutNumbered1"/>
    <w:basedOn w:val="Normal"/>
    <w:link w:val="DfESOutNumbered1Char"/>
    <w:qFormat/>
    <w:rsid w:val="00D45E63"/>
    <w:pPr>
      <w:numPr>
        <w:numId w:val="1"/>
      </w:numPr>
      <w:spacing w:after="240" w:line="288" w:lineRule="auto"/>
    </w:pPr>
    <w:rPr>
      <w:rFonts w:eastAsia="Times New Roman" w:cs="Times New Roman"/>
      <w:color w:val="0D0D0D"/>
      <w:kern w:val="0"/>
      <w:lang w:val="en-US"/>
      <w14:ligatures w14:val="none"/>
    </w:rPr>
  </w:style>
  <w:style w:type="character" w:customStyle="1" w:styleId="DfESOutNumbered1Char">
    <w:name w:val="DfESOutNumbered1 Char"/>
    <w:link w:val="DfESOutNumbered1"/>
    <w:rsid w:val="00D45E63"/>
    <w:rPr>
      <w:rFonts w:ascii="Arial" w:eastAsia="Times New Roman" w:hAnsi="Arial" w:cs="Times New Roman"/>
      <w:color w:val="0D0D0D"/>
      <w:kern w:val="0"/>
      <w:sz w:val="24"/>
      <w:szCs w:val="24"/>
      <w:lang w:val="en-US"/>
      <w14:ligatures w14:val="none"/>
    </w:rPr>
  </w:style>
  <w:style w:type="paragraph" w:customStyle="1" w:styleId="Recpoint">
    <w:name w:val="Recpoint"/>
    <w:rsid w:val="00D45E63"/>
    <w:pPr>
      <w:tabs>
        <w:tab w:val="num" w:pos="720"/>
      </w:tabs>
      <w:spacing w:after="240" w:line="240" w:lineRule="auto"/>
      <w:ind w:left="720" w:hanging="720"/>
      <w:jc w:val="both"/>
    </w:pPr>
    <w:rPr>
      <w:rFonts w:ascii="Times New Roman" w:eastAsia="Times New Roman" w:hAnsi="Times New Roman" w:cs="Times New Roman"/>
      <w:noProof/>
      <w:kern w:val="0"/>
      <w:sz w:val="24"/>
      <w:szCs w:val="20"/>
      <w14:ligatures w14:val="none"/>
    </w:rPr>
  </w:style>
  <w:style w:type="character" w:styleId="UnresolvedMention">
    <w:name w:val="Unresolved Mention"/>
    <w:basedOn w:val="DefaultParagraphFont"/>
    <w:uiPriority w:val="99"/>
    <w:unhideWhenUsed/>
    <w:rsid w:val="00D45E63"/>
    <w:rPr>
      <w:color w:val="605E5C"/>
      <w:shd w:val="clear" w:color="auto" w:fill="E1DFDD"/>
    </w:rPr>
  </w:style>
  <w:style w:type="character" w:styleId="Mention">
    <w:name w:val="Mention"/>
    <w:basedOn w:val="DefaultParagraphFont"/>
    <w:uiPriority w:val="99"/>
    <w:unhideWhenUsed/>
    <w:rsid w:val="00D45E63"/>
    <w:rPr>
      <w:color w:val="2B579A"/>
      <w:shd w:val="clear" w:color="auto" w:fill="E1DFDD"/>
    </w:rPr>
  </w:style>
  <w:style w:type="character" w:customStyle="1" w:styleId="number">
    <w:name w:val="number"/>
    <w:basedOn w:val="DefaultParagraphFont"/>
    <w:rsid w:val="00D4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229">
      <w:bodyDiv w:val="1"/>
      <w:marLeft w:val="0"/>
      <w:marRight w:val="0"/>
      <w:marTop w:val="0"/>
      <w:marBottom w:val="0"/>
      <w:divBdr>
        <w:top w:val="none" w:sz="0" w:space="0" w:color="auto"/>
        <w:left w:val="none" w:sz="0" w:space="0" w:color="auto"/>
        <w:bottom w:val="none" w:sz="0" w:space="0" w:color="auto"/>
        <w:right w:val="none" w:sz="0" w:space="0" w:color="auto"/>
      </w:divBdr>
    </w:div>
    <w:div w:id="146820850">
      <w:bodyDiv w:val="1"/>
      <w:marLeft w:val="0"/>
      <w:marRight w:val="0"/>
      <w:marTop w:val="0"/>
      <w:marBottom w:val="0"/>
      <w:divBdr>
        <w:top w:val="none" w:sz="0" w:space="0" w:color="auto"/>
        <w:left w:val="none" w:sz="0" w:space="0" w:color="auto"/>
        <w:bottom w:val="none" w:sz="0" w:space="0" w:color="auto"/>
        <w:right w:val="none" w:sz="0" w:space="0" w:color="auto"/>
      </w:divBdr>
    </w:div>
    <w:div w:id="203374834">
      <w:bodyDiv w:val="1"/>
      <w:marLeft w:val="0"/>
      <w:marRight w:val="0"/>
      <w:marTop w:val="0"/>
      <w:marBottom w:val="0"/>
      <w:divBdr>
        <w:top w:val="none" w:sz="0" w:space="0" w:color="auto"/>
        <w:left w:val="none" w:sz="0" w:space="0" w:color="auto"/>
        <w:bottom w:val="none" w:sz="0" w:space="0" w:color="auto"/>
        <w:right w:val="none" w:sz="0" w:space="0" w:color="auto"/>
      </w:divBdr>
    </w:div>
    <w:div w:id="218514821">
      <w:bodyDiv w:val="1"/>
      <w:marLeft w:val="0"/>
      <w:marRight w:val="0"/>
      <w:marTop w:val="0"/>
      <w:marBottom w:val="0"/>
      <w:divBdr>
        <w:top w:val="none" w:sz="0" w:space="0" w:color="auto"/>
        <w:left w:val="none" w:sz="0" w:space="0" w:color="auto"/>
        <w:bottom w:val="none" w:sz="0" w:space="0" w:color="auto"/>
        <w:right w:val="none" w:sz="0" w:space="0" w:color="auto"/>
      </w:divBdr>
    </w:div>
    <w:div w:id="285358238">
      <w:bodyDiv w:val="1"/>
      <w:marLeft w:val="0"/>
      <w:marRight w:val="0"/>
      <w:marTop w:val="0"/>
      <w:marBottom w:val="0"/>
      <w:divBdr>
        <w:top w:val="none" w:sz="0" w:space="0" w:color="auto"/>
        <w:left w:val="none" w:sz="0" w:space="0" w:color="auto"/>
        <w:bottom w:val="none" w:sz="0" w:space="0" w:color="auto"/>
        <w:right w:val="none" w:sz="0" w:space="0" w:color="auto"/>
      </w:divBdr>
    </w:div>
    <w:div w:id="482552427">
      <w:bodyDiv w:val="1"/>
      <w:marLeft w:val="0"/>
      <w:marRight w:val="0"/>
      <w:marTop w:val="0"/>
      <w:marBottom w:val="0"/>
      <w:divBdr>
        <w:top w:val="none" w:sz="0" w:space="0" w:color="auto"/>
        <w:left w:val="none" w:sz="0" w:space="0" w:color="auto"/>
        <w:bottom w:val="none" w:sz="0" w:space="0" w:color="auto"/>
        <w:right w:val="none" w:sz="0" w:space="0" w:color="auto"/>
      </w:divBdr>
    </w:div>
    <w:div w:id="524103137">
      <w:bodyDiv w:val="1"/>
      <w:marLeft w:val="0"/>
      <w:marRight w:val="0"/>
      <w:marTop w:val="0"/>
      <w:marBottom w:val="0"/>
      <w:divBdr>
        <w:top w:val="none" w:sz="0" w:space="0" w:color="auto"/>
        <w:left w:val="none" w:sz="0" w:space="0" w:color="auto"/>
        <w:bottom w:val="none" w:sz="0" w:space="0" w:color="auto"/>
        <w:right w:val="none" w:sz="0" w:space="0" w:color="auto"/>
      </w:divBdr>
    </w:div>
    <w:div w:id="709577682">
      <w:bodyDiv w:val="1"/>
      <w:marLeft w:val="0"/>
      <w:marRight w:val="0"/>
      <w:marTop w:val="0"/>
      <w:marBottom w:val="0"/>
      <w:divBdr>
        <w:top w:val="none" w:sz="0" w:space="0" w:color="auto"/>
        <w:left w:val="none" w:sz="0" w:space="0" w:color="auto"/>
        <w:bottom w:val="none" w:sz="0" w:space="0" w:color="auto"/>
        <w:right w:val="none" w:sz="0" w:space="0" w:color="auto"/>
      </w:divBdr>
    </w:div>
    <w:div w:id="719667391">
      <w:bodyDiv w:val="1"/>
      <w:marLeft w:val="0"/>
      <w:marRight w:val="0"/>
      <w:marTop w:val="0"/>
      <w:marBottom w:val="0"/>
      <w:divBdr>
        <w:top w:val="none" w:sz="0" w:space="0" w:color="auto"/>
        <w:left w:val="none" w:sz="0" w:space="0" w:color="auto"/>
        <w:bottom w:val="none" w:sz="0" w:space="0" w:color="auto"/>
        <w:right w:val="none" w:sz="0" w:space="0" w:color="auto"/>
      </w:divBdr>
    </w:div>
    <w:div w:id="764955312">
      <w:bodyDiv w:val="1"/>
      <w:marLeft w:val="0"/>
      <w:marRight w:val="0"/>
      <w:marTop w:val="0"/>
      <w:marBottom w:val="0"/>
      <w:divBdr>
        <w:top w:val="none" w:sz="0" w:space="0" w:color="auto"/>
        <w:left w:val="none" w:sz="0" w:space="0" w:color="auto"/>
        <w:bottom w:val="none" w:sz="0" w:space="0" w:color="auto"/>
        <w:right w:val="none" w:sz="0" w:space="0" w:color="auto"/>
      </w:divBdr>
    </w:div>
    <w:div w:id="929847413">
      <w:bodyDiv w:val="1"/>
      <w:marLeft w:val="0"/>
      <w:marRight w:val="0"/>
      <w:marTop w:val="0"/>
      <w:marBottom w:val="0"/>
      <w:divBdr>
        <w:top w:val="none" w:sz="0" w:space="0" w:color="auto"/>
        <w:left w:val="none" w:sz="0" w:space="0" w:color="auto"/>
        <w:bottom w:val="none" w:sz="0" w:space="0" w:color="auto"/>
        <w:right w:val="none" w:sz="0" w:space="0" w:color="auto"/>
      </w:divBdr>
    </w:div>
    <w:div w:id="947859456">
      <w:bodyDiv w:val="1"/>
      <w:marLeft w:val="0"/>
      <w:marRight w:val="0"/>
      <w:marTop w:val="0"/>
      <w:marBottom w:val="0"/>
      <w:divBdr>
        <w:top w:val="none" w:sz="0" w:space="0" w:color="auto"/>
        <w:left w:val="none" w:sz="0" w:space="0" w:color="auto"/>
        <w:bottom w:val="none" w:sz="0" w:space="0" w:color="auto"/>
        <w:right w:val="none" w:sz="0" w:space="0" w:color="auto"/>
      </w:divBdr>
    </w:div>
    <w:div w:id="965894331">
      <w:bodyDiv w:val="1"/>
      <w:marLeft w:val="0"/>
      <w:marRight w:val="0"/>
      <w:marTop w:val="0"/>
      <w:marBottom w:val="0"/>
      <w:divBdr>
        <w:top w:val="none" w:sz="0" w:space="0" w:color="auto"/>
        <w:left w:val="none" w:sz="0" w:space="0" w:color="auto"/>
        <w:bottom w:val="none" w:sz="0" w:space="0" w:color="auto"/>
        <w:right w:val="none" w:sz="0" w:space="0" w:color="auto"/>
      </w:divBdr>
    </w:div>
    <w:div w:id="1118112017">
      <w:bodyDiv w:val="1"/>
      <w:marLeft w:val="0"/>
      <w:marRight w:val="0"/>
      <w:marTop w:val="0"/>
      <w:marBottom w:val="0"/>
      <w:divBdr>
        <w:top w:val="none" w:sz="0" w:space="0" w:color="auto"/>
        <w:left w:val="none" w:sz="0" w:space="0" w:color="auto"/>
        <w:bottom w:val="none" w:sz="0" w:space="0" w:color="auto"/>
        <w:right w:val="none" w:sz="0" w:space="0" w:color="auto"/>
      </w:divBdr>
    </w:div>
    <w:div w:id="1153525767">
      <w:bodyDiv w:val="1"/>
      <w:marLeft w:val="0"/>
      <w:marRight w:val="0"/>
      <w:marTop w:val="0"/>
      <w:marBottom w:val="0"/>
      <w:divBdr>
        <w:top w:val="none" w:sz="0" w:space="0" w:color="auto"/>
        <w:left w:val="none" w:sz="0" w:space="0" w:color="auto"/>
        <w:bottom w:val="none" w:sz="0" w:space="0" w:color="auto"/>
        <w:right w:val="none" w:sz="0" w:space="0" w:color="auto"/>
      </w:divBdr>
    </w:div>
    <w:div w:id="1177188702">
      <w:bodyDiv w:val="1"/>
      <w:marLeft w:val="0"/>
      <w:marRight w:val="0"/>
      <w:marTop w:val="0"/>
      <w:marBottom w:val="0"/>
      <w:divBdr>
        <w:top w:val="none" w:sz="0" w:space="0" w:color="auto"/>
        <w:left w:val="none" w:sz="0" w:space="0" w:color="auto"/>
        <w:bottom w:val="none" w:sz="0" w:space="0" w:color="auto"/>
        <w:right w:val="none" w:sz="0" w:space="0" w:color="auto"/>
      </w:divBdr>
    </w:div>
    <w:div w:id="1377972476">
      <w:bodyDiv w:val="1"/>
      <w:marLeft w:val="0"/>
      <w:marRight w:val="0"/>
      <w:marTop w:val="0"/>
      <w:marBottom w:val="0"/>
      <w:divBdr>
        <w:top w:val="none" w:sz="0" w:space="0" w:color="auto"/>
        <w:left w:val="none" w:sz="0" w:space="0" w:color="auto"/>
        <w:bottom w:val="none" w:sz="0" w:space="0" w:color="auto"/>
        <w:right w:val="none" w:sz="0" w:space="0" w:color="auto"/>
      </w:divBdr>
    </w:div>
    <w:div w:id="1469129677">
      <w:bodyDiv w:val="1"/>
      <w:marLeft w:val="0"/>
      <w:marRight w:val="0"/>
      <w:marTop w:val="0"/>
      <w:marBottom w:val="0"/>
      <w:divBdr>
        <w:top w:val="none" w:sz="0" w:space="0" w:color="auto"/>
        <w:left w:val="none" w:sz="0" w:space="0" w:color="auto"/>
        <w:bottom w:val="none" w:sz="0" w:space="0" w:color="auto"/>
        <w:right w:val="none" w:sz="0" w:space="0" w:color="auto"/>
      </w:divBdr>
    </w:div>
    <w:div w:id="1587575991">
      <w:bodyDiv w:val="1"/>
      <w:marLeft w:val="0"/>
      <w:marRight w:val="0"/>
      <w:marTop w:val="0"/>
      <w:marBottom w:val="0"/>
      <w:divBdr>
        <w:top w:val="none" w:sz="0" w:space="0" w:color="auto"/>
        <w:left w:val="none" w:sz="0" w:space="0" w:color="auto"/>
        <w:bottom w:val="none" w:sz="0" w:space="0" w:color="auto"/>
        <w:right w:val="none" w:sz="0" w:space="0" w:color="auto"/>
      </w:divBdr>
    </w:div>
    <w:div w:id="17190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hants.gov.uk/educationandlearning/schools-forum" TargetMode="External"/><Relationship Id="rId26" Type="http://schemas.openxmlformats.org/officeDocument/2006/relationships/hyperlink" Target="https://www.gov.uk/government/publications/pre-16-schools-funding-local-authority-guidance-for-2026-to-2027/schools-operational-guide-2026-to-2027" TargetMode="External"/><Relationship Id="rId21" Type="http://schemas.openxmlformats.org/officeDocument/2006/relationships/hyperlink" Target="https://www.gov.uk/government/publications/pre-16-schools-funding-local-authority-guidance-for-2026-to-2027/schools-operational-guide-2026-to-2027"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e-16-schools-funding-local-authority-guidance-for-2026-to-2027/schools-operational-guide-2026-to-2027" TargetMode="External"/><Relationship Id="rId25" Type="http://schemas.openxmlformats.org/officeDocument/2006/relationships/hyperlink" Target="https://www.gov.uk/government/publications/pre-16-schools-funding-local-authority-guidance-for-2026-to-2027/schools-operational-guide-2026-to-2027" TargetMode="External"/><Relationship Id="rId33" Type="http://schemas.openxmlformats.org/officeDocument/2006/relationships/hyperlink" Target="https://www.legislation.gov.uk/uksi/2025/42/contents/made" TargetMode="External"/><Relationship Id="rId2" Type="http://schemas.openxmlformats.org/officeDocument/2006/relationships/customXml" Target="../customXml/item2.xml"/><Relationship Id="rId16" Type="http://schemas.openxmlformats.org/officeDocument/2006/relationships/hyperlink" Target="https://www.gov.uk/government/publications/pre-16-schools-funding-local-authority-guidance-for-2026-to-2027/schools-operational-guide-2026-to-2027" TargetMode="External"/><Relationship Id="rId20" Type="http://schemas.openxmlformats.org/officeDocument/2006/relationships/hyperlink" Target="https://documents.hants.gov.uk/education/school-budget-shares/school-funding-policy-pack-2025-26.docx" TargetMode="External"/><Relationship Id="rId29" Type="http://schemas.openxmlformats.org/officeDocument/2006/relationships/hyperlink" Target="https://www.gov.uk/government/publications/pre-16-schools-funding-local-authority-guidance-for-2026-to-2027/schools-operational-guide-2026-to-202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re-16-schools-funding-local-authority-guidance-for-2026-to-2027/schools-operational-guide-2026-to-2027" TargetMode="External"/><Relationship Id="rId32" Type="http://schemas.openxmlformats.org/officeDocument/2006/relationships/hyperlink" Target="https://www.gov.uk/government/publications/pre-16-schools-funding-local-authority-guidance-for-2026-to-2027/schools-operational-guide-2026-to-2027"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uments.hants.gov.uk/education/school-budget-shares/school-funding-policy-pack-2025-26.docx" TargetMode="External"/><Relationship Id="rId23" Type="http://schemas.openxmlformats.org/officeDocument/2006/relationships/hyperlink" Target="https://www.gov.uk/government/publications/pre-16-schools-funding-local-authority-guidance-for-2026-to-2027/schools-operational-guide-2026-to-2027" TargetMode="External"/><Relationship Id="rId28" Type="http://schemas.openxmlformats.org/officeDocument/2006/relationships/hyperlink" Target="https://www.gov.uk/government/publications/pre-16-schools-funding-local-authority-guidance-for-2026-to-2027/schools-operational-guide-2026-to-2027"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ocuments.hants.gov.uk/education/school-budget-shares/school-funding-policy-pack-2025-26.docx" TargetMode="External"/><Relationship Id="rId31" Type="http://schemas.openxmlformats.org/officeDocument/2006/relationships/hyperlink" Target="https://www.gov.uk/government/publications/pre-16-schools-funding-local-authority-guidance-for-2026-to-2027/schools-operational-guide-2026-to-20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media/691df6680dcbf6343e9a2a83/2026-2027_NFF_schools_block_technical_note.pdf" TargetMode="External"/><Relationship Id="rId22" Type="http://schemas.openxmlformats.org/officeDocument/2006/relationships/hyperlink" Target="https://www.gov.uk/government/publications/pre-16-schools-funding-local-authority-guidance-for-2026-to-2027/schools-operational-guide-2026-to-2027" TargetMode="External"/><Relationship Id="rId27" Type="http://schemas.openxmlformats.org/officeDocument/2006/relationships/hyperlink" Target="https://www.gov.uk/government/publications/pre-16-schools-funding-local-authority-guidance-for-2026-to-2027/schools-operational-guide-2026-to-2027" TargetMode="External"/><Relationship Id="rId30" Type="http://schemas.openxmlformats.org/officeDocument/2006/relationships/hyperlink" Target="https://www.gov.uk/government/publications/pre-16-schools-funding-local-authority-guidance-for-2026-to-2027/schools-operational-guide-2026-to-2027"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115</Value>
    </TaxCatchAll>
    <Item_x0020_ID xmlns="c5dbf80e-f509-45f6-9fe5-406e3eefabbb" xsi:nil="true"/>
    <Active_x0020_Document xmlns="c5dbf80e-f509-45f6-9fe5-406e3eefabbb">true</Active_x0020_Document>
    <hc632fe273cb498aa970207d30c3b1d8 xmlns="c5dbf80e-f509-45f6-9fe5-406e3eefabbb">
      <Terms xmlns="http://schemas.microsoft.com/office/infopath/2007/PartnerControls"/>
    </hc632fe273cb498aa970207d30c3b1d8>
    <lfef263e21e64358a4207c6019732fcd xmlns="c5dbf80e-f509-45f6-9fe5-406e3eefabbb">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5708819e-761d-4492-b7d9-c5030c8eddde</TermId>
        </TermInfo>
      </Terms>
    </lfef263e21e64358a4207c6019732fcd>
  </documentManagement>
</p:properties>
</file>

<file path=customXml/item2.xml><?xml version="1.0" encoding="utf-8"?>
<ct:contentTypeSchema xmlns:ct="http://schemas.microsoft.com/office/2006/metadata/contentType" xmlns:ma="http://schemas.microsoft.com/office/2006/metadata/properties/metaAttributes" ct:_="" ma:_="" ma:contentTypeName="Education Financial Services" ma:contentTypeID="0x0101004E1B537BC2B2AD43A5AF5311D732D3AA980068BE5F9FBBFE0946B3078FF65887E659" ma:contentTypeVersion="2623" ma:contentTypeDescription="" ma:contentTypeScope="" ma:versionID="968bb564bcb07be4fd8c93bf637c61f1">
  <xsd:schema xmlns:xsd="http://www.w3.org/2001/XMLSchema" xmlns:xs="http://www.w3.org/2001/XMLSchema" xmlns:p="http://schemas.microsoft.com/office/2006/metadata/properties" xmlns:ns2="c5dbf80e-f509-45f6-9fe5-406e3eefabbb" targetNamespace="http://schemas.microsoft.com/office/2006/metadata/properties" ma:root="true" ma:fieldsID="24f6f031934cd08a1380083ae50d6802"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lfef263e21e64358a4207c6019732f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76dc05-4891-4dd5-ab76-470f33998f20}" ma:internalName="TaxCatchAll" ma:showField="CatchAllData"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76dc05-4891-4dd5-ab76-470f33998f20}" ma:internalName="TaxCatchAllLabel" ma:readOnly="true" ma:showField="CatchAllDataLabel" ma:web="0122a33a-0a1c-45a7-9537-7115cc33a08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dexed="true" ma:internalName="Active_x0020_Document">
      <xsd:simpleType>
        <xsd:restriction base="dms:Boolean"/>
      </xsd:simpleType>
    </xsd:element>
    <xsd:element name="lfef263e21e64358a4207c6019732fcd" ma:index="14" ma:taxonomy="true" ma:internalName="lfef263e21e64358a4207c6019732fcd" ma:taxonomyFieldName="Education_x0020_Financial_x0020_Services" ma:displayName="Education Financial Services" ma:readOnly="false" ma:default="" ma:fieldId="{5fef263e-21e6-4358-a420-7c6019732fcd}" ma:sspId="3c5dbf34-c73a-430c-9290-9174ad787734" ma:termSetId="58c55336-0ba2-4539-988d-30dd3a86ed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s>
</ds:datastoreItem>
</file>

<file path=customXml/itemProps2.xml><?xml version="1.0" encoding="utf-8"?>
<ds:datastoreItem xmlns:ds="http://schemas.openxmlformats.org/officeDocument/2006/customXml" ds:itemID="{D1F5AA2E-0105-4C0B-8C99-039FF60F9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58343-65A4-41F4-98E8-E76501A0AAFE}">
  <ds:schemaRefs>
    <ds:schemaRef ds:uri="Microsoft.SharePoint.Taxonomy.ContentTypeSync"/>
  </ds:schemaRefs>
</ds:datastoreItem>
</file>

<file path=customXml/itemProps4.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5.xml><?xml version="1.0" encoding="utf-8"?>
<ds:datastoreItem xmlns:ds="http://schemas.openxmlformats.org/officeDocument/2006/customXml" ds:itemID="{22E329D0-821B-4D95-A403-E50C7A41990D}">
  <ds:schemaRefs>
    <ds:schemaRef ds:uri="http://schemas.microsoft.com/sharepoint/events"/>
  </ds:schemaRefs>
</ds:datastoreItem>
</file>

<file path=customXml/itemProps6.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13</Pages>
  <Words>3668</Words>
  <Characters>18978</Characters>
  <Application>Microsoft Office Word</Application>
  <DocSecurity>0</DocSecurity>
  <Lines>635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22594</CharactersWithSpaces>
  <SharedDoc>false</SharedDoc>
  <HLinks>
    <vt:vector size="282" baseType="variant">
      <vt:variant>
        <vt:i4>983128</vt:i4>
      </vt:variant>
      <vt:variant>
        <vt:i4>138</vt:i4>
      </vt:variant>
      <vt:variant>
        <vt:i4>0</vt:i4>
      </vt:variant>
      <vt:variant>
        <vt:i4>5</vt:i4>
      </vt:variant>
      <vt:variant>
        <vt:lpwstr>https://www.legislation.gov.uk/uksi/2025/42/contents/made</vt:lpwstr>
      </vt:variant>
      <vt:variant>
        <vt:lpwstr/>
      </vt:variant>
      <vt:variant>
        <vt:i4>327754</vt:i4>
      </vt:variant>
      <vt:variant>
        <vt:i4>135</vt:i4>
      </vt:variant>
      <vt:variant>
        <vt:i4>0</vt:i4>
      </vt:variant>
      <vt:variant>
        <vt:i4>5</vt:i4>
      </vt:variant>
      <vt:variant>
        <vt:lpwstr>https://www.gov.uk/government/publications/pre-16-schools-funding-local-authority-guidance-for-2026-to-2027/schools-operational-guide-2026-to-2027</vt:lpwstr>
      </vt:variant>
      <vt:variant>
        <vt:lpwstr>services-for-maintained-schools</vt:lpwstr>
      </vt:variant>
      <vt:variant>
        <vt:i4>3407912</vt:i4>
      </vt:variant>
      <vt:variant>
        <vt:i4>132</vt:i4>
      </vt:variant>
      <vt:variant>
        <vt:i4>0</vt:i4>
      </vt:variant>
      <vt:variant>
        <vt:i4>5</vt:i4>
      </vt:variant>
      <vt:variant>
        <vt:lpwstr>https://www.gov.uk/government/publications/pre-16-schools-funding-local-authority-guidance-for-2026-to-2027/schools-operational-guide-2026-to-2027</vt:lpwstr>
      </vt:variant>
      <vt:variant>
        <vt:lpwstr>de-delegated-services</vt:lpwstr>
      </vt:variant>
      <vt:variant>
        <vt:i4>2949183</vt:i4>
      </vt:variant>
      <vt:variant>
        <vt:i4>129</vt:i4>
      </vt:variant>
      <vt:variant>
        <vt:i4>0</vt:i4>
      </vt:variant>
      <vt:variant>
        <vt:i4>5</vt:i4>
      </vt:variant>
      <vt:variant>
        <vt:lpwstr>http://www3.hants.gov.uk/education/ema/ema-training.htm</vt:lpwstr>
      </vt:variant>
      <vt:variant>
        <vt:lpwstr/>
      </vt:variant>
      <vt:variant>
        <vt:i4>4915213</vt:i4>
      </vt:variant>
      <vt:variant>
        <vt:i4>126</vt:i4>
      </vt:variant>
      <vt:variant>
        <vt:i4>0</vt:i4>
      </vt:variant>
      <vt:variant>
        <vt:i4>5</vt:i4>
      </vt:variant>
      <vt:variant>
        <vt:lpwstr>https://documents.hants.gov.uk/education/school-budget-shares/2025-2026-MpPF-and-MFG-calculator.xlsx</vt:lpwstr>
      </vt:variant>
      <vt:variant>
        <vt:lpwstr/>
      </vt:variant>
      <vt:variant>
        <vt:i4>7208998</vt:i4>
      </vt:variant>
      <vt:variant>
        <vt:i4>123</vt:i4>
      </vt:variant>
      <vt:variant>
        <vt:i4>0</vt:i4>
      </vt:variant>
      <vt:variant>
        <vt:i4>5</vt:i4>
      </vt:variant>
      <vt:variant>
        <vt:lpwstr>https://www.gov.uk/government/publications/pre-16-schools-funding-local-authority-guidance-for-2026-to-2027/schools-operational-guide-2026-to-2027</vt:lpwstr>
      </vt:variant>
      <vt:variant>
        <vt:lpwstr>minimum-funding-guarantee-mfg</vt:lpwstr>
      </vt:variant>
      <vt:variant>
        <vt:i4>7667750</vt:i4>
      </vt:variant>
      <vt:variant>
        <vt:i4>120</vt:i4>
      </vt:variant>
      <vt:variant>
        <vt:i4>0</vt:i4>
      </vt:variant>
      <vt:variant>
        <vt:i4>5</vt:i4>
      </vt:variant>
      <vt:variant>
        <vt:lpwstr>https://www.gov.uk/government/publications/pre-16-schools-funding-local-authority-guidance-for-2026-to-2027/schools-operational-guide-2026-to-2027</vt:lpwstr>
      </vt:variant>
      <vt:variant>
        <vt:lpwstr>delegated-funding</vt:lpwstr>
      </vt:variant>
      <vt:variant>
        <vt:i4>7405616</vt:i4>
      </vt:variant>
      <vt:variant>
        <vt:i4>117</vt:i4>
      </vt:variant>
      <vt:variant>
        <vt:i4>0</vt:i4>
      </vt:variant>
      <vt:variant>
        <vt:i4>5</vt:i4>
      </vt:variant>
      <vt:variant>
        <vt:lpwstr>https://www.gov.uk/government/publications/pre-16-schools-funding-local-authority-guidance-for-2026-to-2027/schools-operational-guide-2026-to-2027</vt:lpwstr>
      </vt:variant>
      <vt:variant>
        <vt:lpwstr>exceptional-circumstances</vt:lpwstr>
      </vt:variant>
      <vt:variant>
        <vt:i4>1769556</vt:i4>
      </vt:variant>
      <vt:variant>
        <vt:i4>114</vt:i4>
      </vt:variant>
      <vt:variant>
        <vt:i4>0</vt:i4>
      </vt:variant>
      <vt:variant>
        <vt:i4>5</vt:i4>
      </vt:variant>
      <vt:variant>
        <vt:lpwstr>https://www.gov.uk/government/publications/pre-16-schools-funding-local-authority-guidance-for-2026-to-2027/schools-operational-guide-2026-to-2027</vt:lpwstr>
      </vt:variant>
      <vt:variant>
        <vt:lpwstr>split-sites</vt:lpwstr>
      </vt:variant>
      <vt:variant>
        <vt:i4>2555966</vt:i4>
      </vt:variant>
      <vt:variant>
        <vt:i4>111</vt:i4>
      </vt:variant>
      <vt:variant>
        <vt:i4>0</vt:i4>
      </vt:variant>
      <vt:variant>
        <vt:i4>5</vt:i4>
      </vt:variant>
      <vt:variant>
        <vt:lpwstr>https://www.gov.uk/government/publications/pre-16-schools-funding-local-authority-guidance-for-2026-to-2027/schools-operational-guide-2026-to-2027</vt:lpwstr>
      </vt:variant>
      <vt:variant>
        <vt:lpwstr>rates</vt:lpwstr>
      </vt:variant>
      <vt:variant>
        <vt:i4>3211309</vt:i4>
      </vt:variant>
      <vt:variant>
        <vt:i4>108</vt:i4>
      </vt:variant>
      <vt:variant>
        <vt:i4>0</vt:i4>
      </vt:variant>
      <vt:variant>
        <vt:i4>5</vt:i4>
      </vt:variant>
      <vt:variant>
        <vt:lpwstr>https://www.gov.uk/government/publications/pre-16-schools-funding-local-authority-guidance-for-2026-to-2027/schools-operational-guide-2026-to-2027</vt:lpwstr>
      </vt:variant>
      <vt:variant>
        <vt:lpwstr>sparsity</vt:lpwstr>
      </vt:variant>
      <vt:variant>
        <vt:i4>3670113</vt:i4>
      </vt:variant>
      <vt:variant>
        <vt:i4>105</vt:i4>
      </vt:variant>
      <vt:variant>
        <vt:i4>0</vt:i4>
      </vt:variant>
      <vt:variant>
        <vt:i4>5</vt:i4>
      </vt:variant>
      <vt:variant>
        <vt:lpwstr>https://www.gov.uk/government/publications/pre-16-schools-funding-local-authority-guidance-for-2026-to-2027/schools-operational-guide-2026-to-2027</vt:lpwstr>
      </vt:variant>
      <vt:variant>
        <vt:lpwstr>lump-sum</vt:lpwstr>
      </vt:variant>
      <vt:variant>
        <vt:i4>262211</vt:i4>
      </vt:variant>
      <vt:variant>
        <vt:i4>102</vt:i4>
      </vt:variant>
      <vt:variant>
        <vt:i4>0</vt:i4>
      </vt:variant>
      <vt:variant>
        <vt:i4>5</vt:i4>
      </vt:variant>
      <vt:variant>
        <vt:lpwstr>https://www.gov.uk/government/publications/pre-16-schools-funding-local-authority-guidance-for-2026-to-2027/schools-operational-guide-2026-to-2027</vt:lpwstr>
      </vt:variant>
      <vt:variant>
        <vt:lpwstr>pupil-mobility</vt:lpwstr>
      </vt:variant>
      <vt:variant>
        <vt:i4>3538988</vt:i4>
      </vt:variant>
      <vt:variant>
        <vt:i4>99</vt:i4>
      </vt:variant>
      <vt:variant>
        <vt:i4>0</vt:i4>
      </vt:variant>
      <vt:variant>
        <vt:i4>5</vt:i4>
      </vt:variant>
      <vt:variant>
        <vt:lpwstr>https://www.gov.uk/government/publications/pre-16-schools-funding-local-authority-guidance-for-2026-to-2027/schools-operational-guide-2026-to-2027</vt:lpwstr>
      </vt:variant>
      <vt:variant>
        <vt:lpwstr>english-as-an-additional-language</vt:lpwstr>
      </vt:variant>
      <vt:variant>
        <vt:i4>3539050</vt:i4>
      </vt:variant>
      <vt:variant>
        <vt:i4>96</vt:i4>
      </vt:variant>
      <vt:variant>
        <vt:i4>0</vt:i4>
      </vt:variant>
      <vt:variant>
        <vt:i4>5</vt:i4>
      </vt:variant>
      <vt:variant>
        <vt:lpwstr>https://www.gov.uk/government/publications/pre-16-schools-funding-local-authority-guidance-for-2026-to-2027/schools-operational-guide-2026-to-2027</vt:lpwstr>
      </vt:variant>
      <vt:variant>
        <vt:lpwstr>low-prior-attainment-lpa</vt:lpwstr>
      </vt:variant>
      <vt:variant>
        <vt:i4>7667750</vt:i4>
      </vt:variant>
      <vt:variant>
        <vt:i4>93</vt:i4>
      </vt:variant>
      <vt:variant>
        <vt:i4>0</vt:i4>
      </vt:variant>
      <vt:variant>
        <vt:i4>5</vt:i4>
      </vt:variant>
      <vt:variant>
        <vt:lpwstr>https://www.gov.uk/government/publications/pre-16-schools-funding-local-authority-guidance-for-2026-to-2027/schools-operational-guide-2026-to-2027</vt:lpwstr>
      </vt:variant>
      <vt:variant>
        <vt:lpwstr>delegated-funding</vt:lpwstr>
      </vt:variant>
      <vt:variant>
        <vt:i4>1441857</vt:i4>
      </vt:variant>
      <vt:variant>
        <vt:i4>90</vt:i4>
      </vt:variant>
      <vt:variant>
        <vt:i4>0</vt:i4>
      </vt:variant>
      <vt:variant>
        <vt:i4>5</vt:i4>
      </vt:variant>
      <vt:variant>
        <vt:lpwstr>https://documents.hants.gov.uk/education/school-budget-shares/school-funding-policy-pack-2025-26.docx</vt:lpwstr>
      </vt:variant>
      <vt:variant>
        <vt:lpwstr/>
      </vt:variant>
      <vt:variant>
        <vt:i4>1441857</vt:i4>
      </vt:variant>
      <vt:variant>
        <vt:i4>87</vt:i4>
      </vt:variant>
      <vt:variant>
        <vt:i4>0</vt:i4>
      </vt:variant>
      <vt:variant>
        <vt:i4>5</vt:i4>
      </vt:variant>
      <vt:variant>
        <vt:lpwstr>https://documents.hants.gov.uk/education/school-budget-shares/school-funding-policy-pack-2025-26.docx</vt:lpwstr>
      </vt:variant>
      <vt:variant>
        <vt:lpwstr/>
      </vt:variant>
      <vt:variant>
        <vt:i4>3407981</vt:i4>
      </vt:variant>
      <vt:variant>
        <vt:i4>84</vt:i4>
      </vt:variant>
      <vt:variant>
        <vt:i4>0</vt:i4>
      </vt:variant>
      <vt:variant>
        <vt:i4>5</vt:i4>
      </vt:variant>
      <vt:variant>
        <vt:lpwstr>https://www.hants.gov.uk/educationandlearning/schools-forum</vt:lpwstr>
      </vt:variant>
      <vt:variant>
        <vt:lpwstr/>
      </vt:variant>
      <vt:variant>
        <vt:i4>2293816</vt:i4>
      </vt:variant>
      <vt:variant>
        <vt:i4>81</vt:i4>
      </vt:variant>
      <vt:variant>
        <vt:i4>0</vt:i4>
      </vt:variant>
      <vt:variant>
        <vt:i4>5</vt:i4>
      </vt:variant>
      <vt:variant>
        <vt:lpwstr>https://www.gov.uk/government/publications/pre-16-schools-funding-local-authority-guidance-for-2026-to-2027/schools-operational-guide-2026-to-2027</vt:lpwstr>
      </vt:variant>
      <vt:variant>
        <vt:lpwstr/>
      </vt:variant>
      <vt:variant>
        <vt:i4>2293816</vt:i4>
      </vt:variant>
      <vt:variant>
        <vt:i4>78</vt:i4>
      </vt:variant>
      <vt:variant>
        <vt:i4>0</vt:i4>
      </vt:variant>
      <vt:variant>
        <vt:i4>5</vt:i4>
      </vt:variant>
      <vt:variant>
        <vt:lpwstr>https://www.gov.uk/government/publications/pre-16-schools-funding-local-authority-guidance-for-2026-to-2027/schools-operational-guide-2026-to-2027</vt:lpwstr>
      </vt:variant>
      <vt:variant>
        <vt:lpwstr/>
      </vt:variant>
      <vt:variant>
        <vt:i4>1441857</vt:i4>
      </vt:variant>
      <vt:variant>
        <vt:i4>75</vt:i4>
      </vt:variant>
      <vt:variant>
        <vt:i4>0</vt:i4>
      </vt:variant>
      <vt:variant>
        <vt:i4>5</vt:i4>
      </vt:variant>
      <vt:variant>
        <vt:lpwstr>https://documents.hants.gov.uk/education/school-budget-shares/school-funding-policy-pack-2025-26.docx</vt:lpwstr>
      </vt:variant>
      <vt:variant>
        <vt:lpwstr/>
      </vt:variant>
      <vt:variant>
        <vt:i4>786541</vt:i4>
      </vt:variant>
      <vt:variant>
        <vt:i4>72</vt:i4>
      </vt:variant>
      <vt:variant>
        <vt:i4>0</vt:i4>
      </vt:variant>
      <vt:variant>
        <vt:i4>5</vt:i4>
      </vt:variant>
      <vt:variant>
        <vt:lpwstr>https://assets.publishing.service.gov.uk/media/691df6680dcbf6343e9a2a83/2026-2027_NFF_schools_block_technical_note.pdf</vt:lpwstr>
      </vt:variant>
      <vt:variant>
        <vt:lpwstr/>
      </vt:variant>
      <vt:variant>
        <vt:i4>589846</vt:i4>
      </vt:variant>
      <vt:variant>
        <vt:i4>69</vt:i4>
      </vt:variant>
      <vt:variant>
        <vt:i4>0</vt:i4>
      </vt:variant>
      <vt:variant>
        <vt:i4>5</vt:i4>
      </vt:variant>
      <vt:variant>
        <vt:lpwstr/>
      </vt:variant>
      <vt:variant>
        <vt:lpwstr>Appendix1</vt:lpwstr>
      </vt:variant>
      <vt:variant>
        <vt:i4>1703962</vt:i4>
      </vt:variant>
      <vt:variant>
        <vt:i4>66</vt:i4>
      </vt:variant>
      <vt:variant>
        <vt:i4>0</vt:i4>
      </vt:variant>
      <vt:variant>
        <vt:i4>5</vt:i4>
      </vt:variant>
      <vt:variant>
        <vt:lpwstr/>
      </vt:variant>
      <vt:variant>
        <vt:lpwstr>Moneyfollowingexcludedpupils</vt:lpwstr>
      </vt:variant>
      <vt:variant>
        <vt:i4>983070</vt:i4>
      </vt:variant>
      <vt:variant>
        <vt:i4>63</vt:i4>
      </vt:variant>
      <vt:variant>
        <vt:i4>0</vt:i4>
      </vt:variant>
      <vt:variant>
        <vt:i4>5</vt:i4>
      </vt:variant>
      <vt:variant>
        <vt:lpwstr/>
      </vt:variant>
      <vt:variant>
        <vt:lpwstr>Sixthformfunding</vt:lpwstr>
      </vt:variant>
      <vt:variant>
        <vt:i4>7471231</vt:i4>
      </vt:variant>
      <vt:variant>
        <vt:i4>60</vt:i4>
      </vt:variant>
      <vt:variant>
        <vt:i4>0</vt:i4>
      </vt:variant>
      <vt:variant>
        <vt:i4>5</vt:i4>
      </vt:variant>
      <vt:variant>
        <vt:lpwstr/>
      </vt:variant>
      <vt:variant>
        <vt:lpwstr>Nurseryfunding</vt:lpwstr>
      </vt:variant>
      <vt:variant>
        <vt:i4>6357095</vt:i4>
      </vt:variant>
      <vt:variant>
        <vt:i4>57</vt:i4>
      </vt:variant>
      <vt:variant>
        <vt:i4>0</vt:i4>
      </vt:variant>
      <vt:variant>
        <vt:i4>5</vt:i4>
      </vt:variant>
      <vt:variant>
        <vt:lpwstr/>
      </vt:variant>
      <vt:variant>
        <vt:lpwstr>NotionalSEN</vt:lpwstr>
      </vt:variant>
      <vt:variant>
        <vt:i4>1114122</vt:i4>
      </vt:variant>
      <vt:variant>
        <vt:i4>54</vt:i4>
      </vt:variant>
      <vt:variant>
        <vt:i4>0</vt:i4>
      </vt:variant>
      <vt:variant>
        <vt:i4>5</vt:i4>
      </vt:variant>
      <vt:variant>
        <vt:lpwstr/>
      </vt:variant>
      <vt:variant>
        <vt:lpwstr>Additionalinformation</vt:lpwstr>
      </vt:variant>
      <vt:variant>
        <vt:i4>65547</vt:i4>
      </vt:variant>
      <vt:variant>
        <vt:i4>51</vt:i4>
      </vt:variant>
      <vt:variant>
        <vt:i4>0</vt:i4>
      </vt:variant>
      <vt:variant>
        <vt:i4>5</vt:i4>
      </vt:variant>
      <vt:variant>
        <vt:lpwstr/>
      </vt:variant>
      <vt:variant>
        <vt:lpwstr>Centralprovision</vt:lpwstr>
      </vt:variant>
      <vt:variant>
        <vt:i4>196624</vt:i4>
      </vt:variant>
      <vt:variant>
        <vt:i4>48</vt:i4>
      </vt:variant>
      <vt:variant>
        <vt:i4>0</vt:i4>
      </vt:variant>
      <vt:variant>
        <vt:i4>5</vt:i4>
      </vt:variant>
      <vt:variant>
        <vt:lpwstr/>
      </vt:variant>
      <vt:variant>
        <vt:lpwstr>Dedelegation</vt:lpwstr>
      </vt:variant>
      <vt:variant>
        <vt:i4>8323183</vt:i4>
      </vt:variant>
      <vt:variant>
        <vt:i4>45</vt:i4>
      </vt:variant>
      <vt:variant>
        <vt:i4>0</vt:i4>
      </vt:variant>
      <vt:variant>
        <vt:i4>5</vt:i4>
      </vt:variant>
      <vt:variant>
        <vt:lpwstr/>
      </vt:variant>
      <vt:variant>
        <vt:lpwstr>Minimumfundingguarantee</vt:lpwstr>
      </vt:variant>
      <vt:variant>
        <vt:i4>1900554</vt:i4>
      </vt:variant>
      <vt:variant>
        <vt:i4>42</vt:i4>
      </vt:variant>
      <vt:variant>
        <vt:i4>0</vt:i4>
      </vt:variant>
      <vt:variant>
        <vt:i4>5</vt:i4>
      </vt:variant>
      <vt:variant>
        <vt:lpwstr/>
      </vt:variant>
      <vt:variant>
        <vt:lpwstr>Minimumperpupillevel</vt:lpwstr>
      </vt:variant>
      <vt:variant>
        <vt:i4>65541</vt:i4>
      </vt:variant>
      <vt:variant>
        <vt:i4>39</vt:i4>
      </vt:variant>
      <vt:variant>
        <vt:i4>0</vt:i4>
      </vt:variant>
      <vt:variant>
        <vt:i4>5</vt:i4>
      </vt:variant>
      <vt:variant>
        <vt:lpwstr/>
      </vt:variant>
      <vt:variant>
        <vt:lpwstr>Exceptionalcircumstances</vt:lpwstr>
      </vt:variant>
      <vt:variant>
        <vt:i4>7143527</vt:i4>
      </vt:variant>
      <vt:variant>
        <vt:i4>36</vt:i4>
      </vt:variant>
      <vt:variant>
        <vt:i4>0</vt:i4>
      </vt:variant>
      <vt:variant>
        <vt:i4>5</vt:i4>
      </vt:variant>
      <vt:variant>
        <vt:lpwstr/>
      </vt:variant>
      <vt:variant>
        <vt:lpwstr>Splitsites</vt:lpwstr>
      </vt:variant>
      <vt:variant>
        <vt:i4>262150</vt:i4>
      </vt:variant>
      <vt:variant>
        <vt:i4>33</vt:i4>
      </vt:variant>
      <vt:variant>
        <vt:i4>0</vt:i4>
      </vt:variant>
      <vt:variant>
        <vt:i4>5</vt:i4>
      </vt:variant>
      <vt:variant>
        <vt:lpwstr/>
      </vt:variant>
      <vt:variant>
        <vt:lpwstr>Rates</vt:lpwstr>
      </vt:variant>
      <vt:variant>
        <vt:i4>1179669</vt:i4>
      </vt:variant>
      <vt:variant>
        <vt:i4>30</vt:i4>
      </vt:variant>
      <vt:variant>
        <vt:i4>0</vt:i4>
      </vt:variant>
      <vt:variant>
        <vt:i4>5</vt:i4>
      </vt:variant>
      <vt:variant>
        <vt:lpwstr/>
      </vt:variant>
      <vt:variant>
        <vt:lpwstr>Sparsity</vt:lpwstr>
      </vt:variant>
      <vt:variant>
        <vt:i4>7340146</vt:i4>
      </vt:variant>
      <vt:variant>
        <vt:i4>27</vt:i4>
      </vt:variant>
      <vt:variant>
        <vt:i4>0</vt:i4>
      </vt:variant>
      <vt:variant>
        <vt:i4>5</vt:i4>
      </vt:variant>
      <vt:variant>
        <vt:lpwstr/>
      </vt:variant>
      <vt:variant>
        <vt:lpwstr>Lumpsum</vt:lpwstr>
      </vt:variant>
      <vt:variant>
        <vt:i4>720899</vt:i4>
      </vt:variant>
      <vt:variant>
        <vt:i4>24</vt:i4>
      </vt:variant>
      <vt:variant>
        <vt:i4>0</vt:i4>
      </vt:variant>
      <vt:variant>
        <vt:i4>5</vt:i4>
      </vt:variant>
      <vt:variant>
        <vt:lpwstr/>
      </vt:variant>
      <vt:variant>
        <vt:lpwstr>Pupilmobility</vt:lpwstr>
      </vt:variant>
      <vt:variant>
        <vt:i4>8323185</vt:i4>
      </vt:variant>
      <vt:variant>
        <vt:i4>21</vt:i4>
      </vt:variant>
      <vt:variant>
        <vt:i4>0</vt:i4>
      </vt:variant>
      <vt:variant>
        <vt:i4>5</vt:i4>
      </vt:variant>
      <vt:variant>
        <vt:lpwstr/>
      </vt:variant>
      <vt:variant>
        <vt:lpwstr>Englishasadditionallanguage</vt:lpwstr>
      </vt:variant>
      <vt:variant>
        <vt:i4>7209081</vt:i4>
      </vt:variant>
      <vt:variant>
        <vt:i4>18</vt:i4>
      </vt:variant>
      <vt:variant>
        <vt:i4>0</vt:i4>
      </vt:variant>
      <vt:variant>
        <vt:i4>5</vt:i4>
      </vt:variant>
      <vt:variant>
        <vt:lpwstr/>
      </vt:variant>
      <vt:variant>
        <vt:lpwstr>Lowpriorattainment</vt:lpwstr>
      </vt:variant>
      <vt:variant>
        <vt:i4>7995509</vt:i4>
      </vt:variant>
      <vt:variant>
        <vt:i4>15</vt:i4>
      </vt:variant>
      <vt:variant>
        <vt:i4>0</vt:i4>
      </vt:variant>
      <vt:variant>
        <vt:i4>5</vt:i4>
      </vt:variant>
      <vt:variant>
        <vt:lpwstr/>
      </vt:variant>
      <vt:variant>
        <vt:lpwstr>Deprivation</vt:lpwstr>
      </vt:variant>
      <vt:variant>
        <vt:i4>1638426</vt:i4>
      </vt:variant>
      <vt:variant>
        <vt:i4>12</vt:i4>
      </vt:variant>
      <vt:variant>
        <vt:i4>0</vt:i4>
      </vt:variant>
      <vt:variant>
        <vt:i4>5</vt:i4>
      </vt:variant>
      <vt:variant>
        <vt:lpwstr/>
      </vt:variant>
      <vt:variant>
        <vt:lpwstr>Basicentitlement</vt:lpwstr>
      </vt:variant>
      <vt:variant>
        <vt:i4>6750314</vt:i4>
      </vt:variant>
      <vt:variant>
        <vt:i4>9</vt:i4>
      </vt:variant>
      <vt:variant>
        <vt:i4>0</vt:i4>
      </vt:variant>
      <vt:variant>
        <vt:i4>5</vt:i4>
      </vt:variant>
      <vt:variant>
        <vt:lpwstr/>
      </vt:variant>
      <vt:variant>
        <vt:lpwstr>Factors</vt:lpwstr>
      </vt:variant>
      <vt:variant>
        <vt:i4>786446</vt:i4>
      </vt:variant>
      <vt:variant>
        <vt:i4>6</vt:i4>
      </vt:variant>
      <vt:variant>
        <vt:i4>0</vt:i4>
      </vt:variant>
      <vt:variant>
        <vt:i4>5</vt:i4>
      </vt:variant>
      <vt:variant>
        <vt:lpwstr/>
      </vt:variant>
      <vt:variant>
        <vt:lpwstr>Allocationofbudgetshares</vt:lpwstr>
      </vt:variant>
      <vt:variant>
        <vt:i4>4653131</vt:i4>
      </vt:variant>
      <vt:variant>
        <vt:i4>3</vt:i4>
      </vt:variant>
      <vt:variant>
        <vt:i4>0</vt:i4>
      </vt:variant>
      <vt:variant>
        <vt:i4>5</vt:i4>
      </vt:variant>
      <vt:variant>
        <vt:lpwstr/>
      </vt:variant>
      <vt:variant>
        <vt:lpwstr>Changesfor20</vt:lpwstr>
      </vt:variant>
      <vt:variant>
        <vt:i4>7995488</vt:i4>
      </vt:variant>
      <vt:variant>
        <vt:i4>0</vt:i4>
      </vt:variant>
      <vt:variant>
        <vt:i4>0</vt:i4>
      </vt:variant>
      <vt:variant>
        <vt:i4>5</vt:i4>
      </vt:variant>
      <vt:variant>
        <vt:lpwstr/>
      </vt:variant>
      <vt:variant>
        <vt:lpwstr>Generalinformation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Nightingale, Gill</cp:lastModifiedBy>
  <cp:revision>787</cp:revision>
  <dcterms:created xsi:type="dcterms:W3CDTF">2025-10-09T07:51:00Z</dcterms:created>
  <dcterms:modified xsi:type="dcterms:W3CDTF">2026-02-19T11:35:00Z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0x0101004E1B537BC2B2AD43A5AF5311D732D3AA980068BE5F9FBBFE0946B3078FF65887E659</vt:lpwstr>
  </property>
  <property fmtid="{D5CDD505-2E9C-101B-9397-08002B2CF9AE}" pid="3" name="_dlc_DocIdItemGuid">
    <vt:lpwstr>68164c55-a459-40f4-8cec-113d503d0bb8</vt:lpwstr>
  </property>
  <property fmtid="{D5CDD505-2E9C-101B-9397-08002B2CF9AE}" pid="4" name="Document Type">
    <vt:lpwstr/>
  </property>
  <property fmtid="{D5CDD505-2E9C-101B-9397-08002B2CF9AE}" pid="5" name="Document_x0020_Type">
    <vt:lpwstr/>
  </property>
  <property fmtid="{D5CDD505-2E9C-101B-9397-08002B2CF9AE}" pid="6" name="Schools">
    <vt:lpwstr/>
  </property>
  <property fmtid="{D5CDD505-2E9C-101B-9397-08002B2CF9AE}" pid="7" name="eeadced8a35a499eaa6ae428604d987c">
    <vt:lpwstr/>
  </property>
  <property fmtid="{D5CDD505-2E9C-101B-9397-08002B2CF9AE}" pid="8" name="MediaServiceImageTags">
    <vt:lpwstr/>
  </property>
  <property fmtid="{D5CDD505-2E9C-101B-9397-08002B2CF9AE}" pid="9" name="cf18ccb67a8c47b4a12d68c41e3eb221">
    <vt:lpwstr/>
  </property>
  <property fmtid="{D5CDD505-2E9C-101B-9397-08002B2CF9AE}" pid="10" name="ComplianceAssetId">
    <vt:lpwstr/>
  </property>
  <property fmtid="{D5CDD505-2E9C-101B-9397-08002B2CF9AE}" pid="11" name="Education Financial Services">
    <vt:lpwstr>115;#Compliance|5708819e-761d-4492-b7d9-c5030c8eddde</vt:lpwstr>
  </property>
  <property fmtid="{D5CDD505-2E9C-101B-9397-08002B2CF9AE}" pid="12" name="_ExtendedDescription">
    <vt:lpwstr/>
  </property>
  <property fmtid="{D5CDD505-2E9C-101B-9397-08002B2CF9AE}" pid="13" name="TriggerFlowInfo">
    <vt:lpwstr/>
  </property>
  <property fmtid="{D5CDD505-2E9C-101B-9397-08002B2CF9AE}" pid="14" name="Financial_x0020_Year">
    <vt:lpwstr/>
  </property>
  <property fmtid="{D5CDD505-2E9C-101B-9397-08002B2CF9AE}" pid="15" name="SharedWithUsers">
    <vt:lpwstr/>
  </property>
  <property fmtid="{D5CDD505-2E9C-101B-9397-08002B2CF9AE}" pid="16" name="lcf76f155ced4ddcb4097134ff3c332f">
    <vt:lpwstr/>
  </property>
  <property fmtid="{D5CDD505-2E9C-101B-9397-08002B2CF9AE}" pid="17" name="Education_x0020_Financial_x0020_Services">
    <vt:lpwstr>115;#Compliance|5708819e-761d-4492-b7d9-c5030c8eddde</vt:lpwstr>
  </property>
  <property fmtid="{D5CDD505-2E9C-101B-9397-08002B2CF9AE}" pid="18" name="Financial Year">
    <vt:lpwstr/>
  </property>
</Properties>
</file>