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22" w:type="dxa"/>
        <w:tblInd w:w="43" w:type="dxa"/>
        <w:tblLayout w:type="fixed"/>
        <w:tblCellMar>
          <w:left w:w="10" w:type="dxa"/>
          <w:right w:w="10" w:type="dxa"/>
        </w:tblCellMar>
        <w:tblLook w:val="04A0" w:firstRow="1" w:lastRow="0" w:firstColumn="1" w:lastColumn="0" w:noHBand="0" w:noVBand="1"/>
      </w:tblPr>
      <w:tblGrid>
        <w:gridCol w:w="255"/>
        <w:gridCol w:w="2439"/>
        <w:gridCol w:w="3260"/>
        <w:gridCol w:w="2068"/>
      </w:tblGrid>
      <w:tr w:rsidR="00225573" w14:paraId="072FA4D5" w14:textId="77777777">
        <w:trPr>
          <w:cantSplit/>
          <w:trHeight w:val="411"/>
          <w:tblHeader/>
        </w:trPr>
        <w:tc>
          <w:tcPr>
            <w:tcW w:w="255" w:type="dxa"/>
            <w:tcBorders>
              <w:top w:val="single" w:sz="6" w:space="0" w:color="000000"/>
              <w:left w:val="single" w:sz="6" w:space="0" w:color="000000"/>
            </w:tcBorders>
            <w:shd w:val="clear" w:color="auto" w:fill="auto"/>
            <w:tcMar>
              <w:top w:w="0" w:type="dxa"/>
              <w:left w:w="43" w:type="dxa"/>
              <w:bottom w:w="0" w:type="dxa"/>
              <w:right w:w="43" w:type="dxa"/>
            </w:tcMar>
          </w:tcPr>
          <w:p w14:paraId="5F4DD96E" w14:textId="77777777" w:rsidR="00225573" w:rsidRDefault="00225573">
            <w:pPr>
              <w:spacing w:before="120" w:after="120"/>
              <w:rPr>
                <w:rFonts w:ascii="Arial" w:eastAsia="Times New Roman" w:hAnsi="Arial" w:cs="Arial"/>
              </w:rPr>
            </w:pPr>
          </w:p>
        </w:tc>
        <w:tc>
          <w:tcPr>
            <w:tcW w:w="7767" w:type="dxa"/>
            <w:gridSpan w:val="3"/>
            <w:tcBorders>
              <w:top w:val="single" w:sz="6" w:space="0" w:color="000000"/>
              <w:right w:val="single" w:sz="6" w:space="0" w:color="000000"/>
            </w:tcBorders>
            <w:shd w:val="clear" w:color="auto" w:fill="auto"/>
            <w:tcMar>
              <w:top w:w="0" w:type="dxa"/>
              <w:left w:w="43" w:type="dxa"/>
              <w:bottom w:w="0" w:type="dxa"/>
              <w:right w:w="43" w:type="dxa"/>
            </w:tcMar>
          </w:tcPr>
          <w:p w14:paraId="489B4194" w14:textId="77777777" w:rsidR="00225573" w:rsidRDefault="004A0BBF">
            <w:pPr>
              <w:spacing w:before="120" w:after="0"/>
              <w:rPr>
                <w:rFonts w:ascii="Arial" w:eastAsia="Times New Roman" w:hAnsi="Arial" w:cs="Arial"/>
                <w:b/>
                <w:bCs/>
              </w:rPr>
            </w:pPr>
            <w:bookmarkStart w:id="0" w:name="Council"/>
            <w:bookmarkEnd w:id="0"/>
            <w:r>
              <w:rPr>
                <w:rFonts w:ascii="Arial" w:eastAsia="Times New Roman" w:hAnsi="Arial" w:cs="Arial"/>
                <w:b/>
                <w:bCs/>
              </w:rPr>
              <w:t>Hampshire County Council</w:t>
            </w:r>
          </w:p>
        </w:tc>
      </w:tr>
      <w:tr w:rsidR="00225573" w14:paraId="2636945A" w14:textId="77777777">
        <w:trPr>
          <w:trHeight w:val="465"/>
          <w:tblHeader/>
        </w:trPr>
        <w:tc>
          <w:tcPr>
            <w:tcW w:w="255" w:type="dxa"/>
            <w:tcBorders>
              <w:left w:val="single" w:sz="6" w:space="0" w:color="000000"/>
            </w:tcBorders>
            <w:shd w:val="clear" w:color="auto" w:fill="auto"/>
            <w:tcMar>
              <w:top w:w="0" w:type="dxa"/>
              <w:left w:w="43" w:type="dxa"/>
              <w:bottom w:w="0" w:type="dxa"/>
              <w:right w:w="43" w:type="dxa"/>
            </w:tcMar>
          </w:tcPr>
          <w:p w14:paraId="49D33F98" w14:textId="77777777" w:rsidR="00225573" w:rsidRDefault="00225573">
            <w:pPr>
              <w:spacing w:before="120" w:after="120"/>
              <w:rPr>
                <w:rFonts w:ascii="Arial" w:eastAsia="Times New Roman" w:hAnsi="Arial" w:cs="Arial"/>
              </w:rPr>
            </w:pPr>
          </w:p>
        </w:tc>
        <w:tc>
          <w:tcPr>
            <w:tcW w:w="5699" w:type="dxa"/>
            <w:gridSpan w:val="2"/>
            <w:shd w:val="clear" w:color="auto" w:fill="auto"/>
            <w:tcMar>
              <w:top w:w="0" w:type="dxa"/>
              <w:left w:w="43" w:type="dxa"/>
              <w:bottom w:w="0" w:type="dxa"/>
              <w:right w:w="43" w:type="dxa"/>
            </w:tcMar>
          </w:tcPr>
          <w:p w14:paraId="483B773F" w14:textId="77777777" w:rsidR="00225573" w:rsidRDefault="004A0BBF">
            <w:pPr>
              <w:spacing w:before="120" w:after="0"/>
              <w:rPr>
                <w:rFonts w:ascii="Arial" w:eastAsia="Times New Roman" w:hAnsi="Arial" w:cs="Arial"/>
                <w:b/>
              </w:rPr>
            </w:pPr>
            <w:bookmarkStart w:id="1" w:name="Committee"/>
            <w:bookmarkEnd w:id="1"/>
            <w:r>
              <w:rPr>
                <w:rFonts w:ascii="Arial" w:eastAsia="Times New Roman" w:hAnsi="Arial" w:cs="Arial"/>
                <w:b/>
              </w:rPr>
              <w:t xml:space="preserve">Schools Forum </w:t>
            </w:r>
          </w:p>
        </w:tc>
        <w:tc>
          <w:tcPr>
            <w:tcW w:w="2068" w:type="dxa"/>
            <w:tcBorders>
              <w:right w:val="single" w:sz="6" w:space="0" w:color="000000"/>
            </w:tcBorders>
            <w:shd w:val="clear" w:color="auto" w:fill="auto"/>
            <w:tcMar>
              <w:top w:w="0" w:type="dxa"/>
              <w:left w:w="43" w:type="dxa"/>
              <w:bottom w:w="0" w:type="dxa"/>
              <w:right w:w="43" w:type="dxa"/>
            </w:tcMar>
          </w:tcPr>
          <w:p w14:paraId="2C5A7B3D" w14:textId="77777777" w:rsidR="00225573" w:rsidRDefault="00225573">
            <w:pPr>
              <w:spacing w:before="120" w:after="0"/>
              <w:rPr>
                <w:rFonts w:ascii="Arial" w:eastAsia="Times New Roman" w:hAnsi="Arial" w:cs="Arial"/>
                <w:b/>
              </w:rPr>
            </w:pPr>
            <w:bookmarkStart w:id="2" w:name="Item"/>
            <w:bookmarkEnd w:id="2"/>
          </w:p>
        </w:tc>
      </w:tr>
      <w:tr w:rsidR="00225573" w14:paraId="6DDDC34C" w14:textId="77777777">
        <w:trPr>
          <w:trHeight w:val="512"/>
          <w:tblHeader/>
        </w:trPr>
        <w:tc>
          <w:tcPr>
            <w:tcW w:w="255" w:type="dxa"/>
            <w:tcBorders>
              <w:left w:val="single" w:sz="6" w:space="0" w:color="000000"/>
            </w:tcBorders>
            <w:shd w:val="clear" w:color="auto" w:fill="auto"/>
            <w:tcMar>
              <w:top w:w="0" w:type="dxa"/>
              <w:left w:w="43" w:type="dxa"/>
              <w:bottom w:w="0" w:type="dxa"/>
              <w:right w:w="43" w:type="dxa"/>
            </w:tcMar>
          </w:tcPr>
          <w:p w14:paraId="16E5F539" w14:textId="77777777" w:rsidR="00225573" w:rsidRDefault="00225573">
            <w:pPr>
              <w:spacing w:before="120" w:after="120"/>
              <w:rPr>
                <w:rFonts w:ascii="Arial" w:eastAsia="Times New Roman" w:hAnsi="Arial" w:cs="Arial"/>
              </w:rPr>
            </w:pPr>
          </w:p>
        </w:tc>
        <w:tc>
          <w:tcPr>
            <w:tcW w:w="2439" w:type="dxa"/>
            <w:shd w:val="clear" w:color="auto" w:fill="auto"/>
            <w:tcMar>
              <w:top w:w="0" w:type="dxa"/>
              <w:left w:w="43" w:type="dxa"/>
              <w:bottom w:w="0" w:type="dxa"/>
              <w:right w:w="43" w:type="dxa"/>
            </w:tcMar>
          </w:tcPr>
          <w:p w14:paraId="0EFD4BD9" w14:textId="4A1D3EDA" w:rsidR="00225573" w:rsidRDefault="00507573">
            <w:pPr>
              <w:spacing w:before="120" w:after="0"/>
            </w:pPr>
            <w:bookmarkStart w:id="3" w:name="Date"/>
            <w:bookmarkEnd w:id="3"/>
            <w:r>
              <w:rPr>
                <w:rFonts w:ascii="Arial" w:eastAsia="Times New Roman" w:hAnsi="Arial" w:cs="Arial"/>
                <w:b/>
              </w:rPr>
              <w:t>12 October 2022</w:t>
            </w:r>
          </w:p>
        </w:tc>
        <w:tc>
          <w:tcPr>
            <w:tcW w:w="5328" w:type="dxa"/>
            <w:gridSpan w:val="2"/>
            <w:tcBorders>
              <w:right w:val="single" w:sz="6" w:space="0" w:color="000000"/>
            </w:tcBorders>
            <w:shd w:val="clear" w:color="auto" w:fill="auto"/>
            <w:tcMar>
              <w:top w:w="0" w:type="dxa"/>
              <w:left w:w="43" w:type="dxa"/>
              <w:bottom w:w="0" w:type="dxa"/>
              <w:right w:w="43" w:type="dxa"/>
            </w:tcMar>
          </w:tcPr>
          <w:p w14:paraId="265389E4" w14:textId="77777777" w:rsidR="00225573" w:rsidRDefault="00225573">
            <w:pPr>
              <w:spacing w:before="120" w:after="0"/>
              <w:rPr>
                <w:rFonts w:ascii="Arial" w:eastAsia="Times New Roman" w:hAnsi="Arial" w:cs="Arial"/>
                <w:b/>
              </w:rPr>
            </w:pPr>
          </w:p>
        </w:tc>
      </w:tr>
      <w:tr w:rsidR="00225573" w14:paraId="64AD02A6" w14:textId="77777777">
        <w:trPr>
          <w:cantSplit/>
          <w:trHeight w:val="586"/>
          <w:tblHeader/>
        </w:trPr>
        <w:tc>
          <w:tcPr>
            <w:tcW w:w="255" w:type="dxa"/>
            <w:tcBorders>
              <w:left w:val="single" w:sz="6" w:space="0" w:color="000000"/>
            </w:tcBorders>
            <w:shd w:val="clear" w:color="auto" w:fill="auto"/>
            <w:tcMar>
              <w:top w:w="0" w:type="dxa"/>
              <w:left w:w="43" w:type="dxa"/>
              <w:bottom w:w="0" w:type="dxa"/>
              <w:right w:w="43" w:type="dxa"/>
            </w:tcMar>
          </w:tcPr>
          <w:p w14:paraId="6F9A21C8" w14:textId="77777777" w:rsidR="00225573" w:rsidRDefault="00225573">
            <w:pPr>
              <w:spacing w:before="120" w:after="120"/>
              <w:rPr>
                <w:rFonts w:ascii="Arial" w:eastAsia="Times New Roman" w:hAnsi="Arial" w:cs="Arial"/>
              </w:rPr>
            </w:pPr>
          </w:p>
        </w:tc>
        <w:tc>
          <w:tcPr>
            <w:tcW w:w="7767" w:type="dxa"/>
            <w:gridSpan w:val="3"/>
            <w:tcBorders>
              <w:right w:val="single" w:sz="6" w:space="0" w:color="000000"/>
            </w:tcBorders>
            <w:shd w:val="clear" w:color="auto" w:fill="auto"/>
            <w:tcMar>
              <w:top w:w="0" w:type="dxa"/>
              <w:left w:w="43" w:type="dxa"/>
              <w:bottom w:w="0" w:type="dxa"/>
              <w:right w:w="43" w:type="dxa"/>
            </w:tcMar>
          </w:tcPr>
          <w:p w14:paraId="070EFA82" w14:textId="05A5A1DF" w:rsidR="00225573" w:rsidRDefault="004A0BBF">
            <w:pPr>
              <w:spacing w:before="120" w:after="0"/>
              <w:rPr>
                <w:rFonts w:ascii="Arial" w:eastAsia="Times New Roman" w:hAnsi="Arial" w:cs="Arial"/>
                <w:b/>
              </w:rPr>
            </w:pPr>
            <w:bookmarkStart w:id="4" w:name="Subject"/>
            <w:bookmarkEnd w:id="4"/>
            <w:r>
              <w:rPr>
                <w:rFonts w:ascii="Arial" w:eastAsia="Times New Roman" w:hAnsi="Arial" w:cs="Arial"/>
                <w:b/>
              </w:rPr>
              <w:t>Pupil Premium</w:t>
            </w:r>
            <w:r w:rsidR="001E4AEA">
              <w:rPr>
                <w:rFonts w:ascii="Arial" w:eastAsia="Times New Roman" w:hAnsi="Arial" w:cs="Arial"/>
                <w:b/>
              </w:rPr>
              <w:t xml:space="preserve"> Plus</w:t>
            </w:r>
            <w:r>
              <w:rPr>
                <w:rFonts w:ascii="Arial" w:eastAsia="Times New Roman" w:hAnsi="Arial" w:cs="Arial"/>
                <w:b/>
              </w:rPr>
              <w:t xml:space="preserve"> for looked after children: Annual Update 2021- 2022</w:t>
            </w:r>
          </w:p>
        </w:tc>
      </w:tr>
      <w:tr w:rsidR="00225573" w14:paraId="69B02D3E" w14:textId="77777777">
        <w:trPr>
          <w:cantSplit/>
          <w:trHeight w:val="240"/>
          <w:tblHeader/>
        </w:trPr>
        <w:tc>
          <w:tcPr>
            <w:tcW w:w="255" w:type="dxa"/>
            <w:tcBorders>
              <w:left w:val="single" w:sz="6" w:space="0" w:color="000000"/>
              <w:bottom w:val="single" w:sz="6" w:space="0" w:color="000000"/>
            </w:tcBorders>
            <w:shd w:val="clear" w:color="auto" w:fill="auto"/>
            <w:tcMar>
              <w:top w:w="0" w:type="dxa"/>
              <w:left w:w="43" w:type="dxa"/>
              <w:bottom w:w="0" w:type="dxa"/>
              <w:right w:w="43" w:type="dxa"/>
            </w:tcMar>
          </w:tcPr>
          <w:p w14:paraId="5C4B87B3" w14:textId="77777777" w:rsidR="00225573" w:rsidRDefault="00225573">
            <w:pPr>
              <w:spacing w:before="120" w:after="120"/>
              <w:rPr>
                <w:rFonts w:ascii="Arial" w:eastAsia="Times New Roman" w:hAnsi="Arial" w:cs="Arial"/>
              </w:rPr>
            </w:pPr>
          </w:p>
        </w:tc>
        <w:tc>
          <w:tcPr>
            <w:tcW w:w="7767" w:type="dxa"/>
            <w:gridSpan w:val="3"/>
            <w:tcBorders>
              <w:bottom w:val="single" w:sz="6" w:space="0" w:color="000000"/>
              <w:right w:val="single" w:sz="6" w:space="0" w:color="000000"/>
            </w:tcBorders>
            <w:shd w:val="clear" w:color="auto" w:fill="auto"/>
            <w:tcMar>
              <w:top w:w="0" w:type="dxa"/>
              <w:left w:w="43" w:type="dxa"/>
              <w:bottom w:w="0" w:type="dxa"/>
              <w:right w:w="43" w:type="dxa"/>
            </w:tcMar>
          </w:tcPr>
          <w:p w14:paraId="58A1BF5C" w14:textId="77777777" w:rsidR="00225573" w:rsidRDefault="004A0BBF">
            <w:pPr>
              <w:spacing w:before="120" w:after="0"/>
              <w:rPr>
                <w:rFonts w:ascii="Arial" w:eastAsia="Times New Roman" w:hAnsi="Arial" w:cs="Arial"/>
                <w:b/>
              </w:rPr>
            </w:pPr>
            <w:bookmarkStart w:id="5" w:name="Author"/>
            <w:bookmarkEnd w:id="5"/>
            <w:r>
              <w:rPr>
                <w:rFonts w:ascii="Arial" w:eastAsia="Times New Roman" w:hAnsi="Arial" w:cs="Arial"/>
                <w:b/>
              </w:rPr>
              <w:t xml:space="preserve">Nicola Blake, Executive Headteacher, Hampshire and Isle of Wight Virtual School </w:t>
            </w:r>
          </w:p>
          <w:p w14:paraId="50370463" w14:textId="77777777" w:rsidR="00225573" w:rsidRDefault="00225573">
            <w:pPr>
              <w:spacing w:before="120" w:after="0"/>
              <w:rPr>
                <w:rFonts w:ascii="Arial" w:eastAsia="Times New Roman" w:hAnsi="Arial" w:cs="Arial"/>
                <w:b/>
              </w:rPr>
            </w:pPr>
          </w:p>
        </w:tc>
      </w:tr>
    </w:tbl>
    <w:p w14:paraId="26C49737" w14:textId="77777777" w:rsidR="00225573" w:rsidRDefault="00225573">
      <w:pPr>
        <w:spacing w:after="0"/>
        <w:rPr>
          <w:rFonts w:ascii="Arial" w:eastAsia="Times New Roman" w:hAnsi="Arial" w:cs="Arial"/>
        </w:rPr>
      </w:pPr>
    </w:p>
    <w:p w14:paraId="5EE9DDD7" w14:textId="77777777" w:rsidR="00225573" w:rsidRDefault="004A0BBF">
      <w:pPr>
        <w:spacing w:after="240"/>
      </w:pPr>
      <w:bookmarkStart w:id="6" w:name="ContactText"/>
      <w:r>
        <w:rPr>
          <w:rFonts w:ascii="Arial" w:eastAsia="Times New Roman" w:hAnsi="Arial" w:cs="Arial"/>
        </w:rPr>
        <w:t xml:space="preserve">Contact: </w:t>
      </w:r>
      <w:bookmarkStart w:id="7" w:name="Contact"/>
      <w:bookmarkEnd w:id="7"/>
      <w:r>
        <w:rPr>
          <w:rFonts w:ascii="Arial" w:eastAsia="Times New Roman" w:hAnsi="Arial" w:cs="Arial"/>
        </w:rPr>
        <w:t>Nicola Blake</w:t>
      </w:r>
      <w:bookmarkStart w:id="8" w:name="Ext"/>
      <w:bookmarkEnd w:id="6"/>
      <w:bookmarkEnd w:id="8"/>
      <w:r>
        <w:rPr>
          <w:rFonts w:ascii="Arial" w:eastAsia="Times New Roman" w:hAnsi="Arial" w:cs="Arial"/>
        </w:rPr>
        <w:t xml:space="preserve"> (email: nicola.blake@hants.gov.uk)</w:t>
      </w:r>
    </w:p>
    <w:p w14:paraId="4CF0582C" w14:textId="77777777" w:rsidR="00D13A0C" w:rsidRDefault="00D13A0C">
      <w:pPr>
        <w:sectPr w:rsidR="00D13A0C">
          <w:footerReference w:type="default" r:id="rId7"/>
          <w:pgSz w:w="11906" w:h="16838"/>
          <w:pgMar w:top="1440" w:right="1800" w:bottom="1440" w:left="1800" w:header="720" w:footer="720" w:gutter="0"/>
          <w:cols w:space="720"/>
        </w:sectPr>
      </w:pPr>
    </w:p>
    <w:p w14:paraId="3B736C5F" w14:textId="77777777" w:rsidR="00225573" w:rsidRDefault="004A0BBF">
      <w:pPr>
        <w:pStyle w:val="ListParagraph"/>
        <w:numPr>
          <w:ilvl w:val="0"/>
          <w:numId w:val="55"/>
        </w:numPr>
        <w:spacing w:before="60" w:after="120"/>
        <w:rPr>
          <w:rFonts w:ascii="Arial" w:eastAsia="Times New Roman" w:hAnsi="Arial" w:cs="Arial"/>
          <w:b/>
          <w:kern w:val="3"/>
        </w:rPr>
      </w:pPr>
      <w:bookmarkStart w:id="9" w:name="Cursor"/>
      <w:bookmarkEnd w:id="9"/>
      <w:r>
        <w:rPr>
          <w:rFonts w:ascii="Arial" w:eastAsia="Times New Roman" w:hAnsi="Arial" w:cs="Arial"/>
          <w:b/>
          <w:kern w:val="3"/>
        </w:rPr>
        <w:t>Summary</w:t>
      </w:r>
    </w:p>
    <w:p w14:paraId="561150ED" w14:textId="77777777" w:rsidR="00225573" w:rsidRDefault="004A0BBF">
      <w:pPr>
        <w:pStyle w:val="ListParagraph"/>
        <w:numPr>
          <w:ilvl w:val="1"/>
          <w:numId w:val="56"/>
        </w:numPr>
        <w:spacing w:before="60" w:after="120"/>
      </w:pPr>
      <w:r>
        <w:rPr>
          <w:rFonts w:ascii="Arial" w:eastAsia="Times New Roman" w:hAnsi="Arial" w:cs="Arial"/>
          <w:kern w:val="3"/>
        </w:rPr>
        <w:t>This</w:t>
      </w:r>
      <w:r>
        <w:rPr>
          <w:rFonts w:ascii="Arial" w:hAnsi="Arial" w:cs="Arial"/>
        </w:rPr>
        <w:t xml:space="preserve"> report provides an annual overview of the looked after child pupil premium, also referred to as pupil premium plus. It outlines the role of the Virtual School Head (VSH) in relation to this grant, and the way that the centrally held portion of the grant is being used to improve educational progress and outcomes of Hampshire’s children in care.</w:t>
      </w:r>
    </w:p>
    <w:p w14:paraId="715A7AD2" w14:textId="77777777" w:rsidR="00225573" w:rsidRDefault="004A0BBF">
      <w:pPr>
        <w:pStyle w:val="ListParagraph"/>
        <w:numPr>
          <w:ilvl w:val="1"/>
          <w:numId w:val="56"/>
        </w:numPr>
        <w:spacing w:before="60" w:after="120"/>
      </w:pPr>
      <w:r>
        <w:rPr>
          <w:rFonts w:ascii="Arial" w:hAnsi="Arial" w:cs="Arial"/>
        </w:rPr>
        <w:t xml:space="preserve">The </w:t>
      </w:r>
      <w:r>
        <w:rPr>
          <w:rFonts w:ascii="Arial" w:eastAsia="Times New Roman" w:hAnsi="Arial" w:cs="Arial"/>
        </w:rPr>
        <w:t xml:space="preserve">report is informed by scrutiny of personal education plans which record how pupil premium plus funding is used and by ‘Corporate Parent’ visits to schools undertaken by the Virtual School when effective use of this funding is discussed. </w:t>
      </w:r>
    </w:p>
    <w:p w14:paraId="3726CB9E" w14:textId="77777777" w:rsidR="00225573" w:rsidRDefault="004A0BBF">
      <w:pPr>
        <w:pStyle w:val="ListParagraph"/>
        <w:numPr>
          <w:ilvl w:val="1"/>
          <w:numId w:val="56"/>
        </w:numPr>
        <w:spacing w:before="60" w:after="120"/>
      </w:pPr>
      <w:r>
        <w:rPr>
          <w:rFonts w:ascii="Arial" w:eastAsia="Times New Roman" w:hAnsi="Arial" w:cs="Arial"/>
        </w:rPr>
        <w:t xml:space="preserve">Reporting in relation to pupil premium plus is not a statutory requirement. However, it was agreed in 2017 that an annual update would be introduced for the purposes of transparency and to support collegiate working with the Schools Forum going forward. </w:t>
      </w:r>
    </w:p>
    <w:p w14:paraId="665E33A7" w14:textId="77777777" w:rsidR="00225573" w:rsidRDefault="00225573">
      <w:pPr>
        <w:pStyle w:val="ListParagraph"/>
        <w:spacing w:before="60" w:after="120" w:line="276" w:lineRule="auto"/>
        <w:rPr>
          <w:rFonts w:ascii="Arial" w:eastAsia="Times New Roman" w:hAnsi="Arial" w:cs="Arial"/>
          <w:kern w:val="3"/>
        </w:rPr>
      </w:pPr>
    </w:p>
    <w:p w14:paraId="46F083E8" w14:textId="77777777" w:rsidR="00225573" w:rsidRDefault="004A0BBF">
      <w:pPr>
        <w:pStyle w:val="ListParagraph"/>
        <w:numPr>
          <w:ilvl w:val="0"/>
          <w:numId w:val="55"/>
        </w:numPr>
        <w:spacing w:before="60" w:after="120"/>
        <w:rPr>
          <w:rFonts w:ascii="Arial" w:eastAsia="Times New Roman" w:hAnsi="Arial" w:cs="Arial"/>
          <w:b/>
          <w:color w:val="000000"/>
          <w:kern w:val="3"/>
        </w:rPr>
      </w:pPr>
      <w:r>
        <w:rPr>
          <w:rFonts w:ascii="Arial" w:eastAsia="Times New Roman" w:hAnsi="Arial" w:cs="Arial"/>
          <w:b/>
          <w:color w:val="000000"/>
          <w:kern w:val="3"/>
        </w:rPr>
        <w:t>Background and context</w:t>
      </w:r>
    </w:p>
    <w:p w14:paraId="140126E3" w14:textId="77777777" w:rsidR="00225573" w:rsidRDefault="004A0BBF">
      <w:pPr>
        <w:pStyle w:val="ListParagraph"/>
        <w:numPr>
          <w:ilvl w:val="1"/>
          <w:numId w:val="57"/>
        </w:numPr>
        <w:spacing w:before="60" w:after="120"/>
      </w:pPr>
      <w:r>
        <w:rPr>
          <w:rFonts w:ascii="Arial" w:eastAsia="Times New Roman" w:hAnsi="Arial" w:cs="Arial"/>
        </w:rPr>
        <w:t>As of 1</w:t>
      </w:r>
      <w:r>
        <w:rPr>
          <w:rFonts w:ascii="Arial" w:eastAsia="Times New Roman" w:hAnsi="Arial" w:cs="Arial"/>
          <w:vertAlign w:val="superscript"/>
        </w:rPr>
        <w:t>st</w:t>
      </w:r>
      <w:r>
        <w:rPr>
          <w:rFonts w:ascii="Arial" w:eastAsia="Times New Roman" w:hAnsi="Arial" w:cs="Arial"/>
        </w:rPr>
        <w:t xml:space="preserve"> May 2022, there were 1721 children recorded as being in the care of Hampshire. This includes 1183 of statutory school age, between key stage 1 and key stage 4. There were 240 in pre-school, 163 in key stage 1, 344 in key stage 2, 351 in key stage 3 and 325 in key stage 4. There were 298 in key stage 5. </w:t>
      </w:r>
    </w:p>
    <w:p w14:paraId="0B3D9082" w14:textId="77777777" w:rsidR="00225573" w:rsidRDefault="004A0BBF">
      <w:pPr>
        <w:pStyle w:val="ListParagraph"/>
        <w:numPr>
          <w:ilvl w:val="1"/>
          <w:numId w:val="57"/>
        </w:numPr>
        <w:spacing w:before="60" w:after="120"/>
      </w:pPr>
      <w:r>
        <w:rPr>
          <w:rFonts w:ascii="Arial" w:eastAsia="Times New Roman" w:hAnsi="Arial" w:cs="Arial"/>
        </w:rPr>
        <w:t xml:space="preserve">Within the cohort of statutory school age, 777 were placed in Hampshire and 406 outside of county in another local authority. The majority (912) are placed in foster care placements or with a relative, with 68 placed with parents and 143 in children’s homes. There are a smaller number of children in other placements such as those placed for adoption, those receiving medical care or those in secure accommodation. </w:t>
      </w:r>
    </w:p>
    <w:p w14:paraId="53DD8DFD" w14:textId="77777777" w:rsidR="00225573" w:rsidRDefault="004A0BBF">
      <w:pPr>
        <w:pStyle w:val="ListParagraph"/>
        <w:numPr>
          <w:ilvl w:val="1"/>
          <w:numId w:val="57"/>
        </w:numPr>
        <w:spacing w:before="60" w:after="120"/>
      </w:pPr>
      <w:r>
        <w:rPr>
          <w:rFonts w:ascii="Arial" w:hAnsi="Arial" w:cs="Arial"/>
        </w:rPr>
        <w:t>As of 1st May 2022, 284 children had a current Education, Health and Care Plan (EHCP) with the majority (154) for a main presenting need of social, emotional and mental health needs</w:t>
      </w:r>
    </w:p>
    <w:p w14:paraId="759CF6AD" w14:textId="77777777" w:rsidR="00225573" w:rsidRDefault="004A0BBF">
      <w:pPr>
        <w:pStyle w:val="ListParagraph"/>
        <w:numPr>
          <w:ilvl w:val="1"/>
          <w:numId w:val="57"/>
        </w:numPr>
        <w:spacing w:before="60" w:after="120"/>
      </w:pPr>
      <w:r>
        <w:rPr>
          <w:rFonts w:ascii="Arial" w:hAnsi="Arial" w:cs="Arial"/>
        </w:rPr>
        <w:t xml:space="preserve">The majority of our children are in mainstream settings with the following breakdown; nursery (100), infant (67), junior (135), primary (248) and secondary schools (482). There were 199 children in a special school and 17 in an all through setting. </w:t>
      </w:r>
    </w:p>
    <w:p w14:paraId="21B04DE6" w14:textId="77777777" w:rsidR="00225573" w:rsidRDefault="004A0BBF">
      <w:pPr>
        <w:pStyle w:val="ListParagraph"/>
        <w:numPr>
          <w:ilvl w:val="1"/>
          <w:numId w:val="57"/>
        </w:numPr>
        <w:spacing w:before="60" w:after="120"/>
      </w:pPr>
      <w:r>
        <w:rPr>
          <w:rFonts w:ascii="Arial" w:eastAsia="Times New Roman" w:hAnsi="Arial" w:cs="Arial"/>
        </w:rPr>
        <w:lastRenderedPageBreak/>
        <w:t xml:space="preserve">The Virtual School in Hampshire is committed to improving the educational outcomes for Hampshire’s children in care, in partnership with schools and the wider network of involved professionals. The Virtual School is led by one Executive Headteacher across Hampshire and Isle of Wight. In Hampshire there is one full time Deputy Head Teacher and three full time Education Advisers. There are 3.5 Education Officers who work with children in care and one part time Education Officer (three days per week) for previously looked after children. </w:t>
      </w:r>
    </w:p>
    <w:p w14:paraId="03A93E8F" w14:textId="47F0700E" w:rsidR="00225573" w:rsidRDefault="004A0BBF">
      <w:pPr>
        <w:pStyle w:val="ListParagraph"/>
        <w:numPr>
          <w:ilvl w:val="1"/>
          <w:numId w:val="57"/>
        </w:numPr>
        <w:spacing w:before="60" w:after="120"/>
      </w:pPr>
      <w:r>
        <w:rPr>
          <w:rFonts w:ascii="Arial" w:hAnsi="Arial" w:cs="Arial"/>
        </w:rPr>
        <w:t xml:space="preserve">In September 2021, the role of the Virtual School Head was extended for one year to promote the educational needs of children with a social worker. This includes children in need and those on a plan of protection. Non-statutory guidance outlines the current scope of this role extension which focuses on improving partnership working between education settings and the local authorities, identifying barriers across the professional network and effective strategies to raise the profile of this vulnerable group of learners. The role is strategic and not focused on individual casework. We have seconded a </w:t>
      </w:r>
      <w:r w:rsidR="00123560">
        <w:rPr>
          <w:rFonts w:ascii="Arial" w:hAnsi="Arial" w:cs="Arial"/>
        </w:rPr>
        <w:t>full-time</w:t>
      </w:r>
      <w:r>
        <w:rPr>
          <w:rFonts w:ascii="Arial" w:hAnsi="Arial" w:cs="Arial"/>
        </w:rPr>
        <w:t xml:space="preserve"> deputy head from HIAS (Hampshire Inspection and Advisory Service) to lead on this extended duty across Hampshire and the Isle of Wight. There is dedicated funding provided to fulfil this duty which has now been extended for a further year, 2022- 2023. </w:t>
      </w:r>
    </w:p>
    <w:p w14:paraId="0ED1AACD" w14:textId="77777777" w:rsidR="00225573" w:rsidRDefault="004A0BBF">
      <w:pPr>
        <w:pStyle w:val="ListParagraph"/>
        <w:numPr>
          <w:ilvl w:val="1"/>
          <w:numId w:val="57"/>
        </w:numPr>
        <w:spacing w:before="60" w:after="120"/>
      </w:pPr>
      <w:r>
        <w:rPr>
          <w:rFonts w:ascii="Arial" w:hAnsi="Arial" w:cs="Arial"/>
        </w:rPr>
        <w:t xml:space="preserve">The Virtual School approach to work with children in care is to act as if they are in a single school, tracking the progress they make and supporting them to achieve as well as possible. One of the key statutory duties of the Virtual School Head is to directly manage the arrangements for the distribution of the pupil premium plus grant for children in care. This should be used without delay to meet the individual needs of children as outlined in their personal education plan. </w:t>
      </w:r>
    </w:p>
    <w:p w14:paraId="1C922C74" w14:textId="77777777" w:rsidR="00225573" w:rsidRDefault="004A0BBF">
      <w:pPr>
        <w:pStyle w:val="ListParagraph"/>
        <w:numPr>
          <w:ilvl w:val="1"/>
          <w:numId w:val="57"/>
        </w:numPr>
        <w:spacing w:before="60" w:after="120"/>
      </w:pPr>
      <w:r>
        <w:rPr>
          <w:rFonts w:ascii="Arial" w:eastAsia="Times New Roman" w:hAnsi="Arial" w:cs="Arial"/>
        </w:rPr>
        <w:t>Children who were previously looked after are also eligible for pupil premium plus. This is provided directly to schools on the basis on eligible pupils recorded in the October 2020 school census, who were both looked after by an English or Welsh local authority immediately before being adopted, or who left local authority care on a special guardianship order or child arrangements order. The Virtual School Head has no direct responsibility for the use or distribution of this grant beyond providing advice and guidance and promoting best practice. We have a dedicated worker who oversees this area of work for the Isle of Wight on behalf of the Virtual School.</w:t>
      </w:r>
    </w:p>
    <w:p w14:paraId="2EC01789" w14:textId="77777777" w:rsidR="00225573" w:rsidRDefault="00225573">
      <w:pPr>
        <w:pStyle w:val="ListParagraph"/>
        <w:spacing w:before="60" w:after="120"/>
      </w:pPr>
    </w:p>
    <w:p w14:paraId="1A53C1DB" w14:textId="77777777" w:rsidR="00225573" w:rsidRDefault="004A0BBF">
      <w:pPr>
        <w:pStyle w:val="ListParagraph"/>
        <w:numPr>
          <w:ilvl w:val="0"/>
          <w:numId w:val="55"/>
        </w:numPr>
        <w:spacing w:before="60" w:after="120"/>
        <w:rPr>
          <w:rFonts w:ascii="Arial" w:eastAsia="Times New Roman" w:hAnsi="Arial" w:cs="Arial"/>
          <w:b/>
          <w:color w:val="000000"/>
          <w:kern w:val="3"/>
        </w:rPr>
      </w:pPr>
      <w:r>
        <w:rPr>
          <w:rFonts w:ascii="Arial" w:eastAsia="Times New Roman" w:hAnsi="Arial" w:cs="Arial"/>
          <w:b/>
          <w:color w:val="000000"/>
          <w:kern w:val="3"/>
        </w:rPr>
        <w:t xml:space="preserve">Pupil premium plus arrangements in Hampshire </w:t>
      </w:r>
    </w:p>
    <w:p w14:paraId="1A40B54B" w14:textId="77777777" w:rsidR="00225573" w:rsidRDefault="004A0BBF">
      <w:pPr>
        <w:pStyle w:val="ListParagraph"/>
        <w:numPr>
          <w:ilvl w:val="1"/>
          <w:numId w:val="58"/>
        </w:numPr>
        <w:spacing w:before="60" w:after="120"/>
      </w:pPr>
      <w:r>
        <w:rPr>
          <w:rFonts w:ascii="Arial" w:hAnsi="Arial" w:cs="Arial"/>
        </w:rPr>
        <w:t xml:space="preserve">The </w:t>
      </w:r>
      <w:r>
        <w:rPr>
          <w:rFonts w:ascii="Arial" w:eastAsia="Times New Roman" w:hAnsi="Arial" w:cs="Arial"/>
        </w:rPr>
        <w:t xml:space="preserve">statutory guidance published in April 2014 requires the Virtual School Head to directly manage the arrangements for distributing the pupil premium plus to schools on behalf of the children in care to their local authority. This must be undertaken in accordance with the conditions of grant published annually by the Department for Education and outlined in a written and published policy. </w:t>
      </w:r>
    </w:p>
    <w:p w14:paraId="3F77C3B4" w14:textId="77777777" w:rsidR="00225573" w:rsidRDefault="004A0BBF">
      <w:pPr>
        <w:pStyle w:val="ListParagraph"/>
        <w:numPr>
          <w:ilvl w:val="1"/>
          <w:numId w:val="58"/>
        </w:numPr>
        <w:spacing w:before="60" w:after="120"/>
      </w:pPr>
      <w:bookmarkStart w:id="10" w:name="_Hlk75440704"/>
      <w:r>
        <w:rPr>
          <w:rFonts w:ascii="Arial" w:eastAsia="Times New Roman" w:hAnsi="Arial" w:cs="Arial"/>
        </w:rPr>
        <w:t>The purpose of the grant is to close the attainment gap for this cohort of children and improve their educational outcomes. The guidance makes clear that it should be</w:t>
      </w:r>
      <w:r>
        <w:rPr>
          <w:rFonts w:ascii="Arial" w:eastAsia="Times New Roman" w:hAnsi="Arial" w:cs="Arial"/>
          <w:color w:val="0B0C0C"/>
          <w:lang w:eastAsia="en-GB"/>
        </w:rPr>
        <w:t xml:space="preserve"> used without delay for the benefit of the child in care’s educational needs as described in their personal education plan and that processes for allocating funds to a child’s education setting should be as simple as possible to avoid delay.</w:t>
      </w:r>
      <w:r>
        <w:rPr>
          <w:rFonts w:ascii="Arial" w:eastAsia="Times New Roman" w:hAnsi="Arial" w:cs="Arial"/>
          <w:color w:val="0B0C0C"/>
          <w:lang w:eastAsia="en-GB"/>
        </w:rPr>
        <w:tab/>
      </w:r>
      <w:r>
        <w:rPr>
          <w:rFonts w:ascii="Arial" w:eastAsia="Times New Roman" w:hAnsi="Arial" w:cs="Arial"/>
          <w:color w:val="0B0C0C"/>
          <w:lang w:eastAsia="en-GB"/>
        </w:rPr>
        <w:tab/>
      </w:r>
      <w:r>
        <w:rPr>
          <w:rFonts w:ascii="Arial" w:eastAsia="Times New Roman" w:hAnsi="Arial" w:cs="Arial"/>
          <w:color w:val="0B0C0C"/>
          <w:lang w:eastAsia="en-GB"/>
        </w:rPr>
        <w:tab/>
      </w:r>
      <w:r>
        <w:rPr>
          <w:rFonts w:ascii="Arial" w:eastAsia="Times New Roman" w:hAnsi="Arial" w:cs="Arial"/>
          <w:color w:val="0B0C0C"/>
          <w:lang w:eastAsia="en-GB"/>
        </w:rPr>
        <w:tab/>
      </w:r>
      <w:r>
        <w:rPr>
          <w:rFonts w:ascii="Arial" w:eastAsia="Times New Roman" w:hAnsi="Arial" w:cs="Arial"/>
          <w:color w:val="0B0C0C"/>
          <w:lang w:eastAsia="en-GB"/>
        </w:rPr>
        <w:tab/>
      </w:r>
      <w:r>
        <w:rPr>
          <w:rFonts w:ascii="Arial" w:eastAsia="Times New Roman" w:hAnsi="Arial" w:cs="Arial"/>
          <w:color w:val="0B0C0C"/>
          <w:lang w:eastAsia="en-GB"/>
        </w:rPr>
        <w:tab/>
      </w:r>
      <w:r>
        <w:rPr>
          <w:rFonts w:ascii="Arial" w:eastAsia="Times New Roman" w:hAnsi="Arial" w:cs="Arial"/>
          <w:color w:val="0B0C0C"/>
          <w:lang w:eastAsia="en-GB"/>
        </w:rPr>
        <w:tab/>
      </w:r>
    </w:p>
    <w:p w14:paraId="709BB8D7" w14:textId="77777777" w:rsidR="00225573" w:rsidRDefault="004A0BBF">
      <w:pPr>
        <w:pStyle w:val="ListParagraph"/>
        <w:numPr>
          <w:ilvl w:val="1"/>
          <w:numId w:val="58"/>
        </w:numPr>
        <w:spacing w:before="60" w:after="120"/>
      </w:pPr>
      <w:r>
        <w:rPr>
          <w:rFonts w:ascii="Arial" w:eastAsia="Times New Roman" w:hAnsi="Arial" w:cs="Arial"/>
        </w:rPr>
        <w:lastRenderedPageBreak/>
        <w:t xml:space="preserve">In June 2021, the </w:t>
      </w:r>
      <w:r>
        <w:rPr>
          <w:rFonts w:ascii="Arial" w:hAnsi="Arial" w:cs="Arial"/>
          <w:color w:val="0B0C0C"/>
          <w:shd w:val="clear" w:color="auto" w:fill="FFFFFF"/>
        </w:rPr>
        <w:t xml:space="preserve">ESFA (Education and Skills Funding Agency) allocated to local authorities a provisional amount of £2,345 per child looked after for at least one day, as recorded in the March 2020 children looked-after data return (SSDA903), and aged 4 to 15 at 31 August 2019. </w:t>
      </w:r>
      <w:r>
        <w:rPr>
          <w:rFonts w:ascii="Arial" w:eastAsia="Times New Roman" w:hAnsi="Arial" w:cs="Arial"/>
        </w:rPr>
        <w:t>The allocation was updated in December 2020 based on the data provided in the March 2020 return on children aged 4-15 at 31 August 2019. Pupils from Year R to Year 11 are eligible for the pupil premium plus.</w:t>
      </w:r>
      <w:bookmarkEnd w:id="10"/>
    </w:p>
    <w:p w14:paraId="210EF1E4" w14:textId="369D68C9" w:rsidR="00225573" w:rsidRDefault="004A0BBF">
      <w:pPr>
        <w:pStyle w:val="ListParagraph"/>
        <w:numPr>
          <w:ilvl w:val="1"/>
          <w:numId w:val="58"/>
        </w:numPr>
        <w:spacing w:before="60" w:after="120"/>
      </w:pPr>
      <w:r>
        <w:rPr>
          <w:rFonts w:ascii="Arial" w:eastAsia="Times New Roman" w:hAnsi="Arial" w:cs="Arial"/>
          <w:color w:val="0B0C0C"/>
          <w:lang w:eastAsia="en-GB"/>
        </w:rPr>
        <w:t xml:space="preserve">Local authorities may not carry forward funding held centrally into the financial year 2022 to 2023. </w:t>
      </w:r>
      <w:r w:rsidR="00123560">
        <w:rPr>
          <w:rFonts w:ascii="Arial" w:eastAsia="Times New Roman" w:hAnsi="Arial" w:cs="Arial"/>
          <w:color w:val="0B0C0C"/>
          <w:lang w:eastAsia="en-GB"/>
        </w:rPr>
        <w:t>Centrally held</w:t>
      </w:r>
      <w:r>
        <w:rPr>
          <w:rFonts w:ascii="Arial" w:eastAsia="Times New Roman" w:hAnsi="Arial" w:cs="Arial"/>
          <w:color w:val="0B0C0C"/>
          <w:lang w:eastAsia="en-GB"/>
        </w:rPr>
        <w:t xml:space="preserve"> pupil premium plus that has not been spent, or allocated to the child’s education setting, by 31 March 2022 will be recovered.</w:t>
      </w:r>
    </w:p>
    <w:p w14:paraId="55626CF4" w14:textId="77777777" w:rsidR="00225573" w:rsidRDefault="004A0BBF">
      <w:pPr>
        <w:pStyle w:val="ListParagraph"/>
        <w:numPr>
          <w:ilvl w:val="1"/>
          <w:numId w:val="58"/>
        </w:numPr>
        <w:spacing w:before="60" w:after="120"/>
      </w:pPr>
      <w:r>
        <w:rPr>
          <w:rFonts w:ascii="Arial" w:eastAsia="Times New Roman" w:hAnsi="Arial" w:cs="Arial"/>
        </w:rPr>
        <w:t>In Hampshire, the Virtual School allocates £1,600 pupil premium plus per child to schools paid in three termly instalments for each child. £745 per child is retained to fund central services and interventions. This arrangement is broadly in line with most other local authorities</w:t>
      </w:r>
    </w:p>
    <w:p w14:paraId="3BFA9E2A" w14:textId="77777777" w:rsidR="00225573" w:rsidRDefault="004A0BBF">
      <w:pPr>
        <w:pStyle w:val="ListParagraph"/>
        <w:numPr>
          <w:ilvl w:val="1"/>
          <w:numId w:val="58"/>
        </w:numPr>
        <w:spacing w:before="60" w:after="120"/>
      </w:pPr>
      <w:r>
        <w:rPr>
          <w:rFonts w:ascii="Arial" w:eastAsia="Times New Roman" w:hAnsi="Arial" w:cs="Arial"/>
        </w:rPr>
        <w:t xml:space="preserve">A full term’s pupil premium plus is provided, regardless of when a child was taken into care.  Unlike many other local authorities, there is currently no bidding or application process required to access this funding. </w:t>
      </w:r>
    </w:p>
    <w:p w14:paraId="18927CB7" w14:textId="77777777" w:rsidR="00225573" w:rsidRDefault="004A0BBF">
      <w:pPr>
        <w:pStyle w:val="ListParagraph"/>
        <w:numPr>
          <w:ilvl w:val="1"/>
          <w:numId w:val="58"/>
        </w:numPr>
        <w:spacing w:before="60" w:after="120"/>
      </w:pPr>
      <w:r>
        <w:rPr>
          <w:rFonts w:ascii="Arial" w:eastAsia="Times New Roman" w:hAnsi="Arial" w:cs="Arial"/>
        </w:rPr>
        <w:t xml:space="preserve">It should be noted that the Virtual School Head is responsible and accountable for the effective use of pupil premium plus in its entirety and not just for the portion that is centrally held. Given this, they must be assured that, whatever arrangements are in place, all the money is used for the benefit of individual looked after children’s educational needs. Where it is not possible to identify how pupil premium plus is being spent (due, for example, to a missing, poor quality or incomplete PEP), the Virtual School can withhold the allocation of pupil premium plus. The Virtual School’s pupil premium plus policy and guidance document may be accessed on Hampshire and Isle of Wight Virtual School website. </w:t>
      </w:r>
    </w:p>
    <w:p w14:paraId="46C72896" w14:textId="77777777" w:rsidR="00225573" w:rsidRDefault="004A0BBF">
      <w:pPr>
        <w:pStyle w:val="ListParagraph"/>
        <w:numPr>
          <w:ilvl w:val="1"/>
          <w:numId w:val="58"/>
        </w:numPr>
        <w:spacing w:before="60" w:after="120"/>
      </w:pPr>
      <w:r>
        <w:rPr>
          <w:rFonts w:ascii="Arial" w:eastAsia="Times New Roman" w:hAnsi="Arial" w:cs="Arial"/>
        </w:rPr>
        <w:t xml:space="preserve">Arrangements for allocating pupil premium plus are reviewed annually based on the analysis of the educational progress and outcomes for the children in care cohort and their presenting needs. </w:t>
      </w:r>
    </w:p>
    <w:p w14:paraId="616CCD7E" w14:textId="77777777" w:rsidR="00225573" w:rsidRDefault="004A0BBF">
      <w:pPr>
        <w:pStyle w:val="ListParagraph"/>
        <w:numPr>
          <w:ilvl w:val="1"/>
          <w:numId w:val="58"/>
        </w:numPr>
        <w:spacing w:before="60" w:after="120"/>
      </w:pPr>
      <w:r>
        <w:rPr>
          <w:rFonts w:ascii="Arial" w:eastAsia="Times New Roman" w:hAnsi="Arial" w:cs="Arial"/>
        </w:rPr>
        <w:t>For the financial year 2022-23, no change is planned to the existing arrangements. Pupil premium plus will continue to be allocated in termly instalments of £600 (summer term), £500 (autumn term) and £500 (spring term) to schools where a child looked after by Hampshire is on roll.</w:t>
      </w:r>
    </w:p>
    <w:p w14:paraId="26145429" w14:textId="77777777" w:rsidR="00225573" w:rsidRDefault="00225573">
      <w:pPr>
        <w:pStyle w:val="ListParagraph"/>
        <w:spacing w:before="60" w:after="120" w:line="276" w:lineRule="auto"/>
      </w:pPr>
    </w:p>
    <w:p w14:paraId="74ED6642" w14:textId="77777777" w:rsidR="00225573" w:rsidRDefault="004A0BBF">
      <w:pPr>
        <w:pStyle w:val="ListParagraph"/>
        <w:numPr>
          <w:ilvl w:val="0"/>
          <w:numId w:val="55"/>
        </w:numPr>
        <w:spacing w:before="60" w:after="120"/>
        <w:rPr>
          <w:rFonts w:ascii="Arial" w:hAnsi="Arial" w:cs="Arial"/>
          <w:b/>
          <w:kern w:val="3"/>
        </w:rPr>
      </w:pPr>
      <w:r>
        <w:rPr>
          <w:rFonts w:ascii="Arial" w:hAnsi="Arial" w:cs="Arial"/>
          <w:b/>
          <w:kern w:val="3"/>
        </w:rPr>
        <w:t>Pupil premium plus 2020-21: overview and impact</w:t>
      </w:r>
    </w:p>
    <w:p w14:paraId="5278E91D" w14:textId="77777777" w:rsidR="00225573" w:rsidRDefault="004A0BBF">
      <w:pPr>
        <w:pStyle w:val="ListParagraph"/>
        <w:numPr>
          <w:ilvl w:val="1"/>
          <w:numId w:val="59"/>
        </w:numPr>
        <w:spacing w:before="60" w:after="120"/>
        <w:rPr>
          <w:rFonts w:ascii="Arial" w:hAnsi="Arial" w:cs="Arial"/>
        </w:rPr>
      </w:pPr>
      <w:r>
        <w:rPr>
          <w:rFonts w:ascii="Arial" w:hAnsi="Arial" w:cs="Arial"/>
        </w:rPr>
        <w:t xml:space="preserve">In Hampshire, the majority of the pupil premium plus funding is provided directly to schools to meet individual children’s educational needs as identified and recorded in their personal education plans. The identification and assessment of need is therefore crucial to ensuring that the use of the funding is appropriately targeted and that the impact on progress and achievement can be measurable, where possible. </w:t>
      </w:r>
    </w:p>
    <w:p w14:paraId="0393D02F" w14:textId="77777777" w:rsidR="00225573" w:rsidRDefault="004A0BBF">
      <w:pPr>
        <w:pStyle w:val="ListParagraph"/>
        <w:numPr>
          <w:ilvl w:val="1"/>
          <w:numId w:val="59"/>
        </w:numPr>
        <w:spacing w:before="60" w:after="120"/>
        <w:rPr>
          <w:rFonts w:ascii="Arial" w:hAnsi="Arial" w:cs="Arial"/>
        </w:rPr>
      </w:pPr>
      <w:r>
        <w:rPr>
          <w:rFonts w:ascii="Arial" w:hAnsi="Arial" w:cs="Arial"/>
        </w:rPr>
        <w:t xml:space="preserve">Our auditing of personal education plans indicates that a comprehensive use of the ‘PEP Toolkit’ developed by the Virtual School supports schools to identify and understand unmet needs and areas of difficulty. The PEP Toolkit considers children’s needs across seven areas, adult or peer relationships, executive functioning, self-regulation, motivation, sense of self and language development and provides guidance on evidence-based strategies and approaches.   </w:t>
      </w:r>
    </w:p>
    <w:p w14:paraId="58A65BF6" w14:textId="77777777" w:rsidR="00225573" w:rsidRDefault="004A0BBF">
      <w:pPr>
        <w:pStyle w:val="ListParagraph"/>
        <w:numPr>
          <w:ilvl w:val="1"/>
          <w:numId w:val="59"/>
        </w:numPr>
        <w:spacing w:before="60" w:after="120"/>
        <w:rPr>
          <w:rFonts w:ascii="Arial" w:hAnsi="Arial" w:cs="Arial"/>
        </w:rPr>
      </w:pPr>
      <w:r>
        <w:rPr>
          <w:rFonts w:ascii="Arial" w:hAnsi="Arial" w:cs="Arial"/>
        </w:rPr>
        <w:lastRenderedPageBreak/>
        <w:t xml:space="preserve">Given that the use of the funding is most effectively used to target specific areas of need for individual children, it is not possible to provide an exhaustive list of the interventions and strategies that schools have used successfully. For example, circle of friends, peer mentoring or multi- sensory work may be more appropriate than specialist subject 1:1 tutoring for some children. </w:t>
      </w:r>
    </w:p>
    <w:p w14:paraId="0122D1C0" w14:textId="77777777" w:rsidR="00225573" w:rsidRDefault="004A0BBF">
      <w:pPr>
        <w:pStyle w:val="ListParagraph"/>
        <w:numPr>
          <w:ilvl w:val="1"/>
          <w:numId w:val="59"/>
        </w:numPr>
        <w:spacing w:before="60" w:after="120"/>
        <w:rPr>
          <w:rFonts w:ascii="Arial" w:hAnsi="Arial" w:cs="Arial"/>
        </w:rPr>
      </w:pPr>
      <w:r>
        <w:rPr>
          <w:rFonts w:ascii="Arial" w:hAnsi="Arial" w:cs="Arial"/>
        </w:rPr>
        <w:t xml:space="preserve">The Virtual School audits at least 10% of PEPs returned every term with a particular focus on effective needs analysis, target setting and the impact of funding and uses the outcomes to inform and improve our training programme for Designated Teachers. </w:t>
      </w:r>
    </w:p>
    <w:p w14:paraId="2FD55D03" w14:textId="77777777" w:rsidR="00225573" w:rsidRDefault="004A0BBF">
      <w:pPr>
        <w:pStyle w:val="ListParagraph"/>
        <w:numPr>
          <w:ilvl w:val="1"/>
          <w:numId w:val="59"/>
        </w:numPr>
        <w:spacing w:before="60" w:after="120"/>
        <w:rPr>
          <w:rFonts w:ascii="Arial" w:hAnsi="Arial" w:cs="Arial"/>
        </w:rPr>
      </w:pPr>
      <w:r>
        <w:rPr>
          <w:rFonts w:ascii="Arial" w:hAnsi="Arial" w:cs="Arial"/>
        </w:rPr>
        <w:t>The centrally retained pupil premium funding is managed directly by the Virtual School. The governance of the operational and strategic work of the Virtual School is provided by the Education and Inclusion Branch led by the Assistant Director, Education and Inclusion. The Virtual School Head is required to produce an annual report and regular updates to the Corporate Parenting Board which includes elected members and senior leaders across Hampshire.</w:t>
      </w:r>
    </w:p>
    <w:p w14:paraId="275E00A7" w14:textId="77777777" w:rsidR="00225573" w:rsidRDefault="004A0BBF">
      <w:pPr>
        <w:pStyle w:val="ListParagraph"/>
        <w:numPr>
          <w:ilvl w:val="1"/>
          <w:numId w:val="59"/>
        </w:numPr>
        <w:spacing w:before="60" w:after="120"/>
      </w:pPr>
      <w:r>
        <w:rPr>
          <w:rFonts w:ascii="Arial" w:hAnsi="Arial" w:cs="Arial"/>
          <w:kern w:val="3"/>
        </w:rPr>
        <w:t>The following provides a broad overview of the use and impact of the pupil premium plus held centrally within Hampshire. This is organised into three main areas: a) the Virtual School team, b) training and capacity building and c) partnership working. Our work in these three areas makes a significant difference to the educational experiences and outcomes of Hampshire’s children in care and the key adults in their lives.</w:t>
      </w:r>
    </w:p>
    <w:p w14:paraId="5C4BCD5D" w14:textId="77777777" w:rsidR="00225573" w:rsidRDefault="00225573">
      <w:pPr>
        <w:spacing w:before="60" w:after="120"/>
        <w:rPr>
          <w:rFonts w:ascii="Arial" w:hAnsi="Arial" w:cs="Arial"/>
          <w:b/>
          <w:kern w:val="3"/>
        </w:rPr>
      </w:pPr>
    </w:p>
    <w:p w14:paraId="63123DF0" w14:textId="77777777" w:rsidR="00225573" w:rsidRDefault="004A0BBF">
      <w:pPr>
        <w:pStyle w:val="ListParagraph"/>
        <w:numPr>
          <w:ilvl w:val="0"/>
          <w:numId w:val="60"/>
        </w:numPr>
        <w:spacing w:before="60" w:after="120"/>
        <w:rPr>
          <w:rFonts w:ascii="Arial" w:hAnsi="Arial" w:cs="Arial"/>
          <w:b/>
          <w:kern w:val="3"/>
        </w:rPr>
      </w:pPr>
      <w:r>
        <w:rPr>
          <w:rFonts w:ascii="Arial" w:hAnsi="Arial" w:cs="Arial"/>
          <w:b/>
          <w:kern w:val="3"/>
        </w:rPr>
        <w:t xml:space="preserve">Virtual School  </w:t>
      </w:r>
    </w:p>
    <w:p w14:paraId="4DDF1DEB" w14:textId="77777777" w:rsidR="00225573" w:rsidRDefault="004A0BBF">
      <w:pPr>
        <w:pStyle w:val="ListParagraph"/>
        <w:numPr>
          <w:ilvl w:val="0"/>
          <w:numId w:val="61"/>
        </w:numPr>
        <w:spacing w:before="60" w:after="120" w:line="276" w:lineRule="auto"/>
      </w:pPr>
      <w:r>
        <w:rPr>
          <w:rFonts w:ascii="Arial" w:hAnsi="Arial" w:cs="Arial"/>
        </w:rPr>
        <w:t xml:space="preserve">The Virtual School Management Team consists of the Executive Virtual Headteacher, Deputy Head for children in care, Deputy Head for children with a social worker and three Education Advisers. The Education Advisers lead on delivering a full programme of training and support to designated teachers, social workers and foster carers which focuses on their vital role in promoting education. </w:t>
      </w:r>
      <w:r>
        <w:rPr>
          <w:rFonts w:ascii="Arial" w:hAnsi="Arial" w:cs="Arial"/>
          <w:bCs/>
          <w:kern w:val="3"/>
        </w:rPr>
        <w:t xml:space="preserve">The Education Advisers also lead on ‘Corporate Parent’ visits to schools in their respective districts, ensuring that designated teachers are supported, guided, and challenged so they can meet the individual needs of children in care and fulfil their statutory role. </w:t>
      </w:r>
    </w:p>
    <w:p w14:paraId="038B9246" w14:textId="77777777" w:rsidR="00225573" w:rsidRDefault="004A0BBF">
      <w:pPr>
        <w:pStyle w:val="ListParagraph"/>
        <w:numPr>
          <w:ilvl w:val="0"/>
          <w:numId w:val="61"/>
        </w:numPr>
        <w:spacing w:before="60" w:after="120" w:line="276" w:lineRule="auto"/>
      </w:pPr>
      <w:r>
        <w:rPr>
          <w:rFonts w:ascii="Arial" w:hAnsi="Arial" w:cs="Arial"/>
          <w:bCs/>
          <w:kern w:val="3"/>
        </w:rPr>
        <w:t xml:space="preserve">The Education Officers lead the operational work of the Virtual School. They work closely with social care colleagues to support timely admissions and to maintain school stability for individual children. There is a relentless focus on monitoring patterns of attendance, children at risk of fixed term exclusion and supporting children when they face difficulties in school or transitions. The team works hard to reduce the amount of time any child spends out of education, particularly between care placements, working with around 250 cases at any one time. </w:t>
      </w:r>
      <w:r>
        <w:rPr>
          <w:rFonts w:ascii="Arial" w:hAnsi="Arial" w:cs="Arial"/>
        </w:rPr>
        <w:t xml:space="preserve">The impact of Covid has been challenging in the last two academic years. However, in the recent DfE statistical release for outcomes in the 2021 reporting year, our overall absence rate for our children in care was 0.3% lower than the national figure. </w:t>
      </w:r>
    </w:p>
    <w:p w14:paraId="1C772900" w14:textId="77777777" w:rsidR="00225573" w:rsidRDefault="004A0BBF">
      <w:pPr>
        <w:pStyle w:val="ListParagraph"/>
        <w:numPr>
          <w:ilvl w:val="0"/>
          <w:numId w:val="61"/>
        </w:numPr>
        <w:spacing w:before="60" w:after="120" w:line="276" w:lineRule="auto"/>
      </w:pPr>
      <w:r>
        <w:rPr>
          <w:rFonts w:ascii="Arial" w:hAnsi="Arial" w:cs="Arial"/>
          <w:bCs/>
          <w:kern w:val="3"/>
        </w:rPr>
        <w:t xml:space="preserve">The Virtual School team is small relative to the size of the cohort of children in care in Hampshire and so building and strengthening capacity is our predominant approach. Give this, the development of strong and credible relationships and ensuring that communication and key systems and </w:t>
      </w:r>
      <w:r>
        <w:rPr>
          <w:rFonts w:ascii="Arial" w:hAnsi="Arial" w:cs="Arial"/>
          <w:bCs/>
          <w:kern w:val="3"/>
        </w:rPr>
        <w:lastRenderedPageBreak/>
        <w:t>processes work effectively across the wide network are important tasks for the Virtual School team. This work is driven forward by the dedicated partnership working of the Education Officers and Education Advisers, with social care colleagues and schools, which provides the bedrock for the value and impact of our work.</w:t>
      </w:r>
      <w:r>
        <w:rPr>
          <w:rFonts w:ascii="Arial" w:eastAsia="Times New Roman" w:hAnsi="Arial" w:cs="Arial"/>
          <w:color w:val="FF0000"/>
        </w:rPr>
        <w:t xml:space="preserve"> </w:t>
      </w:r>
    </w:p>
    <w:p w14:paraId="226CA6DD" w14:textId="77777777" w:rsidR="00225573" w:rsidRDefault="00225573">
      <w:pPr>
        <w:spacing w:before="60" w:after="120" w:line="276" w:lineRule="auto"/>
        <w:rPr>
          <w:rFonts w:ascii="Arial" w:hAnsi="Arial" w:cs="Arial"/>
          <w:b/>
        </w:rPr>
      </w:pPr>
    </w:p>
    <w:p w14:paraId="3D4A3929" w14:textId="77777777" w:rsidR="00225573" w:rsidRDefault="004A0BBF">
      <w:pPr>
        <w:pStyle w:val="ListParagraph"/>
        <w:numPr>
          <w:ilvl w:val="0"/>
          <w:numId w:val="60"/>
        </w:numPr>
        <w:spacing w:before="60" w:after="120" w:line="276" w:lineRule="auto"/>
        <w:rPr>
          <w:rFonts w:ascii="Arial" w:hAnsi="Arial" w:cs="Arial"/>
          <w:b/>
        </w:rPr>
      </w:pPr>
      <w:r>
        <w:rPr>
          <w:rFonts w:ascii="Arial" w:hAnsi="Arial" w:cs="Arial"/>
          <w:b/>
        </w:rPr>
        <w:t>Training and capacity building</w:t>
      </w:r>
    </w:p>
    <w:p w14:paraId="637FC1AB" w14:textId="77777777" w:rsidR="00225573" w:rsidRDefault="004A0BBF">
      <w:pPr>
        <w:pStyle w:val="ListParagraph"/>
        <w:numPr>
          <w:ilvl w:val="0"/>
          <w:numId w:val="62"/>
        </w:numPr>
        <w:spacing w:before="60" w:after="120" w:line="276" w:lineRule="auto"/>
        <w:ind w:left="714" w:hanging="357"/>
        <w:textAlignment w:val="auto"/>
        <w:rPr>
          <w:rFonts w:ascii="Arial" w:eastAsia="Times New Roman" w:hAnsi="Arial" w:cs="Arial"/>
        </w:rPr>
      </w:pPr>
      <w:r>
        <w:rPr>
          <w:rFonts w:ascii="Arial" w:eastAsia="Times New Roman" w:hAnsi="Arial" w:cs="Arial"/>
        </w:rPr>
        <w:t>As stated, in the Hampshire context, the approach is one of building capacity across a large local authority and beyond to meet the educational needs of children in care. As a result, there is a strong focus on providing the highest quality training for designated teachers as set out in our training brochure. In the last academic year, we relaunched our statutory training for designated teachers and guidance on the use of the PEP Toolkit. The toolkit enables lead staff to understand the causes of the behaviour of individual children, to accurately assess and plan for their needs and to develop high-quality personal education plans. Our training offer is well regarded and take up continues to improve.  Between September 2020 and March 2021, we provided training for over 450 delegates. An analysis of the evaluation forms suggests that designated teachers attending the training had a clearer understanding of their role and felt more confident in being able to provide leadership in school to promote the educational needs of children in care. We are keen to develop our methodology to evaluate the impact of our training on practice and delivery in this academic year.</w:t>
      </w:r>
    </w:p>
    <w:p w14:paraId="3735ACEA" w14:textId="77777777" w:rsidR="00225573" w:rsidRDefault="004A0BBF">
      <w:pPr>
        <w:pStyle w:val="ListParagraph"/>
        <w:numPr>
          <w:ilvl w:val="0"/>
          <w:numId w:val="63"/>
        </w:numPr>
        <w:spacing w:before="60" w:after="120" w:line="276" w:lineRule="auto"/>
        <w:ind w:left="714" w:hanging="357"/>
        <w:textAlignment w:val="auto"/>
      </w:pPr>
      <w:r>
        <w:rPr>
          <w:rFonts w:ascii="Arial" w:eastAsia="Times New Roman" w:hAnsi="Arial" w:cs="Arial"/>
        </w:rPr>
        <w:t xml:space="preserve">The well-established Attachment and Trauma Aware Schools and Settings (ATAS) programme entered its fourth year in partnership with Kate Cairns Associates (KCA) and we currently have 78 schools in Hampshire who have completed the specialist training which is based on a ‘Lead Team’ model. The fourth Cohort will be externally evaluated by the Rees Centre at the University of Oxford as part of the Alex Timpson Attachment and Trauma Awareness in Schools Programme in June 2022. The wide-ranging impact of the programme includes whole school implementation of emotion coaching to support co-regulation of children’s behaviour ‘in the moment,’ and programmes of staff development around attachment and trauma initiated and led by Designated Teachers. </w:t>
      </w:r>
    </w:p>
    <w:p w14:paraId="657CE3FC" w14:textId="77777777" w:rsidR="00225573" w:rsidRDefault="004A0BBF">
      <w:pPr>
        <w:pStyle w:val="ListParagraph"/>
        <w:numPr>
          <w:ilvl w:val="0"/>
          <w:numId w:val="63"/>
        </w:numPr>
        <w:rPr>
          <w:rFonts w:ascii="Arial" w:eastAsia="Times New Roman" w:hAnsi="Arial" w:cs="Arial"/>
        </w:rPr>
      </w:pPr>
      <w:r>
        <w:rPr>
          <w:rFonts w:ascii="Arial" w:eastAsia="Times New Roman" w:hAnsi="Arial" w:cs="Arial"/>
        </w:rPr>
        <w:t>In the academic year 2020- 2021, all year R, 6 and year 7 designated teachers were offered bespoke training and transition support.</w:t>
      </w:r>
    </w:p>
    <w:p w14:paraId="034329D2" w14:textId="77777777" w:rsidR="00225573" w:rsidRDefault="004A0BBF">
      <w:pPr>
        <w:pStyle w:val="ListParagraph"/>
        <w:numPr>
          <w:ilvl w:val="0"/>
          <w:numId w:val="60"/>
        </w:numPr>
        <w:spacing w:before="60" w:after="120" w:line="276" w:lineRule="auto"/>
        <w:rPr>
          <w:rFonts w:ascii="Arial" w:hAnsi="Arial" w:cs="Arial"/>
          <w:b/>
          <w:bCs/>
          <w:kern w:val="3"/>
        </w:rPr>
      </w:pPr>
      <w:r>
        <w:rPr>
          <w:rFonts w:ascii="Arial" w:hAnsi="Arial" w:cs="Arial"/>
          <w:b/>
          <w:bCs/>
          <w:kern w:val="3"/>
        </w:rPr>
        <w:t xml:space="preserve">Partnership working </w:t>
      </w:r>
    </w:p>
    <w:p w14:paraId="42A806A6" w14:textId="77777777" w:rsidR="00225573" w:rsidRDefault="004A0BBF">
      <w:pPr>
        <w:pStyle w:val="ListParagraph"/>
        <w:numPr>
          <w:ilvl w:val="0"/>
          <w:numId w:val="61"/>
        </w:numPr>
        <w:spacing w:before="60" w:after="120" w:line="276" w:lineRule="auto"/>
        <w:rPr>
          <w:rFonts w:ascii="Arial" w:hAnsi="Arial" w:cs="Arial"/>
          <w:bCs/>
          <w:kern w:val="3"/>
        </w:rPr>
      </w:pPr>
      <w:r>
        <w:rPr>
          <w:rFonts w:ascii="Arial" w:hAnsi="Arial" w:cs="Arial"/>
          <w:bCs/>
          <w:kern w:val="3"/>
        </w:rPr>
        <w:t>The Virtual School has collaborated with different teams and services to bring a bespoke additional training offer to designated teachers. For example, a series of joint briefings with health professionals have focussed on interpreting and using SDQ (Strength and Difficulties Questionnaire) scores to meet indicated emotional and mental health needs.</w:t>
      </w:r>
    </w:p>
    <w:p w14:paraId="4313F256" w14:textId="77777777" w:rsidR="00225573" w:rsidRDefault="004A0BBF">
      <w:pPr>
        <w:pStyle w:val="ListParagraph"/>
        <w:numPr>
          <w:ilvl w:val="0"/>
          <w:numId w:val="61"/>
        </w:numPr>
        <w:spacing w:before="60" w:after="120" w:line="276" w:lineRule="auto"/>
      </w:pPr>
      <w:r>
        <w:rPr>
          <w:rFonts w:ascii="Arial" w:hAnsi="Arial" w:cs="Arial"/>
          <w:bCs/>
          <w:kern w:val="3"/>
        </w:rPr>
        <w:t xml:space="preserve">The strong partnership with Hampshire Futures has continued to develop through the work of the Virtual College, the post 16 arm of the Virtual School. </w:t>
      </w:r>
      <w:r>
        <w:rPr>
          <w:rFonts w:ascii="Arial" w:hAnsi="Arial" w:cs="Arial"/>
          <w:bCs/>
          <w:kern w:val="3"/>
        </w:rPr>
        <w:lastRenderedPageBreak/>
        <w:t xml:space="preserve">The proactive work of the team around the most vulnerable young people in years 11 as they transition into the post 16 has contributed to fewer young people not in education employment and training (NEET). </w:t>
      </w:r>
      <w:r>
        <w:rPr>
          <w:rFonts w:ascii="Arial" w:hAnsi="Arial" w:cs="Arial"/>
        </w:rPr>
        <w:t xml:space="preserve">In Hampshire in 2021, the percentage of looked after children securing a place in post 16 education was higher (97.9%) than the overall cohort (97%). </w:t>
      </w:r>
    </w:p>
    <w:p w14:paraId="6F44AA86" w14:textId="792B1B1C" w:rsidR="00225573" w:rsidRDefault="004A0BBF">
      <w:pPr>
        <w:pStyle w:val="ListParagraph"/>
        <w:numPr>
          <w:ilvl w:val="0"/>
          <w:numId w:val="61"/>
        </w:numPr>
        <w:spacing w:before="60" w:after="120" w:line="276" w:lineRule="auto"/>
        <w:rPr>
          <w:rFonts w:ascii="Arial" w:hAnsi="Arial" w:cs="Arial"/>
          <w:bCs/>
          <w:kern w:val="3"/>
        </w:rPr>
      </w:pPr>
      <w:r>
        <w:rPr>
          <w:rFonts w:ascii="Arial" w:hAnsi="Arial" w:cs="Arial"/>
          <w:bCs/>
          <w:kern w:val="3"/>
        </w:rPr>
        <w:t xml:space="preserve">The Virtual School has continued to collaborate with Services for Young </w:t>
      </w:r>
      <w:r w:rsidR="00123560">
        <w:rPr>
          <w:rFonts w:ascii="Arial" w:hAnsi="Arial" w:cs="Arial"/>
          <w:bCs/>
          <w:kern w:val="3"/>
        </w:rPr>
        <w:t>Children,</w:t>
      </w:r>
      <w:r>
        <w:rPr>
          <w:rFonts w:ascii="Arial" w:hAnsi="Arial" w:cs="Arial"/>
          <w:bCs/>
          <w:kern w:val="3"/>
        </w:rPr>
        <w:t xml:space="preserve"> and this contributed to the improvement in the number of children achieving a good level of development in our last published dataset in 2019, at 51.5%, including those with SEN (28.6% compared with 20% nationally of children in care in the early years). In May 2020, an Early Years Education Adviser joined the Virtual School to strengthen the expertise, timeliness and focus of our work and to develop a ‘Virtual Preschool’ model. The joint work around the training offer for year R teachers, use of the early years PEP toolkit and focus on transition into school has had a significant impact.</w:t>
      </w:r>
    </w:p>
    <w:p w14:paraId="384EDC5A" w14:textId="77777777" w:rsidR="00225573" w:rsidRDefault="004A0BBF">
      <w:pPr>
        <w:pStyle w:val="ListParagraph"/>
        <w:numPr>
          <w:ilvl w:val="0"/>
          <w:numId w:val="61"/>
        </w:numPr>
        <w:spacing w:before="60" w:after="120" w:line="276" w:lineRule="auto"/>
        <w:rPr>
          <w:rFonts w:ascii="Arial" w:hAnsi="Arial" w:cs="Arial"/>
          <w:bCs/>
          <w:kern w:val="3"/>
        </w:rPr>
      </w:pPr>
      <w:r>
        <w:rPr>
          <w:rFonts w:ascii="Arial" w:hAnsi="Arial" w:cs="Arial"/>
          <w:bCs/>
          <w:kern w:val="3"/>
        </w:rPr>
        <w:t xml:space="preserve">The Virtual School has developed a close working relationship with the Special Educational Needs and Disability Team (SEND), using pupil premium plus to provide additionality around casework for children in care to create a specialist case officer. This post is matrix managed by the SEN team and Virtual School and has been effective in securing closer tracking and understanding of all children with EHCP applications in process, those in the consultation phase of the placement process and those who require enhanced provision. The wider purpose of the role is to improve communication between services to reduce systemic barriers to children receiving timely, appropriate education and support for additional needs. </w:t>
      </w:r>
    </w:p>
    <w:p w14:paraId="44684455" w14:textId="77777777" w:rsidR="00225573" w:rsidRDefault="004A0BBF">
      <w:pPr>
        <w:pStyle w:val="ListParagraph"/>
        <w:numPr>
          <w:ilvl w:val="0"/>
          <w:numId w:val="61"/>
        </w:numPr>
        <w:spacing w:before="60" w:after="120" w:line="276" w:lineRule="auto"/>
      </w:pPr>
      <w:r>
        <w:rPr>
          <w:rFonts w:ascii="Arial" w:eastAsia="Times New Roman" w:hAnsi="Arial" w:cs="Arial"/>
        </w:rPr>
        <w:t xml:space="preserve">The Virtual School continues to work closely with the HIEP service (Hampshire and Isle of Wight Educational Psychology Service) and has a service level agreement in place. The service provides bespoke consultations, individual casework, support and training to professionals supporting our young people including PEP Toolkit plus training. </w:t>
      </w:r>
      <w:r>
        <w:rPr>
          <w:rFonts w:ascii="Arial" w:hAnsi="Arial" w:cs="Arial"/>
        </w:rPr>
        <w:t xml:space="preserve">. We ensure that designated teachers have access to individual consultations from Educational Psychologists every term to support them with children facing difficulties or challenges in school. </w:t>
      </w:r>
      <w:r>
        <w:rPr>
          <w:rFonts w:ascii="Arial" w:eastAsia="Times New Roman" w:hAnsi="Arial" w:cs="Arial"/>
        </w:rPr>
        <w:t xml:space="preserve">The Virtual School has also responded to training needs identified by schools and has for example facilitated sensory integration training as well as an introduction to attachment for Higher Level Teaching Assistants (HLTAs).  </w:t>
      </w:r>
    </w:p>
    <w:p w14:paraId="6F125056" w14:textId="77777777" w:rsidR="00225573" w:rsidRDefault="004A0BBF">
      <w:pPr>
        <w:pStyle w:val="ListParagraph"/>
        <w:numPr>
          <w:ilvl w:val="0"/>
          <w:numId w:val="61"/>
        </w:numPr>
        <w:rPr>
          <w:rFonts w:ascii="Arial" w:hAnsi="Arial" w:cs="Arial"/>
        </w:rPr>
      </w:pPr>
      <w:r>
        <w:rPr>
          <w:rFonts w:ascii="Arial" w:hAnsi="Arial" w:cs="Arial"/>
        </w:rPr>
        <w:t>This Virtual School worked closely with Hampshire Inspection and Advisory Service (HIAS) in 2020 – 2021, ensuring that expertise and specialism is provided in our service as needed for, school level challenge, corporate parent visits, PEP auditing and a wide range of training.</w:t>
      </w:r>
    </w:p>
    <w:p w14:paraId="2CA0DCD1" w14:textId="77777777" w:rsidR="00225573" w:rsidRDefault="004A0BBF">
      <w:pPr>
        <w:pStyle w:val="ListParagraph"/>
        <w:numPr>
          <w:ilvl w:val="0"/>
          <w:numId w:val="61"/>
        </w:numPr>
        <w:rPr>
          <w:rFonts w:ascii="Arial" w:hAnsi="Arial" w:cs="Arial"/>
        </w:rPr>
      </w:pPr>
      <w:r>
        <w:rPr>
          <w:rFonts w:ascii="Arial" w:hAnsi="Arial" w:cs="Arial"/>
        </w:rPr>
        <w:t>This Virtual School has worked in partnership with the Ethnic Minority and Traveller Achievement Service (EMTAS) to pilot an approach to provide our unaccompanied asylum-seeking young people with a language assessment and profile of needs to support their transition into mainstream school. The success of this approach led to a more formal service level agreement for 15 assessments in 2021-22 which have all been undertaken.</w:t>
      </w:r>
    </w:p>
    <w:p w14:paraId="32441538" w14:textId="1A08E6E9" w:rsidR="00225573" w:rsidRDefault="004A0BBF">
      <w:pPr>
        <w:pStyle w:val="ListParagraph"/>
        <w:numPr>
          <w:ilvl w:val="0"/>
          <w:numId w:val="61"/>
        </w:numPr>
        <w:rPr>
          <w:rFonts w:ascii="Arial" w:hAnsi="Arial" w:cs="Arial"/>
        </w:rPr>
      </w:pPr>
      <w:r>
        <w:rPr>
          <w:rFonts w:ascii="Arial" w:hAnsi="Arial" w:cs="Arial"/>
        </w:rPr>
        <w:lastRenderedPageBreak/>
        <w:t xml:space="preserve">The Virtual School has been proactive in securing resources for our cohort of children in care. For example, arrangements have been made for children in care in the early years to be enrolled in a free book gifting scheme whereby children receive a high quality, age-appropriate book in the post, free of charge, every month from birth to age five. In </w:t>
      </w:r>
      <w:r w:rsidR="00123560">
        <w:rPr>
          <w:rFonts w:ascii="Arial" w:hAnsi="Arial" w:cs="Arial"/>
        </w:rPr>
        <w:t>addition,</w:t>
      </w:r>
      <w:r>
        <w:rPr>
          <w:rFonts w:ascii="Arial" w:hAnsi="Arial" w:cs="Arial"/>
        </w:rPr>
        <w:t xml:space="preserve"> we provide the ‘Letterbox’ service to specific year groups. </w:t>
      </w:r>
    </w:p>
    <w:p w14:paraId="78EED045" w14:textId="77777777" w:rsidR="00225573" w:rsidRDefault="004A0BBF">
      <w:pPr>
        <w:pStyle w:val="ListParagraph"/>
        <w:numPr>
          <w:ilvl w:val="0"/>
          <w:numId w:val="55"/>
        </w:numPr>
        <w:spacing w:before="60" w:after="120"/>
        <w:rPr>
          <w:rFonts w:ascii="Arial" w:hAnsi="Arial" w:cs="Arial"/>
          <w:b/>
          <w:kern w:val="3"/>
        </w:rPr>
      </w:pPr>
      <w:r>
        <w:rPr>
          <w:rFonts w:ascii="Arial" w:hAnsi="Arial" w:cs="Arial"/>
          <w:b/>
          <w:kern w:val="3"/>
        </w:rPr>
        <w:t>Educational outcomes for children in care</w:t>
      </w:r>
    </w:p>
    <w:p w14:paraId="7CB8D97B" w14:textId="77777777" w:rsidR="00225573" w:rsidRDefault="004A0BBF">
      <w:pPr>
        <w:pStyle w:val="ListParagraph"/>
        <w:numPr>
          <w:ilvl w:val="1"/>
          <w:numId w:val="64"/>
        </w:numPr>
        <w:spacing w:before="60" w:after="120"/>
      </w:pPr>
      <w:r>
        <w:rPr>
          <w:rFonts w:ascii="Arial" w:hAnsi="Arial" w:cs="Arial"/>
          <w:kern w:val="3"/>
        </w:rPr>
        <w:t>As</w:t>
      </w:r>
      <w:r>
        <w:rPr>
          <w:rFonts w:ascii="Arial" w:hAnsi="Arial" w:cs="Arial"/>
          <w:b/>
          <w:kern w:val="3"/>
        </w:rPr>
        <w:t xml:space="preserve"> </w:t>
      </w:r>
      <w:r>
        <w:rPr>
          <w:rFonts w:ascii="Arial" w:hAnsi="Arial" w:cs="Arial"/>
          <w:kern w:val="3"/>
        </w:rPr>
        <w:t xml:space="preserve">has been outlined, schools in Hampshire and the </w:t>
      </w:r>
      <w:r>
        <w:rPr>
          <w:rFonts w:ascii="Arial" w:hAnsi="Arial" w:cs="Arial"/>
        </w:rPr>
        <w:t xml:space="preserve">Virtual School are committed and determined to further improve the engagement, participation, and achievement in education for Hampshire’s children in care. </w:t>
      </w:r>
    </w:p>
    <w:p w14:paraId="5A7C2B9C" w14:textId="77777777" w:rsidR="00225573" w:rsidRDefault="004A0BBF">
      <w:pPr>
        <w:pStyle w:val="ListParagraph"/>
        <w:numPr>
          <w:ilvl w:val="1"/>
          <w:numId w:val="64"/>
        </w:numPr>
        <w:spacing w:before="60" w:after="120"/>
      </w:pPr>
      <w:r>
        <w:rPr>
          <w:rFonts w:ascii="Arial" w:hAnsi="Arial" w:cs="Arial"/>
        </w:rPr>
        <w:t xml:space="preserve">We recognise that it is important to focus on the educational experiences and individual journeys of children, as many have overcome significant challenges arising from complex trauma, emotional and mental health needs, and the wider impact of adverse childhood experiences. </w:t>
      </w:r>
    </w:p>
    <w:p w14:paraId="68A1D71C" w14:textId="77777777" w:rsidR="00225573" w:rsidRDefault="004A0BBF">
      <w:pPr>
        <w:pStyle w:val="ListParagraph"/>
        <w:numPr>
          <w:ilvl w:val="1"/>
          <w:numId w:val="64"/>
        </w:numPr>
        <w:spacing w:before="60" w:after="120"/>
      </w:pPr>
      <w:r>
        <w:rPr>
          <w:rFonts w:ascii="Arial" w:hAnsi="Arial" w:cs="Arial"/>
        </w:rPr>
        <w:t xml:space="preserve">The effective use of pupil premium plus funding by both schools and the Virtual School is evidenced both in PEPs and in the improving picture of educational outcomes for our children and young people in care. </w:t>
      </w:r>
    </w:p>
    <w:p w14:paraId="23C64C67" w14:textId="77777777" w:rsidR="00225573" w:rsidRDefault="004A0BBF">
      <w:pPr>
        <w:pStyle w:val="ListParagraph"/>
        <w:numPr>
          <w:ilvl w:val="1"/>
          <w:numId w:val="64"/>
        </w:numPr>
        <w:spacing w:before="60" w:after="120"/>
      </w:pPr>
      <w:r>
        <w:rPr>
          <w:rFonts w:ascii="Arial" w:hAnsi="Arial" w:cs="Arial"/>
        </w:rPr>
        <w:t xml:space="preserve">National assessments in the Early Years Foundation Stage, Key Stage 1 and Key Stage 2 were suspended in 2021 due to Covid-19. </w:t>
      </w:r>
    </w:p>
    <w:p w14:paraId="096DCF3B" w14:textId="77777777" w:rsidR="00225573" w:rsidRDefault="004A0BBF">
      <w:pPr>
        <w:pStyle w:val="ListParagraph"/>
        <w:numPr>
          <w:ilvl w:val="1"/>
          <w:numId w:val="64"/>
        </w:numPr>
        <w:spacing w:before="60" w:after="120"/>
      </w:pPr>
      <w:r>
        <w:rPr>
          <w:rFonts w:ascii="Arial" w:hAnsi="Arial" w:cs="Arial"/>
        </w:rPr>
        <w:t xml:space="preserve">The educational outcomes at Key Stage 4 in 2021 were based on teacher assessment. The  following outcomes are notable: </w:t>
      </w:r>
    </w:p>
    <w:p w14:paraId="54B3CCAB"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 xml:space="preserve">Of the 128 children who had been looked after continually for at least 12 months, 13 children (10.2%) achieved English and maths at grades 9-5 compared to 18 children (15.8%) in 2020 and 3.2% in 2019.  </w:t>
      </w:r>
    </w:p>
    <w:p w14:paraId="10BFABD8"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In the ‘basics’ measure, grade 9-4 in English and maths, 33 (25.8%) achieved this compared to 32 children (28.1%) in 2020 following the significant rise from 13.7% in 2019.</w:t>
      </w:r>
    </w:p>
    <w:p w14:paraId="24302A47"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 xml:space="preserve">We had an increased number of pupils achieving the EBACC at 9-4 (four pupils, 3.1%) and at 9-5 (1.6%) and more pupils who sat any exam (97 pupils, 75.8%) up from 73.7% in 2020. </w:t>
      </w:r>
    </w:p>
    <w:p w14:paraId="66D2B118"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 xml:space="preserve">In the overall cohort in Year 11, there were 47 with EHCPs and an additional two at the assessment stage in May. In the OC2 cohort, 39 had an EHCP. </w:t>
      </w:r>
    </w:p>
    <w:p w14:paraId="3BE0D49D"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There were six UASC (Unaccompanied Asylum-Seeking Children) in the 2021 cohort. No child in this cohort achieved the ‘basics’ measure although five sat an exam and one child achieved maths GCSE (9-4).</w:t>
      </w:r>
    </w:p>
    <w:p w14:paraId="3B495E48" w14:textId="77777777" w:rsidR="00225573" w:rsidRDefault="004A0BBF">
      <w:pPr>
        <w:pStyle w:val="ListParagraph"/>
        <w:numPr>
          <w:ilvl w:val="0"/>
          <w:numId w:val="65"/>
        </w:numPr>
        <w:spacing w:after="0"/>
        <w:textAlignment w:val="auto"/>
        <w:rPr>
          <w:rFonts w:ascii="Arial" w:hAnsi="Arial" w:cs="Arial"/>
        </w:rPr>
      </w:pPr>
      <w:r>
        <w:rPr>
          <w:rFonts w:ascii="Arial" w:hAnsi="Arial" w:cs="Arial"/>
        </w:rPr>
        <w:t xml:space="preserve">The Virtual School were actively involved in intensive casework with 24 of the children in the Year 11 cohort either in view of their complexity or as a result of them experiencing delay in terms of securing admissions or the required packages of assessment, intervention and support. </w:t>
      </w:r>
    </w:p>
    <w:p w14:paraId="08B2C26E" w14:textId="77777777" w:rsidR="00225573" w:rsidRDefault="004A0BBF">
      <w:pPr>
        <w:pStyle w:val="ListParagraph"/>
        <w:numPr>
          <w:ilvl w:val="0"/>
          <w:numId w:val="55"/>
        </w:numPr>
        <w:spacing w:before="60" w:after="120"/>
        <w:rPr>
          <w:rFonts w:ascii="Arial" w:hAnsi="Arial" w:cs="Arial"/>
          <w:b/>
          <w:kern w:val="3"/>
        </w:rPr>
      </w:pPr>
      <w:r>
        <w:rPr>
          <w:rFonts w:ascii="Arial" w:hAnsi="Arial" w:cs="Arial"/>
          <w:b/>
          <w:kern w:val="3"/>
        </w:rPr>
        <w:t>Conclusion and recommendations</w:t>
      </w:r>
    </w:p>
    <w:p w14:paraId="4CD9BA5F" w14:textId="77777777" w:rsidR="00225573" w:rsidRDefault="004A0BBF">
      <w:pPr>
        <w:pStyle w:val="ListParagraph"/>
        <w:numPr>
          <w:ilvl w:val="1"/>
          <w:numId w:val="66"/>
        </w:numPr>
        <w:spacing w:before="60" w:after="120"/>
      </w:pPr>
      <w:r>
        <w:rPr>
          <w:rFonts w:ascii="Arial" w:hAnsi="Arial" w:cs="Arial"/>
          <w:bCs/>
          <w:kern w:val="3"/>
        </w:rPr>
        <w:t>This report sets out how the effective use of the pupil premium plus supports the local authority, carers, and schools to promote the educational needs of children in care.</w:t>
      </w:r>
    </w:p>
    <w:p w14:paraId="57CFA221" w14:textId="628F4645" w:rsidR="00225573" w:rsidRDefault="004A0BBF">
      <w:pPr>
        <w:pStyle w:val="ListParagraph"/>
        <w:numPr>
          <w:ilvl w:val="1"/>
          <w:numId w:val="66"/>
        </w:numPr>
        <w:spacing w:before="60" w:after="120"/>
      </w:pPr>
      <w:r>
        <w:rPr>
          <w:rFonts w:ascii="Arial" w:hAnsi="Arial" w:cs="Arial"/>
          <w:bCs/>
          <w:kern w:val="3"/>
        </w:rPr>
        <w:t>We recommend that the School</w:t>
      </w:r>
      <w:r w:rsidR="00123560">
        <w:rPr>
          <w:rFonts w:ascii="Arial" w:hAnsi="Arial" w:cs="Arial"/>
          <w:bCs/>
          <w:kern w:val="3"/>
        </w:rPr>
        <w:t>s</w:t>
      </w:r>
      <w:r>
        <w:rPr>
          <w:rFonts w:ascii="Arial" w:hAnsi="Arial" w:cs="Arial"/>
          <w:bCs/>
          <w:kern w:val="3"/>
        </w:rPr>
        <w:t xml:space="preserve"> Forum notes the content of this report. </w:t>
      </w:r>
    </w:p>
    <w:sectPr w:rsidR="00225573">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73B3" w14:textId="77777777" w:rsidR="009D3C0D" w:rsidRDefault="009D3C0D">
      <w:pPr>
        <w:spacing w:after="0"/>
      </w:pPr>
      <w:r>
        <w:separator/>
      </w:r>
    </w:p>
  </w:endnote>
  <w:endnote w:type="continuationSeparator" w:id="0">
    <w:p w14:paraId="7E30CFCF" w14:textId="77777777" w:rsidR="009D3C0D" w:rsidRDefault="009D3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80F2" w14:textId="77777777" w:rsidR="00EE3D53" w:rsidRDefault="004A0BBF">
    <w:pPr>
      <w:pStyle w:val="Footer"/>
      <w:jc w:val="right"/>
    </w:pPr>
    <w:r>
      <w:fldChar w:fldCharType="begin"/>
    </w:r>
    <w:r>
      <w:instrText xml:space="preserve"> PAGE </w:instrText>
    </w:r>
    <w:r>
      <w:fldChar w:fldCharType="separate"/>
    </w:r>
    <w:r>
      <w:t>1</w:t>
    </w:r>
    <w:r>
      <w:fldChar w:fldCharType="end"/>
    </w:r>
  </w:p>
  <w:p w14:paraId="19FF8AA6" w14:textId="77777777" w:rsidR="00EE3D53" w:rsidRDefault="00507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78CA" w14:textId="77777777" w:rsidR="009D3C0D" w:rsidRDefault="009D3C0D">
      <w:pPr>
        <w:spacing w:after="0"/>
      </w:pPr>
      <w:r>
        <w:rPr>
          <w:color w:val="000000"/>
        </w:rPr>
        <w:separator/>
      </w:r>
    </w:p>
  </w:footnote>
  <w:footnote w:type="continuationSeparator" w:id="0">
    <w:p w14:paraId="231E3F46" w14:textId="77777777" w:rsidR="009D3C0D" w:rsidRDefault="009D3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E74"/>
    <w:multiLevelType w:val="multilevel"/>
    <w:tmpl w:val="2DB60982"/>
    <w:styleLink w:val="WWOutlineListStyle1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500AE2"/>
    <w:multiLevelType w:val="multilevel"/>
    <w:tmpl w:val="6DB8B024"/>
    <w:styleLink w:val="WWOutlineListStyle4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A673E3"/>
    <w:multiLevelType w:val="multilevel"/>
    <w:tmpl w:val="1CA0798E"/>
    <w:styleLink w:val="WWOutlineListStyle4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C1737F"/>
    <w:multiLevelType w:val="multilevel"/>
    <w:tmpl w:val="65EC65FC"/>
    <w:styleLink w:val="WWOutlineListStyle2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4A0D87"/>
    <w:multiLevelType w:val="multilevel"/>
    <w:tmpl w:val="63F87EFE"/>
    <w:styleLink w:val="WWOutlineListStyle1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8C52C02"/>
    <w:multiLevelType w:val="multilevel"/>
    <w:tmpl w:val="EC007A4C"/>
    <w:styleLink w:val="WWOutlineListStyle1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D77BC1"/>
    <w:multiLevelType w:val="multilevel"/>
    <w:tmpl w:val="D58AC1A8"/>
    <w:styleLink w:val="WWOutlineListStyle3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455A80"/>
    <w:multiLevelType w:val="multilevel"/>
    <w:tmpl w:val="63C05D60"/>
    <w:styleLink w:val="WWOutlineListStyle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8334CB"/>
    <w:multiLevelType w:val="multilevel"/>
    <w:tmpl w:val="170CAB7E"/>
    <w:styleLink w:val="WWOutlineListStyle1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79490F"/>
    <w:multiLevelType w:val="multilevel"/>
    <w:tmpl w:val="12E8CAC0"/>
    <w:styleLink w:val="WWOutlineListStyle3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F84137"/>
    <w:multiLevelType w:val="multilevel"/>
    <w:tmpl w:val="2EB40A22"/>
    <w:styleLink w:val="WWOutlineListStyle1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11222D8"/>
    <w:multiLevelType w:val="multilevel"/>
    <w:tmpl w:val="F9A021C2"/>
    <w:styleLink w:val="WWOutlineListStyle"/>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8D77DC"/>
    <w:multiLevelType w:val="multilevel"/>
    <w:tmpl w:val="F7041660"/>
    <w:styleLink w:val="WWOutlineListStyle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27F4BAA"/>
    <w:multiLevelType w:val="multilevel"/>
    <w:tmpl w:val="E8AE08E4"/>
    <w:lvl w:ilvl="0">
      <w:start w:val="1"/>
      <w:numFmt w:val="decimal"/>
      <w:lvlText w:val="%1"/>
      <w:lvlJc w:val="left"/>
      <w:pPr>
        <w:ind w:left="360" w:hanging="360"/>
      </w:pPr>
      <w:rPr>
        <w:rFonts w:ascii="Arial" w:eastAsia="Times New Roman" w:hAnsi="Arial" w:cs="Arial"/>
      </w:rPr>
    </w:lvl>
    <w:lvl w:ilvl="1">
      <w:start w:val="2"/>
      <w:numFmt w:val="decimal"/>
      <w:lvlText w:val="%1.%2"/>
      <w:lvlJc w:val="left"/>
      <w:pPr>
        <w:ind w:left="567" w:hanging="567"/>
      </w:pPr>
      <w:rPr>
        <w:rFonts w:ascii="Calibri" w:eastAsia="Times New Roman" w:hAnsi="Calibri" w:cs="Calibri"/>
        <w:sz w:val="18"/>
        <w:szCs w:val="18"/>
      </w:rPr>
    </w:lvl>
    <w:lvl w:ilvl="2">
      <w:start w:val="1"/>
      <w:numFmt w:val="decimal"/>
      <w:lvlText w:val="%1.%2.%3"/>
      <w:lvlJc w:val="left"/>
      <w:pPr>
        <w:ind w:left="1440" w:hanging="720"/>
      </w:pPr>
      <w:rPr>
        <w:rFonts w:ascii="Arial" w:eastAsia="Times New Roman" w:hAnsi="Arial" w:cs="Arial"/>
      </w:rPr>
    </w:lvl>
    <w:lvl w:ilvl="3">
      <w:start w:val="1"/>
      <w:numFmt w:val="decimal"/>
      <w:lvlText w:val="%1.%2.%3.%4"/>
      <w:lvlJc w:val="left"/>
      <w:pPr>
        <w:ind w:left="1800" w:hanging="720"/>
      </w:pPr>
      <w:rPr>
        <w:rFonts w:ascii="Arial" w:eastAsia="Times New Roman" w:hAnsi="Arial" w:cs="Arial"/>
      </w:rPr>
    </w:lvl>
    <w:lvl w:ilvl="4">
      <w:start w:val="1"/>
      <w:numFmt w:val="decimal"/>
      <w:lvlText w:val="%1.%2.%3.%4.%5"/>
      <w:lvlJc w:val="left"/>
      <w:pPr>
        <w:ind w:left="2520" w:hanging="1080"/>
      </w:pPr>
      <w:rPr>
        <w:rFonts w:ascii="Arial" w:eastAsia="Times New Roman" w:hAnsi="Arial" w:cs="Arial"/>
      </w:rPr>
    </w:lvl>
    <w:lvl w:ilvl="5">
      <w:start w:val="1"/>
      <w:numFmt w:val="decimal"/>
      <w:lvlText w:val="%1.%2.%3.%4.%5.%6"/>
      <w:lvlJc w:val="left"/>
      <w:pPr>
        <w:ind w:left="2880" w:hanging="1080"/>
      </w:pPr>
      <w:rPr>
        <w:rFonts w:ascii="Arial" w:eastAsia="Times New Roman" w:hAnsi="Arial" w:cs="Arial"/>
      </w:rPr>
    </w:lvl>
    <w:lvl w:ilvl="6">
      <w:start w:val="1"/>
      <w:numFmt w:val="decimal"/>
      <w:lvlText w:val="%1.%2.%3.%4.%5.%6.%7"/>
      <w:lvlJc w:val="left"/>
      <w:pPr>
        <w:ind w:left="3600" w:hanging="1440"/>
      </w:pPr>
      <w:rPr>
        <w:rFonts w:ascii="Arial" w:eastAsia="Times New Roman" w:hAnsi="Arial" w:cs="Arial"/>
      </w:rPr>
    </w:lvl>
    <w:lvl w:ilvl="7">
      <w:start w:val="1"/>
      <w:numFmt w:val="decimal"/>
      <w:lvlText w:val="%1.%2.%3.%4.%5.%6.%7.%8"/>
      <w:lvlJc w:val="left"/>
      <w:pPr>
        <w:ind w:left="3960" w:hanging="1440"/>
      </w:pPr>
      <w:rPr>
        <w:rFonts w:ascii="Arial" w:eastAsia="Times New Roman" w:hAnsi="Arial" w:cs="Arial"/>
      </w:rPr>
    </w:lvl>
    <w:lvl w:ilvl="8">
      <w:start w:val="1"/>
      <w:numFmt w:val="decimal"/>
      <w:lvlText w:val="%1.%2.%3.%4.%5.%6.%7.%8.%9"/>
      <w:lvlJc w:val="left"/>
      <w:pPr>
        <w:ind w:left="4320" w:hanging="1440"/>
      </w:pPr>
      <w:rPr>
        <w:rFonts w:ascii="Arial" w:eastAsia="Times New Roman" w:hAnsi="Arial" w:cs="Arial"/>
      </w:rPr>
    </w:lvl>
  </w:abstractNum>
  <w:abstractNum w:abstractNumId="14" w15:restartNumberingAfterBreak="0">
    <w:nsid w:val="13001BC3"/>
    <w:multiLevelType w:val="multilevel"/>
    <w:tmpl w:val="72C206F4"/>
    <w:styleLink w:val="WWOutlineListStyle4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245788"/>
    <w:multiLevelType w:val="multilevel"/>
    <w:tmpl w:val="70ECA284"/>
    <w:lvl w:ilvl="0">
      <w:start w:val="4"/>
      <w:numFmt w:val="decimal"/>
      <w:lvlText w:val="%1"/>
      <w:lvlJc w:val="left"/>
      <w:pPr>
        <w:ind w:left="360" w:hanging="360"/>
      </w:pPr>
    </w:lvl>
    <w:lvl w:ilvl="1">
      <w:start w:val="2"/>
      <w:numFmt w:val="decimal"/>
      <w:lvlText w:val="%1.%2"/>
      <w:lvlJc w:val="left"/>
      <w:pPr>
        <w:ind w:left="360" w:hanging="360"/>
      </w:pPr>
      <w:rPr>
        <w:rFonts w:ascii="Calibri" w:hAnsi="Calibri" w:cs="Calibri"/>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5DB1D5D"/>
    <w:multiLevelType w:val="multilevel"/>
    <w:tmpl w:val="7EF26CEE"/>
    <w:lvl w:ilvl="0">
      <w:start w:val="3"/>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17" w15:restartNumberingAfterBreak="0">
    <w:nsid w:val="1B217199"/>
    <w:multiLevelType w:val="multilevel"/>
    <w:tmpl w:val="97668CF4"/>
    <w:styleLink w:val="WWOutlineListStyle53"/>
    <w:lvl w:ilvl="0">
      <w:start w:val="1"/>
      <w:numFmt w:val="decimal"/>
      <w:pStyle w:val="Heading1"/>
      <w:lvlText w:val="%1"/>
      <w:lvlJc w:val="left"/>
      <w:pPr>
        <w:ind w:left="432" w:hanging="432"/>
      </w:pPr>
      <w:rPr>
        <w:b/>
        <w:i w:val="0"/>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0FC0A1D"/>
    <w:multiLevelType w:val="multilevel"/>
    <w:tmpl w:val="5D668198"/>
    <w:styleLink w:val="WWOutlineListStyle5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1253CE6"/>
    <w:multiLevelType w:val="multilevel"/>
    <w:tmpl w:val="20B082DE"/>
    <w:styleLink w:val="WWOutlineListStyle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37325F9"/>
    <w:multiLevelType w:val="multilevel"/>
    <w:tmpl w:val="E8467242"/>
    <w:styleLink w:val="WWOutlineListStyle2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5BC4A51"/>
    <w:multiLevelType w:val="multilevel"/>
    <w:tmpl w:val="9DB22AE8"/>
    <w:lvl w:ilvl="0">
      <w:start w:val="2"/>
      <w:numFmt w:val="decimal"/>
      <w:lvlText w:val="%1"/>
      <w:lvlJc w:val="left"/>
      <w:pPr>
        <w:ind w:left="360" w:hanging="360"/>
      </w:pPr>
      <w:rPr>
        <w:rFonts w:ascii="Arial" w:eastAsia="Times New Roman" w:hAnsi="Arial" w:cs="Arial"/>
      </w:rPr>
    </w:lvl>
    <w:lvl w:ilvl="1">
      <w:start w:val="2"/>
      <w:numFmt w:val="decimal"/>
      <w:lvlText w:val="%1.%2"/>
      <w:lvlJc w:val="left"/>
      <w:pPr>
        <w:ind w:left="567" w:hanging="567"/>
      </w:pPr>
      <w:rPr>
        <w:rFonts w:ascii="Calibri" w:eastAsia="Times New Roman" w:hAnsi="Calibri" w:cs="Calibri"/>
        <w:sz w:val="18"/>
        <w:szCs w:val="18"/>
      </w:rPr>
    </w:lvl>
    <w:lvl w:ilvl="2">
      <w:start w:val="1"/>
      <w:numFmt w:val="decimal"/>
      <w:lvlText w:val="%1.%2.%3"/>
      <w:lvlJc w:val="left"/>
      <w:pPr>
        <w:ind w:left="1440" w:hanging="720"/>
      </w:pPr>
      <w:rPr>
        <w:rFonts w:ascii="Arial" w:eastAsia="Times New Roman" w:hAnsi="Arial" w:cs="Arial"/>
      </w:rPr>
    </w:lvl>
    <w:lvl w:ilvl="3">
      <w:start w:val="1"/>
      <w:numFmt w:val="decimal"/>
      <w:lvlText w:val="%1.%2.%3.%4"/>
      <w:lvlJc w:val="left"/>
      <w:pPr>
        <w:ind w:left="1800" w:hanging="720"/>
      </w:pPr>
      <w:rPr>
        <w:rFonts w:ascii="Arial" w:eastAsia="Times New Roman" w:hAnsi="Arial" w:cs="Arial"/>
      </w:rPr>
    </w:lvl>
    <w:lvl w:ilvl="4">
      <w:start w:val="1"/>
      <w:numFmt w:val="decimal"/>
      <w:lvlText w:val="%1.%2.%3.%4.%5"/>
      <w:lvlJc w:val="left"/>
      <w:pPr>
        <w:ind w:left="2520" w:hanging="1080"/>
      </w:pPr>
      <w:rPr>
        <w:rFonts w:ascii="Arial" w:eastAsia="Times New Roman" w:hAnsi="Arial" w:cs="Arial"/>
      </w:rPr>
    </w:lvl>
    <w:lvl w:ilvl="5">
      <w:start w:val="1"/>
      <w:numFmt w:val="decimal"/>
      <w:lvlText w:val="%1.%2.%3.%4.%5.%6"/>
      <w:lvlJc w:val="left"/>
      <w:pPr>
        <w:ind w:left="2880" w:hanging="1080"/>
      </w:pPr>
      <w:rPr>
        <w:rFonts w:ascii="Arial" w:eastAsia="Times New Roman" w:hAnsi="Arial" w:cs="Arial"/>
      </w:rPr>
    </w:lvl>
    <w:lvl w:ilvl="6">
      <w:start w:val="1"/>
      <w:numFmt w:val="decimal"/>
      <w:lvlText w:val="%1.%2.%3.%4.%5.%6.%7"/>
      <w:lvlJc w:val="left"/>
      <w:pPr>
        <w:ind w:left="3600" w:hanging="1440"/>
      </w:pPr>
      <w:rPr>
        <w:rFonts w:ascii="Arial" w:eastAsia="Times New Roman" w:hAnsi="Arial" w:cs="Arial"/>
      </w:rPr>
    </w:lvl>
    <w:lvl w:ilvl="7">
      <w:start w:val="1"/>
      <w:numFmt w:val="decimal"/>
      <w:lvlText w:val="%1.%2.%3.%4.%5.%6.%7.%8"/>
      <w:lvlJc w:val="left"/>
      <w:pPr>
        <w:ind w:left="3960" w:hanging="1440"/>
      </w:pPr>
      <w:rPr>
        <w:rFonts w:ascii="Arial" w:eastAsia="Times New Roman" w:hAnsi="Arial" w:cs="Arial"/>
      </w:rPr>
    </w:lvl>
    <w:lvl w:ilvl="8">
      <w:start w:val="1"/>
      <w:numFmt w:val="decimal"/>
      <w:lvlText w:val="%1.%2.%3.%4.%5.%6.%7.%8.%9"/>
      <w:lvlJc w:val="left"/>
      <w:pPr>
        <w:ind w:left="4320" w:hanging="1440"/>
      </w:pPr>
      <w:rPr>
        <w:rFonts w:ascii="Arial" w:eastAsia="Times New Roman" w:hAnsi="Arial" w:cs="Arial"/>
      </w:rPr>
    </w:lvl>
  </w:abstractNum>
  <w:abstractNum w:abstractNumId="22" w15:restartNumberingAfterBreak="0">
    <w:nsid w:val="29AD0AFA"/>
    <w:multiLevelType w:val="multilevel"/>
    <w:tmpl w:val="AC34DF7A"/>
    <w:lvl w:ilvl="0">
      <w:start w:val="5"/>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23" w15:restartNumberingAfterBreak="0">
    <w:nsid w:val="2E2A4F01"/>
    <w:multiLevelType w:val="multilevel"/>
    <w:tmpl w:val="57468AD6"/>
    <w:styleLink w:val="WWOutlineListStyle1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08254C"/>
    <w:multiLevelType w:val="multilevel"/>
    <w:tmpl w:val="12B02FBE"/>
    <w:styleLink w:val="WWOutlineListStyle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2FE7D8A"/>
    <w:multiLevelType w:val="multilevel"/>
    <w:tmpl w:val="D0667D4E"/>
    <w:styleLink w:val="WWOutlineListStyle2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3DA73E9"/>
    <w:multiLevelType w:val="multilevel"/>
    <w:tmpl w:val="08FC0DD2"/>
    <w:styleLink w:val="WWOutlineListStyle2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5D97771"/>
    <w:multiLevelType w:val="multilevel"/>
    <w:tmpl w:val="DC66DF70"/>
    <w:styleLink w:val="WWOutlineListStyle4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86665CC"/>
    <w:multiLevelType w:val="multilevel"/>
    <w:tmpl w:val="38709210"/>
    <w:styleLink w:val="WWOutlineListStyle2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A0756A1"/>
    <w:multiLevelType w:val="multilevel"/>
    <w:tmpl w:val="6F8E263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B3F2571"/>
    <w:multiLevelType w:val="multilevel"/>
    <w:tmpl w:val="37F04B20"/>
    <w:styleLink w:val="WWOutlineListStyle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DD856AD"/>
    <w:multiLevelType w:val="multilevel"/>
    <w:tmpl w:val="F6F251D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F0642A"/>
    <w:multiLevelType w:val="multilevel"/>
    <w:tmpl w:val="B34E3FE2"/>
    <w:styleLink w:val="WWOutlineListStyle1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EEA4B0A"/>
    <w:multiLevelType w:val="multilevel"/>
    <w:tmpl w:val="17B0204C"/>
    <w:styleLink w:val="WWOutlineListStyle3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FB95F3E"/>
    <w:multiLevelType w:val="multilevel"/>
    <w:tmpl w:val="0F74221E"/>
    <w:styleLink w:val="WWOutlineListStyle1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1911D35"/>
    <w:multiLevelType w:val="multilevel"/>
    <w:tmpl w:val="54F4947A"/>
    <w:styleLink w:val="WWOutlineListStyle3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1ED5B33"/>
    <w:multiLevelType w:val="multilevel"/>
    <w:tmpl w:val="F0B865FA"/>
    <w:styleLink w:val="WWOutlineListStyle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2893B7B"/>
    <w:multiLevelType w:val="multilevel"/>
    <w:tmpl w:val="368286C0"/>
    <w:styleLink w:val="WWOutlineListStyle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452A1EBA"/>
    <w:multiLevelType w:val="multilevel"/>
    <w:tmpl w:val="0A8C1B76"/>
    <w:styleLink w:val="WWOutlineListStyle4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45A91B5A"/>
    <w:multiLevelType w:val="multilevel"/>
    <w:tmpl w:val="E35A7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2026C3"/>
    <w:multiLevelType w:val="multilevel"/>
    <w:tmpl w:val="75FCBA30"/>
    <w:styleLink w:val="WWOutlineListStyle4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C1E6C62"/>
    <w:multiLevelType w:val="multilevel"/>
    <w:tmpl w:val="8AFC6B7E"/>
    <w:styleLink w:val="WWOutlineListStyle4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D836FF9"/>
    <w:multiLevelType w:val="multilevel"/>
    <w:tmpl w:val="EF8C93AA"/>
    <w:styleLink w:val="WWOutlineListStyle5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409151D"/>
    <w:multiLevelType w:val="multilevel"/>
    <w:tmpl w:val="38EC0E22"/>
    <w:styleLink w:val="WWOutlineListStyle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563060E"/>
    <w:multiLevelType w:val="multilevel"/>
    <w:tmpl w:val="0E14978A"/>
    <w:styleLink w:val="WWOutlineListStyle2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ABB7D63"/>
    <w:multiLevelType w:val="multilevel"/>
    <w:tmpl w:val="0444EE4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C4712C"/>
    <w:multiLevelType w:val="multilevel"/>
    <w:tmpl w:val="0FA6A108"/>
    <w:styleLink w:val="WWOutlineListStyle4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EA830A3"/>
    <w:multiLevelType w:val="multilevel"/>
    <w:tmpl w:val="21E25D7E"/>
    <w:styleLink w:val="WWOutlineListStyle3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EEB20A3"/>
    <w:multiLevelType w:val="multilevel"/>
    <w:tmpl w:val="8DE068E4"/>
    <w:styleLink w:val="WWOutlineListStyle3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116557F"/>
    <w:multiLevelType w:val="multilevel"/>
    <w:tmpl w:val="5C74470A"/>
    <w:styleLink w:val="WWOutlineListStyle3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13273E8"/>
    <w:multiLevelType w:val="multilevel"/>
    <w:tmpl w:val="DE40EA0E"/>
    <w:styleLink w:val="WWOutlineListStyle2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1375722"/>
    <w:multiLevelType w:val="multilevel"/>
    <w:tmpl w:val="02BE733C"/>
    <w:styleLink w:val="WWOutlineListStyle4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1DC7B36"/>
    <w:multiLevelType w:val="multilevel"/>
    <w:tmpl w:val="1818B02A"/>
    <w:styleLink w:val="WWOutlineListStyle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623A1FD3"/>
    <w:multiLevelType w:val="multilevel"/>
    <w:tmpl w:val="5262E60C"/>
    <w:lvl w:ilvl="0">
      <w:start w:val="6"/>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54" w15:restartNumberingAfterBreak="0">
    <w:nsid w:val="624F2BD9"/>
    <w:multiLevelType w:val="multilevel"/>
    <w:tmpl w:val="E2C2C92C"/>
    <w:styleLink w:val="WWOutlineListStyle2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62EE2356"/>
    <w:multiLevelType w:val="multilevel"/>
    <w:tmpl w:val="85CA395C"/>
    <w:styleLink w:val="WWOutlineListStyle1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3F0476E"/>
    <w:multiLevelType w:val="multilevel"/>
    <w:tmpl w:val="FAAADCEE"/>
    <w:styleLink w:val="WWOutlineListStyle3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72F4955"/>
    <w:multiLevelType w:val="multilevel"/>
    <w:tmpl w:val="28769F12"/>
    <w:styleLink w:val="WWOutlineListStyle5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69AA5A8A"/>
    <w:multiLevelType w:val="multilevel"/>
    <w:tmpl w:val="624C72A0"/>
    <w:styleLink w:val="WWOutlineListStyle4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D9D00FF"/>
    <w:multiLevelType w:val="multilevel"/>
    <w:tmpl w:val="EC0AEBBA"/>
    <w:styleLink w:val="WWOutlineListStyle2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FF303C4"/>
    <w:multiLevelType w:val="multilevel"/>
    <w:tmpl w:val="5A4208C4"/>
    <w:styleLink w:val="WWOutlineListStyle1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21431BA"/>
    <w:multiLevelType w:val="multilevel"/>
    <w:tmpl w:val="E3C6C3B6"/>
    <w:styleLink w:val="WWOutlineListStyle3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74C44C7B"/>
    <w:multiLevelType w:val="multilevel"/>
    <w:tmpl w:val="8C307B70"/>
    <w:styleLink w:val="WWOutlineListStyle2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771E1B62"/>
    <w:multiLevelType w:val="multilevel"/>
    <w:tmpl w:val="57C45FF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92C699F"/>
    <w:multiLevelType w:val="multilevel"/>
    <w:tmpl w:val="94A4E9B0"/>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BCF7528"/>
    <w:multiLevelType w:val="multilevel"/>
    <w:tmpl w:val="8D9C34A6"/>
    <w:styleLink w:val="WWOutlineListStyle3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227395">
    <w:abstractNumId w:val="17"/>
  </w:num>
  <w:num w:numId="2" w16cid:durableId="302737069">
    <w:abstractNumId w:val="57"/>
  </w:num>
  <w:num w:numId="3" w16cid:durableId="1182235396">
    <w:abstractNumId w:val="42"/>
  </w:num>
  <w:num w:numId="4" w16cid:durableId="341514349">
    <w:abstractNumId w:val="18"/>
  </w:num>
  <w:num w:numId="5" w16cid:durableId="790444421">
    <w:abstractNumId w:val="40"/>
  </w:num>
  <w:num w:numId="6" w16cid:durableId="660423464">
    <w:abstractNumId w:val="46"/>
  </w:num>
  <w:num w:numId="7" w16cid:durableId="410615538">
    <w:abstractNumId w:val="14"/>
  </w:num>
  <w:num w:numId="8" w16cid:durableId="795835038">
    <w:abstractNumId w:val="41"/>
  </w:num>
  <w:num w:numId="9" w16cid:durableId="1891184275">
    <w:abstractNumId w:val="38"/>
  </w:num>
  <w:num w:numId="10" w16cid:durableId="1916477876">
    <w:abstractNumId w:val="1"/>
  </w:num>
  <w:num w:numId="11" w16cid:durableId="851990222">
    <w:abstractNumId w:val="27"/>
  </w:num>
  <w:num w:numId="12" w16cid:durableId="1903322438">
    <w:abstractNumId w:val="58"/>
  </w:num>
  <w:num w:numId="13" w16cid:durableId="1642999459">
    <w:abstractNumId w:val="2"/>
  </w:num>
  <w:num w:numId="14" w16cid:durableId="261956302">
    <w:abstractNumId w:val="51"/>
  </w:num>
  <w:num w:numId="15" w16cid:durableId="1627151501">
    <w:abstractNumId w:val="61"/>
  </w:num>
  <w:num w:numId="16" w16cid:durableId="503545801">
    <w:abstractNumId w:val="56"/>
  </w:num>
  <w:num w:numId="17" w16cid:durableId="1730113574">
    <w:abstractNumId w:val="9"/>
  </w:num>
  <w:num w:numId="18" w16cid:durableId="914584592">
    <w:abstractNumId w:val="33"/>
  </w:num>
  <w:num w:numId="19" w16cid:durableId="2319805">
    <w:abstractNumId w:val="47"/>
  </w:num>
  <w:num w:numId="20" w16cid:durableId="744762045">
    <w:abstractNumId w:val="48"/>
  </w:num>
  <w:num w:numId="21" w16cid:durableId="1319455885">
    <w:abstractNumId w:val="35"/>
  </w:num>
  <w:num w:numId="22" w16cid:durableId="339814191">
    <w:abstractNumId w:val="65"/>
  </w:num>
  <w:num w:numId="23" w16cid:durableId="1609922761">
    <w:abstractNumId w:val="49"/>
  </w:num>
  <w:num w:numId="24" w16cid:durableId="1692956318">
    <w:abstractNumId w:val="6"/>
  </w:num>
  <w:num w:numId="25" w16cid:durableId="2116748268">
    <w:abstractNumId w:val="44"/>
  </w:num>
  <w:num w:numId="26" w16cid:durableId="1684744068">
    <w:abstractNumId w:val="20"/>
  </w:num>
  <w:num w:numId="27" w16cid:durableId="1512332425">
    <w:abstractNumId w:val="26"/>
  </w:num>
  <w:num w:numId="28" w16cid:durableId="220478894">
    <w:abstractNumId w:val="28"/>
  </w:num>
  <w:num w:numId="29" w16cid:durableId="2031563773">
    <w:abstractNumId w:val="59"/>
  </w:num>
  <w:num w:numId="30" w16cid:durableId="1034499791">
    <w:abstractNumId w:val="25"/>
  </w:num>
  <w:num w:numId="31" w16cid:durableId="1418165048">
    <w:abstractNumId w:val="50"/>
  </w:num>
  <w:num w:numId="32" w16cid:durableId="581138012">
    <w:abstractNumId w:val="54"/>
  </w:num>
  <w:num w:numId="33" w16cid:durableId="1914848350">
    <w:abstractNumId w:val="62"/>
  </w:num>
  <w:num w:numId="34" w16cid:durableId="1698045235">
    <w:abstractNumId w:val="3"/>
  </w:num>
  <w:num w:numId="35" w16cid:durableId="1401900381">
    <w:abstractNumId w:val="60"/>
  </w:num>
  <w:num w:numId="36" w16cid:durableId="326329256">
    <w:abstractNumId w:val="32"/>
  </w:num>
  <w:num w:numId="37" w16cid:durableId="125398350">
    <w:abstractNumId w:val="0"/>
  </w:num>
  <w:num w:numId="38" w16cid:durableId="412749377">
    <w:abstractNumId w:val="5"/>
  </w:num>
  <w:num w:numId="39" w16cid:durableId="61753178">
    <w:abstractNumId w:val="10"/>
  </w:num>
  <w:num w:numId="40" w16cid:durableId="507596632">
    <w:abstractNumId w:val="4"/>
  </w:num>
  <w:num w:numId="41" w16cid:durableId="1280720832">
    <w:abstractNumId w:val="23"/>
  </w:num>
  <w:num w:numId="42" w16cid:durableId="1673874173">
    <w:abstractNumId w:val="55"/>
  </w:num>
  <w:num w:numId="43" w16cid:durableId="922837763">
    <w:abstractNumId w:val="8"/>
  </w:num>
  <w:num w:numId="44" w16cid:durableId="631401604">
    <w:abstractNumId w:val="34"/>
  </w:num>
  <w:num w:numId="45" w16cid:durableId="1074162762">
    <w:abstractNumId w:val="43"/>
  </w:num>
  <w:num w:numId="46" w16cid:durableId="2102531303">
    <w:abstractNumId w:val="19"/>
  </w:num>
  <w:num w:numId="47" w16cid:durableId="1775124457">
    <w:abstractNumId w:val="12"/>
  </w:num>
  <w:num w:numId="48" w16cid:durableId="1175610757">
    <w:abstractNumId w:val="7"/>
  </w:num>
  <w:num w:numId="49" w16cid:durableId="1825975756">
    <w:abstractNumId w:val="52"/>
  </w:num>
  <w:num w:numId="50" w16cid:durableId="1847472759">
    <w:abstractNumId w:val="24"/>
  </w:num>
  <w:num w:numId="51" w16cid:durableId="1215310945">
    <w:abstractNumId w:val="36"/>
  </w:num>
  <w:num w:numId="52" w16cid:durableId="739014285">
    <w:abstractNumId w:val="30"/>
  </w:num>
  <w:num w:numId="53" w16cid:durableId="159277059">
    <w:abstractNumId w:val="37"/>
  </w:num>
  <w:num w:numId="54" w16cid:durableId="705911101">
    <w:abstractNumId w:val="11"/>
  </w:num>
  <w:num w:numId="55" w16cid:durableId="1141583094">
    <w:abstractNumId w:val="64"/>
  </w:num>
  <w:num w:numId="56" w16cid:durableId="987514710">
    <w:abstractNumId w:val="13"/>
  </w:num>
  <w:num w:numId="57" w16cid:durableId="1087000055">
    <w:abstractNumId w:val="21"/>
  </w:num>
  <w:num w:numId="58" w16cid:durableId="567034281">
    <w:abstractNumId w:val="16"/>
  </w:num>
  <w:num w:numId="59" w16cid:durableId="178784183">
    <w:abstractNumId w:val="15"/>
  </w:num>
  <w:num w:numId="60" w16cid:durableId="416831896">
    <w:abstractNumId w:val="39"/>
  </w:num>
  <w:num w:numId="61" w16cid:durableId="447240812">
    <w:abstractNumId w:val="63"/>
  </w:num>
  <w:num w:numId="62" w16cid:durableId="2061857113">
    <w:abstractNumId w:val="31"/>
  </w:num>
  <w:num w:numId="63" w16cid:durableId="640110738">
    <w:abstractNumId w:val="45"/>
  </w:num>
  <w:num w:numId="64" w16cid:durableId="1729451629">
    <w:abstractNumId w:val="22"/>
  </w:num>
  <w:num w:numId="65" w16cid:durableId="549608922">
    <w:abstractNumId w:val="29"/>
  </w:num>
  <w:num w:numId="66" w16cid:durableId="1954827737">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73"/>
    <w:rsid w:val="00123560"/>
    <w:rsid w:val="001E4AEA"/>
    <w:rsid w:val="00225573"/>
    <w:rsid w:val="004A0BBF"/>
    <w:rsid w:val="00507573"/>
    <w:rsid w:val="009B292C"/>
    <w:rsid w:val="009D084C"/>
    <w:rsid w:val="009D3C0D"/>
    <w:rsid w:val="00A57DF9"/>
    <w:rsid w:val="00AF2215"/>
    <w:rsid w:val="00D1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F8E9"/>
  <w15:docId w15:val="{4BE4C93D-287B-448C-9181-B2DAF6FF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BodyText"/>
    <w:uiPriority w:val="9"/>
    <w:qFormat/>
    <w:pPr>
      <w:numPr>
        <w:numId w:val="1"/>
      </w:numPr>
      <w:spacing w:before="60" w:after="120"/>
      <w:outlineLvl w:val="0"/>
    </w:pPr>
    <w:rPr>
      <w:rFonts w:ascii="Arial" w:eastAsia="Times New Roman" w:hAnsi="Arial"/>
      <w:b/>
      <w:kern w:val="3"/>
      <w:sz w:val="24"/>
      <w:szCs w:val="20"/>
    </w:rPr>
  </w:style>
  <w:style w:type="paragraph" w:styleId="Heading2">
    <w:name w:val="heading 2"/>
    <w:basedOn w:val="Normal"/>
    <w:uiPriority w:val="9"/>
    <w:semiHidden/>
    <w:unhideWhenUsed/>
    <w:qFormat/>
    <w:pPr>
      <w:numPr>
        <w:ilvl w:val="1"/>
        <w:numId w:val="1"/>
      </w:numPr>
      <w:spacing w:before="60" w:after="120"/>
      <w:outlineLvl w:val="1"/>
    </w:pPr>
    <w:rPr>
      <w:rFonts w:ascii="Arial" w:eastAsia="Times New Roman" w:hAnsi="Arial"/>
      <w:sz w:val="24"/>
      <w:szCs w:val="20"/>
    </w:rPr>
  </w:style>
  <w:style w:type="paragraph" w:styleId="Heading3">
    <w:name w:val="heading 3"/>
    <w:basedOn w:val="Normal"/>
    <w:uiPriority w:val="9"/>
    <w:semiHidden/>
    <w:unhideWhenUsed/>
    <w:qFormat/>
    <w:pPr>
      <w:numPr>
        <w:ilvl w:val="2"/>
        <w:numId w:val="1"/>
      </w:numPr>
      <w:spacing w:before="120" w:after="0"/>
      <w:outlineLvl w:val="2"/>
    </w:pPr>
    <w:rPr>
      <w:rFonts w:ascii="Arial" w:eastAsia="Times New Roman" w:hAnsi="Arial"/>
      <w:sz w:val="24"/>
      <w:szCs w:val="20"/>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Arial" w:eastAsia="Times New Roman" w:hAnsi="Arial"/>
      <w:b/>
      <w:sz w:val="24"/>
      <w:szCs w:val="20"/>
    </w:rPr>
  </w:style>
  <w:style w:type="paragraph" w:styleId="Heading5">
    <w:name w:val="heading 5"/>
    <w:basedOn w:val="Normal"/>
    <w:next w:val="Normal"/>
    <w:uiPriority w:val="9"/>
    <w:semiHidden/>
    <w:unhideWhenUsed/>
    <w:qFormat/>
    <w:pPr>
      <w:numPr>
        <w:ilvl w:val="4"/>
        <w:numId w:val="1"/>
      </w:numPr>
      <w:spacing w:before="240" w:after="60"/>
      <w:outlineLvl w:val="4"/>
    </w:pPr>
    <w:rPr>
      <w:rFonts w:ascii="Garamond" w:eastAsia="Times New Roman" w:hAnsi="Garamond"/>
      <w:szCs w:val="20"/>
    </w:rPr>
  </w:style>
  <w:style w:type="paragraph" w:styleId="Heading6">
    <w:name w:val="heading 6"/>
    <w:basedOn w:val="Normal"/>
    <w:next w:val="Normal"/>
    <w:uiPriority w:val="9"/>
    <w:semiHidden/>
    <w:unhideWhenUsed/>
    <w:qFormat/>
    <w:pPr>
      <w:numPr>
        <w:ilvl w:val="5"/>
        <w:numId w:val="1"/>
      </w:numPr>
      <w:spacing w:before="240" w:after="60"/>
      <w:outlineLvl w:val="5"/>
    </w:pPr>
    <w:rPr>
      <w:rFonts w:ascii="Garamond" w:eastAsia="Times New Roman" w:hAnsi="Garamond"/>
      <w:i/>
      <w:szCs w:val="20"/>
    </w:rPr>
  </w:style>
  <w:style w:type="paragraph" w:styleId="Heading7">
    <w:name w:val="heading 7"/>
    <w:basedOn w:val="Normal"/>
    <w:next w:val="Normal"/>
    <w:pPr>
      <w:numPr>
        <w:ilvl w:val="6"/>
        <w:numId w:val="1"/>
      </w:numPr>
      <w:spacing w:before="240" w:after="60"/>
      <w:outlineLvl w:val="6"/>
    </w:pPr>
    <w:rPr>
      <w:rFonts w:ascii="Arial" w:eastAsia="Times New Roman" w:hAnsi="Arial"/>
      <w:sz w:val="20"/>
      <w:szCs w:val="20"/>
    </w:rPr>
  </w:style>
  <w:style w:type="paragraph" w:styleId="Heading8">
    <w:name w:val="heading 8"/>
    <w:basedOn w:val="Normal"/>
    <w:next w:val="Normal"/>
    <w:pPr>
      <w:numPr>
        <w:ilvl w:val="7"/>
        <w:numId w:val="1"/>
      </w:numPr>
      <w:spacing w:before="240" w:after="60"/>
      <w:outlineLvl w:val="7"/>
    </w:pPr>
    <w:rPr>
      <w:rFonts w:ascii="Arial" w:eastAsia="Times New Roman" w:hAnsi="Arial"/>
      <w:i/>
      <w:sz w:val="20"/>
      <w:szCs w:val="20"/>
    </w:rPr>
  </w:style>
  <w:style w:type="paragraph" w:styleId="Heading9">
    <w:name w:val="heading 9"/>
    <w:basedOn w:val="Normal"/>
    <w:next w:val="Normal"/>
    <w:pPr>
      <w:numPr>
        <w:ilvl w:val="8"/>
        <w:numId w:val="1"/>
      </w:numPr>
      <w:spacing w:before="240" w:after="6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3">
    <w:name w:val="WW_OutlineListStyle_53"/>
    <w:basedOn w:val="NoList"/>
    <w:pPr>
      <w:numPr>
        <w:numId w:val="1"/>
      </w:numPr>
    </w:pPr>
  </w:style>
  <w:style w:type="character" w:styleId="IntenseEmphasis">
    <w:name w:val="Intense Emphasis"/>
    <w:basedOn w:val="DefaultParagraphFont"/>
    <w:rPr>
      <w:i/>
      <w:iCs/>
      <w:color w:val="5B9BD5"/>
    </w:r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Times New Roman" w:hAnsi="Arial" w:cs="Times New Roman"/>
      <w:b/>
      <w:kern w:val="3"/>
      <w:sz w:val="24"/>
      <w:szCs w:val="20"/>
    </w:rPr>
  </w:style>
  <w:style w:type="character" w:customStyle="1" w:styleId="Heading2Char">
    <w:name w:val="Heading 2 Char"/>
    <w:basedOn w:val="DefaultParagraphFont"/>
    <w:rPr>
      <w:rFonts w:ascii="Arial" w:eastAsia="Times New Roman" w:hAnsi="Arial" w:cs="Times New Roman"/>
      <w:sz w:val="24"/>
      <w:szCs w:val="20"/>
    </w:rPr>
  </w:style>
  <w:style w:type="character" w:customStyle="1" w:styleId="Heading3Char">
    <w:name w:val="Heading 3 Char"/>
    <w:basedOn w:val="DefaultParagraphFont"/>
    <w:rPr>
      <w:rFonts w:ascii="Arial" w:eastAsia="Times New Roman" w:hAnsi="Arial" w:cs="Times New Roman"/>
      <w:sz w:val="24"/>
      <w:szCs w:val="20"/>
    </w:rPr>
  </w:style>
  <w:style w:type="character" w:customStyle="1" w:styleId="Heading4Char">
    <w:name w:val="Heading 4 Char"/>
    <w:basedOn w:val="DefaultParagraphFont"/>
    <w:rPr>
      <w:rFonts w:ascii="Arial" w:eastAsia="Times New Roman" w:hAnsi="Arial" w:cs="Times New Roman"/>
      <w:b/>
      <w:sz w:val="24"/>
      <w:szCs w:val="20"/>
    </w:rPr>
  </w:style>
  <w:style w:type="character" w:customStyle="1" w:styleId="Heading5Char">
    <w:name w:val="Heading 5 Char"/>
    <w:basedOn w:val="DefaultParagraphFont"/>
    <w:rPr>
      <w:rFonts w:ascii="Garamond" w:eastAsia="Times New Roman" w:hAnsi="Garamond" w:cs="Times New Roman"/>
      <w:szCs w:val="20"/>
    </w:rPr>
  </w:style>
  <w:style w:type="character" w:customStyle="1" w:styleId="Heading6Char">
    <w:name w:val="Heading 6 Char"/>
    <w:basedOn w:val="DefaultParagraphFont"/>
    <w:rPr>
      <w:rFonts w:ascii="Garamond" w:eastAsia="Times New Roman" w:hAnsi="Garamond" w:cs="Times New Roman"/>
      <w:i/>
      <w:szCs w:val="20"/>
    </w:rPr>
  </w:style>
  <w:style w:type="character" w:customStyle="1" w:styleId="Heading7Char">
    <w:name w:val="Heading 7 Char"/>
    <w:basedOn w:val="DefaultParagraphFont"/>
    <w:rPr>
      <w:rFonts w:ascii="Arial" w:eastAsia="Times New Roman" w:hAnsi="Arial" w:cs="Times New Roman"/>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b/>
      <w:i/>
      <w:sz w:val="18"/>
      <w:szCs w:val="20"/>
    </w:rPr>
  </w:style>
  <w:style w:type="paragraph" w:styleId="Header">
    <w:name w:val="header"/>
    <w:basedOn w:val="Normal"/>
    <w:pPr>
      <w:tabs>
        <w:tab w:val="center" w:pos="4513"/>
        <w:tab w:val="right" w:pos="9026"/>
      </w:tabs>
      <w:spacing w:after="0"/>
    </w:pPr>
    <w:rPr>
      <w:rFonts w:ascii="Garamond" w:eastAsia="Times New Roman" w:hAnsi="Garamond"/>
      <w:sz w:val="24"/>
      <w:szCs w:val="20"/>
    </w:rPr>
  </w:style>
  <w:style w:type="character" w:customStyle="1" w:styleId="HeaderChar">
    <w:name w:val="Header Char"/>
    <w:basedOn w:val="DefaultParagraphFont"/>
    <w:rPr>
      <w:rFonts w:ascii="Garamond" w:eastAsia="Times New Roman" w:hAnsi="Garamond" w:cs="Times New Roman"/>
      <w:sz w:val="24"/>
      <w:szCs w:val="20"/>
    </w:rPr>
  </w:style>
  <w:style w:type="paragraph" w:styleId="Footer">
    <w:name w:val="footer"/>
    <w:basedOn w:val="Normal"/>
    <w:pPr>
      <w:tabs>
        <w:tab w:val="center" w:pos="4513"/>
        <w:tab w:val="right" w:pos="9026"/>
      </w:tabs>
      <w:spacing w:after="0"/>
    </w:pPr>
    <w:rPr>
      <w:rFonts w:ascii="Garamond" w:eastAsia="Times New Roman" w:hAnsi="Garamond"/>
      <w:sz w:val="24"/>
      <w:szCs w:val="20"/>
    </w:rPr>
  </w:style>
  <w:style w:type="character" w:customStyle="1" w:styleId="FooterChar">
    <w:name w:val="Footer Char"/>
    <w:basedOn w:val="DefaultParagraphFont"/>
    <w:rPr>
      <w:rFonts w:ascii="Garamond" w:eastAsia="Times New Roman" w:hAnsi="Garamond" w:cs="Times New Roman"/>
      <w:sz w:val="24"/>
      <w:szCs w:val="20"/>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ListParagraph">
    <w:name w:val="List Paragraph"/>
    <w:basedOn w:val="Normal"/>
    <w:pPr>
      <w:ind w:left="72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pPr>
      <w:suppressAutoHyphens/>
      <w:spacing w:after="0"/>
    </w:pPr>
  </w:style>
  <w:style w:type="numbering" w:customStyle="1" w:styleId="WWOutlineListStyle52">
    <w:name w:val="WW_OutlineListStyle_52"/>
    <w:basedOn w:val="NoList"/>
    <w:pPr>
      <w:numPr>
        <w:numId w:val="2"/>
      </w:numPr>
    </w:pPr>
  </w:style>
  <w:style w:type="numbering" w:customStyle="1" w:styleId="WWOutlineListStyle51">
    <w:name w:val="WW_OutlineListStyle_51"/>
    <w:basedOn w:val="NoList"/>
    <w:pPr>
      <w:numPr>
        <w:numId w:val="3"/>
      </w:numPr>
    </w:pPr>
  </w:style>
  <w:style w:type="numbering" w:customStyle="1" w:styleId="WWOutlineListStyle50">
    <w:name w:val="WW_OutlineListStyle_50"/>
    <w:basedOn w:val="NoList"/>
    <w:pPr>
      <w:numPr>
        <w:numId w:val="4"/>
      </w:numPr>
    </w:pPr>
  </w:style>
  <w:style w:type="numbering" w:customStyle="1" w:styleId="WWOutlineListStyle49">
    <w:name w:val="WW_OutlineListStyle_49"/>
    <w:basedOn w:val="NoList"/>
    <w:pPr>
      <w:numPr>
        <w:numId w:val="5"/>
      </w:numPr>
    </w:pPr>
  </w:style>
  <w:style w:type="numbering" w:customStyle="1" w:styleId="WWOutlineListStyle48">
    <w:name w:val="WW_OutlineListStyle_48"/>
    <w:basedOn w:val="NoList"/>
    <w:pPr>
      <w:numPr>
        <w:numId w:val="6"/>
      </w:numPr>
    </w:pPr>
  </w:style>
  <w:style w:type="numbering" w:customStyle="1" w:styleId="WWOutlineListStyle47">
    <w:name w:val="WW_OutlineListStyle_47"/>
    <w:basedOn w:val="NoList"/>
    <w:pPr>
      <w:numPr>
        <w:numId w:val="7"/>
      </w:numPr>
    </w:pPr>
  </w:style>
  <w:style w:type="numbering" w:customStyle="1" w:styleId="WWOutlineListStyle46">
    <w:name w:val="WW_OutlineListStyle_46"/>
    <w:basedOn w:val="NoList"/>
    <w:pPr>
      <w:numPr>
        <w:numId w:val="8"/>
      </w:numPr>
    </w:pPr>
  </w:style>
  <w:style w:type="numbering" w:customStyle="1" w:styleId="WWOutlineListStyle45">
    <w:name w:val="WW_OutlineListStyle_45"/>
    <w:basedOn w:val="NoList"/>
    <w:pPr>
      <w:numPr>
        <w:numId w:val="9"/>
      </w:numPr>
    </w:pPr>
  </w:style>
  <w:style w:type="numbering" w:customStyle="1" w:styleId="WWOutlineListStyle44">
    <w:name w:val="WW_OutlineListStyle_44"/>
    <w:basedOn w:val="NoList"/>
    <w:pPr>
      <w:numPr>
        <w:numId w:val="10"/>
      </w:numPr>
    </w:pPr>
  </w:style>
  <w:style w:type="numbering" w:customStyle="1" w:styleId="WWOutlineListStyle43">
    <w:name w:val="WW_OutlineListStyle_43"/>
    <w:basedOn w:val="NoList"/>
    <w:pPr>
      <w:numPr>
        <w:numId w:val="11"/>
      </w:numPr>
    </w:pPr>
  </w:style>
  <w:style w:type="numbering" w:customStyle="1" w:styleId="WWOutlineListStyle42">
    <w:name w:val="WW_OutlineListStyle_42"/>
    <w:basedOn w:val="NoList"/>
    <w:pPr>
      <w:numPr>
        <w:numId w:val="12"/>
      </w:numPr>
    </w:pPr>
  </w:style>
  <w:style w:type="numbering" w:customStyle="1" w:styleId="WWOutlineListStyle41">
    <w:name w:val="WW_OutlineListStyle_41"/>
    <w:basedOn w:val="NoList"/>
    <w:pPr>
      <w:numPr>
        <w:numId w:val="13"/>
      </w:numPr>
    </w:pPr>
  </w:style>
  <w:style w:type="numbering" w:customStyle="1" w:styleId="WWOutlineListStyle40">
    <w:name w:val="WW_OutlineListStyle_40"/>
    <w:basedOn w:val="NoList"/>
    <w:pPr>
      <w:numPr>
        <w:numId w:val="14"/>
      </w:numPr>
    </w:pPr>
  </w:style>
  <w:style w:type="numbering" w:customStyle="1" w:styleId="WWOutlineListStyle39">
    <w:name w:val="WW_OutlineListStyle_39"/>
    <w:basedOn w:val="NoList"/>
    <w:pPr>
      <w:numPr>
        <w:numId w:val="15"/>
      </w:numPr>
    </w:pPr>
  </w:style>
  <w:style w:type="numbering" w:customStyle="1" w:styleId="WWOutlineListStyle38">
    <w:name w:val="WW_OutlineListStyle_38"/>
    <w:basedOn w:val="NoList"/>
    <w:pPr>
      <w:numPr>
        <w:numId w:val="16"/>
      </w:numPr>
    </w:pPr>
  </w:style>
  <w:style w:type="numbering" w:customStyle="1" w:styleId="WWOutlineListStyle37">
    <w:name w:val="WW_OutlineListStyle_37"/>
    <w:basedOn w:val="NoList"/>
    <w:pPr>
      <w:numPr>
        <w:numId w:val="17"/>
      </w:numPr>
    </w:pPr>
  </w:style>
  <w:style w:type="numbering" w:customStyle="1" w:styleId="WWOutlineListStyle36">
    <w:name w:val="WW_OutlineListStyle_36"/>
    <w:basedOn w:val="NoList"/>
    <w:pPr>
      <w:numPr>
        <w:numId w:val="18"/>
      </w:numPr>
    </w:pPr>
  </w:style>
  <w:style w:type="numbering" w:customStyle="1" w:styleId="WWOutlineListStyle35">
    <w:name w:val="WW_OutlineListStyle_35"/>
    <w:basedOn w:val="NoList"/>
    <w:pPr>
      <w:numPr>
        <w:numId w:val="19"/>
      </w:numPr>
    </w:pPr>
  </w:style>
  <w:style w:type="numbering" w:customStyle="1" w:styleId="WWOutlineListStyle34">
    <w:name w:val="WW_OutlineListStyle_34"/>
    <w:basedOn w:val="NoList"/>
    <w:pPr>
      <w:numPr>
        <w:numId w:val="20"/>
      </w:numPr>
    </w:pPr>
  </w:style>
  <w:style w:type="numbering" w:customStyle="1" w:styleId="WWOutlineListStyle33">
    <w:name w:val="WW_OutlineListStyle_33"/>
    <w:basedOn w:val="NoList"/>
    <w:pPr>
      <w:numPr>
        <w:numId w:val="21"/>
      </w:numPr>
    </w:pPr>
  </w:style>
  <w:style w:type="numbering" w:customStyle="1" w:styleId="WWOutlineListStyle32">
    <w:name w:val="WW_OutlineListStyle_32"/>
    <w:basedOn w:val="NoList"/>
    <w:pPr>
      <w:numPr>
        <w:numId w:val="22"/>
      </w:numPr>
    </w:pPr>
  </w:style>
  <w:style w:type="numbering" w:customStyle="1" w:styleId="WWOutlineListStyle31">
    <w:name w:val="WW_OutlineListStyle_31"/>
    <w:basedOn w:val="NoList"/>
    <w:pPr>
      <w:numPr>
        <w:numId w:val="23"/>
      </w:numPr>
    </w:pPr>
  </w:style>
  <w:style w:type="numbering" w:customStyle="1" w:styleId="WWOutlineListStyle30">
    <w:name w:val="WW_OutlineListStyle_30"/>
    <w:basedOn w:val="NoList"/>
    <w:pPr>
      <w:numPr>
        <w:numId w:val="24"/>
      </w:numPr>
    </w:pPr>
  </w:style>
  <w:style w:type="numbering" w:customStyle="1" w:styleId="WWOutlineListStyle29">
    <w:name w:val="WW_OutlineListStyle_29"/>
    <w:basedOn w:val="NoList"/>
    <w:pPr>
      <w:numPr>
        <w:numId w:val="25"/>
      </w:numPr>
    </w:pPr>
  </w:style>
  <w:style w:type="numbering" w:customStyle="1" w:styleId="WWOutlineListStyle28">
    <w:name w:val="WW_OutlineListStyle_28"/>
    <w:basedOn w:val="NoList"/>
    <w:pPr>
      <w:numPr>
        <w:numId w:val="26"/>
      </w:numPr>
    </w:pPr>
  </w:style>
  <w:style w:type="numbering" w:customStyle="1" w:styleId="WWOutlineListStyle27">
    <w:name w:val="WW_OutlineListStyle_27"/>
    <w:basedOn w:val="NoList"/>
    <w:pPr>
      <w:numPr>
        <w:numId w:val="27"/>
      </w:numPr>
    </w:pPr>
  </w:style>
  <w:style w:type="numbering" w:customStyle="1" w:styleId="WWOutlineListStyle26">
    <w:name w:val="WW_OutlineListStyle_26"/>
    <w:basedOn w:val="NoList"/>
    <w:pPr>
      <w:numPr>
        <w:numId w:val="28"/>
      </w:numPr>
    </w:pPr>
  </w:style>
  <w:style w:type="numbering" w:customStyle="1" w:styleId="WWOutlineListStyle25">
    <w:name w:val="WW_OutlineListStyle_25"/>
    <w:basedOn w:val="NoList"/>
    <w:pPr>
      <w:numPr>
        <w:numId w:val="29"/>
      </w:numPr>
    </w:pPr>
  </w:style>
  <w:style w:type="numbering" w:customStyle="1" w:styleId="WWOutlineListStyle24">
    <w:name w:val="WW_OutlineListStyle_24"/>
    <w:basedOn w:val="NoList"/>
    <w:pPr>
      <w:numPr>
        <w:numId w:val="30"/>
      </w:numPr>
    </w:pPr>
  </w:style>
  <w:style w:type="numbering" w:customStyle="1" w:styleId="WWOutlineListStyle23">
    <w:name w:val="WW_OutlineListStyle_23"/>
    <w:basedOn w:val="NoList"/>
    <w:pPr>
      <w:numPr>
        <w:numId w:val="31"/>
      </w:numPr>
    </w:pPr>
  </w:style>
  <w:style w:type="numbering" w:customStyle="1" w:styleId="WWOutlineListStyle22">
    <w:name w:val="WW_OutlineListStyle_22"/>
    <w:basedOn w:val="NoList"/>
    <w:pPr>
      <w:numPr>
        <w:numId w:val="32"/>
      </w:numPr>
    </w:pPr>
  </w:style>
  <w:style w:type="numbering" w:customStyle="1" w:styleId="WWOutlineListStyle21">
    <w:name w:val="WW_OutlineListStyle_21"/>
    <w:basedOn w:val="NoList"/>
    <w:pPr>
      <w:numPr>
        <w:numId w:val="33"/>
      </w:numPr>
    </w:pPr>
  </w:style>
  <w:style w:type="numbering" w:customStyle="1" w:styleId="WWOutlineListStyle20">
    <w:name w:val="WW_OutlineListStyle_20"/>
    <w:basedOn w:val="NoList"/>
    <w:pPr>
      <w:numPr>
        <w:numId w:val="34"/>
      </w:numPr>
    </w:pPr>
  </w:style>
  <w:style w:type="numbering" w:customStyle="1" w:styleId="WWOutlineListStyle19">
    <w:name w:val="WW_OutlineListStyle_19"/>
    <w:basedOn w:val="NoList"/>
    <w:pPr>
      <w:numPr>
        <w:numId w:val="35"/>
      </w:numPr>
    </w:pPr>
  </w:style>
  <w:style w:type="numbering" w:customStyle="1" w:styleId="WWOutlineListStyle18">
    <w:name w:val="WW_OutlineListStyle_18"/>
    <w:basedOn w:val="NoList"/>
    <w:pPr>
      <w:numPr>
        <w:numId w:val="36"/>
      </w:numPr>
    </w:pPr>
  </w:style>
  <w:style w:type="numbering" w:customStyle="1" w:styleId="WWOutlineListStyle17">
    <w:name w:val="WW_OutlineListStyle_17"/>
    <w:basedOn w:val="NoList"/>
    <w:pPr>
      <w:numPr>
        <w:numId w:val="37"/>
      </w:numPr>
    </w:pPr>
  </w:style>
  <w:style w:type="numbering" w:customStyle="1" w:styleId="WWOutlineListStyle16">
    <w:name w:val="WW_OutlineListStyle_16"/>
    <w:basedOn w:val="NoList"/>
    <w:pPr>
      <w:numPr>
        <w:numId w:val="38"/>
      </w:numPr>
    </w:pPr>
  </w:style>
  <w:style w:type="numbering" w:customStyle="1" w:styleId="WWOutlineListStyle15">
    <w:name w:val="WW_OutlineListStyle_15"/>
    <w:basedOn w:val="NoList"/>
    <w:pPr>
      <w:numPr>
        <w:numId w:val="39"/>
      </w:numPr>
    </w:pPr>
  </w:style>
  <w:style w:type="numbering" w:customStyle="1" w:styleId="WWOutlineListStyle14">
    <w:name w:val="WW_OutlineListStyle_14"/>
    <w:basedOn w:val="NoList"/>
    <w:pPr>
      <w:numPr>
        <w:numId w:val="40"/>
      </w:numPr>
    </w:pPr>
  </w:style>
  <w:style w:type="numbering" w:customStyle="1" w:styleId="WWOutlineListStyle13">
    <w:name w:val="WW_OutlineListStyle_13"/>
    <w:basedOn w:val="NoList"/>
    <w:pPr>
      <w:numPr>
        <w:numId w:val="41"/>
      </w:numPr>
    </w:pPr>
  </w:style>
  <w:style w:type="numbering" w:customStyle="1" w:styleId="WWOutlineListStyle12">
    <w:name w:val="WW_OutlineListStyle_12"/>
    <w:basedOn w:val="NoList"/>
    <w:pPr>
      <w:numPr>
        <w:numId w:val="42"/>
      </w:numPr>
    </w:pPr>
  </w:style>
  <w:style w:type="numbering" w:customStyle="1" w:styleId="WWOutlineListStyle11">
    <w:name w:val="WW_OutlineListStyle_11"/>
    <w:basedOn w:val="NoList"/>
    <w:pPr>
      <w:numPr>
        <w:numId w:val="43"/>
      </w:numPr>
    </w:pPr>
  </w:style>
  <w:style w:type="numbering" w:customStyle="1" w:styleId="WWOutlineListStyle10">
    <w:name w:val="WW_OutlineListStyle_10"/>
    <w:basedOn w:val="NoList"/>
    <w:pPr>
      <w:numPr>
        <w:numId w:val="44"/>
      </w:numPr>
    </w:pPr>
  </w:style>
  <w:style w:type="numbering" w:customStyle="1" w:styleId="WWOutlineListStyle9">
    <w:name w:val="WW_OutlineListStyle_9"/>
    <w:basedOn w:val="NoList"/>
    <w:pPr>
      <w:numPr>
        <w:numId w:val="45"/>
      </w:numPr>
    </w:pPr>
  </w:style>
  <w:style w:type="numbering" w:customStyle="1" w:styleId="WWOutlineListStyle8">
    <w:name w:val="WW_OutlineListStyle_8"/>
    <w:basedOn w:val="NoList"/>
    <w:pPr>
      <w:numPr>
        <w:numId w:val="46"/>
      </w:numPr>
    </w:pPr>
  </w:style>
  <w:style w:type="numbering" w:customStyle="1" w:styleId="WWOutlineListStyle7">
    <w:name w:val="WW_OutlineListStyle_7"/>
    <w:basedOn w:val="NoList"/>
    <w:pPr>
      <w:numPr>
        <w:numId w:val="47"/>
      </w:numPr>
    </w:pPr>
  </w:style>
  <w:style w:type="numbering" w:customStyle="1" w:styleId="WWOutlineListStyle6">
    <w:name w:val="WW_OutlineListStyle_6"/>
    <w:basedOn w:val="NoList"/>
    <w:pPr>
      <w:numPr>
        <w:numId w:val="48"/>
      </w:numPr>
    </w:pPr>
  </w:style>
  <w:style w:type="numbering" w:customStyle="1" w:styleId="WWOutlineListStyle5">
    <w:name w:val="WW_OutlineListStyle_5"/>
    <w:basedOn w:val="NoList"/>
    <w:pPr>
      <w:numPr>
        <w:numId w:val="49"/>
      </w:numPr>
    </w:pPr>
  </w:style>
  <w:style w:type="numbering" w:customStyle="1" w:styleId="WWOutlineListStyle4">
    <w:name w:val="WW_OutlineListStyle_4"/>
    <w:basedOn w:val="NoList"/>
    <w:pPr>
      <w:numPr>
        <w:numId w:val="50"/>
      </w:numPr>
    </w:pPr>
  </w:style>
  <w:style w:type="numbering" w:customStyle="1" w:styleId="WWOutlineListStyle3">
    <w:name w:val="WW_OutlineListStyle_3"/>
    <w:basedOn w:val="NoList"/>
    <w:pPr>
      <w:numPr>
        <w:numId w:val="51"/>
      </w:numPr>
    </w:pPr>
  </w:style>
  <w:style w:type="numbering" w:customStyle="1" w:styleId="WWOutlineListStyle2">
    <w:name w:val="WW_OutlineListStyle_2"/>
    <w:basedOn w:val="NoList"/>
    <w:pPr>
      <w:numPr>
        <w:numId w:val="52"/>
      </w:numPr>
    </w:pPr>
  </w:style>
  <w:style w:type="numbering" w:customStyle="1" w:styleId="WWOutlineListStyle1">
    <w:name w:val="WW_OutlineListStyle_1"/>
    <w:basedOn w:val="NoList"/>
    <w:pPr>
      <w:numPr>
        <w:numId w:val="53"/>
      </w:numPr>
    </w:pPr>
  </w:style>
  <w:style w:type="numbering" w:customStyle="1" w:styleId="WWOutlineListStyle">
    <w:name w:val="WW_OutlineListStyle"/>
    <w:basedOn w:val="NoList"/>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3196</Words>
  <Characters>18221</Characters>
  <Application>Microsoft Office Word</Application>
  <DocSecurity>0</DocSecurity>
  <Lines>151</Lines>
  <Paragraphs>42</Paragraphs>
  <ScaleCrop>false</ScaleCrop>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Anwen</dc:creator>
  <dc:description/>
  <cp:lastModifiedBy>Faithfull, Jo</cp:lastModifiedBy>
  <cp:revision>2</cp:revision>
  <cp:lastPrinted>2021-06-03T18:09:00Z</cp:lastPrinted>
  <dcterms:created xsi:type="dcterms:W3CDTF">2022-10-06T15:36:00Z</dcterms:created>
  <dcterms:modified xsi:type="dcterms:W3CDTF">2022-10-06T15:36:00Z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0x010100E73F8E556BAE754EBE8109FB7F061C6B</vt:lpwstr>
  </property>
</Properties>
</file>