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1837" w14:textId="26D06AF4" w:rsidR="0079093B" w:rsidRDefault="005517B3">
      <w:pPr>
        <w:spacing w:before="11" w:after="2976"/>
        <w:ind w:right="12"/>
        <w:textAlignment w:val="baseline"/>
      </w:pPr>
      <w:r>
        <w:rPr>
          <w:rFonts w:ascii="Arial" w:eastAsia="Times New Roman" w:hAnsi="Arial" w:cs="Arial"/>
          <w:noProof/>
          <w:color w:val="000000"/>
          <w:sz w:val="24"/>
        </w:rPr>
        <w:drawing>
          <wp:anchor distT="0" distB="0" distL="114300" distR="114300" simplePos="0" relativeHeight="251659264" behindDoc="0" locked="0" layoutInCell="1" allowOverlap="1" wp14:anchorId="24A3E5D0" wp14:editId="101DA559">
            <wp:simplePos x="0" y="0"/>
            <wp:positionH relativeFrom="margin">
              <wp:align>right</wp:align>
            </wp:positionH>
            <wp:positionV relativeFrom="paragraph">
              <wp:posOffset>-159385</wp:posOffset>
            </wp:positionV>
            <wp:extent cx="1793968" cy="785004"/>
            <wp:effectExtent l="0" t="0" r="0" b="0"/>
            <wp:wrapNone/>
            <wp:docPr id="1763666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461" name="Picture 17636664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3968" cy="785004"/>
                    </a:xfrm>
                    <a:prstGeom prst="rect">
                      <a:avLst/>
                    </a:prstGeom>
                  </pic:spPr>
                </pic:pic>
              </a:graphicData>
            </a:graphic>
            <wp14:sizeRelH relativeFrom="margin">
              <wp14:pctWidth>0</wp14:pctWidth>
            </wp14:sizeRelH>
            <wp14:sizeRelV relativeFrom="margin">
              <wp14:pctHeight>0</wp14:pctHeight>
            </wp14:sizeRelV>
          </wp:anchor>
        </w:drawing>
      </w:r>
    </w:p>
    <w:p w14:paraId="1CB71838" w14:textId="77777777" w:rsidR="0079093B" w:rsidRDefault="0079093B">
      <w:pPr>
        <w:spacing w:before="11" w:after="2976"/>
        <w:sectPr w:rsidR="0079093B" w:rsidSect="00890C0C">
          <w:footerReference w:type="first" r:id="rId13"/>
          <w:pgSz w:w="11909" w:h="16838"/>
          <w:pgMar w:top="680" w:right="679" w:bottom="59" w:left="6010" w:header="720" w:footer="720" w:gutter="0"/>
          <w:cols w:space="720"/>
          <w:titlePg/>
          <w:docGrid w:linePitch="299"/>
        </w:sectPr>
      </w:pPr>
    </w:p>
    <w:p w14:paraId="080E1DE8" w14:textId="05A88E44" w:rsidR="00363B58" w:rsidRDefault="007A1355" w:rsidP="7B21B574">
      <w:pPr>
        <w:spacing w:line="820" w:lineRule="exact"/>
        <w:ind w:left="288"/>
        <w:jc w:val="center"/>
        <w:textAlignment w:val="baseline"/>
        <w:rPr>
          <w:rFonts w:ascii="Arial" w:eastAsia="Arial" w:hAnsi="Arial"/>
          <w:b/>
          <w:bCs/>
          <w:color w:val="000000" w:themeColor="text1"/>
          <w:sz w:val="72"/>
          <w:szCs w:val="72"/>
        </w:rPr>
      </w:pPr>
      <w:r w:rsidRPr="7B21B574">
        <w:rPr>
          <w:rFonts w:ascii="Arial" w:eastAsia="Arial" w:hAnsi="Arial"/>
          <w:b/>
          <w:bCs/>
          <w:color w:val="000000" w:themeColor="text1"/>
          <w:sz w:val="72"/>
          <w:szCs w:val="72"/>
        </w:rPr>
        <w:t xml:space="preserve">Hampshire </w:t>
      </w:r>
      <w:r w:rsidR="001C2D7B">
        <w:rPr>
          <w:rFonts w:ascii="Arial" w:eastAsia="Arial" w:hAnsi="Arial"/>
          <w:b/>
          <w:bCs/>
          <w:color w:val="000000" w:themeColor="text1"/>
          <w:sz w:val="72"/>
          <w:szCs w:val="72"/>
        </w:rPr>
        <w:t>Outdoors</w:t>
      </w:r>
      <w:r w:rsidRPr="7B21B574">
        <w:rPr>
          <w:rFonts w:ascii="Arial" w:eastAsia="Arial" w:hAnsi="Arial"/>
          <w:b/>
          <w:bCs/>
          <w:color w:val="000000" w:themeColor="text1"/>
          <w:sz w:val="72"/>
          <w:szCs w:val="72"/>
        </w:rPr>
        <w:t xml:space="preserve"> </w:t>
      </w:r>
    </w:p>
    <w:p w14:paraId="67E64BC7" w14:textId="77777777" w:rsidR="00363B58" w:rsidRDefault="00363B58" w:rsidP="7B21B574">
      <w:pPr>
        <w:spacing w:line="820" w:lineRule="exact"/>
        <w:ind w:left="288"/>
        <w:jc w:val="center"/>
        <w:textAlignment w:val="baseline"/>
        <w:rPr>
          <w:rFonts w:ascii="Arial" w:eastAsia="Arial" w:hAnsi="Arial"/>
          <w:b/>
          <w:bCs/>
          <w:color w:val="000000" w:themeColor="text1"/>
          <w:sz w:val="72"/>
          <w:szCs w:val="72"/>
        </w:rPr>
      </w:pPr>
    </w:p>
    <w:p w14:paraId="1CB71844" w14:textId="72F8956E" w:rsidR="0079093B" w:rsidRPr="00B07BF0" w:rsidRDefault="006F330F" w:rsidP="00B07BF0">
      <w:pPr>
        <w:spacing w:line="820" w:lineRule="exact"/>
        <w:ind w:left="288"/>
        <w:jc w:val="center"/>
        <w:textAlignment w:val="baseline"/>
        <w:rPr>
          <w:rFonts w:ascii="Arial" w:eastAsia="Arial" w:hAnsi="Arial"/>
          <w:b/>
          <w:bCs/>
          <w:color w:val="000000"/>
          <w:sz w:val="72"/>
          <w:szCs w:val="72"/>
        </w:rPr>
      </w:pPr>
      <w:r>
        <w:rPr>
          <w:rFonts w:ascii="Arial" w:eastAsia="Arial" w:hAnsi="Arial"/>
          <w:b/>
          <w:bCs/>
          <w:color w:val="000000" w:themeColor="text1"/>
          <w:sz w:val="72"/>
          <w:szCs w:val="72"/>
        </w:rPr>
        <w:t>Conflict of Interest</w:t>
      </w:r>
      <w:r w:rsidR="00B7029F" w:rsidRPr="7B21B574">
        <w:rPr>
          <w:rFonts w:ascii="Arial" w:eastAsia="Arial" w:hAnsi="Arial"/>
          <w:b/>
          <w:bCs/>
          <w:color w:val="000000" w:themeColor="text1"/>
          <w:sz w:val="72"/>
          <w:szCs w:val="72"/>
        </w:rPr>
        <w:t xml:space="preserve"> </w:t>
      </w:r>
      <w:r w:rsidR="007A1355">
        <w:br/>
      </w:r>
      <w:r w:rsidR="00B7029F" w:rsidRPr="7B21B574">
        <w:rPr>
          <w:rFonts w:ascii="Arial" w:eastAsia="Arial" w:hAnsi="Arial"/>
          <w:b/>
          <w:bCs/>
          <w:color w:val="000000" w:themeColor="text1"/>
          <w:sz w:val="72"/>
          <w:szCs w:val="72"/>
        </w:rPr>
        <w:t>Policy &amp; Procedures</w:t>
      </w:r>
    </w:p>
    <w:tbl>
      <w:tblPr>
        <w:tblpPr w:leftFromText="180" w:rightFromText="180" w:vertAnchor="text" w:horzAnchor="margin" w:tblpXSpec="right" w:tblpY="4329"/>
        <w:tblW w:w="0" w:type="auto"/>
        <w:tblCellMar>
          <w:left w:w="0" w:type="dxa"/>
          <w:right w:w="0" w:type="dxa"/>
        </w:tblCellMar>
        <w:tblLook w:val="0000" w:firstRow="0" w:lastRow="0" w:firstColumn="0" w:lastColumn="0" w:noHBand="0" w:noVBand="0"/>
      </w:tblPr>
      <w:tblGrid>
        <w:gridCol w:w="3248"/>
        <w:gridCol w:w="2205"/>
      </w:tblGrid>
      <w:tr w:rsidR="009D55AF" w14:paraId="6B1D332E" w14:textId="77777777" w:rsidTr="009D55AF">
        <w:trPr>
          <w:trHeight w:hRule="exact" w:val="300"/>
        </w:trPr>
        <w:tc>
          <w:tcPr>
            <w:tcW w:w="0" w:type="auto"/>
            <w:tcBorders>
              <w:top w:val="single" w:sz="7" w:space="0" w:color="000000"/>
              <w:left w:val="single" w:sz="7" w:space="0" w:color="000000"/>
              <w:bottom w:val="single" w:sz="7" w:space="0" w:color="000000"/>
              <w:right w:val="single" w:sz="7" w:space="0" w:color="000000"/>
            </w:tcBorders>
          </w:tcPr>
          <w:p w14:paraId="70BBE84D" w14:textId="77777777" w:rsidR="009D55AF" w:rsidRDefault="009D55AF" w:rsidP="009D55AF">
            <w:pPr>
              <w:spacing w:line="289" w:lineRule="exact"/>
              <w:ind w:left="456"/>
              <w:textAlignment w:val="baseline"/>
              <w:rPr>
                <w:rFonts w:ascii="Arial" w:eastAsia="Arial" w:hAnsi="Arial"/>
                <w:color w:val="000000"/>
                <w:sz w:val="24"/>
              </w:rPr>
            </w:pPr>
            <w:r>
              <w:rPr>
                <w:rFonts w:ascii="Arial" w:eastAsia="Arial" w:hAnsi="Arial"/>
                <w:color w:val="000000"/>
                <w:sz w:val="24"/>
              </w:rPr>
              <w:t>Date of last review/update</w:t>
            </w:r>
          </w:p>
        </w:tc>
        <w:tc>
          <w:tcPr>
            <w:tcW w:w="0" w:type="auto"/>
            <w:tcBorders>
              <w:top w:val="single" w:sz="7" w:space="0" w:color="000000"/>
              <w:left w:val="single" w:sz="7" w:space="0" w:color="000000"/>
              <w:bottom w:val="single" w:sz="7" w:space="0" w:color="000000"/>
              <w:right w:val="single" w:sz="7" w:space="0" w:color="000000"/>
            </w:tcBorders>
          </w:tcPr>
          <w:p w14:paraId="73CBC3A3" w14:textId="117CC798" w:rsidR="009D55AF" w:rsidRDefault="005517B3" w:rsidP="009D55AF">
            <w:pPr>
              <w:spacing w:line="289" w:lineRule="exact"/>
              <w:ind w:left="413"/>
              <w:textAlignment w:val="baseline"/>
              <w:rPr>
                <w:rFonts w:ascii="Arial" w:eastAsia="Arial" w:hAnsi="Arial"/>
                <w:color w:val="000000"/>
                <w:sz w:val="24"/>
              </w:rPr>
            </w:pPr>
            <w:r>
              <w:rPr>
                <w:rFonts w:ascii="Arial" w:eastAsia="Arial" w:hAnsi="Arial"/>
                <w:color w:val="000000"/>
                <w:sz w:val="24"/>
              </w:rPr>
              <w:t>March</w:t>
            </w:r>
            <w:r w:rsidR="00AC6155">
              <w:rPr>
                <w:rFonts w:ascii="Arial" w:eastAsia="Arial" w:hAnsi="Arial"/>
                <w:color w:val="000000"/>
                <w:sz w:val="24"/>
              </w:rPr>
              <w:t xml:space="preserve"> 202</w:t>
            </w:r>
            <w:r>
              <w:rPr>
                <w:rFonts w:ascii="Arial" w:eastAsia="Arial" w:hAnsi="Arial"/>
                <w:color w:val="000000"/>
                <w:sz w:val="24"/>
              </w:rPr>
              <w:t>6</w:t>
            </w:r>
          </w:p>
        </w:tc>
      </w:tr>
      <w:tr w:rsidR="009D55AF" w14:paraId="2B1D64D1" w14:textId="77777777" w:rsidTr="009D55AF">
        <w:trPr>
          <w:trHeight w:hRule="exact" w:val="278"/>
        </w:trPr>
        <w:tc>
          <w:tcPr>
            <w:tcW w:w="0" w:type="auto"/>
            <w:tcBorders>
              <w:top w:val="single" w:sz="7" w:space="0" w:color="000000"/>
              <w:left w:val="single" w:sz="7" w:space="0" w:color="000000"/>
              <w:bottom w:val="single" w:sz="7" w:space="0" w:color="000000"/>
              <w:right w:val="single" w:sz="7" w:space="0" w:color="000000"/>
            </w:tcBorders>
          </w:tcPr>
          <w:p w14:paraId="5A416C5D" w14:textId="77777777" w:rsidR="009D55AF" w:rsidRDefault="009D55AF" w:rsidP="009D55AF">
            <w:pPr>
              <w:spacing w:line="283" w:lineRule="exact"/>
              <w:ind w:left="456"/>
              <w:textAlignment w:val="baseline"/>
              <w:rPr>
                <w:rFonts w:ascii="Arial" w:eastAsia="Arial" w:hAnsi="Arial"/>
                <w:color w:val="000000"/>
                <w:sz w:val="24"/>
              </w:rPr>
            </w:pPr>
            <w:r>
              <w:rPr>
                <w:rFonts w:ascii="Arial" w:eastAsia="Arial" w:hAnsi="Arial"/>
                <w:color w:val="000000"/>
                <w:sz w:val="24"/>
              </w:rPr>
              <w:t>Review Frequency</w:t>
            </w:r>
          </w:p>
        </w:tc>
        <w:tc>
          <w:tcPr>
            <w:tcW w:w="0" w:type="auto"/>
            <w:tcBorders>
              <w:top w:val="single" w:sz="7" w:space="0" w:color="000000"/>
              <w:left w:val="single" w:sz="7" w:space="0" w:color="000000"/>
              <w:bottom w:val="single" w:sz="7" w:space="0" w:color="000000"/>
              <w:right w:val="single" w:sz="7" w:space="0" w:color="000000"/>
            </w:tcBorders>
          </w:tcPr>
          <w:p w14:paraId="1AE700FB" w14:textId="639D2B10" w:rsidR="009D55AF" w:rsidRDefault="00141909" w:rsidP="009D55AF">
            <w:pPr>
              <w:spacing w:line="283" w:lineRule="exact"/>
              <w:ind w:left="413"/>
              <w:textAlignment w:val="baseline"/>
              <w:rPr>
                <w:rFonts w:ascii="Arial" w:eastAsia="Arial" w:hAnsi="Arial"/>
                <w:color w:val="000000"/>
                <w:sz w:val="24"/>
              </w:rPr>
            </w:pPr>
            <w:r>
              <w:rPr>
                <w:rFonts w:ascii="Arial" w:eastAsia="Arial" w:hAnsi="Arial"/>
                <w:color w:val="000000"/>
                <w:sz w:val="24"/>
              </w:rPr>
              <w:t>Annually</w:t>
            </w:r>
          </w:p>
        </w:tc>
      </w:tr>
      <w:tr w:rsidR="009D55AF" w14:paraId="1E0E0B4C" w14:textId="77777777" w:rsidTr="009D55AF">
        <w:trPr>
          <w:trHeight w:hRule="exact" w:val="600"/>
        </w:trPr>
        <w:tc>
          <w:tcPr>
            <w:tcW w:w="0" w:type="auto"/>
            <w:tcBorders>
              <w:top w:val="single" w:sz="7" w:space="0" w:color="000000"/>
              <w:left w:val="single" w:sz="7" w:space="0" w:color="000000"/>
              <w:bottom w:val="single" w:sz="7" w:space="0" w:color="000000"/>
              <w:right w:val="single" w:sz="7" w:space="0" w:color="000000"/>
            </w:tcBorders>
          </w:tcPr>
          <w:p w14:paraId="21B17248" w14:textId="77777777" w:rsidR="009D55AF" w:rsidRDefault="009D55AF" w:rsidP="009D55AF">
            <w:pPr>
              <w:spacing w:line="293" w:lineRule="exact"/>
              <w:ind w:left="456"/>
              <w:textAlignment w:val="baseline"/>
              <w:rPr>
                <w:rFonts w:ascii="Arial" w:eastAsia="Arial" w:hAnsi="Arial"/>
                <w:color w:val="000000"/>
                <w:sz w:val="24"/>
              </w:rPr>
            </w:pPr>
            <w:r>
              <w:rPr>
                <w:rFonts w:ascii="Arial" w:eastAsia="Arial" w:hAnsi="Arial"/>
                <w:color w:val="000000"/>
                <w:sz w:val="24"/>
              </w:rPr>
              <w:t>Reviewer(s):</w:t>
            </w:r>
          </w:p>
        </w:tc>
        <w:tc>
          <w:tcPr>
            <w:tcW w:w="0" w:type="auto"/>
            <w:tcBorders>
              <w:top w:val="single" w:sz="7" w:space="0" w:color="000000"/>
              <w:left w:val="single" w:sz="7" w:space="0" w:color="000000"/>
              <w:bottom w:val="single" w:sz="7" w:space="0" w:color="000000"/>
              <w:right w:val="single" w:sz="7" w:space="0" w:color="000000"/>
            </w:tcBorders>
          </w:tcPr>
          <w:p w14:paraId="2F79EB28" w14:textId="184CAC97" w:rsidR="009D55AF" w:rsidRDefault="00AC6155" w:rsidP="009D55AF">
            <w:pPr>
              <w:spacing w:line="293" w:lineRule="exact"/>
              <w:ind w:left="413"/>
              <w:textAlignment w:val="baseline"/>
              <w:rPr>
                <w:rFonts w:ascii="Arial" w:eastAsia="Arial" w:hAnsi="Arial"/>
                <w:color w:val="000000"/>
                <w:sz w:val="24"/>
              </w:rPr>
            </w:pPr>
            <w:r>
              <w:rPr>
                <w:rFonts w:ascii="Arial" w:eastAsia="Arial" w:hAnsi="Arial"/>
                <w:color w:val="000000"/>
                <w:sz w:val="24"/>
              </w:rPr>
              <w:t>Jodie Bascombe</w:t>
            </w:r>
          </w:p>
          <w:p w14:paraId="733F1D71" w14:textId="77777777" w:rsidR="009D55AF" w:rsidRDefault="009D55AF" w:rsidP="009D55AF">
            <w:pPr>
              <w:spacing w:line="293" w:lineRule="exact"/>
              <w:ind w:left="413"/>
              <w:textAlignment w:val="baseline"/>
              <w:rPr>
                <w:rFonts w:ascii="Arial" w:eastAsia="Arial" w:hAnsi="Arial"/>
                <w:color w:val="000000"/>
                <w:sz w:val="24"/>
              </w:rPr>
            </w:pPr>
          </w:p>
          <w:p w14:paraId="575975EE" w14:textId="77777777" w:rsidR="009D55AF" w:rsidRDefault="009D55AF" w:rsidP="009D55AF">
            <w:pPr>
              <w:spacing w:line="293" w:lineRule="exact"/>
              <w:ind w:left="413"/>
              <w:textAlignment w:val="baseline"/>
              <w:rPr>
                <w:rFonts w:ascii="Arial" w:eastAsia="Arial" w:hAnsi="Arial"/>
                <w:color w:val="000000"/>
                <w:sz w:val="24"/>
              </w:rPr>
            </w:pPr>
          </w:p>
        </w:tc>
      </w:tr>
    </w:tbl>
    <w:p w14:paraId="1CB71845" w14:textId="3A1BD83D" w:rsidR="0079093B" w:rsidRDefault="0079093B">
      <w:pPr>
        <w:ind w:right="6787"/>
        <w:textAlignment w:val="baseline"/>
      </w:pPr>
    </w:p>
    <w:p w14:paraId="1CB71846" w14:textId="77777777" w:rsidR="0079093B" w:rsidRDefault="0079093B">
      <w:pPr>
        <w:sectPr w:rsidR="0079093B">
          <w:type w:val="continuous"/>
          <w:pgSz w:w="11909" w:h="16838"/>
          <w:pgMar w:top="680" w:right="1061" w:bottom="59" w:left="768" w:header="720" w:footer="720" w:gutter="0"/>
          <w:cols w:space="720"/>
        </w:sectPr>
      </w:pPr>
    </w:p>
    <w:p w14:paraId="2A07544B" w14:textId="77777777" w:rsidR="00CE28E0" w:rsidRPr="00FA0C88" w:rsidRDefault="00CE28E0" w:rsidP="00CE28E0">
      <w:pPr>
        <w:rPr>
          <w:rFonts w:ascii="Arial" w:hAnsi="Arial" w:cs="Arial"/>
          <w:sz w:val="24"/>
          <w:szCs w:val="24"/>
        </w:rPr>
      </w:pPr>
    </w:p>
    <w:p w14:paraId="70A36D1E" w14:textId="77777777" w:rsidR="00FF38F7" w:rsidRDefault="00FF38F7" w:rsidP="00FF38F7">
      <w:pPr>
        <w:spacing w:before="11" w:line="274" w:lineRule="exact"/>
        <w:ind w:left="216"/>
        <w:textAlignment w:val="baseline"/>
        <w:rPr>
          <w:rFonts w:ascii="Arial" w:hAnsi="Arial" w:cs="Arial"/>
          <w:b/>
          <w:bCs/>
          <w:sz w:val="24"/>
          <w:szCs w:val="24"/>
          <w:lang w:val="en-GB"/>
        </w:rPr>
      </w:pPr>
      <w:r w:rsidRPr="00FF38F7">
        <w:rPr>
          <w:rFonts w:ascii="Arial" w:hAnsi="Arial" w:cs="Arial"/>
          <w:b/>
          <w:bCs/>
          <w:sz w:val="24"/>
          <w:szCs w:val="24"/>
          <w:lang w:val="en-GB"/>
        </w:rPr>
        <w:t>Contents</w:t>
      </w:r>
    </w:p>
    <w:p w14:paraId="76675542" w14:textId="77777777" w:rsidR="00FA0C88" w:rsidRPr="00FF38F7" w:rsidRDefault="00FA0C88" w:rsidP="00FF38F7">
      <w:pPr>
        <w:spacing w:before="11" w:line="274" w:lineRule="exact"/>
        <w:ind w:left="216"/>
        <w:textAlignment w:val="baseline"/>
        <w:rPr>
          <w:rFonts w:ascii="Arial" w:hAnsi="Arial" w:cs="Arial"/>
          <w:b/>
          <w:bCs/>
          <w:sz w:val="24"/>
          <w:szCs w:val="24"/>
          <w:lang w:val="en-GB"/>
        </w:rPr>
      </w:pPr>
    </w:p>
    <w:p w14:paraId="489DFB1B" w14:textId="77777777" w:rsidR="00FF38F7" w:rsidRPr="00FF38F7" w:rsidRDefault="00FF38F7" w:rsidP="00FF38F7">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1.0 Introduction 3</w:t>
      </w:r>
    </w:p>
    <w:p w14:paraId="6FB70CB4" w14:textId="77777777" w:rsidR="00FF38F7" w:rsidRPr="00FF38F7" w:rsidRDefault="00FF38F7" w:rsidP="00FF38F7">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2.0 Scope &amp; Purpose 3</w:t>
      </w:r>
    </w:p>
    <w:p w14:paraId="5C6F43AF" w14:textId="77777777" w:rsidR="00FF38F7" w:rsidRPr="00FF38F7" w:rsidRDefault="00FF38F7" w:rsidP="00FF38F7">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3.0 Definition of Conflict of Interest 3</w:t>
      </w:r>
    </w:p>
    <w:p w14:paraId="338478CD" w14:textId="31017741" w:rsidR="00FF38F7" w:rsidRPr="00FF38F7" w:rsidRDefault="00FF38F7" w:rsidP="00FF38F7">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 xml:space="preserve">4.0 Hampshire Achieves Responsibilities </w:t>
      </w:r>
      <w:r w:rsidR="006B2889">
        <w:rPr>
          <w:rFonts w:ascii="Arial" w:hAnsi="Arial" w:cs="Arial"/>
          <w:sz w:val="24"/>
          <w:szCs w:val="24"/>
          <w:lang w:val="en-GB"/>
        </w:rPr>
        <w:t>3</w:t>
      </w:r>
    </w:p>
    <w:p w14:paraId="7C1B1D59" w14:textId="226898B7" w:rsidR="00FF38F7" w:rsidRPr="00FF38F7" w:rsidRDefault="00FF38F7" w:rsidP="00FF38F7">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 xml:space="preserve">5.0 Monitor, Review &amp; Audit </w:t>
      </w:r>
      <w:r w:rsidR="006B2889">
        <w:rPr>
          <w:rFonts w:ascii="Arial" w:hAnsi="Arial" w:cs="Arial"/>
          <w:sz w:val="24"/>
          <w:szCs w:val="24"/>
          <w:lang w:val="en-GB"/>
        </w:rPr>
        <w:t>4</w:t>
      </w:r>
    </w:p>
    <w:p w14:paraId="718046AD" w14:textId="6E559B74" w:rsidR="00FF38F7" w:rsidRPr="00FF38F7" w:rsidRDefault="00FF38F7" w:rsidP="006B2889">
      <w:pPr>
        <w:spacing w:before="11" w:line="274" w:lineRule="exact"/>
        <w:ind w:left="216"/>
        <w:textAlignment w:val="baseline"/>
        <w:rPr>
          <w:rFonts w:ascii="Arial" w:hAnsi="Arial" w:cs="Arial"/>
          <w:sz w:val="24"/>
          <w:szCs w:val="24"/>
          <w:lang w:val="en-GB"/>
        </w:rPr>
      </w:pPr>
      <w:r w:rsidRPr="00FF38F7">
        <w:rPr>
          <w:rFonts w:ascii="Arial" w:hAnsi="Arial" w:cs="Arial"/>
          <w:sz w:val="24"/>
          <w:szCs w:val="24"/>
          <w:lang w:val="en-GB"/>
        </w:rPr>
        <w:t xml:space="preserve">Appendix </w:t>
      </w:r>
      <w:r w:rsidR="006B2889">
        <w:rPr>
          <w:rFonts w:ascii="Arial" w:hAnsi="Arial" w:cs="Arial"/>
          <w:sz w:val="24"/>
          <w:szCs w:val="24"/>
          <w:lang w:val="en-GB"/>
        </w:rPr>
        <w:t>1</w:t>
      </w:r>
      <w:r w:rsidRPr="00FF38F7">
        <w:rPr>
          <w:rFonts w:ascii="Arial" w:hAnsi="Arial" w:cs="Arial"/>
          <w:sz w:val="24"/>
          <w:szCs w:val="24"/>
          <w:lang w:val="en-GB"/>
        </w:rPr>
        <w:t xml:space="preserve"> Conflict of Interest Log – 2024-2025 </w:t>
      </w:r>
      <w:r w:rsidR="006B2889">
        <w:rPr>
          <w:rFonts w:ascii="Arial" w:hAnsi="Arial" w:cs="Arial"/>
          <w:sz w:val="24"/>
          <w:szCs w:val="24"/>
          <w:lang w:val="en-GB"/>
        </w:rPr>
        <w:t>5</w:t>
      </w:r>
    </w:p>
    <w:p w14:paraId="48BEC5DC" w14:textId="0DCD1909" w:rsidR="009D55AF" w:rsidRDefault="009D55AF">
      <w:pPr>
        <w:spacing w:before="11" w:line="274" w:lineRule="exact"/>
        <w:ind w:left="216"/>
        <w:textAlignment w:val="baseline"/>
        <w:rPr>
          <w:rFonts w:ascii="Arial" w:eastAsia="Arial" w:hAnsi="Arial"/>
          <w:b/>
          <w:color w:val="000000"/>
          <w:spacing w:val="-2"/>
          <w:sz w:val="24"/>
        </w:rPr>
      </w:pPr>
    </w:p>
    <w:p w14:paraId="398A1371" w14:textId="77777777" w:rsidR="009D55AF" w:rsidRDefault="009D55AF">
      <w:pPr>
        <w:spacing w:before="11" w:line="274" w:lineRule="exact"/>
        <w:ind w:left="216"/>
        <w:textAlignment w:val="baseline"/>
        <w:rPr>
          <w:rFonts w:ascii="Arial" w:eastAsia="Arial" w:hAnsi="Arial"/>
          <w:b/>
          <w:color w:val="000000"/>
          <w:spacing w:val="-2"/>
          <w:sz w:val="24"/>
        </w:rPr>
      </w:pPr>
    </w:p>
    <w:p w14:paraId="518AB85E" w14:textId="77777777" w:rsidR="00CE28E0" w:rsidRDefault="00CE28E0">
      <w:pPr>
        <w:spacing w:before="11" w:line="274" w:lineRule="exact"/>
        <w:ind w:left="216"/>
        <w:textAlignment w:val="baseline"/>
        <w:rPr>
          <w:rFonts w:ascii="Arial" w:eastAsia="Arial" w:hAnsi="Arial"/>
          <w:b/>
          <w:color w:val="000000"/>
          <w:spacing w:val="-2"/>
          <w:sz w:val="24"/>
        </w:rPr>
      </w:pPr>
    </w:p>
    <w:p w14:paraId="1CB71851" w14:textId="654163D1" w:rsidR="0079093B" w:rsidRPr="00CE28E0" w:rsidRDefault="0079093B" w:rsidP="00CE28E0">
      <w:pPr>
        <w:tabs>
          <w:tab w:val="decimal" w:pos="360"/>
          <w:tab w:val="left" w:pos="936"/>
          <w:tab w:val="left" w:leader="dot" w:pos="9648"/>
        </w:tabs>
        <w:spacing w:before="103" w:after="10560" w:line="272" w:lineRule="exact"/>
        <w:ind w:left="216"/>
        <w:textAlignment w:val="baseline"/>
        <w:rPr>
          <w:rFonts w:ascii="Arial" w:eastAsia="Arial" w:hAnsi="Arial"/>
          <w:color w:val="000000"/>
          <w:sz w:val="24"/>
        </w:rPr>
        <w:sectPr w:rsidR="0079093B" w:rsidRPr="00CE28E0">
          <w:pgSz w:w="11909" w:h="16838"/>
          <w:pgMar w:top="1440" w:right="921" w:bottom="582" w:left="908" w:header="720" w:footer="720" w:gutter="0"/>
          <w:cols w:space="720"/>
        </w:sectPr>
      </w:pPr>
    </w:p>
    <w:p w14:paraId="1CB71853" w14:textId="77777777" w:rsidR="0079093B" w:rsidRDefault="0079093B">
      <w:pPr>
        <w:sectPr w:rsidR="0079093B">
          <w:type w:val="continuous"/>
          <w:pgSz w:w="11909" w:h="16838"/>
          <w:pgMar w:top="1440" w:right="996" w:bottom="582" w:left="10553" w:header="720" w:footer="720" w:gutter="0"/>
          <w:cols w:space="720"/>
        </w:sectPr>
      </w:pPr>
    </w:p>
    <w:p w14:paraId="086F4C95" w14:textId="77777777" w:rsidR="00FA0C88" w:rsidRPr="00FA0C88" w:rsidRDefault="00FA0C88" w:rsidP="00FA0C88">
      <w:pPr>
        <w:ind w:left="720" w:right="216"/>
        <w:textAlignment w:val="baseline"/>
        <w:rPr>
          <w:rFonts w:ascii="Arial" w:eastAsia="Arial" w:hAnsi="Arial"/>
          <w:b/>
          <w:bCs/>
          <w:color w:val="000000"/>
          <w:spacing w:val="3"/>
          <w:sz w:val="24"/>
          <w:lang w:val="en-GB"/>
        </w:rPr>
      </w:pPr>
      <w:r w:rsidRPr="00FA0C88">
        <w:rPr>
          <w:rFonts w:ascii="Arial" w:eastAsia="Arial" w:hAnsi="Arial"/>
          <w:b/>
          <w:bCs/>
          <w:color w:val="000000"/>
          <w:spacing w:val="3"/>
          <w:sz w:val="24"/>
          <w:lang w:val="en-GB"/>
        </w:rPr>
        <w:lastRenderedPageBreak/>
        <w:t>Conflict of Interest Policy &amp; Procedures</w:t>
      </w:r>
    </w:p>
    <w:p w14:paraId="1CB718A5" w14:textId="057A7911" w:rsidR="0079093B" w:rsidRDefault="0079093B" w:rsidP="002829D9">
      <w:pPr>
        <w:ind w:left="720" w:right="216"/>
        <w:textAlignment w:val="baseline"/>
        <w:rPr>
          <w:rFonts w:ascii="Arial" w:eastAsia="Arial" w:hAnsi="Arial"/>
          <w:color w:val="000000"/>
          <w:spacing w:val="3"/>
          <w:sz w:val="24"/>
        </w:rPr>
      </w:pPr>
    </w:p>
    <w:p w14:paraId="52334425" w14:textId="77777777" w:rsidR="00944BBC" w:rsidRPr="00944BBC" w:rsidRDefault="00944BBC" w:rsidP="00944BBC">
      <w:pPr>
        <w:ind w:left="720" w:right="216"/>
        <w:textAlignment w:val="baseline"/>
        <w:rPr>
          <w:rFonts w:ascii="Arial" w:eastAsia="Arial" w:hAnsi="Arial"/>
          <w:b/>
          <w:bCs/>
          <w:color w:val="000000"/>
          <w:spacing w:val="3"/>
          <w:sz w:val="24"/>
          <w:lang w:val="en-GB"/>
        </w:rPr>
      </w:pPr>
      <w:r w:rsidRPr="00944BBC">
        <w:rPr>
          <w:rFonts w:ascii="Arial" w:eastAsia="Arial" w:hAnsi="Arial"/>
          <w:b/>
          <w:bCs/>
          <w:color w:val="000000"/>
          <w:spacing w:val="3"/>
          <w:sz w:val="24"/>
          <w:lang w:val="en-GB"/>
        </w:rPr>
        <w:t>1.0 Introduction</w:t>
      </w:r>
    </w:p>
    <w:p w14:paraId="13CA1756" w14:textId="02E3912E" w:rsidR="00944BBC" w:rsidRDefault="00944BBC" w:rsidP="4EBCB608">
      <w:pPr>
        <w:ind w:left="720" w:right="216"/>
        <w:textAlignment w:val="baseline"/>
        <w:rPr>
          <w:rFonts w:ascii="Arial" w:eastAsia="Arial" w:hAnsi="Arial"/>
          <w:color w:val="000000"/>
          <w:spacing w:val="3"/>
          <w:sz w:val="24"/>
          <w:szCs w:val="24"/>
          <w:lang w:val="en-GB"/>
        </w:rPr>
      </w:pPr>
      <w:r w:rsidRPr="4EBCB608">
        <w:rPr>
          <w:rFonts w:ascii="Arial" w:eastAsia="Arial" w:hAnsi="Arial"/>
          <w:color w:val="000000"/>
          <w:spacing w:val="3"/>
          <w:sz w:val="24"/>
          <w:szCs w:val="24"/>
          <w:lang w:val="en-GB"/>
        </w:rPr>
        <w:t xml:space="preserve">Hampshire Outdoors is part of the Participation and Lifelong learning Service in Hampshire County Council’s Directorate of Children’s Services and is responsible for the delivery of accredited </w:t>
      </w:r>
      <w:r w:rsidR="006A791C" w:rsidRPr="4EBCB608">
        <w:rPr>
          <w:rFonts w:ascii="Arial" w:eastAsia="Arial" w:hAnsi="Arial"/>
          <w:color w:val="000000"/>
          <w:spacing w:val="3"/>
          <w:sz w:val="24"/>
          <w:szCs w:val="24"/>
          <w:lang w:val="en-GB"/>
        </w:rPr>
        <w:t>qualifications through several Awarding Organisations; 1</w:t>
      </w:r>
      <w:r w:rsidR="006A791C" w:rsidRPr="4EBCB608">
        <w:rPr>
          <w:rFonts w:ascii="Arial" w:eastAsia="Arial" w:hAnsi="Arial"/>
          <w:color w:val="000000"/>
          <w:spacing w:val="3"/>
          <w:sz w:val="24"/>
          <w:szCs w:val="24"/>
          <w:vertAlign w:val="superscript"/>
          <w:lang w:val="en-GB"/>
        </w:rPr>
        <w:t>st</w:t>
      </w:r>
      <w:r w:rsidR="006A791C" w:rsidRPr="4EBCB608">
        <w:rPr>
          <w:rFonts w:ascii="Arial" w:eastAsia="Arial" w:hAnsi="Arial"/>
          <w:color w:val="000000"/>
          <w:spacing w:val="3"/>
          <w:sz w:val="24"/>
          <w:szCs w:val="24"/>
          <w:lang w:val="en-GB"/>
        </w:rPr>
        <w:t xml:space="preserve">4Sport, Swimming Teacher Association (STA), </w:t>
      </w:r>
      <w:r w:rsidR="5DED564A" w:rsidRPr="4EBCB608">
        <w:rPr>
          <w:rFonts w:ascii="Arial" w:eastAsia="Arial" w:hAnsi="Arial"/>
          <w:color w:val="000000"/>
          <w:spacing w:val="3"/>
          <w:sz w:val="24"/>
          <w:szCs w:val="24"/>
          <w:lang w:val="en-GB"/>
        </w:rPr>
        <w:t xml:space="preserve">Atlantic Crest, </w:t>
      </w:r>
      <w:r w:rsidR="00AC0D50" w:rsidRPr="4EBCB608">
        <w:rPr>
          <w:rFonts w:ascii="Arial" w:eastAsia="Arial" w:hAnsi="Arial"/>
          <w:color w:val="000000"/>
          <w:spacing w:val="3"/>
          <w:sz w:val="24"/>
          <w:szCs w:val="24"/>
          <w:lang w:val="en-GB"/>
        </w:rPr>
        <w:t>ITC and Bikeability.</w:t>
      </w:r>
    </w:p>
    <w:p w14:paraId="6935EDD7" w14:textId="77777777" w:rsidR="00944BBC" w:rsidRPr="00944BBC" w:rsidRDefault="00944BBC" w:rsidP="00944BBC">
      <w:pPr>
        <w:ind w:left="720" w:right="216"/>
        <w:textAlignment w:val="baseline"/>
        <w:rPr>
          <w:rFonts w:ascii="Arial" w:eastAsia="Arial" w:hAnsi="Arial"/>
          <w:color w:val="000000"/>
          <w:spacing w:val="3"/>
          <w:sz w:val="24"/>
          <w:lang w:val="en-GB"/>
        </w:rPr>
      </w:pPr>
    </w:p>
    <w:p w14:paraId="4AEDF431" w14:textId="77777777" w:rsidR="00944BBC" w:rsidRPr="00944BBC" w:rsidRDefault="00944BBC" w:rsidP="00944BBC">
      <w:pPr>
        <w:ind w:left="720" w:right="216"/>
        <w:textAlignment w:val="baseline"/>
        <w:rPr>
          <w:rFonts w:ascii="Arial" w:eastAsia="Arial" w:hAnsi="Arial"/>
          <w:b/>
          <w:bCs/>
          <w:color w:val="000000"/>
          <w:spacing w:val="3"/>
          <w:sz w:val="24"/>
          <w:lang w:val="en-GB"/>
        </w:rPr>
      </w:pPr>
      <w:r w:rsidRPr="00944BBC">
        <w:rPr>
          <w:rFonts w:ascii="Arial" w:eastAsia="Arial" w:hAnsi="Arial"/>
          <w:b/>
          <w:bCs/>
          <w:color w:val="000000"/>
          <w:spacing w:val="3"/>
          <w:sz w:val="24"/>
          <w:lang w:val="en-GB"/>
        </w:rPr>
        <w:t>1.1 Related Policies</w:t>
      </w:r>
    </w:p>
    <w:p w14:paraId="25BDCD40" w14:textId="77777777"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This policy is developed in the context of other related policies, including:</w:t>
      </w:r>
    </w:p>
    <w:p w14:paraId="79290AE2" w14:textId="77777777"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 Internal Quality Assurance</w:t>
      </w:r>
    </w:p>
    <w:p w14:paraId="3693712B" w14:textId="77777777"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 Malpractice and Maladministration</w:t>
      </w:r>
    </w:p>
    <w:p w14:paraId="52033212" w14:textId="77777777"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 Complaints and Compliments</w:t>
      </w:r>
    </w:p>
    <w:p w14:paraId="5FA4CE0E" w14:textId="04C382C3" w:rsidR="00944BBC" w:rsidRPr="00944BBC" w:rsidRDefault="00944BBC" w:rsidP="00944BBC">
      <w:pPr>
        <w:ind w:left="720" w:right="216"/>
        <w:textAlignment w:val="baseline"/>
        <w:rPr>
          <w:rFonts w:ascii="Arial" w:eastAsia="Arial" w:hAnsi="Arial"/>
          <w:color w:val="000000"/>
          <w:spacing w:val="3"/>
          <w:sz w:val="24"/>
          <w:lang w:val="en-GB"/>
        </w:rPr>
      </w:pPr>
    </w:p>
    <w:p w14:paraId="5081D00B" w14:textId="77777777" w:rsidR="00944BBC" w:rsidRPr="00944BBC" w:rsidRDefault="00944BBC" w:rsidP="00944BBC">
      <w:pPr>
        <w:ind w:left="720" w:right="216"/>
        <w:textAlignment w:val="baseline"/>
        <w:rPr>
          <w:rFonts w:ascii="Arial" w:eastAsia="Arial" w:hAnsi="Arial"/>
          <w:b/>
          <w:bCs/>
          <w:color w:val="000000"/>
          <w:spacing w:val="3"/>
          <w:sz w:val="24"/>
          <w:lang w:val="en-GB"/>
        </w:rPr>
      </w:pPr>
      <w:r w:rsidRPr="00944BBC">
        <w:rPr>
          <w:rFonts w:ascii="Arial" w:eastAsia="Arial" w:hAnsi="Arial"/>
          <w:b/>
          <w:bCs/>
          <w:color w:val="000000"/>
          <w:spacing w:val="3"/>
          <w:sz w:val="24"/>
          <w:lang w:val="en-GB"/>
        </w:rPr>
        <w:t>2.0 Scope &amp; Purpose</w:t>
      </w:r>
    </w:p>
    <w:p w14:paraId="1F17117C" w14:textId="3D12F223"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 xml:space="preserve">The policy applies to all employees of Hampshire County Council (HCC) who undertake or deliver qualifications through Hampshire </w:t>
      </w:r>
      <w:r w:rsidR="00B30841">
        <w:rPr>
          <w:rFonts w:ascii="Arial" w:eastAsia="Arial" w:hAnsi="Arial"/>
          <w:color w:val="000000"/>
          <w:spacing w:val="3"/>
          <w:sz w:val="24"/>
          <w:lang w:val="en-GB"/>
        </w:rPr>
        <w:t>Outdoors</w:t>
      </w:r>
      <w:r w:rsidRPr="00944BBC">
        <w:rPr>
          <w:rFonts w:ascii="Arial" w:eastAsia="Arial" w:hAnsi="Arial"/>
          <w:color w:val="000000"/>
          <w:spacing w:val="3"/>
          <w:sz w:val="24"/>
          <w:lang w:val="en-GB"/>
        </w:rPr>
        <w:t xml:space="preserve">. </w:t>
      </w:r>
    </w:p>
    <w:p w14:paraId="53069391" w14:textId="41F1B1C5"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 xml:space="preserve">The Awarding </w:t>
      </w:r>
      <w:r w:rsidR="00A4071E">
        <w:rPr>
          <w:rFonts w:ascii="Arial" w:eastAsia="Arial" w:hAnsi="Arial"/>
          <w:color w:val="000000"/>
          <w:spacing w:val="3"/>
          <w:sz w:val="24"/>
          <w:lang w:val="en-GB"/>
        </w:rPr>
        <w:t>Organisations</w:t>
      </w:r>
      <w:r w:rsidRPr="00944BBC">
        <w:rPr>
          <w:rFonts w:ascii="Arial" w:eastAsia="Arial" w:hAnsi="Arial"/>
          <w:color w:val="000000"/>
          <w:spacing w:val="3"/>
          <w:sz w:val="24"/>
          <w:lang w:val="en-GB"/>
        </w:rPr>
        <w:t xml:space="preserve"> (A</w:t>
      </w:r>
      <w:r w:rsidR="00A4071E">
        <w:rPr>
          <w:rFonts w:ascii="Arial" w:eastAsia="Arial" w:hAnsi="Arial"/>
          <w:color w:val="000000"/>
          <w:spacing w:val="3"/>
          <w:sz w:val="24"/>
          <w:lang w:val="en-GB"/>
        </w:rPr>
        <w:t>O</w:t>
      </w:r>
      <w:r w:rsidRPr="00944BBC">
        <w:rPr>
          <w:rFonts w:ascii="Arial" w:eastAsia="Arial" w:hAnsi="Arial"/>
          <w:color w:val="000000"/>
          <w:spacing w:val="3"/>
          <w:sz w:val="24"/>
          <w:lang w:val="en-GB"/>
        </w:rPr>
        <w:t>) are required by the qualification regulator the Joint Council for Qualifications (JCQ) to ensure that any conflict of interest in relation to the design, delivery and awarding of examinations / assessments is identified, recorded, and managed effectively.</w:t>
      </w:r>
    </w:p>
    <w:p w14:paraId="3E58137E" w14:textId="28FD836B" w:rsidR="00944BBC" w:rsidRPr="00944BBC" w:rsidRDefault="00944BBC" w:rsidP="00944BBC">
      <w:pPr>
        <w:ind w:left="720" w:right="216"/>
        <w:textAlignment w:val="baseline"/>
        <w:rPr>
          <w:rFonts w:ascii="Arial" w:eastAsia="Arial" w:hAnsi="Arial"/>
          <w:color w:val="000000"/>
          <w:spacing w:val="3"/>
          <w:sz w:val="24"/>
          <w:lang w:val="en-GB"/>
        </w:rPr>
      </w:pPr>
      <w:r w:rsidRPr="00944BBC">
        <w:rPr>
          <w:rFonts w:ascii="Arial" w:eastAsia="Arial" w:hAnsi="Arial"/>
          <w:color w:val="000000"/>
          <w:spacing w:val="3"/>
          <w:sz w:val="24"/>
          <w:lang w:val="en-GB"/>
        </w:rPr>
        <w:t>H</w:t>
      </w:r>
      <w:r w:rsidR="00E832A8">
        <w:rPr>
          <w:rFonts w:ascii="Arial" w:eastAsia="Arial" w:hAnsi="Arial"/>
          <w:color w:val="000000"/>
          <w:spacing w:val="3"/>
          <w:sz w:val="24"/>
          <w:lang w:val="en-GB"/>
        </w:rPr>
        <w:t>ampshire Outdoors</w:t>
      </w:r>
      <w:r w:rsidRPr="00944BBC">
        <w:rPr>
          <w:rFonts w:ascii="Arial" w:eastAsia="Arial" w:hAnsi="Arial"/>
          <w:color w:val="000000"/>
          <w:spacing w:val="3"/>
          <w:sz w:val="24"/>
          <w:lang w:val="en-GB"/>
        </w:rPr>
        <w:t xml:space="preserve"> conflict of interest processes have been designed to protect the integrity of awarding bodies assessments undertaken at our centres, and we want to make sure they remain fair, and we also want to make sure individuals at our centres are protected where there is potential, or a perception, that they could be influenced by any personal interests.</w:t>
      </w:r>
    </w:p>
    <w:p w14:paraId="0DF37381" w14:textId="77777777" w:rsidR="00944BBC" w:rsidRDefault="00944BBC" w:rsidP="002829D9">
      <w:pPr>
        <w:ind w:left="720" w:right="216"/>
        <w:textAlignment w:val="baseline"/>
        <w:rPr>
          <w:rFonts w:ascii="Arial" w:eastAsia="Arial" w:hAnsi="Arial"/>
          <w:color w:val="000000"/>
          <w:spacing w:val="3"/>
          <w:sz w:val="24"/>
        </w:rPr>
      </w:pPr>
    </w:p>
    <w:p w14:paraId="7BF5D546" w14:textId="3026CD82" w:rsidR="00455B16" w:rsidRPr="00455B16" w:rsidRDefault="00455B16" w:rsidP="00455B16">
      <w:pPr>
        <w:ind w:left="720" w:right="216"/>
        <w:textAlignment w:val="baseline"/>
        <w:rPr>
          <w:rFonts w:ascii="Arial" w:eastAsia="Arial" w:hAnsi="Arial"/>
          <w:b/>
          <w:bCs/>
          <w:color w:val="000000"/>
          <w:spacing w:val="3"/>
          <w:sz w:val="24"/>
          <w:lang w:val="en-GB"/>
        </w:rPr>
      </w:pPr>
      <w:r>
        <w:rPr>
          <w:rFonts w:ascii="Arial" w:eastAsia="Arial" w:hAnsi="Arial"/>
          <w:b/>
          <w:bCs/>
          <w:color w:val="000000"/>
          <w:spacing w:val="3"/>
          <w:sz w:val="24"/>
          <w:lang w:val="en-GB"/>
        </w:rPr>
        <w:t xml:space="preserve">3.0 </w:t>
      </w:r>
      <w:r w:rsidRPr="00455B16">
        <w:rPr>
          <w:rFonts w:ascii="Arial" w:eastAsia="Arial" w:hAnsi="Arial"/>
          <w:b/>
          <w:bCs/>
          <w:color w:val="000000"/>
          <w:spacing w:val="3"/>
          <w:sz w:val="24"/>
          <w:lang w:val="en-GB"/>
        </w:rPr>
        <w:t>Definition of Conflict of Interest</w:t>
      </w:r>
    </w:p>
    <w:p w14:paraId="3D2F5A72" w14:textId="2A68DA3D" w:rsidR="00455B16" w:rsidRDefault="00455B16" w:rsidP="00930C85">
      <w:pPr>
        <w:ind w:left="720" w:right="216"/>
        <w:textAlignment w:val="baseline"/>
        <w:rPr>
          <w:rFonts w:ascii="Arial" w:eastAsia="Arial" w:hAnsi="Arial"/>
          <w:color w:val="000000"/>
          <w:spacing w:val="3"/>
          <w:sz w:val="24"/>
          <w:lang w:val="en-GB"/>
        </w:rPr>
      </w:pPr>
      <w:r w:rsidRPr="00455B16">
        <w:rPr>
          <w:rFonts w:ascii="Arial" w:eastAsia="Arial" w:hAnsi="Arial"/>
          <w:color w:val="000000"/>
          <w:spacing w:val="3"/>
          <w:sz w:val="24"/>
          <w:lang w:val="en-GB"/>
        </w:rPr>
        <w:t>A conflict of interest occurs where any member of staff who has access to privileged information, or is responsible for making decisions about assessment outcomes, could, potentially, use that information, or their position, to give an unfair advantage to a close friend or relative entered for an examination/assessment at our or any other centre.</w:t>
      </w:r>
    </w:p>
    <w:p w14:paraId="4C318C59" w14:textId="77777777" w:rsidR="00930C85" w:rsidRDefault="00930C85" w:rsidP="00930C85">
      <w:pPr>
        <w:ind w:left="720" w:right="216"/>
        <w:textAlignment w:val="baseline"/>
        <w:rPr>
          <w:rFonts w:ascii="Arial" w:eastAsia="Arial" w:hAnsi="Arial"/>
          <w:color w:val="000000"/>
          <w:spacing w:val="3"/>
          <w:sz w:val="24"/>
          <w:lang w:val="en-GB"/>
        </w:rPr>
      </w:pPr>
    </w:p>
    <w:p w14:paraId="10BCD4D8" w14:textId="4D7619ED" w:rsidR="00930C85" w:rsidRDefault="00930C85" w:rsidP="4EBCB608">
      <w:pPr>
        <w:ind w:left="720" w:right="216"/>
        <w:textAlignment w:val="baseline"/>
        <w:rPr>
          <w:rFonts w:ascii="Arial" w:eastAsia="Arial" w:hAnsi="Arial"/>
          <w:color w:val="000000"/>
          <w:spacing w:val="3"/>
          <w:sz w:val="24"/>
          <w:szCs w:val="24"/>
        </w:rPr>
      </w:pPr>
      <w:r w:rsidRPr="4EBCB608">
        <w:rPr>
          <w:rFonts w:ascii="Arial" w:eastAsia="Arial" w:hAnsi="Arial"/>
          <w:color w:val="000000"/>
          <w:spacing w:val="3"/>
          <w:sz w:val="24"/>
          <w:szCs w:val="24"/>
        </w:rPr>
        <w:t>A conflict of interest also occurs if any member of our Centre’s staff is entered for an examination/assessment.</w:t>
      </w:r>
    </w:p>
    <w:p w14:paraId="351321F7" w14:textId="77777777" w:rsidR="00930C85" w:rsidRDefault="00930C85" w:rsidP="00930C85">
      <w:pPr>
        <w:ind w:left="720" w:right="216"/>
        <w:textAlignment w:val="baseline"/>
        <w:rPr>
          <w:rFonts w:ascii="Arial" w:eastAsia="Arial" w:hAnsi="Arial"/>
          <w:color w:val="000000"/>
          <w:spacing w:val="3"/>
          <w:sz w:val="24"/>
        </w:rPr>
      </w:pPr>
    </w:p>
    <w:p w14:paraId="18276F53" w14:textId="37A104A7" w:rsidR="00C93A1C" w:rsidRPr="00C93A1C" w:rsidRDefault="00C93A1C" w:rsidP="00C93A1C">
      <w:pPr>
        <w:ind w:left="720" w:right="216"/>
        <w:textAlignment w:val="baseline"/>
        <w:rPr>
          <w:rFonts w:ascii="Arial" w:eastAsia="Arial" w:hAnsi="Arial"/>
          <w:b/>
          <w:bCs/>
          <w:color w:val="000000"/>
          <w:spacing w:val="3"/>
          <w:sz w:val="24"/>
          <w:lang w:val="en-GB"/>
        </w:rPr>
      </w:pPr>
      <w:r w:rsidRPr="00C93A1C">
        <w:rPr>
          <w:rFonts w:ascii="Arial" w:eastAsia="Arial" w:hAnsi="Arial"/>
          <w:b/>
          <w:bCs/>
          <w:color w:val="000000"/>
          <w:spacing w:val="3"/>
          <w:sz w:val="24"/>
          <w:lang w:val="en-GB"/>
        </w:rPr>
        <w:t>4.0 Hampshire Outdoors Responsibilities</w:t>
      </w:r>
    </w:p>
    <w:p w14:paraId="3BE69281" w14:textId="3561A52A"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It is the responsibility of the Head of Service (or their nominee e.g.</w:t>
      </w:r>
      <w:r w:rsidR="002070D8">
        <w:rPr>
          <w:rFonts w:ascii="Arial" w:eastAsia="Arial" w:hAnsi="Arial"/>
          <w:color w:val="000000"/>
          <w:spacing w:val="3"/>
          <w:sz w:val="24"/>
          <w:lang w:val="en-GB"/>
        </w:rPr>
        <w:t xml:space="preserve"> </w:t>
      </w:r>
      <w:r w:rsidRPr="00C93A1C">
        <w:rPr>
          <w:rFonts w:ascii="Arial" w:eastAsia="Arial" w:hAnsi="Arial"/>
          <w:color w:val="000000"/>
          <w:spacing w:val="3"/>
          <w:sz w:val="24"/>
          <w:lang w:val="en-GB"/>
        </w:rPr>
        <w:t>Development</w:t>
      </w:r>
    </w:p>
    <w:p w14:paraId="178F2B8E" w14:textId="4EDE8995"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Manager</w:t>
      </w:r>
      <w:r w:rsidR="002070D8">
        <w:rPr>
          <w:rFonts w:ascii="Arial" w:eastAsia="Arial" w:hAnsi="Arial"/>
          <w:color w:val="000000"/>
          <w:spacing w:val="3"/>
          <w:sz w:val="24"/>
          <w:lang w:val="en-GB"/>
        </w:rPr>
        <w:t>)</w:t>
      </w:r>
      <w:r>
        <w:rPr>
          <w:rFonts w:ascii="Arial" w:eastAsia="Arial" w:hAnsi="Arial"/>
          <w:color w:val="000000"/>
          <w:spacing w:val="3"/>
          <w:sz w:val="24"/>
          <w:lang w:val="en-GB"/>
        </w:rPr>
        <w:t xml:space="preserve"> </w:t>
      </w:r>
      <w:r w:rsidRPr="00C93A1C">
        <w:rPr>
          <w:rFonts w:ascii="Arial" w:eastAsia="Arial" w:hAnsi="Arial"/>
          <w:color w:val="000000"/>
          <w:spacing w:val="3"/>
          <w:sz w:val="24"/>
          <w:lang w:val="en-GB"/>
        </w:rPr>
        <w:t>to manage conflicts of interest</w:t>
      </w:r>
      <w:r w:rsidR="00AC6B90">
        <w:rPr>
          <w:rFonts w:ascii="Arial" w:eastAsia="Arial" w:hAnsi="Arial"/>
          <w:color w:val="000000"/>
          <w:spacing w:val="3"/>
          <w:sz w:val="24"/>
          <w:lang w:val="en-GB"/>
        </w:rPr>
        <w:t xml:space="preserve"> e.g. if</w:t>
      </w:r>
      <w:r w:rsidRPr="00C93A1C">
        <w:rPr>
          <w:rFonts w:ascii="Arial" w:eastAsia="Arial" w:hAnsi="Arial"/>
          <w:color w:val="000000"/>
          <w:spacing w:val="3"/>
          <w:sz w:val="24"/>
          <w:lang w:val="en-GB"/>
        </w:rPr>
        <w:t xml:space="preserve"> any:</w:t>
      </w:r>
    </w:p>
    <w:p w14:paraId="6A86A9B8" w14:textId="77777777"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 xml:space="preserve">· </w:t>
      </w:r>
      <w:proofErr w:type="gramStart"/>
      <w:r w:rsidRPr="00C93A1C">
        <w:rPr>
          <w:rFonts w:ascii="Arial" w:eastAsia="Arial" w:hAnsi="Arial"/>
          <w:color w:val="000000"/>
          <w:spacing w:val="3"/>
          <w:sz w:val="24"/>
          <w:lang w:val="en-GB"/>
        </w:rPr>
        <w:t>members</w:t>
      </w:r>
      <w:proofErr w:type="gramEnd"/>
      <w:r w:rsidRPr="00C93A1C">
        <w:rPr>
          <w:rFonts w:ascii="Arial" w:eastAsia="Arial" w:hAnsi="Arial"/>
          <w:color w:val="000000"/>
          <w:spacing w:val="3"/>
          <w:sz w:val="24"/>
          <w:lang w:val="en-GB"/>
        </w:rPr>
        <w:t xml:space="preserve"> of centre staff who are taking qualifications at their own centre which include internally assessed components/</w:t>
      </w:r>
      <w:proofErr w:type="gramStart"/>
      <w:r w:rsidRPr="00C93A1C">
        <w:rPr>
          <w:rFonts w:ascii="Arial" w:eastAsia="Arial" w:hAnsi="Arial"/>
          <w:color w:val="000000"/>
          <w:spacing w:val="3"/>
          <w:sz w:val="24"/>
          <w:lang w:val="en-GB"/>
        </w:rPr>
        <w:t>units;</w:t>
      </w:r>
      <w:proofErr w:type="gramEnd"/>
    </w:p>
    <w:p w14:paraId="4B29EE74" w14:textId="77777777"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 xml:space="preserve">· </w:t>
      </w:r>
      <w:proofErr w:type="gramStart"/>
      <w:r w:rsidRPr="00C93A1C">
        <w:rPr>
          <w:rFonts w:ascii="Arial" w:eastAsia="Arial" w:hAnsi="Arial"/>
          <w:color w:val="000000"/>
          <w:spacing w:val="3"/>
          <w:sz w:val="24"/>
          <w:lang w:val="en-GB"/>
        </w:rPr>
        <w:t>members</w:t>
      </w:r>
      <w:proofErr w:type="gramEnd"/>
      <w:r w:rsidRPr="00C93A1C">
        <w:rPr>
          <w:rFonts w:ascii="Arial" w:eastAsia="Arial" w:hAnsi="Arial"/>
          <w:color w:val="000000"/>
          <w:spacing w:val="3"/>
          <w:sz w:val="24"/>
          <w:lang w:val="en-GB"/>
        </w:rPr>
        <w:t xml:space="preserve"> of centre staff who are teaching and preparing members of their family (which includes stepfamily, foster family and similar close relationships) or close friends and their immediate family (e.g., son/daughter) for qualifications which include internally assessed components/units.</w:t>
      </w:r>
    </w:p>
    <w:p w14:paraId="7FA8384A" w14:textId="4E0655C2" w:rsidR="00C93A1C" w:rsidRPr="00C93A1C" w:rsidRDefault="00C93A1C" w:rsidP="696A7555">
      <w:pPr>
        <w:ind w:left="720" w:right="216"/>
        <w:textAlignment w:val="baseline"/>
        <w:rPr>
          <w:rFonts w:ascii="Arial" w:eastAsia="Arial" w:hAnsi="Arial"/>
          <w:color w:val="000000"/>
          <w:spacing w:val="3"/>
          <w:sz w:val="24"/>
          <w:szCs w:val="24"/>
          <w:lang w:val="en-GB"/>
        </w:rPr>
      </w:pPr>
      <w:r w:rsidRPr="696A7555">
        <w:rPr>
          <w:rFonts w:ascii="Arial" w:eastAsia="Arial" w:hAnsi="Arial"/>
          <w:color w:val="000000"/>
          <w:spacing w:val="3"/>
          <w:sz w:val="24"/>
          <w:szCs w:val="24"/>
          <w:lang w:val="en-GB"/>
        </w:rPr>
        <w:t>And maintains clear records of all instances where:</w:t>
      </w:r>
    </w:p>
    <w:p w14:paraId="738459E1" w14:textId="77777777"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 xml:space="preserve">· </w:t>
      </w:r>
      <w:proofErr w:type="gramStart"/>
      <w:r w:rsidRPr="00C93A1C">
        <w:rPr>
          <w:rFonts w:ascii="Arial" w:eastAsia="Arial" w:hAnsi="Arial"/>
          <w:color w:val="000000"/>
          <w:spacing w:val="3"/>
          <w:sz w:val="24"/>
          <w:lang w:val="en-GB"/>
        </w:rPr>
        <w:t>centre</w:t>
      </w:r>
      <w:proofErr w:type="gramEnd"/>
      <w:r w:rsidRPr="00C93A1C">
        <w:rPr>
          <w:rFonts w:ascii="Arial" w:eastAsia="Arial" w:hAnsi="Arial"/>
          <w:color w:val="000000"/>
          <w:spacing w:val="3"/>
          <w:sz w:val="24"/>
          <w:lang w:val="en-GB"/>
        </w:rPr>
        <w:t xml:space="preserve"> staff are taking qualifications at their centre which do not include internally assessed components/</w:t>
      </w:r>
      <w:proofErr w:type="gramStart"/>
      <w:r w:rsidRPr="00C93A1C">
        <w:rPr>
          <w:rFonts w:ascii="Arial" w:eastAsia="Arial" w:hAnsi="Arial"/>
          <w:color w:val="000000"/>
          <w:spacing w:val="3"/>
          <w:sz w:val="24"/>
          <w:lang w:val="en-GB"/>
        </w:rPr>
        <w:t>units;</w:t>
      </w:r>
      <w:proofErr w:type="gramEnd"/>
    </w:p>
    <w:p w14:paraId="3665F42A" w14:textId="77777777"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lastRenderedPageBreak/>
        <w:t>In addition to the above requirements of what should be recorded at our centres, if there are any other situations which it is felt could be, or at least perceived to be, a potential conflict, it is best practice to record this.</w:t>
      </w:r>
    </w:p>
    <w:p w14:paraId="0054CD86" w14:textId="3F2AF88C" w:rsidR="00C93A1C" w:rsidRPr="00C93A1C" w:rsidRDefault="00C93A1C" w:rsidP="00C93A1C">
      <w:pPr>
        <w:ind w:left="720" w:right="216"/>
        <w:textAlignment w:val="baseline"/>
        <w:rPr>
          <w:rFonts w:ascii="Arial" w:eastAsia="Arial" w:hAnsi="Arial"/>
          <w:color w:val="000000"/>
          <w:spacing w:val="3"/>
          <w:sz w:val="24"/>
          <w:lang w:val="en-GB"/>
        </w:rPr>
      </w:pPr>
      <w:r w:rsidRPr="00C93A1C">
        <w:rPr>
          <w:rFonts w:ascii="Arial" w:eastAsia="Arial" w:hAnsi="Arial"/>
          <w:color w:val="000000"/>
          <w:spacing w:val="3"/>
          <w:sz w:val="24"/>
          <w:lang w:val="en-GB"/>
        </w:rPr>
        <w:t>The Development Manager must ensure that the records include details of the measures taken to mitigate any potential risk to the integrity of the qualifications affected. These records may be inspected by a JCQ Centre Inspector and/or A</w:t>
      </w:r>
      <w:r w:rsidR="00475EB3">
        <w:rPr>
          <w:rFonts w:ascii="Arial" w:eastAsia="Arial" w:hAnsi="Arial"/>
          <w:color w:val="000000"/>
          <w:spacing w:val="3"/>
          <w:sz w:val="24"/>
          <w:lang w:val="en-GB"/>
        </w:rPr>
        <w:t>O</w:t>
      </w:r>
      <w:r w:rsidRPr="00C93A1C">
        <w:rPr>
          <w:rFonts w:ascii="Arial" w:eastAsia="Arial" w:hAnsi="Arial"/>
          <w:color w:val="000000"/>
          <w:spacing w:val="3"/>
          <w:sz w:val="24"/>
          <w:lang w:val="en-GB"/>
        </w:rPr>
        <w:t xml:space="preserve"> staff. They might be requested in the event of concerns being reported to an awarding </w:t>
      </w:r>
      <w:r w:rsidR="00475EB3">
        <w:rPr>
          <w:rFonts w:ascii="Arial" w:eastAsia="Arial" w:hAnsi="Arial"/>
          <w:color w:val="000000"/>
          <w:spacing w:val="3"/>
          <w:sz w:val="24"/>
          <w:lang w:val="en-GB"/>
        </w:rPr>
        <w:t>organisation</w:t>
      </w:r>
      <w:r w:rsidRPr="00C93A1C">
        <w:rPr>
          <w:rFonts w:ascii="Arial" w:eastAsia="Arial" w:hAnsi="Arial"/>
          <w:color w:val="000000"/>
          <w:spacing w:val="3"/>
          <w:sz w:val="24"/>
          <w:lang w:val="en-GB"/>
        </w:rPr>
        <w:t>. The records must be retained until the deadline for reviews of marking has passed or until any appeal, malpractice or other results enquiry has been completed, whichever is later.</w:t>
      </w:r>
    </w:p>
    <w:p w14:paraId="49A4506C" w14:textId="77777777" w:rsidR="00930C85" w:rsidRDefault="00930C85" w:rsidP="00930C85">
      <w:pPr>
        <w:ind w:left="720" w:right="216"/>
        <w:textAlignment w:val="baseline"/>
        <w:rPr>
          <w:rFonts w:ascii="Arial" w:eastAsia="Arial" w:hAnsi="Arial"/>
          <w:color w:val="000000"/>
          <w:spacing w:val="3"/>
          <w:sz w:val="24"/>
          <w:lang w:val="en-GB"/>
        </w:rPr>
      </w:pPr>
    </w:p>
    <w:p w14:paraId="33B8C90B" w14:textId="232D4844" w:rsidR="00AC7B2E" w:rsidRPr="00AC7B2E" w:rsidRDefault="00AC7B2E" w:rsidP="00AC7B2E">
      <w:pPr>
        <w:ind w:left="720" w:right="216"/>
        <w:textAlignment w:val="baseline"/>
        <w:rPr>
          <w:rFonts w:ascii="Arial" w:eastAsia="Arial" w:hAnsi="Arial"/>
          <w:b/>
          <w:bCs/>
          <w:color w:val="000000"/>
          <w:spacing w:val="3"/>
          <w:sz w:val="24"/>
          <w:lang w:val="en-GB"/>
        </w:rPr>
      </w:pPr>
      <w:r w:rsidRPr="00AC7B2E">
        <w:rPr>
          <w:rFonts w:ascii="Arial" w:eastAsia="Arial" w:hAnsi="Arial"/>
          <w:b/>
          <w:bCs/>
          <w:color w:val="000000"/>
          <w:spacing w:val="3"/>
          <w:sz w:val="24"/>
          <w:lang w:val="en-GB"/>
        </w:rPr>
        <w:t>5.0 Monitor, Review &amp; Audit</w:t>
      </w:r>
    </w:p>
    <w:p w14:paraId="53058BBA" w14:textId="32D004B9" w:rsidR="00AC7B2E" w:rsidRPr="00AC7B2E" w:rsidRDefault="00AC7B2E" w:rsidP="00AC7B2E">
      <w:pPr>
        <w:ind w:left="720" w:right="216"/>
        <w:textAlignment w:val="baseline"/>
        <w:rPr>
          <w:rFonts w:ascii="Arial" w:eastAsia="Arial" w:hAnsi="Arial"/>
          <w:color w:val="000000"/>
          <w:spacing w:val="3"/>
          <w:sz w:val="24"/>
          <w:lang w:val="en-GB"/>
        </w:rPr>
      </w:pPr>
      <w:r w:rsidRPr="00AC7B2E">
        <w:rPr>
          <w:rFonts w:ascii="Arial" w:eastAsia="Arial" w:hAnsi="Arial"/>
          <w:color w:val="000000"/>
          <w:spacing w:val="3"/>
          <w:sz w:val="24"/>
          <w:lang w:val="en-GB"/>
        </w:rPr>
        <w:t xml:space="preserve">The contents of all policy and procedures will be monitored regularly by Hampshire </w:t>
      </w:r>
      <w:r>
        <w:rPr>
          <w:rFonts w:ascii="Arial" w:eastAsia="Arial" w:hAnsi="Arial"/>
          <w:color w:val="000000"/>
          <w:spacing w:val="3"/>
          <w:sz w:val="24"/>
          <w:lang w:val="en-GB"/>
        </w:rPr>
        <w:t>Outdoors Managers</w:t>
      </w:r>
      <w:r w:rsidR="00A20654">
        <w:rPr>
          <w:rFonts w:ascii="Arial" w:eastAsia="Arial" w:hAnsi="Arial"/>
          <w:color w:val="000000"/>
          <w:spacing w:val="3"/>
          <w:sz w:val="24"/>
          <w:lang w:val="en-GB"/>
        </w:rPr>
        <w:t>.</w:t>
      </w:r>
      <w:r w:rsidRPr="00AC7B2E">
        <w:rPr>
          <w:rFonts w:ascii="Arial" w:eastAsia="Arial" w:hAnsi="Arial"/>
          <w:color w:val="000000"/>
          <w:spacing w:val="3"/>
          <w:sz w:val="24"/>
          <w:lang w:val="en-GB"/>
        </w:rPr>
        <w:t xml:space="preserve"> </w:t>
      </w:r>
    </w:p>
    <w:p w14:paraId="16CE4B85" w14:textId="7151EB9F" w:rsidR="00AC7B2E" w:rsidRDefault="00AC7B2E" w:rsidP="00AC7B2E">
      <w:pPr>
        <w:ind w:left="720" w:right="216"/>
        <w:textAlignment w:val="baseline"/>
        <w:rPr>
          <w:rFonts w:ascii="Arial" w:eastAsia="Arial" w:hAnsi="Arial"/>
          <w:color w:val="000000"/>
          <w:spacing w:val="3"/>
          <w:sz w:val="24"/>
          <w:lang w:val="en-GB"/>
        </w:rPr>
      </w:pPr>
      <w:r w:rsidRPr="00AC7B2E">
        <w:rPr>
          <w:rFonts w:ascii="Arial" w:eastAsia="Arial" w:hAnsi="Arial"/>
          <w:color w:val="000000"/>
          <w:spacing w:val="3"/>
          <w:sz w:val="24"/>
          <w:lang w:val="en-GB"/>
        </w:rPr>
        <w:t xml:space="preserve">All policy and procedures will be reviewed in line with our policy schedule to determine their effectiveness, and where any changes are required, these will be applied and ratified. </w:t>
      </w:r>
    </w:p>
    <w:p w14:paraId="209F4243" w14:textId="77777777" w:rsidR="009813B1" w:rsidRDefault="009813B1" w:rsidP="00AC7B2E">
      <w:pPr>
        <w:ind w:left="720" w:right="216"/>
        <w:textAlignment w:val="baseline"/>
        <w:rPr>
          <w:rFonts w:ascii="Arial" w:eastAsia="Arial" w:hAnsi="Arial"/>
          <w:color w:val="000000"/>
          <w:spacing w:val="3"/>
          <w:sz w:val="24"/>
          <w:lang w:val="en-GB"/>
        </w:rPr>
      </w:pPr>
    </w:p>
    <w:p w14:paraId="44D97537" w14:textId="77777777" w:rsidR="009813B1" w:rsidRDefault="009813B1" w:rsidP="00AC7B2E">
      <w:pPr>
        <w:ind w:left="720" w:right="216"/>
        <w:textAlignment w:val="baseline"/>
        <w:rPr>
          <w:rFonts w:ascii="Arial" w:eastAsia="Arial" w:hAnsi="Arial"/>
          <w:color w:val="000000"/>
          <w:spacing w:val="3"/>
          <w:sz w:val="24"/>
          <w:lang w:val="en-GB"/>
        </w:rPr>
      </w:pPr>
    </w:p>
    <w:p w14:paraId="76245B90" w14:textId="77777777" w:rsidR="009813B1" w:rsidRDefault="009813B1" w:rsidP="00AC7B2E">
      <w:pPr>
        <w:ind w:left="720" w:right="216"/>
        <w:textAlignment w:val="baseline"/>
        <w:rPr>
          <w:rFonts w:ascii="Arial" w:eastAsia="Arial" w:hAnsi="Arial"/>
          <w:color w:val="000000"/>
          <w:spacing w:val="3"/>
          <w:sz w:val="24"/>
          <w:lang w:val="en-GB"/>
        </w:rPr>
      </w:pPr>
    </w:p>
    <w:p w14:paraId="18DE3FA2" w14:textId="77777777" w:rsidR="009813B1" w:rsidRDefault="009813B1" w:rsidP="00AC7B2E">
      <w:pPr>
        <w:ind w:left="720" w:right="216"/>
        <w:textAlignment w:val="baseline"/>
        <w:rPr>
          <w:rFonts w:ascii="Arial" w:eastAsia="Arial" w:hAnsi="Arial"/>
          <w:color w:val="000000"/>
          <w:spacing w:val="3"/>
          <w:sz w:val="24"/>
          <w:lang w:val="en-GB"/>
        </w:rPr>
      </w:pPr>
    </w:p>
    <w:p w14:paraId="109B31B5" w14:textId="77777777" w:rsidR="009813B1" w:rsidRDefault="009813B1" w:rsidP="00AC7B2E">
      <w:pPr>
        <w:ind w:left="720" w:right="216"/>
        <w:textAlignment w:val="baseline"/>
        <w:rPr>
          <w:rFonts w:ascii="Arial" w:eastAsia="Arial" w:hAnsi="Arial"/>
          <w:color w:val="000000"/>
          <w:spacing w:val="3"/>
          <w:sz w:val="24"/>
          <w:lang w:val="en-GB"/>
        </w:rPr>
      </w:pPr>
    </w:p>
    <w:p w14:paraId="104CED6F" w14:textId="77777777" w:rsidR="009813B1" w:rsidRDefault="009813B1" w:rsidP="00AC7B2E">
      <w:pPr>
        <w:ind w:left="720" w:right="216"/>
        <w:textAlignment w:val="baseline"/>
        <w:rPr>
          <w:rFonts w:ascii="Arial" w:eastAsia="Arial" w:hAnsi="Arial"/>
          <w:color w:val="000000"/>
          <w:spacing w:val="3"/>
          <w:sz w:val="24"/>
          <w:lang w:val="en-GB"/>
        </w:rPr>
      </w:pPr>
    </w:p>
    <w:p w14:paraId="39D08025" w14:textId="77777777" w:rsidR="009813B1" w:rsidRDefault="009813B1" w:rsidP="00AC7B2E">
      <w:pPr>
        <w:ind w:left="720" w:right="216"/>
        <w:textAlignment w:val="baseline"/>
        <w:rPr>
          <w:rFonts w:ascii="Arial" w:eastAsia="Arial" w:hAnsi="Arial"/>
          <w:color w:val="000000"/>
          <w:spacing w:val="3"/>
          <w:sz w:val="24"/>
          <w:lang w:val="en-GB"/>
        </w:rPr>
      </w:pPr>
    </w:p>
    <w:p w14:paraId="7EED4D58" w14:textId="77777777" w:rsidR="009813B1" w:rsidRDefault="009813B1" w:rsidP="00AC7B2E">
      <w:pPr>
        <w:ind w:left="720" w:right="216"/>
        <w:textAlignment w:val="baseline"/>
        <w:rPr>
          <w:rFonts w:ascii="Arial" w:eastAsia="Arial" w:hAnsi="Arial"/>
          <w:color w:val="000000"/>
          <w:spacing w:val="3"/>
          <w:sz w:val="24"/>
          <w:lang w:val="en-GB"/>
        </w:rPr>
      </w:pPr>
    </w:p>
    <w:p w14:paraId="2088B546" w14:textId="77777777" w:rsidR="009813B1" w:rsidRDefault="009813B1" w:rsidP="00AC7B2E">
      <w:pPr>
        <w:ind w:left="720" w:right="216"/>
        <w:textAlignment w:val="baseline"/>
        <w:rPr>
          <w:rFonts w:ascii="Arial" w:eastAsia="Arial" w:hAnsi="Arial"/>
          <w:color w:val="000000"/>
          <w:spacing w:val="3"/>
          <w:sz w:val="24"/>
          <w:lang w:val="en-GB"/>
        </w:rPr>
      </w:pPr>
    </w:p>
    <w:p w14:paraId="68C156CB" w14:textId="77777777" w:rsidR="009813B1" w:rsidRDefault="009813B1" w:rsidP="00AC7B2E">
      <w:pPr>
        <w:ind w:left="720" w:right="216"/>
        <w:textAlignment w:val="baseline"/>
        <w:rPr>
          <w:rFonts w:ascii="Arial" w:eastAsia="Arial" w:hAnsi="Arial"/>
          <w:color w:val="000000"/>
          <w:spacing w:val="3"/>
          <w:sz w:val="24"/>
          <w:lang w:val="en-GB"/>
        </w:rPr>
      </w:pPr>
    </w:p>
    <w:p w14:paraId="1182A832" w14:textId="77777777" w:rsidR="009813B1" w:rsidRDefault="009813B1" w:rsidP="00AC7B2E">
      <w:pPr>
        <w:ind w:left="720" w:right="216"/>
        <w:textAlignment w:val="baseline"/>
        <w:rPr>
          <w:rFonts w:ascii="Arial" w:eastAsia="Arial" w:hAnsi="Arial"/>
          <w:color w:val="000000"/>
          <w:spacing w:val="3"/>
          <w:sz w:val="24"/>
          <w:lang w:val="en-GB"/>
        </w:rPr>
      </w:pPr>
    </w:p>
    <w:p w14:paraId="7E64D9FD" w14:textId="77777777" w:rsidR="009813B1" w:rsidRDefault="009813B1" w:rsidP="00AC7B2E">
      <w:pPr>
        <w:ind w:left="720" w:right="216"/>
        <w:textAlignment w:val="baseline"/>
        <w:rPr>
          <w:rFonts w:ascii="Arial" w:eastAsia="Arial" w:hAnsi="Arial"/>
          <w:color w:val="000000"/>
          <w:spacing w:val="3"/>
          <w:sz w:val="24"/>
          <w:lang w:val="en-GB"/>
        </w:rPr>
      </w:pPr>
    </w:p>
    <w:p w14:paraId="22621C49" w14:textId="77777777" w:rsidR="009813B1" w:rsidRDefault="009813B1" w:rsidP="00AC7B2E">
      <w:pPr>
        <w:ind w:left="720" w:right="216"/>
        <w:textAlignment w:val="baseline"/>
        <w:rPr>
          <w:rFonts w:ascii="Arial" w:eastAsia="Arial" w:hAnsi="Arial"/>
          <w:color w:val="000000"/>
          <w:spacing w:val="3"/>
          <w:sz w:val="24"/>
          <w:lang w:val="en-GB"/>
        </w:rPr>
      </w:pPr>
    </w:p>
    <w:p w14:paraId="4A529168" w14:textId="77777777" w:rsidR="009813B1" w:rsidRDefault="009813B1" w:rsidP="00AC7B2E">
      <w:pPr>
        <w:ind w:left="720" w:right="216"/>
        <w:textAlignment w:val="baseline"/>
        <w:rPr>
          <w:rFonts w:ascii="Arial" w:eastAsia="Arial" w:hAnsi="Arial"/>
          <w:color w:val="000000"/>
          <w:spacing w:val="3"/>
          <w:sz w:val="24"/>
          <w:lang w:val="en-GB"/>
        </w:rPr>
      </w:pPr>
    </w:p>
    <w:p w14:paraId="2CE20547" w14:textId="77777777" w:rsidR="009813B1" w:rsidRDefault="009813B1" w:rsidP="00AC7B2E">
      <w:pPr>
        <w:ind w:left="720" w:right="216"/>
        <w:textAlignment w:val="baseline"/>
        <w:rPr>
          <w:rFonts w:ascii="Arial" w:eastAsia="Arial" w:hAnsi="Arial"/>
          <w:color w:val="000000"/>
          <w:spacing w:val="3"/>
          <w:sz w:val="24"/>
          <w:lang w:val="en-GB"/>
        </w:rPr>
      </w:pPr>
    </w:p>
    <w:p w14:paraId="44C175C4" w14:textId="77777777" w:rsidR="009813B1" w:rsidRDefault="009813B1" w:rsidP="00AC7B2E">
      <w:pPr>
        <w:ind w:left="720" w:right="216"/>
        <w:textAlignment w:val="baseline"/>
        <w:rPr>
          <w:rFonts w:ascii="Arial" w:eastAsia="Arial" w:hAnsi="Arial"/>
          <w:color w:val="000000"/>
          <w:spacing w:val="3"/>
          <w:sz w:val="24"/>
          <w:lang w:val="en-GB"/>
        </w:rPr>
      </w:pPr>
    </w:p>
    <w:p w14:paraId="582C8926" w14:textId="77777777" w:rsidR="009813B1" w:rsidRDefault="009813B1" w:rsidP="00AC7B2E">
      <w:pPr>
        <w:ind w:left="720" w:right="216"/>
        <w:textAlignment w:val="baseline"/>
        <w:rPr>
          <w:rFonts w:ascii="Arial" w:eastAsia="Arial" w:hAnsi="Arial"/>
          <w:color w:val="000000"/>
          <w:spacing w:val="3"/>
          <w:sz w:val="24"/>
          <w:lang w:val="en-GB"/>
        </w:rPr>
      </w:pPr>
    </w:p>
    <w:p w14:paraId="07D6B6A1" w14:textId="77777777" w:rsidR="009813B1" w:rsidRDefault="009813B1" w:rsidP="00AC7B2E">
      <w:pPr>
        <w:ind w:left="720" w:right="216"/>
        <w:textAlignment w:val="baseline"/>
        <w:rPr>
          <w:rFonts w:ascii="Arial" w:eastAsia="Arial" w:hAnsi="Arial"/>
          <w:color w:val="000000"/>
          <w:spacing w:val="3"/>
          <w:sz w:val="24"/>
          <w:lang w:val="en-GB"/>
        </w:rPr>
      </w:pPr>
    </w:p>
    <w:p w14:paraId="665E50D0" w14:textId="77777777" w:rsidR="009813B1" w:rsidRDefault="009813B1" w:rsidP="00AC7B2E">
      <w:pPr>
        <w:ind w:left="720" w:right="216"/>
        <w:textAlignment w:val="baseline"/>
        <w:rPr>
          <w:rFonts w:ascii="Arial" w:eastAsia="Arial" w:hAnsi="Arial"/>
          <w:color w:val="000000"/>
          <w:spacing w:val="3"/>
          <w:sz w:val="24"/>
          <w:lang w:val="en-GB"/>
        </w:rPr>
      </w:pPr>
    </w:p>
    <w:p w14:paraId="2464ECB8"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1E190422"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2DC75260"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42275862"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2DBE2FD4"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7E0AEE28"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5EA08FF0"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4233A98D"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35CA8553"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2C721638"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1FAEACD5" w14:textId="77777777" w:rsidR="00DF32F9" w:rsidRDefault="00DF32F9" w:rsidP="696A7555">
      <w:pPr>
        <w:ind w:left="720" w:right="200"/>
        <w:textAlignment w:val="baseline"/>
        <w:rPr>
          <w:rFonts w:ascii="Arial" w:eastAsia="Arial" w:hAnsi="Arial" w:cs="Arial"/>
          <w:b/>
          <w:bCs/>
          <w:color w:val="000000" w:themeColor="text1"/>
          <w:sz w:val="24"/>
          <w:szCs w:val="24"/>
          <w:lang w:val="en-GB"/>
        </w:rPr>
      </w:pPr>
    </w:p>
    <w:p w14:paraId="0366B524" w14:textId="77777777" w:rsidR="005E2A55" w:rsidRDefault="005E2A55" w:rsidP="696A7555">
      <w:pPr>
        <w:ind w:left="720" w:right="200"/>
        <w:textAlignment w:val="baseline"/>
        <w:rPr>
          <w:rFonts w:ascii="Arial" w:eastAsia="Arial" w:hAnsi="Arial" w:cs="Arial"/>
          <w:b/>
          <w:bCs/>
          <w:color w:val="000000" w:themeColor="text1"/>
          <w:sz w:val="24"/>
          <w:szCs w:val="24"/>
          <w:lang w:val="en-GB"/>
        </w:rPr>
      </w:pPr>
    </w:p>
    <w:p w14:paraId="2978DA8C" w14:textId="77777777" w:rsidR="005E2A55" w:rsidRDefault="005E2A55" w:rsidP="696A7555">
      <w:pPr>
        <w:ind w:left="720" w:right="200"/>
        <w:textAlignment w:val="baseline"/>
        <w:rPr>
          <w:rFonts w:ascii="Arial" w:eastAsia="Arial" w:hAnsi="Arial" w:cs="Arial"/>
          <w:b/>
          <w:bCs/>
          <w:color w:val="000000" w:themeColor="text1"/>
          <w:sz w:val="24"/>
          <w:szCs w:val="24"/>
          <w:lang w:val="en-GB"/>
        </w:rPr>
      </w:pPr>
    </w:p>
    <w:p w14:paraId="661BA81C" w14:textId="77777777" w:rsidR="005E2A55" w:rsidRDefault="005E2A55" w:rsidP="696A7555">
      <w:pPr>
        <w:ind w:left="720" w:right="200"/>
        <w:textAlignment w:val="baseline"/>
        <w:rPr>
          <w:rFonts w:ascii="Arial" w:eastAsia="Arial" w:hAnsi="Arial" w:cs="Arial"/>
          <w:b/>
          <w:bCs/>
          <w:color w:val="000000" w:themeColor="text1"/>
          <w:sz w:val="24"/>
          <w:szCs w:val="24"/>
          <w:lang w:val="en-GB"/>
        </w:rPr>
      </w:pPr>
    </w:p>
    <w:p w14:paraId="6B3A3DA4" w14:textId="1C64E7C1" w:rsidR="009813B1" w:rsidRDefault="336B33CA" w:rsidP="696A7555">
      <w:pPr>
        <w:ind w:left="720" w:right="200"/>
        <w:textAlignment w:val="baseline"/>
        <w:rPr>
          <w:rFonts w:ascii="Arial" w:eastAsia="Arial" w:hAnsi="Arial" w:cs="Arial"/>
          <w:b/>
          <w:bCs/>
          <w:color w:val="000000" w:themeColor="text1"/>
          <w:sz w:val="24"/>
          <w:szCs w:val="24"/>
          <w:lang w:val="en-GB"/>
        </w:rPr>
      </w:pPr>
      <w:r w:rsidRPr="696A7555">
        <w:rPr>
          <w:rFonts w:ascii="Arial" w:eastAsia="Arial" w:hAnsi="Arial" w:cs="Arial"/>
          <w:b/>
          <w:bCs/>
          <w:color w:val="000000" w:themeColor="text1"/>
          <w:sz w:val="24"/>
          <w:szCs w:val="24"/>
          <w:lang w:val="en-GB"/>
        </w:rPr>
        <w:lastRenderedPageBreak/>
        <w:t>Appendix 1 Summary of Process to Mitigate Risk</w:t>
      </w:r>
    </w:p>
    <w:p w14:paraId="5D10D5C4" w14:textId="6A72088F" w:rsidR="009813B1" w:rsidRDefault="009813B1" w:rsidP="696A7555">
      <w:pPr>
        <w:ind w:left="720" w:right="200"/>
        <w:textAlignment w:val="baseline"/>
        <w:rPr>
          <w:rFonts w:ascii="Arial" w:eastAsia="Arial" w:hAnsi="Arial" w:cs="Arial"/>
          <w:b/>
          <w:bCs/>
          <w:color w:val="000000" w:themeColor="text1"/>
          <w:sz w:val="24"/>
          <w:szCs w:val="24"/>
          <w:lang w:val="en-GB"/>
        </w:rPr>
      </w:pPr>
    </w:p>
    <w:p w14:paraId="7DEAB558" w14:textId="39A6EE08" w:rsidR="009813B1" w:rsidRDefault="336B33CA" w:rsidP="696A7555">
      <w:pPr>
        <w:ind w:left="720"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All HCC staff delivering a national qualification will be given the opportunity to complete a Staff Conflict of Interest Declaration Form per qualification at the start of the academic year. Staff will be given the chance to update this form at the start of each new cohort/or individual learner.</w:t>
      </w:r>
    </w:p>
    <w:p w14:paraId="22CE9A68" w14:textId="3CD64818" w:rsidR="009813B1" w:rsidRDefault="009813B1" w:rsidP="696A7555">
      <w:pPr>
        <w:ind w:left="720" w:right="200"/>
        <w:textAlignment w:val="baseline"/>
        <w:rPr>
          <w:rFonts w:ascii="Arial" w:eastAsia="Arial" w:hAnsi="Arial" w:cs="Arial"/>
          <w:color w:val="000000" w:themeColor="text1"/>
          <w:sz w:val="24"/>
          <w:szCs w:val="24"/>
          <w:lang w:val="en-GB"/>
        </w:rPr>
      </w:pPr>
    </w:p>
    <w:p w14:paraId="59D0F1A0" w14:textId="7790A2E7" w:rsidR="009813B1" w:rsidRDefault="336B33CA" w:rsidP="696A7555">
      <w:pPr>
        <w:ind w:left="720"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All HCC staff, as learners, or any other learner completing a national qualification, will sign a </w:t>
      </w:r>
      <w:proofErr w:type="gramStart"/>
      <w:r w:rsidRPr="696A7555">
        <w:rPr>
          <w:rFonts w:ascii="Arial" w:eastAsia="Arial" w:hAnsi="Arial" w:cs="Arial"/>
          <w:color w:val="000000" w:themeColor="text1"/>
          <w:sz w:val="24"/>
          <w:szCs w:val="24"/>
          <w:lang w:val="en-GB"/>
        </w:rPr>
        <w:t>conflict of interest</w:t>
      </w:r>
      <w:proofErr w:type="gramEnd"/>
      <w:r w:rsidRPr="696A7555">
        <w:rPr>
          <w:rFonts w:ascii="Arial" w:eastAsia="Arial" w:hAnsi="Arial" w:cs="Arial"/>
          <w:color w:val="000000" w:themeColor="text1"/>
          <w:sz w:val="24"/>
          <w:szCs w:val="24"/>
          <w:lang w:val="en-GB"/>
        </w:rPr>
        <w:t xml:space="preserve"> declaration as part of the enrolment process</w:t>
      </w:r>
      <w:r w:rsidR="09DCDA89" w:rsidRPr="696A7555">
        <w:rPr>
          <w:rFonts w:ascii="Arial" w:eastAsia="Arial" w:hAnsi="Arial" w:cs="Arial"/>
          <w:color w:val="000000" w:themeColor="text1"/>
          <w:sz w:val="24"/>
          <w:szCs w:val="24"/>
          <w:lang w:val="en-GB"/>
        </w:rPr>
        <w:t>.</w:t>
      </w:r>
    </w:p>
    <w:p w14:paraId="242E63A0" w14:textId="2D121625" w:rsidR="009813B1" w:rsidRDefault="009813B1" w:rsidP="696A7555">
      <w:pPr>
        <w:ind w:left="720" w:right="200"/>
        <w:textAlignment w:val="baseline"/>
        <w:rPr>
          <w:rFonts w:ascii="Arial" w:eastAsia="Arial" w:hAnsi="Arial" w:cs="Arial"/>
          <w:color w:val="000000" w:themeColor="text1"/>
          <w:sz w:val="24"/>
          <w:szCs w:val="24"/>
          <w:lang w:val="en-GB"/>
        </w:rPr>
      </w:pPr>
    </w:p>
    <w:p w14:paraId="0F146ADE" w14:textId="15255243" w:rsidR="009813B1" w:rsidRDefault="09DCDA89" w:rsidP="696A7555">
      <w:pPr>
        <w:ind w:left="720"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Development Managers </w:t>
      </w:r>
    </w:p>
    <w:p w14:paraId="4D6FBDA2" w14:textId="52F2F644" w:rsidR="009813B1" w:rsidRDefault="009813B1" w:rsidP="696A7555">
      <w:pPr>
        <w:ind w:left="720" w:right="200"/>
        <w:textAlignment w:val="baseline"/>
        <w:rPr>
          <w:rFonts w:ascii="Arial" w:eastAsia="Arial" w:hAnsi="Arial" w:cs="Arial"/>
          <w:color w:val="000000" w:themeColor="text1"/>
          <w:sz w:val="24"/>
          <w:szCs w:val="24"/>
          <w:lang w:val="en-GB"/>
        </w:rPr>
      </w:pPr>
    </w:p>
    <w:p w14:paraId="6B8DA73E" w14:textId="04ADEBC8" w:rsidR="009813B1" w:rsidRDefault="09DCDA89" w:rsidP="696A7555">
      <w:pPr>
        <w:pStyle w:val="ListParagraph"/>
        <w:numPr>
          <w:ilvl w:val="0"/>
          <w:numId w:val="1"/>
        </w:numPr>
        <w:ind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will </w:t>
      </w:r>
      <w:r w:rsidR="336B33CA" w:rsidRPr="696A7555">
        <w:rPr>
          <w:rFonts w:ascii="Arial" w:eastAsia="Arial" w:hAnsi="Arial" w:cs="Arial"/>
          <w:color w:val="000000" w:themeColor="text1"/>
          <w:sz w:val="24"/>
          <w:szCs w:val="24"/>
          <w:lang w:val="en-GB"/>
        </w:rPr>
        <w:t>create an annual Conflict of Interest log, to which, both learner and where relevant staff names will be added.</w:t>
      </w:r>
    </w:p>
    <w:p w14:paraId="25CC806C" w14:textId="0C801C75" w:rsidR="009813B1" w:rsidRDefault="336B33CA" w:rsidP="696A7555">
      <w:pPr>
        <w:pStyle w:val="ListParagraph"/>
        <w:numPr>
          <w:ilvl w:val="0"/>
          <w:numId w:val="1"/>
        </w:numPr>
        <w:ind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prior to an EQA visit, provide the EQA with a list (our internal log) of the learners subject to conflict.</w:t>
      </w:r>
    </w:p>
    <w:p w14:paraId="347CCA7B" w14:textId="6F360B79" w:rsidR="009813B1" w:rsidRDefault="336B33CA" w:rsidP="696A7555">
      <w:pPr>
        <w:spacing w:before="240" w:after="24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The EQA will (where relevant):</w:t>
      </w:r>
    </w:p>
    <w:p w14:paraId="1ABE246F" w14:textId="5CB02131" w:rsidR="009813B1" w:rsidRDefault="336B33CA" w:rsidP="696A7555">
      <w:pPr>
        <w:spacing w:before="240" w:after="24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 </w:t>
      </w:r>
      <w:proofErr w:type="gramStart"/>
      <w:r w:rsidRPr="696A7555">
        <w:rPr>
          <w:rFonts w:ascii="Arial" w:eastAsia="Arial" w:hAnsi="Arial" w:cs="Arial"/>
          <w:color w:val="000000" w:themeColor="text1"/>
          <w:sz w:val="24"/>
          <w:szCs w:val="24"/>
          <w:lang w:val="en-GB"/>
        </w:rPr>
        <w:t>identify</w:t>
      </w:r>
      <w:proofErr w:type="gramEnd"/>
      <w:r w:rsidRPr="696A7555">
        <w:rPr>
          <w:rFonts w:ascii="Arial" w:eastAsia="Arial" w:hAnsi="Arial" w:cs="Arial"/>
          <w:color w:val="000000" w:themeColor="text1"/>
          <w:sz w:val="24"/>
          <w:szCs w:val="24"/>
          <w:lang w:val="en-GB"/>
        </w:rPr>
        <w:t xml:space="preserve"> a recommended sample size from the list of learners and undertake QA activity.</w:t>
      </w:r>
    </w:p>
    <w:p w14:paraId="594D01C6" w14:textId="0A774DCD" w:rsidR="009813B1" w:rsidRDefault="336B33CA" w:rsidP="696A7555">
      <w:pPr>
        <w:spacing w:before="240" w:after="24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 </w:t>
      </w:r>
      <w:proofErr w:type="gramStart"/>
      <w:r w:rsidRPr="696A7555">
        <w:rPr>
          <w:rFonts w:ascii="Arial" w:eastAsia="Arial" w:hAnsi="Arial" w:cs="Arial"/>
          <w:color w:val="000000" w:themeColor="text1"/>
          <w:sz w:val="24"/>
          <w:szCs w:val="24"/>
          <w:lang w:val="en-GB"/>
        </w:rPr>
        <w:t>by</w:t>
      </w:r>
      <w:proofErr w:type="gramEnd"/>
      <w:r w:rsidRPr="696A7555">
        <w:rPr>
          <w:rFonts w:ascii="Arial" w:eastAsia="Arial" w:hAnsi="Arial" w:cs="Arial"/>
          <w:color w:val="000000" w:themeColor="text1"/>
          <w:sz w:val="24"/>
          <w:szCs w:val="24"/>
          <w:lang w:val="en-GB"/>
        </w:rPr>
        <w:t xml:space="preserve"> completing their report provide a rolling log of learners to the awarding body</w:t>
      </w:r>
    </w:p>
    <w:p w14:paraId="57AF71E7" w14:textId="2CA1119E" w:rsidR="009813B1" w:rsidRDefault="336B33CA" w:rsidP="696A7555">
      <w:pPr>
        <w:ind w:right="200"/>
        <w:textAlignment w:val="baseline"/>
        <w:rPr>
          <w:rFonts w:ascii="Arial" w:eastAsia="Arial" w:hAnsi="Arial" w:cs="Arial"/>
          <w:color w:val="000000" w:themeColor="text1"/>
          <w:sz w:val="24"/>
          <w:szCs w:val="24"/>
          <w:lang w:val="en-GB"/>
        </w:rPr>
      </w:pPr>
      <w:r w:rsidRPr="696A7555">
        <w:rPr>
          <w:rFonts w:ascii="Arial" w:eastAsia="Arial" w:hAnsi="Arial" w:cs="Arial"/>
          <w:color w:val="000000" w:themeColor="text1"/>
          <w:sz w:val="24"/>
          <w:szCs w:val="24"/>
          <w:lang w:val="en-GB"/>
        </w:rPr>
        <w:t xml:space="preserve">· </w:t>
      </w:r>
      <w:proofErr w:type="gramStart"/>
      <w:r w:rsidRPr="696A7555">
        <w:rPr>
          <w:rFonts w:ascii="Arial" w:eastAsia="Arial" w:hAnsi="Arial" w:cs="Arial"/>
          <w:color w:val="000000" w:themeColor="text1"/>
          <w:sz w:val="24"/>
          <w:szCs w:val="24"/>
          <w:lang w:val="en-GB"/>
        </w:rPr>
        <w:t>request</w:t>
      </w:r>
      <w:proofErr w:type="gramEnd"/>
      <w:r w:rsidRPr="696A7555">
        <w:rPr>
          <w:rFonts w:ascii="Arial" w:eastAsia="Arial" w:hAnsi="Arial" w:cs="Arial"/>
          <w:color w:val="000000" w:themeColor="text1"/>
          <w:sz w:val="24"/>
          <w:szCs w:val="24"/>
          <w:lang w:val="en-GB"/>
        </w:rPr>
        <w:t xml:space="preserve"> to review our ‘Conflicts of Interest Policy’, along with details of the Assessor(s) and IQA(s)</w:t>
      </w:r>
    </w:p>
    <w:p w14:paraId="36228900" w14:textId="620D245B" w:rsidR="009813B1" w:rsidRDefault="009813B1" w:rsidP="696A7555">
      <w:pPr>
        <w:ind w:left="720" w:right="216"/>
        <w:textAlignment w:val="baseline"/>
        <w:rPr>
          <w:rFonts w:ascii="Arial" w:eastAsia="Arial" w:hAnsi="Arial"/>
          <w:color w:val="000000"/>
          <w:spacing w:val="3"/>
          <w:sz w:val="24"/>
          <w:szCs w:val="24"/>
          <w:lang w:val="en-GB"/>
        </w:rPr>
      </w:pPr>
    </w:p>
    <w:p w14:paraId="0F2AE5F4" w14:textId="77777777" w:rsidR="009813B1" w:rsidRDefault="009813B1" w:rsidP="696A7555">
      <w:pPr>
        <w:ind w:left="720" w:right="216"/>
        <w:textAlignment w:val="baseline"/>
        <w:rPr>
          <w:rFonts w:ascii="Arial" w:eastAsia="Arial" w:hAnsi="Arial"/>
          <w:color w:val="000000" w:themeColor="text1"/>
          <w:sz w:val="24"/>
          <w:szCs w:val="24"/>
          <w:lang w:val="en-GB"/>
        </w:rPr>
      </w:pPr>
    </w:p>
    <w:p w14:paraId="39CB1D36" w14:textId="77777777" w:rsidR="009813B1" w:rsidRDefault="009813B1" w:rsidP="00AC7B2E">
      <w:pPr>
        <w:ind w:left="720" w:right="216"/>
        <w:textAlignment w:val="baseline"/>
        <w:rPr>
          <w:rFonts w:ascii="Arial" w:eastAsia="Arial" w:hAnsi="Arial"/>
          <w:color w:val="000000"/>
          <w:spacing w:val="3"/>
          <w:sz w:val="24"/>
          <w:lang w:val="en-GB"/>
        </w:rPr>
      </w:pPr>
    </w:p>
    <w:p w14:paraId="0368C2F1" w14:textId="77777777" w:rsidR="009813B1" w:rsidRDefault="009813B1" w:rsidP="00AC7B2E">
      <w:pPr>
        <w:ind w:left="720" w:right="216"/>
        <w:textAlignment w:val="baseline"/>
        <w:rPr>
          <w:rFonts w:ascii="Arial" w:eastAsia="Arial" w:hAnsi="Arial"/>
          <w:color w:val="000000"/>
          <w:spacing w:val="3"/>
          <w:sz w:val="24"/>
          <w:lang w:val="en-GB"/>
        </w:rPr>
      </w:pPr>
    </w:p>
    <w:p w14:paraId="7CAEE432" w14:textId="77777777" w:rsidR="009813B1" w:rsidRDefault="009813B1" w:rsidP="00AC7B2E">
      <w:pPr>
        <w:ind w:left="720" w:right="216"/>
        <w:textAlignment w:val="baseline"/>
        <w:rPr>
          <w:rFonts w:ascii="Arial" w:eastAsia="Arial" w:hAnsi="Arial"/>
          <w:color w:val="000000"/>
          <w:spacing w:val="3"/>
          <w:sz w:val="24"/>
          <w:lang w:val="en-GB"/>
        </w:rPr>
      </w:pPr>
    </w:p>
    <w:p w14:paraId="1AAF3FDD" w14:textId="77777777" w:rsidR="009813B1" w:rsidRDefault="009813B1" w:rsidP="00AC7B2E">
      <w:pPr>
        <w:ind w:left="720" w:right="216"/>
        <w:textAlignment w:val="baseline"/>
        <w:rPr>
          <w:rFonts w:ascii="Arial" w:eastAsia="Arial" w:hAnsi="Arial"/>
          <w:color w:val="000000"/>
          <w:spacing w:val="3"/>
          <w:sz w:val="24"/>
          <w:lang w:val="en-GB"/>
        </w:rPr>
      </w:pPr>
    </w:p>
    <w:p w14:paraId="225FDB6E" w14:textId="77777777" w:rsidR="009813B1" w:rsidRDefault="009813B1" w:rsidP="00AC7B2E">
      <w:pPr>
        <w:ind w:left="720" w:right="216"/>
        <w:textAlignment w:val="baseline"/>
        <w:rPr>
          <w:rFonts w:ascii="Arial" w:eastAsia="Arial" w:hAnsi="Arial"/>
          <w:color w:val="000000"/>
          <w:spacing w:val="3"/>
          <w:sz w:val="24"/>
          <w:lang w:val="en-GB"/>
        </w:rPr>
      </w:pPr>
    </w:p>
    <w:p w14:paraId="73D6DB80" w14:textId="77777777" w:rsidR="009813B1" w:rsidRDefault="009813B1" w:rsidP="00AC7B2E">
      <w:pPr>
        <w:ind w:left="720" w:right="216"/>
        <w:textAlignment w:val="baseline"/>
        <w:rPr>
          <w:rFonts w:ascii="Arial" w:eastAsia="Arial" w:hAnsi="Arial"/>
          <w:color w:val="000000"/>
          <w:spacing w:val="3"/>
          <w:sz w:val="24"/>
          <w:lang w:val="en-GB"/>
        </w:rPr>
      </w:pPr>
    </w:p>
    <w:p w14:paraId="50F9904C" w14:textId="77777777" w:rsidR="008D2654" w:rsidRDefault="008D2654" w:rsidP="008D2654">
      <w:pPr>
        <w:ind w:right="216"/>
        <w:textAlignment w:val="baseline"/>
        <w:rPr>
          <w:rFonts w:ascii="Arial" w:eastAsia="Arial" w:hAnsi="Arial"/>
          <w:color w:val="000000"/>
          <w:spacing w:val="3"/>
          <w:sz w:val="24"/>
          <w:lang w:val="en-GB"/>
        </w:rPr>
      </w:pPr>
    </w:p>
    <w:p w14:paraId="50E35F38" w14:textId="3B3FB250" w:rsidR="696A7555" w:rsidRDefault="696A7555" w:rsidP="696A7555">
      <w:pPr>
        <w:ind w:right="216"/>
        <w:rPr>
          <w:rFonts w:ascii="Arial" w:eastAsia="Arial" w:hAnsi="Arial"/>
          <w:b/>
          <w:bCs/>
          <w:color w:val="000000" w:themeColor="text1"/>
          <w:sz w:val="24"/>
          <w:szCs w:val="24"/>
          <w:highlight w:val="yellow"/>
          <w:lang w:val="en-GB"/>
        </w:rPr>
      </w:pPr>
    </w:p>
    <w:p w14:paraId="707AF70B" w14:textId="09B9C5AF" w:rsidR="696A7555" w:rsidRDefault="696A7555" w:rsidP="696A7555">
      <w:pPr>
        <w:ind w:right="216"/>
        <w:rPr>
          <w:rFonts w:ascii="Arial" w:eastAsia="Arial" w:hAnsi="Arial"/>
          <w:b/>
          <w:bCs/>
          <w:color w:val="000000" w:themeColor="text1"/>
          <w:sz w:val="24"/>
          <w:szCs w:val="24"/>
          <w:highlight w:val="yellow"/>
          <w:lang w:val="en-GB"/>
        </w:rPr>
      </w:pPr>
    </w:p>
    <w:p w14:paraId="2F4E50C5" w14:textId="1B85763A" w:rsidR="696A7555" w:rsidRDefault="696A7555" w:rsidP="696A7555">
      <w:pPr>
        <w:ind w:right="216"/>
        <w:rPr>
          <w:rFonts w:ascii="Arial" w:eastAsia="Arial" w:hAnsi="Arial"/>
          <w:b/>
          <w:bCs/>
          <w:color w:val="000000" w:themeColor="text1"/>
          <w:sz w:val="24"/>
          <w:szCs w:val="24"/>
          <w:highlight w:val="yellow"/>
          <w:lang w:val="en-GB"/>
        </w:rPr>
      </w:pPr>
    </w:p>
    <w:p w14:paraId="7D777FC7" w14:textId="4708D913" w:rsidR="696A7555" w:rsidRDefault="696A7555" w:rsidP="696A7555">
      <w:pPr>
        <w:ind w:right="216"/>
        <w:rPr>
          <w:rFonts w:ascii="Arial" w:eastAsia="Arial" w:hAnsi="Arial"/>
          <w:b/>
          <w:bCs/>
          <w:color w:val="000000" w:themeColor="text1"/>
          <w:sz w:val="24"/>
          <w:szCs w:val="24"/>
          <w:highlight w:val="yellow"/>
          <w:lang w:val="en-GB"/>
        </w:rPr>
      </w:pPr>
    </w:p>
    <w:p w14:paraId="01EA92C3" w14:textId="067E2313" w:rsidR="696A7555" w:rsidRDefault="696A7555" w:rsidP="696A7555">
      <w:pPr>
        <w:ind w:right="216"/>
        <w:rPr>
          <w:rFonts w:ascii="Arial" w:eastAsia="Arial" w:hAnsi="Arial"/>
          <w:b/>
          <w:bCs/>
          <w:color w:val="000000" w:themeColor="text1"/>
          <w:sz w:val="24"/>
          <w:szCs w:val="24"/>
          <w:highlight w:val="yellow"/>
          <w:lang w:val="en-GB"/>
        </w:rPr>
      </w:pPr>
    </w:p>
    <w:p w14:paraId="682CFB12" w14:textId="0BEC7C0D" w:rsidR="696A7555" w:rsidRDefault="696A7555" w:rsidP="696A7555">
      <w:pPr>
        <w:ind w:right="216"/>
        <w:rPr>
          <w:rFonts w:ascii="Arial" w:eastAsia="Arial" w:hAnsi="Arial"/>
          <w:b/>
          <w:bCs/>
          <w:color w:val="000000" w:themeColor="text1"/>
          <w:sz w:val="24"/>
          <w:szCs w:val="24"/>
          <w:highlight w:val="yellow"/>
          <w:lang w:val="en-GB"/>
        </w:rPr>
      </w:pPr>
    </w:p>
    <w:p w14:paraId="40B028C8" w14:textId="53A68265" w:rsidR="696A7555" w:rsidRDefault="696A7555" w:rsidP="696A7555">
      <w:pPr>
        <w:ind w:right="216"/>
        <w:rPr>
          <w:rFonts w:ascii="Arial" w:eastAsia="Arial" w:hAnsi="Arial"/>
          <w:b/>
          <w:bCs/>
          <w:color w:val="000000" w:themeColor="text1"/>
          <w:sz w:val="24"/>
          <w:szCs w:val="24"/>
          <w:highlight w:val="yellow"/>
          <w:lang w:val="en-GB"/>
        </w:rPr>
      </w:pPr>
    </w:p>
    <w:p w14:paraId="02A35481" w14:textId="289FDEC5" w:rsidR="696A7555" w:rsidRDefault="696A7555" w:rsidP="696A7555">
      <w:pPr>
        <w:ind w:right="216"/>
        <w:rPr>
          <w:rFonts w:ascii="Arial" w:eastAsia="Arial" w:hAnsi="Arial"/>
          <w:b/>
          <w:bCs/>
          <w:color w:val="000000" w:themeColor="text1"/>
          <w:sz w:val="24"/>
          <w:szCs w:val="24"/>
          <w:highlight w:val="yellow"/>
          <w:lang w:val="en-GB"/>
        </w:rPr>
      </w:pPr>
    </w:p>
    <w:p w14:paraId="1E996965" w14:textId="77777777" w:rsidR="00DF32F9" w:rsidRDefault="00DF32F9" w:rsidP="696A7555">
      <w:pPr>
        <w:ind w:right="216"/>
        <w:rPr>
          <w:rFonts w:ascii="Arial" w:eastAsia="Arial" w:hAnsi="Arial"/>
          <w:b/>
          <w:bCs/>
          <w:color w:val="000000" w:themeColor="text1"/>
          <w:sz w:val="24"/>
          <w:szCs w:val="24"/>
          <w:highlight w:val="yellow"/>
          <w:lang w:val="en-GB"/>
        </w:rPr>
      </w:pPr>
    </w:p>
    <w:p w14:paraId="389E5341" w14:textId="77777777" w:rsidR="00DF32F9" w:rsidRDefault="00DF32F9" w:rsidP="696A7555">
      <w:pPr>
        <w:ind w:right="216"/>
        <w:rPr>
          <w:rFonts w:ascii="Arial" w:eastAsia="Arial" w:hAnsi="Arial"/>
          <w:b/>
          <w:bCs/>
          <w:color w:val="000000" w:themeColor="text1"/>
          <w:sz w:val="24"/>
          <w:szCs w:val="24"/>
          <w:highlight w:val="yellow"/>
          <w:lang w:val="en-GB"/>
        </w:rPr>
      </w:pPr>
    </w:p>
    <w:p w14:paraId="1289ABD9" w14:textId="77777777" w:rsidR="00DF32F9" w:rsidRDefault="00DF32F9" w:rsidP="696A7555">
      <w:pPr>
        <w:ind w:right="216"/>
        <w:rPr>
          <w:rFonts w:ascii="Arial" w:eastAsia="Arial" w:hAnsi="Arial"/>
          <w:b/>
          <w:bCs/>
          <w:color w:val="000000" w:themeColor="text1"/>
          <w:sz w:val="24"/>
          <w:szCs w:val="24"/>
          <w:highlight w:val="yellow"/>
          <w:lang w:val="en-GB"/>
        </w:rPr>
      </w:pPr>
    </w:p>
    <w:p w14:paraId="796569C3" w14:textId="77777777" w:rsidR="00DF32F9" w:rsidRDefault="00DF32F9" w:rsidP="696A7555">
      <w:pPr>
        <w:ind w:right="216"/>
        <w:rPr>
          <w:rFonts w:ascii="Arial" w:eastAsia="Arial" w:hAnsi="Arial"/>
          <w:b/>
          <w:bCs/>
          <w:color w:val="000000" w:themeColor="text1"/>
          <w:sz w:val="24"/>
          <w:szCs w:val="24"/>
          <w:highlight w:val="yellow"/>
          <w:lang w:val="en-GB"/>
        </w:rPr>
      </w:pPr>
    </w:p>
    <w:p w14:paraId="4261B05E" w14:textId="77777777" w:rsidR="00DF32F9" w:rsidRDefault="00DF32F9" w:rsidP="696A7555">
      <w:pPr>
        <w:ind w:right="216"/>
        <w:rPr>
          <w:rFonts w:ascii="Arial" w:eastAsia="Arial" w:hAnsi="Arial"/>
          <w:b/>
          <w:bCs/>
          <w:color w:val="000000" w:themeColor="text1"/>
          <w:sz w:val="24"/>
          <w:szCs w:val="24"/>
          <w:highlight w:val="yellow"/>
          <w:lang w:val="en-GB"/>
        </w:rPr>
      </w:pPr>
    </w:p>
    <w:p w14:paraId="7F04F681" w14:textId="77777777" w:rsidR="00DF32F9" w:rsidRDefault="00DF32F9" w:rsidP="696A7555">
      <w:pPr>
        <w:ind w:right="216"/>
        <w:rPr>
          <w:rFonts w:ascii="Arial" w:eastAsia="Arial" w:hAnsi="Arial"/>
          <w:b/>
          <w:bCs/>
          <w:color w:val="000000" w:themeColor="text1"/>
          <w:sz w:val="24"/>
          <w:szCs w:val="24"/>
          <w:highlight w:val="yellow"/>
          <w:lang w:val="en-GB"/>
        </w:rPr>
      </w:pPr>
    </w:p>
    <w:p w14:paraId="28E85E56" w14:textId="028614C1" w:rsidR="696A7555" w:rsidRDefault="696A7555" w:rsidP="696A7555">
      <w:pPr>
        <w:ind w:right="216"/>
        <w:rPr>
          <w:rFonts w:ascii="Arial" w:eastAsia="Arial" w:hAnsi="Arial"/>
          <w:b/>
          <w:bCs/>
          <w:color w:val="000000" w:themeColor="text1"/>
          <w:sz w:val="24"/>
          <w:szCs w:val="24"/>
          <w:highlight w:val="yellow"/>
          <w:lang w:val="en-GB"/>
        </w:rPr>
      </w:pPr>
    </w:p>
    <w:p w14:paraId="0F08D2D0" w14:textId="3FA58D33" w:rsidR="009813B1" w:rsidRDefault="008D2654" w:rsidP="696A7555">
      <w:pPr>
        <w:ind w:right="216"/>
        <w:textAlignment w:val="baseline"/>
        <w:rPr>
          <w:rFonts w:ascii="Arial" w:eastAsia="Arial" w:hAnsi="Arial"/>
          <w:b/>
          <w:bCs/>
          <w:color w:val="000000"/>
          <w:spacing w:val="3"/>
          <w:sz w:val="24"/>
          <w:szCs w:val="24"/>
          <w:lang w:val="en-GB"/>
        </w:rPr>
      </w:pPr>
      <w:r w:rsidRPr="696A7555">
        <w:rPr>
          <w:rFonts w:ascii="Arial" w:eastAsia="Arial" w:hAnsi="Arial"/>
          <w:b/>
          <w:bCs/>
          <w:color w:val="000000"/>
          <w:spacing w:val="3"/>
          <w:sz w:val="24"/>
          <w:szCs w:val="24"/>
          <w:lang w:val="en-GB"/>
        </w:rPr>
        <w:t xml:space="preserve">Appendix </w:t>
      </w:r>
      <w:r w:rsidR="3196D43E" w:rsidRPr="696A7555">
        <w:rPr>
          <w:rFonts w:ascii="Arial" w:eastAsia="Arial" w:hAnsi="Arial"/>
          <w:b/>
          <w:bCs/>
          <w:color w:val="000000"/>
          <w:spacing w:val="3"/>
          <w:sz w:val="24"/>
          <w:szCs w:val="24"/>
          <w:lang w:val="en-GB"/>
        </w:rPr>
        <w:t>2</w:t>
      </w:r>
      <w:r w:rsidRPr="696A7555">
        <w:rPr>
          <w:rFonts w:ascii="Arial" w:eastAsia="Arial" w:hAnsi="Arial"/>
          <w:b/>
          <w:bCs/>
          <w:color w:val="000000"/>
          <w:spacing w:val="3"/>
          <w:sz w:val="24"/>
          <w:szCs w:val="24"/>
          <w:lang w:val="en-GB"/>
        </w:rPr>
        <w:t xml:space="preserve"> – Conflict of Interest Log</w:t>
      </w:r>
    </w:p>
    <w:p w14:paraId="6380BDF0" w14:textId="77777777" w:rsidR="008D2654" w:rsidRPr="008D2654" w:rsidRDefault="008D2654" w:rsidP="008D2654">
      <w:pPr>
        <w:ind w:right="216"/>
        <w:textAlignment w:val="baseline"/>
        <w:rPr>
          <w:rFonts w:ascii="Arial" w:eastAsia="Arial" w:hAnsi="Arial"/>
          <w:b/>
          <w:bCs/>
          <w:color w:val="000000"/>
          <w:spacing w:val="3"/>
          <w:sz w:val="24"/>
          <w:lang w:val="en-GB"/>
        </w:rPr>
      </w:pPr>
    </w:p>
    <w:p w14:paraId="3187E36E" w14:textId="28CE19F1" w:rsidR="009813B1" w:rsidRPr="00AC7B2E" w:rsidRDefault="004324FF" w:rsidP="006B0E70">
      <w:pPr>
        <w:ind w:right="216"/>
        <w:textAlignment w:val="baseline"/>
        <w:rPr>
          <w:rFonts w:ascii="Arial" w:eastAsia="Arial" w:hAnsi="Arial"/>
          <w:b/>
          <w:bCs/>
          <w:color w:val="000000"/>
          <w:spacing w:val="3"/>
          <w:sz w:val="24"/>
          <w:lang w:val="en-GB"/>
        </w:rPr>
      </w:pPr>
      <w:r w:rsidRPr="004324FF">
        <w:rPr>
          <w:rFonts w:ascii="Arial" w:eastAsia="Arial" w:hAnsi="Arial"/>
          <w:b/>
          <w:bCs/>
          <w:color w:val="000000"/>
          <w:spacing w:val="3"/>
          <w:sz w:val="24"/>
          <w:lang w:val="en-GB"/>
        </w:rPr>
        <w:drawing>
          <wp:inline distT="0" distB="0" distL="0" distR="0" wp14:anchorId="05C6061A" wp14:editId="77B9FD57">
            <wp:extent cx="6400800" cy="2529840"/>
            <wp:effectExtent l="0" t="0" r="0" b="3810"/>
            <wp:docPr id="296497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97362" name=""/>
                    <pic:cNvPicPr/>
                  </pic:nvPicPr>
                  <pic:blipFill>
                    <a:blip r:embed="rId14"/>
                    <a:stretch>
                      <a:fillRect/>
                    </a:stretch>
                  </pic:blipFill>
                  <pic:spPr>
                    <a:xfrm>
                      <a:off x="0" y="0"/>
                      <a:ext cx="6400800" cy="2529840"/>
                    </a:xfrm>
                    <a:prstGeom prst="rect">
                      <a:avLst/>
                    </a:prstGeom>
                  </pic:spPr>
                </pic:pic>
              </a:graphicData>
            </a:graphic>
          </wp:inline>
        </w:drawing>
      </w:r>
    </w:p>
    <w:p w14:paraId="775C0DA1" w14:textId="77777777" w:rsidR="00CA192B" w:rsidRPr="00930C85" w:rsidRDefault="00CA192B" w:rsidP="00930C85">
      <w:pPr>
        <w:ind w:left="720" w:right="216"/>
        <w:textAlignment w:val="baseline"/>
        <w:rPr>
          <w:rFonts w:ascii="Arial" w:eastAsia="Arial" w:hAnsi="Arial"/>
          <w:color w:val="000000"/>
          <w:spacing w:val="3"/>
          <w:sz w:val="24"/>
          <w:lang w:val="en-GB"/>
        </w:rPr>
      </w:pPr>
    </w:p>
    <w:sectPr w:rsidR="00CA192B" w:rsidRPr="00930C85">
      <w:footerReference w:type="default" r:id="rId15"/>
      <w:pgSz w:w="11909" w:h="16838"/>
      <w:pgMar w:top="1720" w:right="943" w:bottom="867" w:left="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F45D" w14:textId="77777777" w:rsidR="002A4454" w:rsidRDefault="002A4454" w:rsidP="00890C0C">
      <w:r>
        <w:separator/>
      </w:r>
    </w:p>
  </w:endnote>
  <w:endnote w:type="continuationSeparator" w:id="0">
    <w:p w14:paraId="20F0ED98" w14:textId="77777777" w:rsidR="002A4454" w:rsidRDefault="002A4454" w:rsidP="00890C0C">
      <w:r>
        <w:continuationSeparator/>
      </w:r>
    </w:p>
  </w:endnote>
  <w:endnote w:type="continuationNotice" w:id="1">
    <w:p w14:paraId="4BF911F0" w14:textId="77777777" w:rsidR="002A4454" w:rsidRDefault="002A4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9EAC" w14:textId="268AEE1B" w:rsidR="00890C0C" w:rsidRDefault="00890C0C">
    <w:pPr>
      <w:pStyle w:val="Footer"/>
    </w:pPr>
    <w:r>
      <w:rPr>
        <w:noProof/>
      </w:rPr>
      <w:drawing>
        <wp:anchor distT="0" distB="0" distL="114300" distR="114300" simplePos="0" relativeHeight="251658240" behindDoc="1" locked="0" layoutInCell="1" allowOverlap="1" wp14:anchorId="3ADD3CED" wp14:editId="49681C8B">
          <wp:simplePos x="0" y="0"/>
          <wp:positionH relativeFrom="column">
            <wp:posOffset>-3578225</wp:posOffset>
          </wp:positionH>
          <wp:positionV relativeFrom="paragraph">
            <wp:posOffset>11430</wp:posOffset>
          </wp:positionV>
          <wp:extent cx="2091055" cy="582295"/>
          <wp:effectExtent l="0" t="0" r="4445" b="8255"/>
          <wp:wrapTight wrapText="bothSides">
            <wp:wrapPolygon edited="0">
              <wp:start x="0" y="0"/>
              <wp:lineTo x="0" y="21200"/>
              <wp:lineTo x="21449" y="21200"/>
              <wp:lineTo x="21449" y="0"/>
              <wp:lineTo x="0" y="0"/>
            </wp:wrapPolygon>
          </wp:wrapTight>
          <wp:docPr id="4"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091055" cy="582295"/>
                  </a:xfrm>
                  <a:prstGeom prst="rect">
                    <a:avLst/>
                  </a:prstGeom>
                </pic:spPr>
              </pic:pic>
            </a:graphicData>
          </a:graphic>
        </wp:anchor>
      </w:drawing>
    </w:r>
  </w:p>
  <w:p w14:paraId="34CA8B23" w14:textId="77777777" w:rsidR="00890C0C" w:rsidRDefault="00890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397405595"/>
      <w:docPartObj>
        <w:docPartGallery w:val="Page Numbers (Bottom of Page)"/>
        <w:docPartUnique/>
      </w:docPartObj>
    </w:sdtPr>
    <w:sdtEndPr>
      <w:rPr>
        <w:noProof/>
      </w:rPr>
    </w:sdtEndPr>
    <w:sdtContent>
      <w:p w14:paraId="61A2045E" w14:textId="365C3E8A" w:rsidR="00671B9D" w:rsidRPr="00671B9D" w:rsidRDefault="00671B9D">
        <w:pPr>
          <w:pStyle w:val="Footer"/>
          <w:jc w:val="right"/>
          <w:rPr>
            <w:rFonts w:ascii="Arial" w:hAnsi="Arial" w:cs="Arial"/>
            <w:sz w:val="24"/>
            <w:szCs w:val="24"/>
          </w:rPr>
        </w:pPr>
        <w:r w:rsidRPr="00671B9D">
          <w:rPr>
            <w:rFonts w:ascii="Arial" w:hAnsi="Arial" w:cs="Arial"/>
            <w:sz w:val="24"/>
            <w:szCs w:val="24"/>
          </w:rPr>
          <w:fldChar w:fldCharType="begin"/>
        </w:r>
        <w:r w:rsidRPr="00671B9D">
          <w:rPr>
            <w:rFonts w:ascii="Arial" w:hAnsi="Arial" w:cs="Arial"/>
            <w:sz w:val="24"/>
            <w:szCs w:val="24"/>
          </w:rPr>
          <w:instrText xml:space="preserve"> PAGE   \* MERGEFORMAT </w:instrText>
        </w:r>
        <w:r w:rsidRPr="00671B9D">
          <w:rPr>
            <w:rFonts w:ascii="Arial" w:hAnsi="Arial" w:cs="Arial"/>
            <w:sz w:val="24"/>
            <w:szCs w:val="24"/>
          </w:rPr>
          <w:fldChar w:fldCharType="separate"/>
        </w:r>
        <w:r w:rsidRPr="00671B9D">
          <w:rPr>
            <w:rFonts w:ascii="Arial" w:hAnsi="Arial" w:cs="Arial"/>
            <w:noProof/>
            <w:sz w:val="24"/>
            <w:szCs w:val="24"/>
          </w:rPr>
          <w:t>2</w:t>
        </w:r>
        <w:r w:rsidRPr="00671B9D">
          <w:rPr>
            <w:rFonts w:ascii="Arial" w:hAnsi="Arial" w:cs="Arial"/>
            <w:noProof/>
            <w:sz w:val="24"/>
            <w:szCs w:val="24"/>
          </w:rPr>
          <w:fldChar w:fldCharType="end"/>
        </w:r>
      </w:p>
    </w:sdtContent>
  </w:sdt>
  <w:p w14:paraId="67030A60" w14:textId="77777777" w:rsidR="00CE28E0" w:rsidRPr="00671B9D" w:rsidRDefault="00CE28E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CDF8" w14:textId="77777777" w:rsidR="002A4454" w:rsidRDefault="002A4454" w:rsidP="00890C0C">
      <w:r>
        <w:separator/>
      </w:r>
    </w:p>
  </w:footnote>
  <w:footnote w:type="continuationSeparator" w:id="0">
    <w:p w14:paraId="3D1F3421" w14:textId="77777777" w:rsidR="002A4454" w:rsidRDefault="002A4454" w:rsidP="00890C0C">
      <w:r>
        <w:continuationSeparator/>
      </w:r>
    </w:p>
  </w:footnote>
  <w:footnote w:type="continuationNotice" w:id="1">
    <w:p w14:paraId="69163943" w14:textId="77777777" w:rsidR="002A4454" w:rsidRDefault="002A44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A67"/>
    <w:multiLevelType w:val="hybridMultilevel"/>
    <w:tmpl w:val="2176F8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E23FB"/>
    <w:multiLevelType w:val="multilevel"/>
    <w:tmpl w:val="FD449C3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F4039"/>
    <w:multiLevelType w:val="multilevel"/>
    <w:tmpl w:val="237A5FC2"/>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60433F"/>
    <w:multiLevelType w:val="multilevel"/>
    <w:tmpl w:val="1B70E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30A45"/>
    <w:multiLevelType w:val="hybridMultilevel"/>
    <w:tmpl w:val="F14A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E2F57"/>
    <w:multiLevelType w:val="multilevel"/>
    <w:tmpl w:val="C59ED4F6"/>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283063"/>
    <w:multiLevelType w:val="multilevel"/>
    <w:tmpl w:val="FC9235C4"/>
    <w:lvl w:ilvl="0">
      <w:numFmt w:val="bullet"/>
      <w:lvlText w:val="·"/>
      <w:lvlJc w:val="left"/>
      <w:pPr>
        <w:tabs>
          <w:tab w:val="left" w:pos="432"/>
        </w:tabs>
      </w:pPr>
      <w:rPr>
        <w:rFonts w:ascii="Symbol" w:eastAsia="Symbol" w:hAnsi="Symbo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8A2F28"/>
    <w:multiLevelType w:val="hybridMultilevel"/>
    <w:tmpl w:val="62E20C78"/>
    <w:lvl w:ilvl="0" w:tplc="C73838A0">
      <w:start w:val="1"/>
      <w:numFmt w:val="bullet"/>
      <w:lvlText w:val=""/>
      <w:lvlJc w:val="left"/>
      <w:pPr>
        <w:ind w:left="1080" w:hanging="360"/>
      </w:pPr>
      <w:rPr>
        <w:rFonts w:ascii="Symbol" w:hAnsi="Symbol" w:hint="default"/>
      </w:rPr>
    </w:lvl>
    <w:lvl w:ilvl="1" w:tplc="D4069BD6">
      <w:start w:val="1"/>
      <w:numFmt w:val="bullet"/>
      <w:lvlText w:val="o"/>
      <w:lvlJc w:val="left"/>
      <w:pPr>
        <w:ind w:left="1800" w:hanging="360"/>
      </w:pPr>
      <w:rPr>
        <w:rFonts w:ascii="Courier New" w:hAnsi="Courier New" w:hint="default"/>
      </w:rPr>
    </w:lvl>
    <w:lvl w:ilvl="2" w:tplc="CE9A629A">
      <w:start w:val="1"/>
      <w:numFmt w:val="bullet"/>
      <w:lvlText w:val=""/>
      <w:lvlJc w:val="left"/>
      <w:pPr>
        <w:ind w:left="2520" w:hanging="360"/>
      </w:pPr>
      <w:rPr>
        <w:rFonts w:ascii="Wingdings" w:hAnsi="Wingdings" w:hint="default"/>
      </w:rPr>
    </w:lvl>
    <w:lvl w:ilvl="3" w:tplc="2BEED538">
      <w:start w:val="1"/>
      <w:numFmt w:val="bullet"/>
      <w:lvlText w:val=""/>
      <w:lvlJc w:val="left"/>
      <w:pPr>
        <w:ind w:left="3240" w:hanging="360"/>
      </w:pPr>
      <w:rPr>
        <w:rFonts w:ascii="Symbol" w:hAnsi="Symbol" w:hint="default"/>
      </w:rPr>
    </w:lvl>
    <w:lvl w:ilvl="4" w:tplc="85C2FE5C">
      <w:start w:val="1"/>
      <w:numFmt w:val="bullet"/>
      <w:lvlText w:val="o"/>
      <w:lvlJc w:val="left"/>
      <w:pPr>
        <w:ind w:left="3960" w:hanging="360"/>
      </w:pPr>
      <w:rPr>
        <w:rFonts w:ascii="Courier New" w:hAnsi="Courier New" w:hint="default"/>
      </w:rPr>
    </w:lvl>
    <w:lvl w:ilvl="5" w:tplc="97F62B5C">
      <w:start w:val="1"/>
      <w:numFmt w:val="bullet"/>
      <w:lvlText w:val=""/>
      <w:lvlJc w:val="left"/>
      <w:pPr>
        <w:ind w:left="4680" w:hanging="360"/>
      </w:pPr>
      <w:rPr>
        <w:rFonts w:ascii="Wingdings" w:hAnsi="Wingdings" w:hint="default"/>
      </w:rPr>
    </w:lvl>
    <w:lvl w:ilvl="6" w:tplc="EE5CE1A2">
      <w:start w:val="1"/>
      <w:numFmt w:val="bullet"/>
      <w:lvlText w:val=""/>
      <w:lvlJc w:val="left"/>
      <w:pPr>
        <w:ind w:left="5400" w:hanging="360"/>
      </w:pPr>
      <w:rPr>
        <w:rFonts w:ascii="Symbol" w:hAnsi="Symbol" w:hint="default"/>
      </w:rPr>
    </w:lvl>
    <w:lvl w:ilvl="7" w:tplc="C89ECB38">
      <w:start w:val="1"/>
      <w:numFmt w:val="bullet"/>
      <w:lvlText w:val="o"/>
      <w:lvlJc w:val="left"/>
      <w:pPr>
        <w:ind w:left="6120" w:hanging="360"/>
      </w:pPr>
      <w:rPr>
        <w:rFonts w:ascii="Courier New" w:hAnsi="Courier New" w:hint="default"/>
      </w:rPr>
    </w:lvl>
    <w:lvl w:ilvl="8" w:tplc="A866F02A">
      <w:start w:val="1"/>
      <w:numFmt w:val="bullet"/>
      <w:lvlText w:val=""/>
      <w:lvlJc w:val="left"/>
      <w:pPr>
        <w:ind w:left="6840" w:hanging="360"/>
      </w:pPr>
      <w:rPr>
        <w:rFonts w:ascii="Wingdings" w:hAnsi="Wingdings" w:hint="default"/>
      </w:rPr>
    </w:lvl>
  </w:abstractNum>
  <w:abstractNum w:abstractNumId="8" w15:restartNumberingAfterBreak="0">
    <w:nsid w:val="5B727ED3"/>
    <w:multiLevelType w:val="hybridMultilevel"/>
    <w:tmpl w:val="904A03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9" w15:restartNumberingAfterBreak="0">
    <w:nsid w:val="76E87ADC"/>
    <w:multiLevelType w:val="multilevel"/>
    <w:tmpl w:val="55EEE31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25230F"/>
    <w:multiLevelType w:val="hybridMultilevel"/>
    <w:tmpl w:val="7DEAF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10686">
    <w:abstractNumId w:val="7"/>
  </w:num>
  <w:num w:numId="2" w16cid:durableId="1428767602">
    <w:abstractNumId w:val="6"/>
  </w:num>
  <w:num w:numId="3" w16cid:durableId="914777049">
    <w:abstractNumId w:val="9"/>
  </w:num>
  <w:num w:numId="4" w16cid:durableId="133565588">
    <w:abstractNumId w:val="1"/>
  </w:num>
  <w:num w:numId="5" w16cid:durableId="224296443">
    <w:abstractNumId w:val="8"/>
  </w:num>
  <w:num w:numId="6" w16cid:durableId="140006543">
    <w:abstractNumId w:val="10"/>
  </w:num>
  <w:num w:numId="7" w16cid:durableId="359556174">
    <w:abstractNumId w:val="0"/>
  </w:num>
  <w:num w:numId="8" w16cid:durableId="17198740">
    <w:abstractNumId w:val="3"/>
  </w:num>
  <w:num w:numId="9" w16cid:durableId="1684278248">
    <w:abstractNumId w:val="5"/>
  </w:num>
  <w:num w:numId="10" w16cid:durableId="666397185">
    <w:abstractNumId w:val="2"/>
  </w:num>
  <w:num w:numId="11" w16cid:durableId="210268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3B"/>
    <w:rsid w:val="00024DFB"/>
    <w:rsid w:val="00027C2A"/>
    <w:rsid w:val="00034D49"/>
    <w:rsid w:val="000455A4"/>
    <w:rsid w:val="00060C9B"/>
    <w:rsid w:val="0006262B"/>
    <w:rsid w:val="000702DC"/>
    <w:rsid w:val="000834A9"/>
    <w:rsid w:val="000904CA"/>
    <w:rsid w:val="000A193F"/>
    <w:rsid w:val="000A39E2"/>
    <w:rsid w:val="000E35C8"/>
    <w:rsid w:val="000F665D"/>
    <w:rsid w:val="00104FFC"/>
    <w:rsid w:val="0010779C"/>
    <w:rsid w:val="001102A7"/>
    <w:rsid w:val="001119A8"/>
    <w:rsid w:val="001164CE"/>
    <w:rsid w:val="00124163"/>
    <w:rsid w:val="00141909"/>
    <w:rsid w:val="00157086"/>
    <w:rsid w:val="001640FF"/>
    <w:rsid w:val="00185BD4"/>
    <w:rsid w:val="0018780F"/>
    <w:rsid w:val="0019198D"/>
    <w:rsid w:val="001A5CDD"/>
    <w:rsid w:val="001B659F"/>
    <w:rsid w:val="001C2D7B"/>
    <w:rsid w:val="001D72C9"/>
    <w:rsid w:val="001F4BB9"/>
    <w:rsid w:val="001F6F59"/>
    <w:rsid w:val="0020008E"/>
    <w:rsid w:val="002070D8"/>
    <w:rsid w:val="002160CC"/>
    <w:rsid w:val="00234012"/>
    <w:rsid w:val="00266619"/>
    <w:rsid w:val="0028132A"/>
    <w:rsid w:val="002829D9"/>
    <w:rsid w:val="0029549D"/>
    <w:rsid w:val="002A4454"/>
    <w:rsid w:val="002B2072"/>
    <w:rsid w:val="002C50A4"/>
    <w:rsid w:val="002E78D4"/>
    <w:rsid w:val="00300342"/>
    <w:rsid w:val="00301176"/>
    <w:rsid w:val="003042AB"/>
    <w:rsid w:val="00306269"/>
    <w:rsid w:val="00311610"/>
    <w:rsid w:val="003166D8"/>
    <w:rsid w:val="00346368"/>
    <w:rsid w:val="0035317D"/>
    <w:rsid w:val="00354094"/>
    <w:rsid w:val="00357E3C"/>
    <w:rsid w:val="00363B58"/>
    <w:rsid w:val="003863EF"/>
    <w:rsid w:val="0039139E"/>
    <w:rsid w:val="003953BB"/>
    <w:rsid w:val="003A34D7"/>
    <w:rsid w:val="003B4F0E"/>
    <w:rsid w:val="003C1D3D"/>
    <w:rsid w:val="003D3EFD"/>
    <w:rsid w:val="003E2E5E"/>
    <w:rsid w:val="00405E94"/>
    <w:rsid w:val="004324FF"/>
    <w:rsid w:val="00432B45"/>
    <w:rsid w:val="00455B16"/>
    <w:rsid w:val="00460E6A"/>
    <w:rsid w:val="00465D13"/>
    <w:rsid w:val="00475DF9"/>
    <w:rsid w:val="00475EB3"/>
    <w:rsid w:val="004A7250"/>
    <w:rsid w:val="004B0DD1"/>
    <w:rsid w:val="004C1CC6"/>
    <w:rsid w:val="004D32FB"/>
    <w:rsid w:val="004F0A28"/>
    <w:rsid w:val="0050753A"/>
    <w:rsid w:val="00511C61"/>
    <w:rsid w:val="00517F53"/>
    <w:rsid w:val="0052244B"/>
    <w:rsid w:val="00542FC0"/>
    <w:rsid w:val="00544CE2"/>
    <w:rsid w:val="005517B3"/>
    <w:rsid w:val="00567749"/>
    <w:rsid w:val="005C322D"/>
    <w:rsid w:val="005E045D"/>
    <w:rsid w:val="005E2A55"/>
    <w:rsid w:val="0061087F"/>
    <w:rsid w:val="006138A0"/>
    <w:rsid w:val="0061741D"/>
    <w:rsid w:val="006351F0"/>
    <w:rsid w:val="006562F9"/>
    <w:rsid w:val="00671B9D"/>
    <w:rsid w:val="00680617"/>
    <w:rsid w:val="00685D84"/>
    <w:rsid w:val="006A791C"/>
    <w:rsid w:val="006B0E70"/>
    <w:rsid w:val="006B2889"/>
    <w:rsid w:val="006C0CD5"/>
    <w:rsid w:val="006E764B"/>
    <w:rsid w:val="006F330F"/>
    <w:rsid w:val="007067F7"/>
    <w:rsid w:val="00706EEC"/>
    <w:rsid w:val="00715142"/>
    <w:rsid w:val="00721ACD"/>
    <w:rsid w:val="00745FA3"/>
    <w:rsid w:val="00747B40"/>
    <w:rsid w:val="00761F29"/>
    <w:rsid w:val="007648D6"/>
    <w:rsid w:val="007819F6"/>
    <w:rsid w:val="0079093B"/>
    <w:rsid w:val="007939F7"/>
    <w:rsid w:val="00793D67"/>
    <w:rsid w:val="007A1355"/>
    <w:rsid w:val="007B5CEE"/>
    <w:rsid w:val="007B7B41"/>
    <w:rsid w:val="007C4B0F"/>
    <w:rsid w:val="007D3200"/>
    <w:rsid w:val="007E0BC9"/>
    <w:rsid w:val="007E201A"/>
    <w:rsid w:val="007E4E6D"/>
    <w:rsid w:val="007F488D"/>
    <w:rsid w:val="008313D0"/>
    <w:rsid w:val="00837BB9"/>
    <w:rsid w:val="0085278D"/>
    <w:rsid w:val="0085321E"/>
    <w:rsid w:val="00855154"/>
    <w:rsid w:val="0087239C"/>
    <w:rsid w:val="008807DD"/>
    <w:rsid w:val="00880F8C"/>
    <w:rsid w:val="00881C5C"/>
    <w:rsid w:val="0088251F"/>
    <w:rsid w:val="00890C0C"/>
    <w:rsid w:val="00892F23"/>
    <w:rsid w:val="008A6127"/>
    <w:rsid w:val="008B007E"/>
    <w:rsid w:val="008B2865"/>
    <w:rsid w:val="008B3E8F"/>
    <w:rsid w:val="008C46FA"/>
    <w:rsid w:val="008D2654"/>
    <w:rsid w:val="008D68CC"/>
    <w:rsid w:val="00925398"/>
    <w:rsid w:val="00925474"/>
    <w:rsid w:val="00930C85"/>
    <w:rsid w:val="00937C12"/>
    <w:rsid w:val="00944BBC"/>
    <w:rsid w:val="00945A7B"/>
    <w:rsid w:val="00962492"/>
    <w:rsid w:val="009813B1"/>
    <w:rsid w:val="009D55AF"/>
    <w:rsid w:val="009E3274"/>
    <w:rsid w:val="009E3AD2"/>
    <w:rsid w:val="00A14596"/>
    <w:rsid w:val="00A20654"/>
    <w:rsid w:val="00A373DA"/>
    <w:rsid w:val="00A4071E"/>
    <w:rsid w:val="00A50527"/>
    <w:rsid w:val="00A6341E"/>
    <w:rsid w:val="00A64EE9"/>
    <w:rsid w:val="00A91D8D"/>
    <w:rsid w:val="00AA4FA2"/>
    <w:rsid w:val="00AC0D50"/>
    <w:rsid w:val="00AC6155"/>
    <w:rsid w:val="00AC6B90"/>
    <w:rsid w:val="00AC7B2E"/>
    <w:rsid w:val="00AC7C5E"/>
    <w:rsid w:val="00AF1E51"/>
    <w:rsid w:val="00B07BF0"/>
    <w:rsid w:val="00B30841"/>
    <w:rsid w:val="00B452B3"/>
    <w:rsid w:val="00B7029F"/>
    <w:rsid w:val="00B81499"/>
    <w:rsid w:val="00B84141"/>
    <w:rsid w:val="00B85507"/>
    <w:rsid w:val="00B86B99"/>
    <w:rsid w:val="00B92407"/>
    <w:rsid w:val="00BA04FA"/>
    <w:rsid w:val="00BA2C94"/>
    <w:rsid w:val="00BC01F4"/>
    <w:rsid w:val="00BC74E7"/>
    <w:rsid w:val="00BD4087"/>
    <w:rsid w:val="00C04462"/>
    <w:rsid w:val="00C26125"/>
    <w:rsid w:val="00C34CFB"/>
    <w:rsid w:val="00C5203E"/>
    <w:rsid w:val="00C576DF"/>
    <w:rsid w:val="00C74747"/>
    <w:rsid w:val="00C771F1"/>
    <w:rsid w:val="00C93A1C"/>
    <w:rsid w:val="00C9412A"/>
    <w:rsid w:val="00C961E3"/>
    <w:rsid w:val="00C962F6"/>
    <w:rsid w:val="00CA192B"/>
    <w:rsid w:val="00CA3771"/>
    <w:rsid w:val="00CC0A6D"/>
    <w:rsid w:val="00CC72A1"/>
    <w:rsid w:val="00CC7F81"/>
    <w:rsid w:val="00CD35D2"/>
    <w:rsid w:val="00CE28E0"/>
    <w:rsid w:val="00CE6E9E"/>
    <w:rsid w:val="00CF4099"/>
    <w:rsid w:val="00D02F92"/>
    <w:rsid w:val="00D041E5"/>
    <w:rsid w:val="00D13A5E"/>
    <w:rsid w:val="00D2176C"/>
    <w:rsid w:val="00D22368"/>
    <w:rsid w:val="00D548B2"/>
    <w:rsid w:val="00D55446"/>
    <w:rsid w:val="00D60142"/>
    <w:rsid w:val="00D647D9"/>
    <w:rsid w:val="00DD6FEC"/>
    <w:rsid w:val="00DF32F9"/>
    <w:rsid w:val="00E01037"/>
    <w:rsid w:val="00E05156"/>
    <w:rsid w:val="00E12D88"/>
    <w:rsid w:val="00E2742E"/>
    <w:rsid w:val="00E4739F"/>
    <w:rsid w:val="00E54A60"/>
    <w:rsid w:val="00E60341"/>
    <w:rsid w:val="00E60DA6"/>
    <w:rsid w:val="00E832A8"/>
    <w:rsid w:val="00E9575C"/>
    <w:rsid w:val="00EA3DE1"/>
    <w:rsid w:val="00EE63DE"/>
    <w:rsid w:val="00EF0513"/>
    <w:rsid w:val="00EF2428"/>
    <w:rsid w:val="00F00BF3"/>
    <w:rsid w:val="00F03036"/>
    <w:rsid w:val="00F1315C"/>
    <w:rsid w:val="00F27516"/>
    <w:rsid w:val="00F35A67"/>
    <w:rsid w:val="00F741D0"/>
    <w:rsid w:val="00F85D95"/>
    <w:rsid w:val="00F97838"/>
    <w:rsid w:val="00FA0C88"/>
    <w:rsid w:val="00FA7847"/>
    <w:rsid w:val="00FD2379"/>
    <w:rsid w:val="00FF38F7"/>
    <w:rsid w:val="00FF51B9"/>
    <w:rsid w:val="00FF5A86"/>
    <w:rsid w:val="00FF7513"/>
    <w:rsid w:val="09A5C5BF"/>
    <w:rsid w:val="09DCDA89"/>
    <w:rsid w:val="0B255B2A"/>
    <w:rsid w:val="14B9901C"/>
    <w:rsid w:val="15D58B9E"/>
    <w:rsid w:val="17504A5A"/>
    <w:rsid w:val="19B25FA3"/>
    <w:rsid w:val="25E655AD"/>
    <w:rsid w:val="28ADFEB6"/>
    <w:rsid w:val="2AD5ECE3"/>
    <w:rsid w:val="2BACD5FB"/>
    <w:rsid w:val="3196D43E"/>
    <w:rsid w:val="336B33CA"/>
    <w:rsid w:val="35A6E8EF"/>
    <w:rsid w:val="38753267"/>
    <w:rsid w:val="484B5822"/>
    <w:rsid w:val="49BDE101"/>
    <w:rsid w:val="4EBCB608"/>
    <w:rsid w:val="4EE1420F"/>
    <w:rsid w:val="5DED564A"/>
    <w:rsid w:val="60931984"/>
    <w:rsid w:val="628CB09E"/>
    <w:rsid w:val="696A7555"/>
    <w:rsid w:val="6BD0B03F"/>
    <w:rsid w:val="71114A02"/>
    <w:rsid w:val="747B17B5"/>
    <w:rsid w:val="75C2B932"/>
    <w:rsid w:val="766E92E8"/>
    <w:rsid w:val="7B21B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1837"/>
  <w15:docId w15:val="{F8FB7104-7931-4451-85B5-DE43FED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7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4A9"/>
    <w:rPr>
      <w:color w:val="0563C1" w:themeColor="hyperlink"/>
      <w:u w:val="single"/>
    </w:rPr>
  </w:style>
  <w:style w:type="character" w:styleId="UnresolvedMention">
    <w:name w:val="Unresolved Mention"/>
    <w:basedOn w:val="DefaultParagraphFont"/>
    <w:uiPriority w:val="99"/>
    <w:semiHidden/>
    <w:unhideWhenUsed/>
    <w:rsid w:val="000834A9"/>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90C0C"/>
    <w:pPr>
      <w:tabs>
        <w:tab w:val="center" w:pos="4513"/>
        <w:tab w:val="right" w:pos="9026"/>
      </w:tabs>
    </w:pPr>
  </w:style>
  <w:style w:type="character" w:customStyle="1" w:styleId="HeaderChar">
    <w:name w:val="Header Char"/>
    <w:basedOn w:val="DefaultParagraphFont"/>
    <w:link w:val="Header"/>
    <w:uiPriority w:val="99"/>
    <w:rsid w:val="00890C0C"/>
  </w:style>
  <w:style w:type="paragraph" w:styleId="Footer">
    <w:name w:val="footer"/>
    <w:basedOn w:val="Normal"/>
    <w:link w:val="FooterChar"/>
    <w:uiPriority w:val="99"/>
    <w:unhideWhenUsed/>
    <w:rsid w:val="00890C0C"/>
    <w:pPr>
      <w:tabs>
        <w:tab w:val="center" w:pos="4513"/>
        <w:tab w:val="right" w:pos="9026"/>
      </w:tabs>
    </w:pPr>
  </w:style>
  <w:style w:type="character" w:customStyle="1" w:styleId="FooterChar">
    <w:name w:val="Footer Char"/>
    <w:basedOn w:val="DefaultParagraphFont"/>
    <w:link w:val="Footer"/>
    <w:uiPriority w:val="99"/>
    <w:rsid w:val="00890C0C"/>
  </w:style>
  <w:style w:type="paragraph" w:styleId="ListParagraph">
    <w:name w:val="List Paragraph"/>
    <w:basedOn w:val="Normal"/>
    <w:uiPriority w:val="34"/>
    <w:qFormat/>
    <w:rsid w:val="0088251F"/>
    <w:pPr>
      <w:ind w:left="720"/>
      <w:contextualSpacing/>
    </w:pPr>
  </w:style>
  <w:style w:type="paragraph" w:styleId="CommentSubject">
    <w:name w:val="annotation subject"/>
    <w:basedOn w:val="CommentText"/>
    <w:next w:val="CommentText"/>
    <w:link w:val="CommentSubjectChar"/>
    <w:uiPriority w:val="99"/>
    <w:semiHidden/>
    <w:unhideWhenUsed/>
    <w:rsid w:val="007B5CEE"/>
    <w:rPr>
      <w:b/>
      <w:bCs/>
    </w:rPr>
  </w:style>
  <w:style w:type="character" w:customStyle="1" w:styleId="CommentSubjectChar">
    <w:name w:val="Comment Subject Char"/>
    <w:basedOn w:val="CommentTextChar"/>
    <w:link w:val="CommentSubject"/>
    <w:uiPriority w:val="99"/>
    <w:semiHidden/>
    <w:rsid w:val="007B5CEE"/>
    <w:rPr>
      <w:b/>
      <w:bCs/>
      <w:sz w:val="20"/>
      <w:szCs w:val="20"/>
    </w:rPr>
  </w:style>
  <w:style w:type="character" w:customStyle="1" w:styleId="Heading1Char">
    <w:name w:val="Heading 1 Char"/>
    <w:basedOn w:val="DefaultParagraphFont"/>
    <w:link w:val="Heading1"/>
    <w:uiPriority w:val="9"/>
    <w:rsid w:val="00D217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262B"/>
    <w:pPr>
      <w:spacing w:line="259" w:lineRule="auto"/>
      <w:outlineLvl w:val="9"/>
    </w:pPr>
  </w:style>
  <w:style w:type="paragraph" w:styleId="TOC1">
    <w:name w:val="toc 1"/>
    <w:basedOn w:val="Normal"/>
    <w:next w:val="Normal"/>
    <w:autoRedefine/>
    <w:uiPriority w:val="39"/>
    <w:unhideWhenUsed/>
    <w:rsid w:val="0006262B"/>
    <w:pPr>
      <w:spacing w:after="100"/>
    </w:pPr>
  </w:style>
  <w:style w:type="paragraph" w:customStyle="1" w:styleId="paragraph">
    <w:name w:val="paragraph"/>
    <w:basedOn w:val="Normal"/>
    <w:rsid w:val="00E4739F"/>
    <w:pPr>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rsid w:val="00E4739F"/>
  </w:style>
  <w:style w:type="character" w:customStyle="1" w:styleId="eop">
    <w:name w:val="eop"/>
    <w:basedOn w:val="DefaultParagraphFont"/>
    <w:rsid w:val="00E4739F"/>
  </w:style>
  <w:style w:type="character" w:styleId="FollowedHyperlink">
    <w:name w:val="FollowedHyperlink"/>
    <w:basedOn w:val="DefaultParagraphFont"/>
    <w:uiPriority w:val="99"/>
    <w:semiHidden/>
    <w:unhideWhenUsed/>
    <w:rsid w:val="00793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7621">
      <w:bodyDiv w:val="1"/>
      <w:marLeft w:val="0"/>
      <w:marRight w:val="0"/>
      <w:marTop w:val="0"/>
      <w:marBottom w:val="0"/>
      <w:divBdr>
        <w:top w:val="none" w:sz="0" w:space="0" w:color="auto"/>
        <w:left w:val="none" w:sz="0" w:space="0" w:color="auto"/>
        <w:bottom w:val="none" w:sz="0" w:space="0" w:color="auto"/>
        <w:right w:val="none" w:sz="0" w:space="0" w:color="auto"/>
      </w:divBdr>
    </w:div>
    <w:div w:id="57409705">
      <w:bodyDiv w:val="1"/>
      <w:marLeft w:val="0"/>
      <w:marRight w:val="0"/>
      <w:marTop w:val="0"/>
      <w:marBottom w:val="0"/>
      <w:divBdr>
        <w:top w:val="none" w:sz="0" w:space="0" w:color="auto"/>
        <w:left w:val="none" w:sz="0" w:space="0" w:color="auto"/>
        <w:bottom w:val="none" w:sz="0" w:space="0" w:color="auto"/>
        <w:right w:val="none" w:sz="0" w:space="0" w:color="auto"/>
      </w:divBdr>
      <w:divsChild>
        <w:div w:id="1347557832">
          <w:marLeft w:val="0"/>
          <w:marRight w:val="0"/>
          <w:marTop w:val="0"/>
          <w:marBottom w:val="0"/>
          <w:divBdr>
            <w:top w:val="none" w:sz="0" w:space="0" w:color="auto"/>
            <w:left w:val="none" w:sz="0" w:space="0" w:color="auto"/>
            <w:bottom w:val="none" w:sz="0" w:space="0" w:color="auto"/>
            <w:right w:val="none" w:sz="0" w:space="0" w:color="auto"/>
          </w:divBdr>
        </w:div>
        <w:div w:id="1096705298">
          <w:marLeft w:val="0"/>
          <w:marRight w:val="0"/>
          <w:marTop w:val="0"/>
          <w:marBottom w:val="0"/>
          <w:divBdr>
            <w:top w:val="none" w:sz="0" w:space="0" w:color="auto"/>
            <w:left w:val="none" w:sz="0" w:space="0" w:color="auto"/>
            <w:bottom w:val="none" w:sz="0" w:space="0" w:color="auto"/>
            <w:right w:val="none" w:sz="0" w:space="0" w:color="auto"/>
          </w:divBdr>
          <w:divsChild>
            <w:div w:id="480269832">
              <w:marLeft w:val="0"/>
              <w:marRight w:val="0"/>
              <w:marTop w:val="0"/>
              <w:marBottom w:val="0"/>
              <w:divBdr>
                <w:top w:val="none" w:sz="0" w:space="0" w:color="auto"/>
                <w:left w:val="none" w:sz="0" w:space="0" w:color="auto"/>
                <w:bottom w:val="none" w:sz="0" w:space="0" w:color="auto"/>
                <w:right w:val="none" w:sz="0" w:space="0" w:color="auto"/>
              </w:divBdr>
            </w:div>
            <w:div w:id="2064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89021">
      <w:bodyDiv w:val="1"/>
      <w:marLeft w:val="0"/>
      <w:marRight w:val="0"/>
      <w:marTop w:val="0"/>
      <w:marBottom w:val="0"/>
      <w:divBdr>
        <w:top w:val="none" w:sz="0" w:space="0" w:color="auto"/>
        <w:left w:val="none" w:sz="0" w:space="0" w:color="auto"/>
        <w:bottom w:val="none" w:sz="0" w:space="0" w:color="auto"/>
        <w:right w:val="none" w:sz="0" w:space="0" w:color="auto"/>
      </w:divBdr>
    </w:div>
    <w:div w:id="238179844">
      <w:bodyDiv w:val="1"/>
      <w:marLeft w:val="0"/>
      <w:marRight w:val="0"/>
      <w:marTop w:val="0"/>
      <w:marBottom w:val="0"/>
      <w:divBdr>
        <w:top w:val="none" w:sz="0" w:space="0" w:color="auto"/>
        <w:left w:val="none" w:sz="0" w:space="0" w:color="auto"/>
        <w:bottom w:val="none" w:sz="0" w:space="0" w:color="auto"/>
        <w:right w:val="none" w:sz="0" w:space="0" w:color="auto"/>
      </w:divBdr>
    </w:div>
    <w:div w:id="877085868">
      <w:bodyDiv w:val="1"/>
      <w:marLeft w:val="0"/>
      <w:marRight w:val="0"/>
      <w:marTop w:val="0"/>
      <w:marBottom w:val="0"/>
      <w:divBdr>
        <w:top w:val="none" w:sz="0" w:space="0" w:color="auto"/>
        <w:left w:val="none" w:sz="0" w:space="0" w:color="auto"/>
        <w:bottom w:val="none" w:sz="0" w:space="0" w:color="auto"/>
        <w:right w:val="none" w:sz="0" w:space="0" w:color="auto"/>
      </w:divBdr>
    </w:div>
    <w:div w:id="1110777581">
      <w:bodyDiv w:val="1"/>
      <w:marLeft w:val="0"/>
      <w:marRight w:val="0"/>
      <w:marTop w:val="0"/>
      <w:marBottom w:val="0"/>
      <w:divBdr>
        <w:top w:val="none" w:sz="0" w:space="0" w:color="auto"/>
        <w:left w:val="none" w:sz="0" w:space="0" w:color="auto"/>
        <w:bottom w:val="none" w:sz="0" w:space="0" w:color="auto"/>
        <w:right w:val="none" w:sz="0" w:space="0" w:color="auto"/>
      </w:divBdr>
    </w:div>
    <w:div w:id="1152216810">
      <w:bodyDiv w:val="1"/>
      <w:marLeft w:val="0"/>
      <w:marRight w:val="0"/>
      <w:marTop w:val="0"/>
      <w:marBottom w:val="0"/>
      <w:divBdr>
        <w:top w:val="none" w:sz="0" w:space="0" w:color="auto"/>
        <w:left w:val="none" w:sz="0" w:space="0" w:color="auto"/>
        <w:bottom w:val="none" w:sz="0" w:space="0" w:color="auto"/>
        <w:right w:val="none" w:sz="0" w:space="0" w:color="auto"/>
      </w:divBdr>
    </w:div>
    <w:div w:id="1180048421">
      <w:bodyDiv w:val="1"/>
      <w:marLeft w:val="0"/>
      <w:marRight w:val="0"/>
      <w:marTop w:val="0"/>
      <w:marBottom w:val="0"/>
      <w:divBdr>
        <w:top w:val="none" w:sz="0" w:space="0" w:color="auto"/>
        <w:left w:val="none" w:sz="0" w:space="0" w:color="auto"/>
        <w:bottom w:val="none" w:sz="0" w:space="0" w:color="auto"/>
        <w:right w:val="none" w:sz="0" w:space="0" w:color="auto"/>
      </w:divBdr>
    </w:div>
    <w:div w:id="1203593665">
      <w:bodyDiv w:val="1"/>
      <w:marLeft w:val="0"/>
      <w:marRight w:val="0"/>
      <w:marTop w:val="0"/>
      <w:marBottom w:val="0"/>
      <w:divBdr>
        <w:top w:val="none" w:sz="0" w:space="0" w:color="auto"/>
        <w:left w:val="none" w:sz="0" w:space="0" w:color="auto"/>
        <w:bottom w:val="none" w:sz="0" w:space="0" w:color="auto"/>
        <w:right w:val="none" w:sz="0" w:space="0" w:color="auto"/>
      </w:divBdr>
    </w:div>
    <w:div w:id="1233736404">
      <w:bodyDiv w:val="1"/>
      <w:marLeft w:val="0"/>
      <w:marRight w:val="0"/>
      <w:marTop w:val="0"/>
      <w:marBottom w:val="0"/>
      <w:divBdr>
        <w:top w:val="none" w:sz="0" w:space="0" w:color="auto"/>
        <w:left w:val="none" w:sz="0" w:space="0" w:color="auto"/>
        <w:bottom w:val="none" w:sz="0" w:space="0" w:color="auto"/>
        <w:right w:val="none" w:sz="0" w:space="0" w:color="auto"/>
      </w:divBdr>
    </w:div>
    <w:div w:id="1551500161">
      <w:bodyDiv w:val="1"/>
      <w:marLeft w:val="0"/>
      <w:marRight w:val="0"/>
      <w:marTop w:val="0"/>
      <w:marBottom w:val="0"/>
      <w:divBdr>
        <w:top w:val="none" w:sz="0" w:space="0" w:color="auto"/>
        <w:left w:val="none" w:sz="0" w:space="0" w:color="auto"/>
        <w:bottom w:val="none" w:sz="0" w:space="0" w:color="auto"/>
        <w:right w:val="none" w:sz="0" w:space="0" w:color="auto"/>
      </w:divBdr>
    </w:div>
    <w:div w:id="1696346642">
      <w:bodyDiv w:val="1"/>
      <w:marLeft w:val="0"/>
      <w:marRight w:val="0"/>
      <w:marTop w:val="0"/>
      <w:marBottom w:val="0"/>
      <w:divBdr>
        <w:top w:val="none" w:sz="0" w:space="0" w:color="auto"/>
        <w:left w:val="none" w:sz="0" w:space="0" w:color="auto"/>
        <w:bottom w:val="none" w:sz="0" w:space="0" w:color="auto"/>
        <w:right w:val="none" w:sz="0" w:space="0" w:color="auto"/>
      </w:divBdr>
    </w:div>
    <w:div w:id="1715425014">
      <w:bodyDiv w:val="1"/>
      <w:marLeft w:val="0"/>
      <w:marRight w:val="0"/>
      <w:marTop w:val="0"/>
      <w:marBottom w:val="0"/>
      <w:divBdr>
        <w:top w:val="none" w:sz="0" w:space="0" w:color="auto"/>
        <w:left w:val="none" w:sz="0" w:space="0" w:color="auto"/>
        <w:bottom w:val="none" w:sz="0" w:space="0" w:color="auto"/>
        <w:right w:val="none" w:sz="0" w:space="0" w:color="auto"/>
      </w:divBdr>
    </w:div>
    <w:div w:id="1862816270">
      <w:bodyDiv w:val="1"/>
      <w:marLeft w:val="0"/>
      <w:marRight w:val="0"/>
      <w:marTop w:val="0"/>
      <w:marBottom w:val="0"/>
      <w:divBdr>
        <w:top w:val="none" w:sz="0" w:space="0" w:color="auto"/>
        <w:left w:val="none" w:sz="0" w:space="0" w:color="auto"/>
        <w:bottom w:val="none" w:sz="0" w:space="0" w:color="auto"/>
        <w:right w:val="none" w:sz="0" w:space="0" w:color="auto"/>
      </w:divBdr>
    </w:div>
    <w:div w:id="2014186698">
      <w:bodyDiv w:val="1"/>
      <w:marLeft w:val="0"/>
      <w:marRight w:val="0"/>
      <w:marTop w:val="0"/>
      <w:marBottom w:val="0"/>
      <w:divBdr>
        <w:top w:val="none" w:sz="0" w:space="0" w:color="auto"/>
        <w:left w:val="none" w:sz="0" w:space="0" w:color="auto"/>
        <w:bottom w:val="none" w:sz="0" w:space="0" w:color="auto"/>
        <w:right w:val="none" w:sz="0" w:space="0" w:color="auto"/>
      </w:divBdr>
    </w:div>
    <w:div w:id="2025934473">
      <w:bodyDiv w:val="1"/>
      <w:marLeft w:val="0"/>
      <w:marRight w:val="0"/>
      <w:marTop w:val="0"/>
      <w:marBottom w:val="0"/>
      <w:divBdr>
        <w:top w:val="none" w:sz="0" w:space="0" w:color="auto"/>
        <w:left w:val="none" w:sz="0" w:space="0" w:color="auto"/>
        <w:bottom w:val="none" w:sz="0" w:space="0" w:color="auto"/>
        <w:right w:val="none" w:sz="0" w:space="0" w:color="auto"/>
      </w:divBdr>
    </w:div>
    <w:div w:id="2078283264">
      <w:bodyDiv w:val="1"/>
      <w:marLeft w:val="0"/>
      <w:marRight w:val="0"/>
      <w:marTop w:val="0"/>
      <w:marBottom w:val="0"/>
      <w:divBdr>
        <w:top w:val="none" w:sz="0" w:space="0" w:color="auto"/>
        <w:left w:val="none" w:sz="0" w:space="0" w:color="auto"/>
        <w:bottom w:val="none" w:sz="0" w:space="0" w:color="auto"/>
        <w:right w:val="none" w:sz="0" w:space="0" w:color="auto"/>
      </w:divBdr>
    </w:div>
    <w:div w:id="208459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18" ma:contentTypeDescription="Create a new document." ma:contentTypeScope="" ma:versionID="2d2f40aa3f98804c70089f6bd139f594">
  <xsd:schema xmlns:xsd="http://www.w3.org/2001/XMLSchema" xmlns:xs="http://www.w3.org/2001/XMLSchema" xmlns:p="http://schemas.microsoft.com/office/2006/metadata/properties" xmlns:ns2="c65aef8c-b140-4224-948c-aee5e8667b8d" xmlns:ns3="0677a19b-5acb-479d-8a02-3a69b0274dba" xmlns:ns4="c5dbf80e-f509-45f6-9fe5-406e3eefabbb" targetNamespace="http://schemas.microsoft.com/office/2006/metadata/properties" ma:root="true" ma:fieldsID="2e6a637eda18ff0a5f578a65c75d44b3" ns2:_="" ns3:_="" ns4:_="">
    <xsd:import namespace="c65aef8c-b140-4224-948c-aee5e8667b8d"/>
    <xsd:import namespace="0677a19b-5acb-479d-8a02-3a69b0274dba"/>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bb8455d-ce7a-4a17-ab0d-29d613d653e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77a19b-5acb-479d-8a02-3a69b0274dba">
      <Terms xmlns="http://schemas.microsoft.com/office/infopath/2007/PartnerControls"/>
    </lcf76f155ced4ddcb4097134ff3c332f>
    <_dlc_DocId xmlns="c65aef8c-b140-4224-948c-aee5e8667b8d">TUZUZ6CFYNV6-993228249-98151</_dlc_DocId>
    <_dlc_DocIdUrl xmlns="c65aef8c-b140-4224-948c-aee5e8667b8d">
      <Url>https://hants.sharepoint.com/sites/Skill6687/_layouts/15/DocIdRedir.aspx?ID=TUZUZ6CFYNV6-993228249-98151</Url>
      <Description>TUZUZ6CFYNV6-993228249-98151</Description>
    </_dlc_DocIdUrl>
    <TaxCatchAll xmlns="c5dbf80e-f509-45f6-9fe5-406e3eefabb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A9CB6-42FC-43BF-865F-CC0349FC6EE2}"/>
</file>

<file path=customXml/itemProps2.xml><?xml version="1.0" encoding="utf-8"?>
<ds:datastoreItem xmlns:ds="http://schemas.openxmlformats.org/officeDocument/2006/customXml" ds:itemID="{BB26EDCF-C2D0-4A12-A7FD-C3E968F07860}">
  <ds:schemaRefs>
    <ds:schemaRef ds:uri="http://schemas.microsoft.com/office/2006/metadata/properties"/>
    <ds:schemaRef ds:uri="http://schemas.microsoft.com/office/infopath/2007/PartnerControls"/>
    <ds:schemaRef ds:uri="http://schemas.microsoft.com/sharepoint/v3"/>
    <ds:schemaRef ds:uri="ef834189-ea37-43c1-b23c-fe8cd9c72e41"/>
    <ds:schemaRef ds:uri="http://schemas.microsoft.com/sharepoint/v4"/>
    <ds:schemaRef ds:uri="189d6819-42bb-40a9-9aa1-b6cfbddd55fc"/>
  </ds:schemaRefs>
</ds:datastoreItem>
</file>

<file path=customXml/itemProps3.xml><?xml version="1.0" encoding="utf-8"?>
<ds:datastoreItem xmlns:ds="http://schemas.openxmlformats.org/officeDocument/2006/customXml" ds:itemID="{74EF7F37-FF39-4A49-A9B3-959ACBC53F24}">
  <ds:schemaRefs>
    <ds:schemaRef ds:uri="http://schemas.microsoft.com/sharepoint/events"/>
  </ds:schemaRefs>
</ds:datastoreItem>
</file>

<file path=customXml/itemProps4.xml><?xml version="1.0" encoding="utf-8"?>
<ds:datastoreItem xmlns:ds="http://schemas.openxmlformats.org/officeDocument/2006/customXml" ds:itemID="{F448B3F9-72AF-4178-859D-4103399F2120}">
  <ds:schemaRefs>
    <ds:schemaRef ds:uri="http://schemas.microsoft.com/sharepoint/v3/contenttype/forms"/>
  </ds:schemaRefs>
</ds:datastoreItem>
</file>

<file path=customXml/itemProps5.xml><?xml version="1.0" encoding="utf-8"?>
<ds:datastoreItem xmlns:ds="http://schemas.openxmlformats.org/officeDocument/2006/customXml" ds:itemID="{6A1A9F87-ACFB-46ED-87E2-B8F6E9F88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812</Words>
  <Characters>4471</Characters>
  <Application>Microsoft Office Word</Application>
  <DocSecurity>0</DocSecurity>
  <Lines>186</Lines>
  <Paragraphs>63</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Muldowney, Sue</dc:creator>
  <cp:keywords/>
  <cp:lastModifiedBy>Bascombe, Jodie</cp:lastModifiedBy>
  <cp:revision>2</cp:revision>
  <cp:lastPrinted>2024-01-31T10:16:00Z</cp:lastPrinted>
  <dcterms:created xsi:type="dcterms:W3CDTF">2026-03-19T15:31:00Z</dcterms:created>
  <dcterms:modified xsi:type="dcterms:W3CDTF">2026-03-19T15:31:00Z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994f4257-ec5e-40cc-afed-7589fc90cd0e</vt:lpwstr>
  </property>
  <property fmtid="{D5CDD505-2E9C-101B-9397-08002B2CF9AE}" pid="4" name="Youth_x0020_Services">
    <vt:lpwstr/>
  </property>
  <property fmtid="{D5CDD505-2E9C-101B-9397-08002B2CF9AE}" pid="5" name="Document_x0020_Type">
    <vt:lpwstr/>
  </property>
  <property fmtid="{D5CDD505-2E9C-101B-9397-08002B2CF9AE}" pid="6" name="CSF">
    <vt:lpwstr/>
  </property>
  <property fmtid="{D5CDD505-2E9C-101B-9397-08002B2CF9AE}" pid="7" name="Careers_x0020_Service">
    <vt:lpwstr/>
  </property>
  <property fmtid="{D5CDD505-2E9C-101B-9397-08002B2CF9AE}" pid="8" name="Duke_x0020_of_x0020_Edinburgh_x0020_Award">
    <vt:lpwstr/>
  </property>
  <property fmtid="{D5CDD505-2E9C-101B-9397-08002B2CF9AE}" pid="9" name="Physical_x0020_Education_x0020_and_x0020_Sport">
    <vt:lpwstr/>
  </property>
  <property fmtid="{D5CDD505-2E9C-101B-9397-08002B2CF9AE}" pid="10" name="Schools">
    <vt:lpwstr/>
  </property>
  <property fmtid="{D5CDD505-2E9C-101B-9397-08002B2CF9AE}" pid="11" name="jb30d1c0940a41f7836212edd3171965">
    <vt:lpwstr/>
  </property>
  <property fmtid="{D5CDD505-2E9C-101B-9397-08002B2CF9AE}" pid="12" name="Education_x0020_and_x0020_Inclusion">
    <vt:lpwstr/>
  </property>
  <property fmtid="{D5CDD505-2E9C-101B-9397-08002B2CF9AE}" pid="13" name="cf18ccb67a8c47b4a12d68c41e3eb221">
    <vt:lpwstr/>
  </property>
  <property fmtid="{D5CDD505-2E9C-101B-9397-08002B2CF9AE}" pid="14" name="School_x0020_Support_x0020_Staff">
    <vt:lpwstr/>
  </property>
  <property fmtid="{D5CDD505-2E9C-101B-9397-08002B2CF9AE}" pid="15" name="f8525ee3932e4ad9843cf3b91fb03df5">
    <vt:lpwstr/>
  </property>
  <property fmtid="{D5CDD505-2E9C-101B-9397-08002B2CF9AE}" pid="16" name="TaxCatchAll">
    <vt:lpwstr/>
  </property>
  <property fmtid="{D5CDD505-2E9C-101B-9397-08002B2CF9AE}" pid="17" name="Post_x0020_14_x0020_Learning">
    <vt:lpwstr/>
  </property>
  <property fmtid="{D5CDD505-2E9C-101B-9397-08002B2CF9AE}" pid="18" name="CSD_x0020_Groups_x0020_and_x0020_Meetings">
    <vt:lpwstr/>
  </property>
  <property fmtid="{D5CDD505-2E9C-101B-9397-08002B2CF9AE}" pid="19" name="kaa69b6aade4434483abfac0b390183b">
    <vt:lpwstr/>
  </property>
  <property fmtid="{D5CDD505-2E9C-101B-9397-08002B2CF9AE}" pid="20" name="d5183101b66d4e3dacd96e4e4686face">
    <vt:lpwstr/>
  </property>
  <property fmtid="{D5CDD505-2E9C-101B-9397-08002B2CF9AE}" pid="21" name="j33cdd25bf9e4ea08677b665c22cea81">
    <vt:lpwstr/>
  </property>
  <property fmtid="{D5CDD505-2E9C-101B-9397-08002B2CF9AE}" pid="22" name="jf81eab6ba0d48e39021c117f6226ee2">
    <vt:lpwstr/>
  </property>
  <property fmtid="{D5CDD505-2E9C-101B-9397-08002B2CF9AE}" pid="23" name="ka2fadf937d140639443f94f82f9d7d2">
    <vt:lpwstr/>
  </property>
  <property fmtid="{D5CDD505-2E9C-101B-9397-08002B2CF9AE}" pid="24" name="j62f77b6372d4d31815658479387a95c">
    <vt:lpwstr/>
  </property>
  <property fmtid="{D5CDD505-2E9C-101B-9397-08002B2CF9AE}" pid="25" name="hc632fe273cb498aa970207d30c3b1d8">
    <vt:lpwstr/>
  </property>
  <property fmtid="{D5CDD505-2E9C-101B-9397-08002B2CF9AE}" pid="26" name="Outdoor_x0020_Education">
    <vt:lpwstr/>
  </property>
  <property fmtid="{D5CDD505-2E9C-101B-9397-08002B2CF9AE}" pid="27" name="d397eddc9e1d4f36bd09322be9c6af31">
    <vt:lpwstr/>
  </property>
  <property fmtid="{D5CDD505-2E9C-101B-9397-08002B2CF9AE}" pid="28" name="Post 14 Learning">
    <vt:lpwstr/>
  </property>
  <property fmtid="{D5CDD505-2E9C-101B-9397-08002B2CF9AE}" pid="29" name="Duke of Edinburgh Award">
    <vt:lpwstr/>
  </property>
  <property fmtid="{D5CDD505-2E9C-101B-9397-08002B2CF9AE}" pid="30" name="Education and Inclusion">
    <vt:lpwstr/>
  </property>
  <property fmtid="{D5CDD505-2E9C-101B-9397-08002B2CF9AE}" pid="31" name="CSD Groups and Meetings">
    <vt:lpwstr/>
  </property>
  <property fmtid="{D5CDD505-2E9C-101B-9397-08002B2CF9AE}" pid="32" name="School Support Staff">
    <vt:lpwstr/>
  </property>
  <property fmtid="{D5CDD505-2E9C-101B-9397-08002B2CF9AE}" pid="33" name="Outdoor Education">
    <vt:lpwstr/>
  </property>
  <property fmtid="{D5CDD505-2E9C-101B-9397-08002B2CF9AE}" pid="34" name="Careers Service">
    <vt:lpwstr/>
  </property>
  <property fmtid="{D5CDD505-2E9C-101B-9397-08002B2CF9AE}" pid="35" name="Document Type">
    <vt:lpwstr/>
  </property>
  <property fmtid="{D5CDD505-2E9C-101B-9397-08002B2CF9AE}" pid="36" name="Physical Education and Sport">
    <vt:lpwstr/>
  </property>
  <property fmtid="{D5CDD505-2E9C-101B-9397-08002B2CF9AE}" pid="37" name="Youth Services">
    <vt:lpwstr/>
  </property>
  <property fmtid="{D5CDD505-2E9C-101B-9397-08002B2CF9AE}" pid="38" name="MediaServiceImageTags">
    <vt:lpwstr/>
  </property>
</Properties>
</file>