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14:paraId="69E4D0A7" w14:textId="77777777" w:rsidTr="00280C37">
        <w:trPr>
          <w:cantSplit/>
          <w:trHeight w:val="411"/>
          <w:tblHeader/>
        </w:trPr>
        <w:tc>
          <w:tcPr>
            <w:tcW w:w="255" w:type="dxa"/>
            <w:tcBorders>
              <w:top w:val="single" w:sz="6" w:space="0" w:color="auto"/>
              <w:left w:val="single" w:sz="6" w:space="0" w:color="auto"/>
            </w:tcBorders>
          </w:tcPr>
          <w:p w14:paraId="5935D0A1" w14:textId="77777777" w:rsidR="00377ADE" w:rsidRDefault="00377ADE" w:rsidP="00E65CC7">
            <w:pPr>
              <w:pStyle w:val="BodyText"/>
              <w:spacing w:before="120" w:after="120"/>
            </w:pPr>
          </w:p>
        </w:tc>
        <w:tc>
          <w:tcPr>
            <w:tcW w:w="7767" w:type="dxa"/>
            <w:gridSpan w:val="3"/>
            <w:tcBorders>
              <w:top w:val="single" w:sz="6" w:space="0" w:color="auto"/>
              <w:right w:val="single" w:sz="6" w:space="0" w:color="auto"/>
            </w:tcBorders>
            <w:vAlign w:val="center"/>
          </w:tcPr>
          <w:p w14:paraId="00918696" w14:textId="77777777" w:rsidR="00377ADE" w:rsidRPr="00F82ABB" w:rsidRDefault="00377ADE" w:rsidP="00E65CC7">
            <w:pPr>
              <w:pStyle w:val="TableText"/>
              <w:rPr>
                <w:rFonts w:ascii="Arial" w:hAnsi="Arial" w:cs="Arial"/>
              </w:rPr>
            </w:pPr>
            <w:r w:rsidRPr="00F82ABB">
              <w:rPr>
                <w:rFonts w:ascii="Arial" w:hAnsi="Arial" w:cs="Arial"/>
              </w:rPr>
              <w:t>Hampshire County Council</w:t>
            </w:r>
          </w:p>
        </w:tc>
      </w:tr>
      <w:tr w:rsidR="00377ADE" w14:paraId="62E2ECB8" w14:textId="77777777" w:rsidTr="00280C37">
        <w:trPr>
          <w:trHeight w:val="465"/>
          <w:tblHeader/>
        </w:trPr>
        <w:tc>
          <w:tcPr>
            <w:tcW w:w="255" w:type="dxa"/>
            <w:tcBorders>
              <w:left w:val="single" w:sz="6" w:space="0" w:color="auto"/>
            </w:tcBorders>
          </w:tcPr>
          <w:p w14:paraId="0A257E4C" w14:textId="77777777" w:rsidR="00377ADE" w:rsidRDefault="00377ADE" w:rsidP="00E65CC7">
            <w:pPr>
              <w:pStyle w:val="BodyText"/>
              <w:spacing w:before="120" w:after="120"/>
            </w:pPr>
          </w:p>
        </w:tc>
        <w:tc>
          <w:tcPr>
            <w:tcW w:w="6266" w:type="dxa"/>
            <w:gridSpan w:val="2"/>
            <w:vAlign w:val="center"/>
          </w:tcPr>
          <w:p w14:paraId="5B6AF091" w14:textId="77777777" w:rsidR="00377ADE" w:rsidRPr="00F82ABB" w:rsidRDefault="00853814" w:rsidP="00E65CC7">
            <w:pPr>
              <w:pStyle w:val="TableText"/>
              <w:rPr>
                <w:rFonts w:ascii="Arial" w:hAnsi="Arial" w:cs="Arial"/>
              </w:rPr>
            </w:pPr>
            <w:r w:rsidRPr="00F82ABB">
              <w:rPr>
                <w:rFonts w:ascii="Arial" w:hAnsi="Arial" w:cs="Arial"/>
              </w:rPr>
              <w:t>S</w:t>
            </w:r>
            <w:r w:rsidR="00375966" w:rsidRPr="00F82ABB">
              <w:rPr>
                <w:rFonts w:ascii="Arial" w:hAnsi="Arial" w:cs="Arial"/>
              </w:rPr>
              <w:t>chools Forum</w:t>
            </w:r>
            <w:r w:rsidRPr="00F82ABB">
              <w:rPr>
                <w:rFonts w:ascii="Arial" w:hAnsi="Arial" w:cs="Arial"/>
              </w:rPr>
              <w:t xml:space="preserve"> </w:t>
            </w:r>
          </w:p>
        </w:tc>
        <w:tc>
          <w:tcPr>
            <w:tcW w:w="1501" w:type="dxa"/>
            <w:tcBorders>
              <w:right w:val="single" w:sz="6" w:space="0" w:color="auto"/>
            </w:tcBorders>
            <w:vAlign w:val="center"/>
          </w:tcPr>
          <w:p w14:paraId="309BC50A" w14:textId="56EF1709" w:rsidR="00377ADE" w:rsidRPr="00F82ABB" w:rsidRDefault="00377ADE" w:rsidP="00B2454B">
            <w:pPr>
              <w:pStyle w:val="TableText"/>
              <w:rPr>
                <w:rFonts w:ascii="Arial" w:hAnsi="Arial" w:cs="Arial"/>
              </w:rPr>
            </w:pPr>
            <w:r w:rsidRPr="00F82ABB">
              <w:rPr>
                <w:rFonts w:ascii="Arial" w:hAnsi="Arial" w:cs="Arial"/>
              </w:rPr>
              <w:fldChar w:fldCharType="begin"/>
            </w:r>
            <w:r w:rsidRPr="00F82ABB">
              <w:rPr>
                <w:rFonts w:ascii="Arial" w:hAnsi="Arial" w:cs="Arial"/>
              </w:rPr>
              <w:instrText xml:space="preserve"> FILLIN \d "Item" \* MERGEFORMAT </w:instrText>
            </w:r>
            <w:r w:rsidRPr="00F82ABB">
              <w:rPr>
                <w:rFonts w:ascii="Arial" w:hAnsi="Arial" w:cs="Arial"/>
              </w:rPr>
              <w:fldChar w:fldCharType="separate"/>
            </w:r>
            <w:r w:rsidR="00167B76" w:rsidRPr="00F82ABB">
              <w:rPr>
                <w:rFonts w:ascii="Arial" w:hAnsi="Arial" w:cs="Arial"/>
              </w:rPr>
              <w:t>Item</w:t>
            </w:r>
            <w:r w:rsidRPr="00F82ABB">
              <w:rPr>
                <w:rFonts w:ascii="Arial" w:hAnsi="Arial" w:cs="Arial"/>
              </w:rPr>
              <w:fldChar w:fldCharType="end"/>
            </w:r>
            <w:r w:rsidR="00A44672">
              <w:rPr>
                <w:rFonts w:ascii="Arial" w:hAnsi="Arial" w:cs="Arial"/>
              </w:rPr>
              <w:t xml:space="preserve"> </w:t>
            </w:r>
          </w:p>
        </w:tc>
      </w:tr>
      <w:tr w:rsidR="00377ADE" w14:paraId="5265A78D" w14:textId="77777777" w:rsidTr="00280C37">
        <w:trPr>
          <w:trHeight w:val="519"/>
          <w:tblHeader/>
        </w:trPr>
        <w:tc>
          <w:tcPr>
            <w:tcW w:w="255" w:type="dxa"/>
            <w:tcBorders>
              <w:left w:val="single" w:sz="6" w:space="0" w:color="auto"/>
            </w:tcBorders>
          </w:tcPr>
          <w:p w14:paraId="36A031C0" w14:textId="77777777" w:rsidR="00377ADE" w:rsidRDefault="00377ADE" w:rsidP="00E65CC7">
            <w:pPr>
              <w:pStyle w:val="BodyText"/>
              <w:spacing w:before="120" w:after="120"/>
            </w:pPr>
          </w:p>
        </w:tc>
        <w:tc>
          <w:tcPr>
            <w:tcW w:w="2439" w:type="dxa"/>
            <w:vAlign w:val="center"/>
          </w:tcPr>
          <w:p w14:paraId="3AA16399" w14:textId="71F8C992" w:rsidR="00C81ED6" w:rsidRPr="00F82ABB" w:rsidRDefault="00A87257" w:rsidP="000913F4">
            <w:pPr>
              <w:pStyle w:val="TableText"/>
              <w:rPr>
                <w:rFonts w:ascii="Arial" w:hAnsi="Arial" w:cs="Arial"/>
              </w:rPr>
            </w:pPr>
            <w:r>
              <w:rPr>
                <w:rFonts w:ascii="Arial" w:hAnsi="Arial" w:cs="Arial"/>
              </w:rPr>
              <w:t>1</w:t>
            </w:r>
            <w:r w:rsidR="00660579">
              <w:rPr>
                <w:rFonts w:ascii="Arial" w:hAnsi="Arial" w:cs="Arial"/>
              </w:rPr>
              <w:t>2</w:t>
            </w:r>
            <w:r w:rsidR="007C51B7">
              <w:rPr>
                <w:rFonts w:ascii="Arial" w:hAnsi="Arial" w:cs="Arial"/>
              </w:rPr>
              <w:t xml:space="preserve"> </w:t>
            </w:r>
            <w:r>
              <w:rPr>
                <w:rFonts w:ascii="Arial" w:hAnsi="Arial" w:cs="Arial"/>
              </w:rPr>
              <w:t>October</w:t>
            </w:r>
            <w:r w:rsidR="00D04152">
              <w:rPr>
                <w:rFonts w:ascii="Arial" w:hAnsi="Arial" w:cs="Arial"/>
              </w:rPr>
              <w:t xml:space="preserve"> 20</w:t>
            </w:r>
            <w:r w:rsidR="00271C08">
              <w:rPr>
                <w:rFonts w:ascii="Arial" w:hAnsi="Arial" w:cs="Arial"/>
              </w:rPr>
              <w:t>2</w:t>
            </w:r>
            <w:r w:rsidR="0072065A">
              <w:rPr>
                <w:rFonts w:ascii="Arial" w:hAnsi="Arial" w:cs="Arial"/>
              </w:rPr>
              <w:t>2</w:t>
            </w:r>
          </w:p>
        </w:tc>
        <w:tc>
          <w:tcPr>
            <w:tcW w:w="5328" w:type="dxa"/>
            <w:gridSpan w:val="2"/>
            <w:tcBorders>
              <w:right w:val="single" w:sz="6" w:space="0" w:color="auto"/>
            </w:tcBorders>
            <w:vAlign w:val="center"/>
          </w:tcPr>
          <w:p w14:paraId="5C76BE0C" w14:textId="77777777" w:rsidR="00377ADE" w:rsidRPr="00F82ABB" w:rsidRDefault="00377ADE" w:rsidP="00E65CC7">
            <w:pPr>
              <w:pStyle w:val="TableText"/>
              <w:rPr>
                <w:rFonts w:ascii="Arial" w:hAnsi="Arial" w:cs="Arial"/>
              </w:rPr>
            </w:pPr>
          </w:p>
        </w:tc>
      </w:tr>
      <w:tr w:rsidR="00377ADE" w14:paraId="663F0406" w14:textId="77777777" w:rsidTr="00280C37">
        <w:trPr>
          <w:cantSplit/>
          <w:trHeight w:val="586"/>
          <w:tblHeader/>
        </w:trPr>
        <w:tc>
          <w:tcPr>
            <w:tcW w:w="255" w:type="dxa"/>
            <w:tcBorders>
              <w:left w:val="single" w:sz="6" w:space="0" w:color="auto"/>
            </w:tcBorders>
          </w:tcPr>
          <w:p w14:paraId="20D9BA38" w14:textId="77777777" w:rsidR="00377ADE" w:rsidRDefault="00377ADE" w:rsidP="00E65CC7">
            <w:pPr>
              <w:pStyle w:val="BodyText"/>
              <w:spacing w:before="120" w:after="120"/>
            </w:pPr>
          </w:p>
        </w:tc>
        <w:tc>
          <w:tcPr>
            <w:tcW w:w="7767" w:type="dxa"/>
            <w:gridSpan w:val="3"/>
            <w:tcBorders>
              <w:right w:val="single" w:sz="6" w:space="0" w:color="auto"/>
            </w:tcBorders>
            <w:vAlign w:val="center"/>
          </w:tcPr>
          <w:p w14:paraId="5BC9C2B2" w14:textId="657CB50D" w:rsidR="00BC4BAA" w:rsidRPr="00F82ABB" w:rsidRDefault="00271C08" w:rsidP="00DE3C60">
            <w:pPr>
              <w:pStyle w:val="TableText"/>
              <w:rPr>
                <w:rFonts w:ascii="Arial" w:hAnsi="Arial" w:cs="Arial"/>
              </w:rPr>
            </w:pPr>
            <w:r>
              <w:rPr>
                <w:rFonts w:ascii="Arial" w:hAnsi="Arial" w:cs="Arial"/>
              </w:rPr>
              <w:t>Schools Funding 202</w:t>
            </w:r>
            <w:r w:rsidR="0072065A">
              <w:rPr>
                <w:rFonts w:ascii="Arial" w:hAnsi="Arial" w:cs="Arial"/>
              </w:rPr>
              <w:t>3</w:t>
            </w:r>
            <w:r w:rsidR="00DD480C">
              <w:rPr>
                <w:rFonts w:ascii="Arial" w:hAnsi="Arial" w:cs="Arial"/>
              </w:rPr>
              <w:t>/2</w:t>
            </w:r>
            <w:r w:rsidR="0072065A">
              <w:rPr>
                <w:rFonts w:ascii="Arial" w:hAnsi="Arial" w:cs="Arial"/>
              </w:rPr>
              <w:t>4</w:t>
            </w:r>
          </w:p>
        </w:tc>
      </w:tr>
      <w:tr w:rsidR="00377ADE" w14:paraId="1F22BFA7" w14:textId="77777777" w:rsidTr="00280C37">
        <w:trPr>
          <w:cantSplit/>
          <w:trHeight w:val="395"/>
          <w:tblHeader/>
        </w:trPr>
        <w:tc>
          <w:tcPr>
            <w:tcW w:w="255" w:type="dxa"/>
            <w:tcBorders>
              <w:left w:val="single" w:sz="6" w:space="0" w:color="auto"/>
              <w:bottom w:val="single" w:sz="6" w:space="0" w:color="auto"/>
            </w:tcBorders>
          </w:tcPr>
          <w:p w14:paraId="1A8A4076" w14:textId="77777777" w:rsidR="00377ADE" w:rsidRDefault="00377ADE" w:rsidP="00E65CC7">
            <w:pPr>
              <w:pStyle w:val="BodyText"/>
              <w:spacing w:before="120" w:after="120"/>
            </w:pPr>
          </w:p>
        </w:tc>
        <w:tc>
          <w:tcPr>
            <w:tcW w:w="7767" w:type="dxa"/>
            <w:gridSpan w:val="3"/>
            <w:tcBorders>
              <w:bottom w:val="single" w:sz="6" w:space="0" w:color="auto"/>
              <w:right w:val="single" w:sz="6" w:space="0" w:color="auto"/>
            </w:tcBorders>
            <w:vAlign w:val="center"/>
          </w:tcPr>
          <w:p w14:paraId="44D7A005" w14:textId="77777777" w:rsidR="00377ADE" w:rsidRPr="00F82ABB" w:rsidRDefault="00377ADE" w:rsidP="00E65CC7">
            <w:pPr>
              <w:pStyle w:val="TableText"/>
              <w:rPr>
                <w:rFonts w:ascii="Arial" w:hAnsi="Arial" w:cs="Arial"/>
              </w:rPr>
            </w:pPr>
            <w:r w:rsidRPr="00F82ABB">
              <w:rPr>
                <w:rFonts w:ascii="Arial" w:hAnsi="Arial" w:cs="Arial"/>
              </w:rPr>
              <w:t xml:space="preserve">Report of the </w:t>
            </w:r>
            <w:r w:rsidR="0070719F" w:rsidRPr="00F82ABB">
              <w:rPr>
                <w:rFonts w:ascii="Arial" w:hAnsi="Arial" w:cs="Arial"/>
              </w:rPr>
              <w:t xml:space="preserve">Director of Corporate Resources </w:t>
            </w:r>
            <w:r w:rsidR="00262499">
              <w:rPr>
                <w:rFonts w:ascii="Arial" w:hAnsi="Arial" w:cs="Arial"/>
              </w:rPr>
              <w:t xml:space="preserve">– Corporate Services </w:t>
            </w:r>
            <w:r w:rsidR="00853814" w:rsidRPr="00F82ABB">
              <w:rPr>
                <w:rFonts w:ascii="Arial" w:hAnsi="Arial" w:cs="Arial"/>
              </w:rPr>
              <w:t>and Director of Children’s Services</w:t>
            </w:r>
          </w:p>
        </w:tc>
      </w:tr>
    </w:tbl>
    <w:p w14:paraId="131F295C" w14:textId="77777777" w:rsidR="004E74A3" w:rsidRDefault="004E74A3" w:rsidP="0075563A">
      <w:pPr>
        <w:spacing w:after="0"/>
        <w:rPr>
          <w:rFonts w:ascii="Arial" w:hAnsi="Arial" w:cs="Arial"/>
        </w:rPr>
      </w:pPr>
    </w:p>
    <w:p w14:paraId="2D827109" w14:textId="527F3FED" w:rsidR="00DE3C60" w:rsidRDefault="00377ADE" w:rsidP="00E65CC7">
      <w:pPr>
        <w:rPr>
          <w:rFonts w:ascii="Arial" w:hAnsi="Arial" w:cs="Arial"/>
        </w:rPr>
      </w:pPr>
      <w:r w:rsidRPr="00F82ABB">
        <w:rPr>
          <w:rFonts w:ascii="Arial" w:hAnsi="Arial" w:cs="Arial"/>
        </w:rPr>
        <w:t xml:space="preserve">Contact: </w:t>
      </w:r>
      <w:r w:rsidR="00DE3C60">
        <w:rPr>
          <w:rFonts w:ascii="Arial" w:hAnsi="Arial" w:cs="Arial"/>
        </w:rPr>
        <w:t>Andrew Minall</w:t>
      </w:r>
      <w:r w:rsidR="00FB400A" w:rsidRPr="00F82ABB">
        <w:rPr>
          <w:rFonts w:ascii="Arial" w:hAnsi="Arial" w:cs="Arial"/>
        </w:rPr>
        <w:t>,</w:t>
      </w:r>
      <w:r w:rsidRPr="00F82ABB">
        <w:rPr>
          <w:rFonts w:ascii="Arial" w:hAnsi="Arial" w:cs="Arial"/>
        </w:rPr>
        <w:t xml:space="preserve"> </w:t>
      </w:r>
      <w:r w:rsidRPr="0055482A">
        <w:rPr>
          <w:rFonts w:ascii="Arial" w:hAnsi="Arial" w:cs="Arial"/>
        </w:rPr>
        <w:t>0</w:t>
      </w:r>
      <w:r w:rsidR="008D4F88" w:rsidRPr="0055482A">
        <w:rPr>
          <w:rFonts w:ascii="Arial" w:hAnsi="Arial" w:cs="Arial"/>
        </w:rPr>
        <w:t>370 779 0138</w:t>
      </w:r>
      <w:r w:rsidRPr="00F82ABB">
        <w:rPr>
          <w:rFonts w:ascii="Arial" w:hAnsi="Arial" w:cs="Arial"/>
        </w:rPr>
        <w:t xml:space="preserve">; </w:t>
      </w:r>
      <w:hyperlink r:id="rId11" w:history="1">
        <w:r w:rsidR="00DE3C60" w:rsidRPr="000257A0">
          <w:rPr>
            <w:rStyle w:val="Hyperlink"/>
            <w:rFonts w:ascii="Arial" w:hAnsi="Arial" w:cs="Arial"/>
          </w:rPr>
          <w:t>andrew.minall@hants.gov.uk</w:t>
        </w:r>
      </w:hyperlink>
    </w:p>
    <w:p w14:paraId="3EF55485" w14:textId="59CB7DCF" w:rsidR="001B1EEC" w:rsidRDefault="000913F4" w:rsidP="0075563A">
      <w:pPr>
        <w:spacing w:after="0"/>
        <w:rPr>
          <w:rFonts w:ascii="Arial" w:hAnsi="Arial" w:cs="Arial"/>
        </w:rPr>
      </w:pPr>
      <w:r>
        <w:rPr>
          <w:rFonts w:ascii="Arial" w:hAnsi="Arial" w:cs="Arial"/>
        </w:rPr>
        <w:tab/>
        <w:t xml:space="preserve">   </w:t>
      </w:r>
      <w:r w:rsidR="0072065A">
        <w:rPr>
          <w:rFonts w:ascii="Arial" w:hAnsi="Arial" w:cs="Arial"/>
        </w:rPr>
        <w:t>Annabel Hodder</w:t>
      </w:r>
      <w:r w:rsidR="00DE3C60" w:rsidRPr="00F82ABB">
        <w:rPr>
          <w:rFonts w:ascii="Arial" w:hAnsi="Arial" w:cs="Arial"/>
        </w:rPr>
        <w:t xml:space="preserve">, </w:t>
      </w:r>
      <w:hyperlink r:id="rId12" w:history="1">
        <w:r w:rsidR="00705148" w:rsidRPr="008C70F9">
          <w:rPr>
            <w:rStyle w:val="Hyperlink"/>
            <w:rFonts w:ascii="Arial" w:hAnsi="Arial" w:cs="Arial"/>
          </w:rPr>
          <w:t>annabel.hodder@hants.gov.uk</w:t>
        </w:r>
      </w:hyperlink>
      <w:r w:rsidR="00705148">
        <w:rPr>
          <w:rFonts w:ascii="Arial" w:hAnsi="Arial" w:cs="Arial"/>
        </w:rPr>
        <w:t xml:space="preserve"> </w:t>
      </w:r>
    </w:p>
    <w:p w14:paraId="5FA3C65F" w14:textId="2B6BA52D" w:rsidR="00720C39" w:rsidRDefault="001B1EEC" w:rsidP="001B1EEC">
      <w:pPr>
        <w:spacing w:after="0"/>
        <w:ind w:firstLine="720"/>
        <w:rPr>
          <w:rStyle w:val="Hyperlink"/>
          <w:rFonts w:ascii="Arial" w:hAnsi="Arial" w:cs="Arial"/>
        </w:rPr>
      </w:pPr>
      <w:r>
        <w:rPr>
          <w:rFonts w:ascii="Arial" w:hAnsi="Arial" w:cs="Arial"/>
        </w:rPr>
        <w:t xml:space="preserve">   Gemma Anderson, 0</w:t>
      </w:r>
      <w:r w:rsidRPr="001B1EEC">
        <w:rPr>
          <w:rFonts w:ascii="Arial" w:hAnsi="Arial" w:cs="Arial"/>
        </w:rPr>
        <w:t>370 779 3368</w:t>
      </w:r>
      <w:r w:rsidR="00DE3C60" w:rsidRPr="00F82ABB">
        <w:rPr>
          <w:rFonts w:ascii="Arial" w:hAnsi="Arial" w:cs="Arial"/>
        </w:rPr>
        <w:t xml:space="preserve">; </w:t>
      </w:r>
      <w:hyperlink r:id="rId13" w:history="1">
        <w:r w:rsidRPr="008C70F9">
          <w:rPr>
            <w:rStyle w:val="Hyperlink"/>
            <w:rFonts w:ascii="Arial" w:hAnsi="Arial" w:cs="Arial"/>
          </w:rPr>
          <w:t>gemma.anderson@hants.gov.uk</w:t>
        </w:r>
      </w:hyperlink>
    </w:p>
    <w:p w14:paraId="31593899" w14:textId="146613D4" w:rsidR="002B15A7" w:rsidRPr="00705FAB" w:rsidRDefault="002B15A7" w:rsidP="00705FAB">
      <w:pPr>
        <w:spacing w:after="0"/>
        <w:jc w:val="center"/>
        <w:rPr>
          <w:rFonts w:ascii="Arial" w:hAnsi="Arial" w:cs="Arial"/>
          <w:b/>
          <w:bCs/>
          <w:color w:val="FF0000"/>
        </w:rPr>
      </w:pPr>
    </w:p>
    <w:p w14:paraId="40325B19" w14:textId="77777777" w:rsidR="0075563A" w:rsidRDefault="0075563A" w:rsidP="0075563A">
      <w:pPr>
        <w:pStyle w:val="Heading1"/>
        <w:keepNext w:val="0"/>
        <w:numPr>
          <w:ilvl w:val="0"/>
          <w:numId w:val="0"/>
        </w:numPr>
        <w:spacing w:after="0"/>
        <w:ind w:left="432"/>
        <w:jc w:val="left"/>
        <w:rPr>
          <w:rFonts w:ascii="Arial" w:hAnsi="Arial" w:cs="Arial"/>
        </w:rPr>
      </w:pPr>
      <w:bookmarkStart w:id="0" w:name="_Hlk11654833"/>
    </w:p>
    <w:p w14:paraId="4C61FDA5" w14:textId="7AC5266E" w:rsidR="00F939EA" w:rsidRDefault="006E4B4C" w:rsidP="00CB5D68">
      <w:pPr>
        <w:pStyle w:val="Heading1"/>
        <w:keepNext w:val="0"/>
        <w:tabs>
          <w:tab w:val="clear" w:pos="432"/>
          <w:tab w:val="num" w:pos="0"/>
        </w:tabs>
        <w:spacing w:after="0"/>
        <w:ind w:left="0" w:hanging="426"/>
        <w:jc w:val="left"/>
        <w:rPr>
          <w:rFonts w:ascii="Arial" w:hAnsi="Arial" w:cs="Arial"/>
        </w:rPr>
      </w:pPr>
      <w:r w:rsidRPr="00F82ABB">
        <w:rPr>
          <w:rFonts w:ascii="Arial" w:hAnsi="Arial" w:cs="Arial"/>
        </w:rPr>
        <w:t>Summary</w:t>
      </w:r>
    </w:p>
    <w:p w14:paraId="3FDBC468" w14:textId="77777777" w:rsidR="00F939EA" w:rsidRPr="00F939EA" w:rsidRDefault="00F939EA" w:rsidP="00F939EA">
      <w:pPr>
        <w:pStyle w:val="BodyText"/>
        <w:spacing w:after="0"/>
      </w:pPr>
    </w:p>
    <w:p w14:paraId="37D3C465" w14:textId="36512A08" w:rsidR="00FE6E2E" w:rsidRDefault="3611DEC5" w:rsidP="00CB5D68">
      <w:pPr>
        <w:pStyle w:val="Heading2"/>
        <w:keepNext w:val="0"/>
        <w:tabs>
          <w:tab w:val="clear" w:pos="576"/>
          <w:tab w:val="num" w:pos="0"/>
        </w:tabs>
        <w:spacing w:after="0"/>
        <w:ind w:left="0" w:hanging="426"/>
        <w:jc w:val="left"/>
        <w:rPr>
          <w:rFonts w:ascii="Arial" w:hAnsi="Arial" w:cs="Arial"/>
        </w:rPr>
      </w:pPr>
      <w:r w:rsidRPr="3611DEC5">
        <w:rPr>
          <w:rFonts w:ascii="Arial" w:hAnsi="Arial" w:cs="Arial"/>
        </w:rPr>
        <w:t>Th</w:t>
      </w:r>
      <w:r w:rsidR="00C77E95">
        <w:rPr>
          <w:rFonts w:ascii="Arial" w:hAnsi="Arial" w:cs="Arial"/>
        </w:rPr>
        <w:t xml:space="preserve">is report </w:t>
      </w:r>
      <w:r w:rsidR="00105964">
        <w:rPr>
          <w:rFonts w:ascii="Arial" w:hAnsi="Arial" w:cs="Arial"/>
        </w:rPr>
        <w:t xml:space="preserve">sets out the provisional Dedicated Schools Grant </w:t>
      </w:r>
      <w:r w:rsidR="00F45610">
        <w:rPr>
          <w:rFonts w:ascii="Arial" w:hAnsi="Arial" w:cs="Arial"/>
        </w:rPr>
        <w:t>allocations for 202</w:t>
      </w:r>
      <w:r w:rsidR="00F35E4B">
        <w:rPr>
          <w:rFonts w:ascii="Arial" w:hAnsi="Arial" w:cs="Arial"/>
        </w:rPr>
        <w:t>3</w:t>
      </w:r>
      <w:r w:rsidR="00F45610">
        <w:rPr>
          <w:rFonts w:ascii="Arial" w:hAnsi="Arial" w:cs="Arial"/>
        </w:rPr>
        <w:t>/2</w:t>
      </w:r>
      <w:r w:rsidR="00F35E4B">
        <w:rPr>
          <w:rFonts w:ascii="Arial" w:hAnsi="Arial" w:cs="Arial"/>
        </w:rPr>
        <w:t>4</w:t>
      </w:r>
      <w:r w:rsidR="00DD480C">
        <w:rPr>
          <w:rFonts w:ascii="Arial" w:hAnsi="Arial" w:cs="Arial"/>
        </w:rPr>
        <w:t xml:space="preserve"> </w:t>
      </w:r>
      <w:r w:rsidR="00F45610">
        <w:rPr>
          <w:rFonts w:ascii="Arial" w:hAnsi="Arial" w:cs="Arial"/>
        </w:rPr>
        <w:t xml:space="preserve">and </w:t>
      </w:r>
      <w:r w:rsidR="00C77E95">
        <w:rPr>
          <w:rFonts w:ascii="Arial" w:hAnsi="Arial" w:cs="Arial"/>
        </w:rPr>
        <w:t xml:space="preserve">summarises the </w:t>
      </w:r>
      <w:r w:rsidR="001802D7">
        <w:rPr>
          <w:rFonts w:ascii="Arial" w:hAnsi="Arial" w:cs="Arial"/>
        </w:rPr>
        <w:t xml:space="preserve">recent </w:t>
      </w:r>
      <w:r w:rsidR="00920542">
        <w:rPr>
          <w:rFonts w:ascii="Arial" w:hAnsi="Arial" w:cs="Arial"/>
        </w:rPr>
        <w:t xml:space="preserve">school funding </w:t>
      </w:r>
      <w:r w:rsidR="001802D7">
        <w:rPr>
          <w:rFonts w:ascii="Arial" w:hAnsi="Arial" w:cs="Arial"/>
        </w:rPr>
        <w:t>announcements made by the government</w:t>
      </w:r>
      <w:r w:rsidR="00920542">
        <w:rPr>
          <w:rFonts w:ascii="Arial" w:hAnsi="Arial" w:cs="Arial"/>
        </w:rPr>
        <w:t>.</w:t>
      </w:r>
    </w:p>
    <w:p w14:paraId="703C1277" w14:textId="77777777" w:rsidR="00F939EA" w:rsidRPr="00BB08E7" w:rsidRDefault="00F939EA" w:rsidP="00CB5D68">
      <w:pPr>
        <w:pStyle w:val="Heading2"/>
        <w:keepNext w:val="0"/>
        <w:numPr>
          <w:ilvl w:val="0"/>
          <w:numId w:val="0"/>
        </w:numPr>
        <w:spacing w:after="0"/>
        <w:ind w:hanging="426"/>
        <w:jc w:val="left"/>
        <w:rPr>
          <w:rFonts w:ascii="Arial" w:hAnsi="Arial" w:cs="Arial"/>
        </w:rPr>
      </w:pPr>
    </w:p>
    <w:p w14:paraId="15E39342" w14:textId="177C8F92" w:rsidR="002873D8" w:rsidRPr="00BB08E7" w:rsidRDefault="00DC1BD8" w:rsidP="752E4E0C">
      <w:pPr>
        <w:pStyle w:val="Heading2"/>
        <w:keepNext w:val="0"/>
        <w:tabs>
          <w:tab w:val="clear" w:pos="576"/>
        </w:tabs>
        <w:spacing w:after="0"/>
        <w:ind w:left="0" w:hanging="426"/>
        <w:jc w:val="left"/>
        <w:rPr>
          <w:rFonts w:ascii="Arial" w:hAnsi="Arial" w:cs="Arial"/>
        </w:rPr>
      </w:pPr>
      <w:r w:rsidRPr="00BB08E7">
        <w:rPr>
          <w:rFonts w:ascii="Arial" w:hAnsi="Arial" w:cs="Arial"/>
        </w:rPr>
        <w:t xml:space="preserve">Following receipt of the provisional school budgeting tool in </w:t>
      </w:r>
      <w:r w:rsidR="0091570F">
        <w:rPr>
          <w:rFonts w:ascii="Arial" w:hAnsi="Arial" w:cs="Arial"/>
        </w:rPr>
        <w:t>August</w:t>
      </w:r>
      <w:r w:rsidRPr="00BB08E7">
        <w:rPr>
          <w:rFonts w:ascii="Arial" w:hAnsi="Arial" w:cs="Arial"/>
        </w:rPr>
        <w:t xml:space="preserve">, </w:t>
      </w:r>
      <w:r w:rsidR="00C16213" w:rsidRPr="00BB08E7">
        <w:rPr>
          <w:rFonts w:ascii="Arial" w:hAnsi="Arial" w:cs="Arial"/>
        </w:rPr>
        <w:t>some initial analysis of the potential impacts on schools is also included.</w:t>
      </w:r>
      <w:r w:rsidR="00375B2A" w:rsidRPr="00BB08E7">
        <w:rPr>
          <w:rFonts w:ascii="Arial" w:hAnsi="Arial" w:cs="Arial"/>
        </w:rPr>
        <w:t xml:space="preserve"> It </w:t>
      </w:r>
      <w:r w:rsidR="00CE7EC0" w:rsidRPr="00BB08E7">
        <w:rPr>
          <w:rFonts w:ascii="Arial" w:hAnsi="Arial" w:cs="Arial"/>
        </w:rPr>
        <w:t xml:space="preserve">should be noted that actual funding </w:t>
      </w:r>
      <w:r w:rsidR="000745EC" w:rsidRPr="00BB08E7">
        <w:rPr>
          <w:rFonts w:ascii="Arial" w:hAnsi="Arial" w:cs="Arial"/>
        </w:rPr>
        <w:t>will be different as it will reflect a range of updated data sets</w:t>
      </w:r>
      <w:r w:rsidR="00D37A44" w:rsidRPr="00BB08E7">
        <w:rPr>
          <w:rFonts w:ascii="Arial" w:hAnsi="Arial" w:cs="Arial"/>
        </w:rPr>
        <w:t xml:space="preserve"> therefore</w:t>
      </w:r>
      <w:r w:rsidR="002660FC" w:rsidRPr="00BB08E7">
        <w:rPr>
          <w:rFonts w:ascii="Arial" w:hAnsi="Arial" w:cs="Arial"/>
        </w:rPr>
        <w:t xml:space="preserve"> th</w:t>
      </w:r>
      <w:r w:rsidR="00212F60" w:rsidRPr="00BB08E7">
        <w:rPr>
          <w:rFonts w:ascii="Arial" w:hAnsi="Arial" w:cs="Arial"/>
        </w:rPr>
        <w:t xml:space="preserve">ese figures should not be used by schools as an indicator of the actual level of </w:t>
      </w:r>
      <w:bookmarkStart w:id="1" w:name="_Int_PwdvGt3P"/>
      <w:r w:rsidR="00212F60" w:rsidRPr="00BB08E7">
        <w:rPr>
          <w:rFonts w:ascii="Arial" w:hAnsi="Arial" w:cs="Arial"/>
        </w:rPr>
        <w:t>funding</w:t>
      </w:r>
      <w:bookmarkEnd w:id="1"/>
      <w:r w:rsidR="00212F60" w:rsidRPr="00BB08E7">
        <w:rPr>
          <w:rFonts w:ascii="Arial" w:hAnsi="Arial" w:cs="Arial"/>
        </w:rPr>
        <w:t xml:space="preserve"> they will receive</w:t>
      </w:r>
      <w:r w:rsidR="00E52D87" w:rsidRPr="00BB08E7">
        <w:rPr>
          <w:rFonts w:ascii="Arial" w:hAnsi="Arial" w:cs="Arial"/>
        </w:rPr>
        <w:t xml:space="preserve"> next year</w:t>
      </w:r>
      <w:r w:rsidR="000745EC" w:rsidRPr="00BB08E7">
        <w:rPr>
          <w:rFonts w:ascii="Arial" w:hAnsi="Arial" w:cs="Arial"/>
        </w:rPr>
        <w:t>.</w:t>
      </w:r>
    </w:p>
    <w:p w14:paraId="5923A8E4" w14:textId="77777777" w:rsidR="00F939EA" w:rsidRDefault="00F939EA" w:rsidP="00B073F8">
      <w:pPr>
        <w:pStyle w:val="Heading1"/>
        <w:keepNext w:val="0"/>
        <w:numPr>
          <w:ilvl w:val="0"/>
          <w:numId w:val="0"/>
        </w:numPr>
        <w:spacing w:after="0"/>
        <w:jc w:val="left"/>
        <w:rPr>
          <w:rFonts w:ascii="Arial" w:hAnsi="Arial" w:cs="Arial"/>
        </w:rPr>
      </w:pPr>
    </w:p>
    <w:p w14:paraId="0ADA4D19" w14:textId="45AB7E20" w:rsidR="00802EED" w:rsidRDefault="00A94E50" w:rsidP="00802EED">
      <w:pPr>
        <w:pStyle w:val="Heading1"/>
        <w:keepNext w:val="0"/>
        <w:tabs>
          <w:tab w:val="clear" w:pos="432"/>
          <w:tab w:val="num" w:pos="0"/>
        </w:tabs>
        <w:spacing w:after="0"/>
        <w:ind w:left="0" w:hanging="426"/>
        <w:jc w:val="left"/>
        <w:rPr>
          <w:rFonts w:ascii="Arial" w:hAnsi="Arial" w:cs="Arial"/>
        </w:rPr>
      </w:pPr>
      <w:r>
        <w:rPr>
          <w:rFonts w:ascii="Arial" w:hAnsi="Arial" w:cs="Arial"/>
        </w:rPr>
        <w:t>Background</w:t>
      </w:r>
    </w:p>
    <w:p w14:paraId="5F125E81" w14:textId="77777777" w:rsidR="00802EED" w:rsidRPr="00802EED" w:rsidRDefault="00802EED" w:rsidP="00802EED">
      <w:pPr>
        <w:pStyle w:val="BodyText"/>
        <w:spacing w:after="0"/>
      </w:pPr>
    </w:p>
    <w:p w14:paraId="6C01B148" w14:textId="529B13CF" w:rsidR="003D223B" w:rsidRDefault="00370B8D" w:rsidP="752E4E0C">
      <w:pPr>
        <w:pStyle w:val="Heading2"/>
        <w:keepNext w:val="0"/>
        <w:tabs>
          <w:tab w:val="clear" w:pos="576"/>
        </w:tabs>
        <w:spacing w:after="0"/>
        <w:ind w:left="0" w:hanging="426"/>
        <w:jc w:val="left"/>
        <w:rPr>
          <w:rFonts w:ascii="Arial" w:hAnsi="Arial" w:cs="Arial"/>
          <w:color w:val="000000"/>
        </w:rPr>
      </w:pPr>
      <w:r w:rsidRPr="752E4E0C">
        <w:rPr>
          <w:rFonts w:ascii="Arial" w:hAnsi="Arial" w:cs="Arial"/>
          <w:color w:val="000000" w:themeColor="text1"/>
        </w:rPr>
        <w:t xml:space="preserve">The </w:t>
      </w:r>
      <w:r w:rsidR="00D53027" w:rsidRPr="752E4E0C">
        <w:rPr>
          <w:rFonts w:ascii="Arial" w:hAnsi="Arial" w:cs="Arial"/>
          <w:color w:val="000000" w:themeColor="text1"/>
        </w:rPr>
        <w:t xml:space="preserve">provisional </w:t>
      </w:r>
      <w:bookmarkStart w:id="2" w:name="_Int_FTIhu7vL"/>
      <w:r w:rsidR="00D53027" w:rsidRPr="752E4E0C">
        <w:rPr>
          <w:rFonts w:ascii="Arial" w:hAnsi="Arial" w:cs="Arial"/>
          <w:color w:val="000000" w:themeColor="text1"/>
        </w:rPr>
        <w:t>DSG</w:t>
      </w:r>
      <w:bookmarkEnd w:id="2"/>
      <w:r w:rsidR="00D53027" w:rsidRPr="752E4E0C">
        <w:rPr>
          <w:rFonts w:ascii="Arial" w:hAnsi="Arial" w:cs="Arial"/>
          <w:color w:val="000000" w:themeColor="text1"/>
        </w:rPr>
        <w:t xml:space="preserve"> allocations for the Schools, High Needs and Central School Services block</w:t>
      </w:r>
      <w:r w:rsidR="00266956" w:rsidRPr="752E4E0C">
        <w:rPr>
          <w:rFonts w:ascii="Arial" w:hAnsi="Arial" w:cs="Arial"/>
          <w:color w:val="000000" w:themeColor="text1"/>
        </w:rPr>
        <w:t>s</w:t>
      </w:r>
      <w:r w:rsidR="00D53027" w:rsidRPr="752E4E0C">
        <w:rPr>
          <w:rFonts w:ascii="Arial" w:hAnsi="Arial" w:cs="Arial"/>
          <w:color w:val="000000" w:themeColor="text1"/>
        </w:rPr>
        <w:t xml:space="preserve"> were published </w:t>
      </w:r>
      <w:r w:rsidR="00CF5381" w:rsidRPr="752E4E0C">
        <w:rPr>
          <w:rFonts w:ascii="Arial" w:hAnsi="Arial" w:cs="Arial"/>
          <w:color w:val="000000" w:themeColor="text1"/>
        </w:rPr>
        <w:t>in July 202</w:t>
      </w:r>
      <w:r w:rsidR="005E1847" w:rsidRPr="752E4E0C">
        <w:rPr>
          <w:rFonts w:ascii="Arial" w:hAnsi="Arial" w:cs="Arial"/>
          <w:color w:val="000000" w:themeColor="text1"/>
        </w:rPr>
        <w:t>2</w:t>
      </w:r>
      <w:r w:rsidR="0006649B" w:rsidRPr="752E4E0C">
        <w:rPr>
          <w:rFonts w:ascii="Arial" w:hAnsi="Arial" w:cs="Arial"/>
          <w:color w:val="000000" w:themeColor="text1"/>
        </w:rPr>
        <w:t xml:space="preserve">, </w:t>
      </w:r>
      <w:r w:rsidR="000B2C58" w:rsidRPr="752E4E0C">
        <w:rPr>
          <w:rFonts w:ascii="Arial" w:hAnsi="Arial" w:cs="Arial"/>
          <w:color w:val="000000" w:themeColor="text1"/>
        </w:rPr>
        <w:t>delivering the second year of that three-year funding settlement to 2024-25.</w:t>
      </w:r>
      <w:r w:rsidR="00802EED" w:rsidRPr="752E4E0C">
        <w:rPr>
          <w:rFonts w:ascii="Arial" w:hAnsi="Arial" w:cs="Arial"/>
          <w:color w:val="000000" w:themeColor="text1"/>
        </w:rPr>
        <w:t xml:space="preserve"> </w:t>
      </w:r>
    </w:p>
    <w:p w14:paraId="29450BA1" w14:textId="77777777" w:rsidR="004E3D91" w:rsidRDefault="004E3D91" w:rsidP="004E3D91">
      <w:pPr>
        <w:pStyle w:val="Heading2"/>
        <w:keepNext w:val="0"/>
        <w:numPr>
          <w:ilvl w:val="0"/>
          <w:numId w:val="0"/>
        </w:numPr>
        <w:spacing w:after="0"/>
        <w:jc w:val="left"/>
        <w:rPr>
          <w:rFonts w:ascii="Arial" w:hAnsi="Arial" w:cs="Arial"/>
          <w:color w:val="000000"/>
        </w:rPr>
      </w:pPr>
    </w:p>
    <w:p w14:paraId="11396CAA" w14:textId="28802D7B" w:rsidR="004E3D91" w:rsidRPr="00320057" w:rsidRDefault="00627C09" w:rsidP="00802EED">
      <w:pPr>
        <w:pStyle w:val="Heading2"/>
        <w:keepNext w:val="0"/>
        <w:tabs>
          <w:tab w:val="clear" w:pos="576"/>
          <w:tab w:val="num" w:pos="0"/>
        </w:tabs>
        <w:spacing w:after="0"/>
        <w:ind w:left="0" w:hanging="426"/>
        <w:jc w:val="left"/>
        <w:rPr>
          <w:rFonts w:ascii="Arial" w:hAnsi="Arial" w:cs="Arial"/>
        </w:rPr>
      </w:pPr>
      <w:r w:rsidRPr="00320057">
        <w:rPr>
          <w:rFonts w:ascii="Arial" w:hAnsi="Arial" w:cs="Arial"/>
        </w:rPr>
        <w:t>Core schools funding is increasing by £1.5 billion in 2023-24 compared to the previous year, on top of the £4 billion increase in 2022-23.</w:t>
      </w:r>
    </w:p>
    <w:p w14:paraId="1347B186" w14:textId="77777777" w:rsidR="00802EED" w:rsidRPr="00320057" w:rsidRDefault="00802EED" w:rsidP="00802EED">
      <w:pPr>
        <w:pStyle w:val="Heading2"/>
        <w:keepNext w:val="0"/>
        <w:numPr>
          <w:ilvl w:val="0"/>
          <w:numId w:val="0"/>
        </w:numPr>
        <w:spacing w:after="0"/>
        <w:jc w:val="left"/>
        <w:rPr>
          <w:rFonts w:ascii="Arial" w:hAnsi="Arial" w:cs="Arial"/>
        </w:rPr>
      </w:pPr>
    </w:p>
    <w:p w14:paraId="1AAFAE9E" w14:textId="76DA8B9C" w:rsidR="00564798" w:rsidRPr="00320057" w:rsidRDefault="003D7389" w:rsidP="643401CB">
      <w:pPr>
        <w:pStyle w:val="Heading2"/>
        <w:keepNext w:val="0"/>
        <w:tabs>
          <w:tab w:val="clear" w:pos="576"/>
        </w:tabs>
        <w:ind w:left="0" w:hanging="426"/>
        <w:jc w:val="left"/>
        <w:rPr>
          <w:rFonts w:ascii="Arial" w:hAnsi="Arial" w:cs="Arial"/>
        </w:rPr>
      </w:pPr>
      <w:r w:rsidRPr="00320057">
        <w:rPr>
          <w:rFonts w:ascii="Arial" w:hAnsi="Arial" w:cs="Arial"/>
        </w:rPr>
        <w:t>In 202</w:t>
      </w:r>
      <w:r w:rsidR="00AC5CB1" w:rsidRPr="00320057">
        <w:rPr>
          <w:rFonts w:ascii="Arial" w:hAnsi="Arial" w:cs="Arial"/>
        </w:rPr>
        <w:t>3</w:t>
      </w:r>
      <w:r w:rsidRPr="00320057">
        <w:rPr>
          <w:rFonts w:ascii="Arial" w:hAnsi="Arial" w:cs="Arial"/>
        </w:rPr>
        <w:t>/2</w:t>
      </w:r>
      <w:r w:rsidR="00AC5CB1" w:rsidRPr="00320057">
        <w:rPr>
          <w:rFonts w:ascii="Arial" w:hAnsi="Arial" w:cs="Arial"/>
        </w:rPr>
        <w:t>4</w:t>
      </w:r>
      <w:r w:rsidRPr="00320057">
        <w:rPr>
          <w:rFonts w:ascii="Arial" w:hAnsi="Arial" w:cs="Arial"/>
        </w:rPr>
        <w:t xml:space="preserve">, </w:t>
      </w:r>
      <w:r w:rsidR="50FE3A65" w:rsidRPr="643401CB">
        <w:rPr>
          <w:rFonts w:ascii="Arial" w:hAnsi="Arial" w:cs="Arial"/>
        </w:rPr>
        <w:t>national</w:t>
      </w:r>
      <w:r w:rsidR="452EEB0B" w:rsidRPr="643401CB">
        <w:rPr>
          <w:rFonts w:ascii="Arial" w:hAnsi="Arial" w:cs="Arial"/>
        </w:rPr>
        <w:t xml:space="preserve"> </w:t>
      </w:r>
      <w:r w:rsidR="3181FA2D" w:rsidRPr="643401CB">
        <w:rPr>
          <w:rFonts w:ascii="Arial" w:hAnsi="Arial" w:cs="Arial"/>
        </w:rPr>
        <w:t xml:space="preserve">funding </w:t>
      </w:r>
      <w:r w:rsidR="4F0DDD34" w:rsidRPr="643401CB">
        <w:rPr>
          <w:rFonts w:ascii="Arial" w:hAnsi="Arial" w:cs="Arial"/>
        </w:rPr>
        <w:t>through the</w:t>
      </w:r>
      <w:r w:rsidR="00C46E11">
        <w:rPr>
          <w:rFonts w:ascii="Arial" w:hAnsi="Arial" w:cs="Arial"/>
        </w:rPr>
        <w:t xml:space="preserve"> mainstream</w:t>
      </w:r>
      <w:r w:rsidR="00A36340" w:rsidRPr="00320057">
        <w:rPr>
          <w:rFonts w:ascii="Arial" w:hAnsi="Arial" w:cs="Arial"/>
        </w:rPr>
        <w:t xml:space="preserve"> </w:t>
      </w:r>
      <w:r w:rsidRPr="00320057">
        <w:rPr>
          <w:rFonts w:ascii="Arial" w:hAnsi="Arial" w:cs="Arial"/>
        </w:rPr>
        <w:t xml:space="preserve">schools </w:t>
      </w:r>
      <w:r w:rsidR="7515C7E8" w:rsidRPr="643401CB">
        <w:rPr>
          <w:rFonts w:ascii="Arial" w:hAnsi="Arial" w:cs="Arial"/>
        </w:rPr>
        <w:t xml:space="preserve">NFF </w:t>
      </w:r>
      <w:r w:rsidRPr="00320057">
        <w:rPr>
          <w:rFonts w:ascii="Arial" w:hAnsi="Arial" w:cs="Arial"/>
        </w:rPr>
        <w:t xml:space="preserve">is increasing by </w:t>
      </w:r>
      <w:r w:rsidR="00AC5CB1" w:rsidRPr="00320057">
        <w:rPr>
          <w:rFonts w:ascii="Arial" w:hAnsi="Arial" w:cs="Arial"/>
        </w:rPr>
        <w:t>1.9</w:t>
      </w:r>
      <w:r w:rsidRPr="00320057">
        <w:rPr>
          <w:rFonts w:ascii="Arial" w:hAnsi="Arial" w:cs="Arial"/>
        </w:rPr>
        <w:t xml:space="preserve">% </w:t>
      </w:r>
      <w:r w:rsidR="0098506A" w:rsidRPr="00320057">
        <w:rPr>
          <w:rFonts w:ascii="Arial" w:hAnsi="Arial" w:cs="Arial"/>
        </w:rPr>
        <w:t xml:space="preserve">overall and funding for high needs is increasing by </w:t>
      </w:r>
      <w:r w:rsidR="00F822ED" w:rsidRPr="00320057">
        <w:rPr>
          <w:rFonts w:ascii="Arial" w:hAnsi="Arial" w:cs="Arial"/>
        </w:rPr>
        <w:t>6</w:t>
      </w:r>
      <w:r w:rsidR="0098506A" w:rsidRPr="00320057">
        <w:rPr>
          <w:rFonts w:ascii="Arial" w:hAnsi="Arial" w:cs="Arial"/>
        </w:rPr>
        <w:t>.</w:t>
      </w:r>
      <w:r w:rsidR="00F822ED" w:rsidRPr="00320057">
        <w:rPr>
          <w:rFonts w:ascii="Arial" w:hAnsi="Arial" w:cs="Arial"/>
        </w:rPr>
        <w:t>3</w:t>
      </w:r>
      <w:r w:rsidR="0098506A" w:rsidRPr="00320057">
        <w:rPr>
          <w:rFonts w:ascii="Arial" w:hAnsi="Arial" w:cs="Arial"/>
        </w:rPr>
        <w:t>%.</w:t>
      </w:r>
    </w:p>
    <w:p w14:paraId="4D316FD1" w14:textId="334650CE" w:rsidR="00201B6C" w:rsidRPr="00320057" w:rsidRDefault="008A59C0" w:rsidP="0030742C">
      <w:pPr>
        <w:pStyle w:val="Heading2"/>
        <w:keepNext w:val="0"/>
        <w:tabs>
          <w:tab w:val="clear" w:pos="576"/>
          <w:tab w:val="num" w:pos="0"/>
        </w:tabs>
        <w:ind w:left="0" w:hanging="426"/>
        <w:jc w:val="left"/>
        <w:rPr>
          <w:rFonts w:ascii="Arial" w:hAnsi="Arial" w:cs="Arial"/>
        </w:rPr>
      </w:pPr>
      <w:r w:rsidRPr="00320057">
        <w:rPr>
          <w:rFonts w:ascii="Arial" w:hAnsi="Arial" w:cs="Arial"/>
        </w:rPr>
        <w:t>Links to the ministerial statement and policy document</w:t>
      </w:r>
      <w:r w:rsidR="0030742C" w:rsidRPr="00320057">
        <w:rPr>
          <w:rFonts w:ascii="Arial" w:hAnsi="Arial" w:cs="Arial"/>
        </w:rPr>
        <w:t>:</w:t>
      </w:r>
    </w:p>
    <w:p w14:paraId="4C5C495F" w14:textId="71B799FC" w:rsidR="00D124C4" w:rsidRDefault="000710C5" w:rsidP="00D124C4">
      <w:pPr>
        <w:pStyle w:val="Heading2"/>
        <w:keepNext w:val="0"/>
        <w:numPr>
          <w:ilvl w:val="1"/>
          <w:numId w:val="0"/>
        </w:numPr>
        <w:jc w:val="left"/>
        <w:rPr>
          <w:rFonts w:ascii="Arial" w:hAnsi="Arial" w:cs="Arial"/>
          <w:color w:val="FF0000"/>
        </w:rPr>
      </w:pPr>
      <w:hyperlink r:id="rId14">
        <w:r w:rsidR="266F4E44" w:rsidRPr="752E4E0C">
          <w:rPr>
            <w:rStyle w:val="Hyperlink"/>
            <w:rFonts w:ascii="Arial" w:hAnsi="Arial" w:cs="Arial"/>
          </w:rPr>
          <w:t xml:space="preserve">Written statements - Written questions, </w:t>
        </w:r>
      </w:hyperlink>
      <w:bookmarkStart w:id="3" w:name="_Int_Y71D3bdF"/>
      <w:r w:rsidR="266F4E44" w:rsidRPr="752E4E0C">
        <w:rPr>
          <w:rStyle w:val="Hyperlink"/>
          <w:rFonts w:ascii="Arial" w:hAnsi="Arial" w:cs="Arial"/>
        </w:rPr>
        <w:t>answers</w:t>
      </w:r>
      <w:bookmarkEnd w:id="3"/>
      <w:r w:rsidR="266F4E44" w:rsidRPr="752E4E0C">
        <w:rPr>
          <w:rStyle w:val="Hyperlink"/>
          <w:rFonts w:ascii="Arial" w:hAnsi="Arial" w:cs="Arial"/>
        </w:rPr>
        <w:t xml:space="preserve"> and statements - UK Parliament</w:t>
      </w:r>
    </w:p>
    <w:p w14:paraId="1FC258BC" w14:textId="43747777" w:rsidR="00F822ED" w:rsidRPr="005E1847" w:rsidRDefault="000710C5" w:rsidP="00F822ED">
      <w:pPr>
        <w:pStyle w:val="Heading2"/>
        <w:keepNext w:val="0"/>
        <w:numPr>
          <w:ilvl w:val="0"/>
          <w:numId w:val="0"/>
        </w:numPr>
        <w:jc w:val="left"/>
        <w:rPr>
          <w:rFonts w:ascii="Arial" w:hAnsi="Arial" w:cs="Arial"/>
          <w:color w:val="FF0000"/>
        </w:rPr>
      </w:pPr>
      <w:hyperlink r:id="rId15" w:history="1">
        <w:r w:rsidR="00F822ED" w:rsidRPr="00F822ED">
          <w:rPr>
            <w:rStyle w:val="Hyperlink"/>
            <w:rFonts w:ascii="Arial" w:hAnsi="Arial" w:cs="Arial"/>
          </w:rPr>
          <w:t>The national funding formulae for schools and high needs (publishing.service.gov.uk)</w:t>
        </w:r>
      </w:hyperlink>
    </w:p>
    <w:p w14:paraId="7E9159AB" w14:textId="0C218C7A" w:rsidR="008023CE" w:rsidRPr="00D65672" w:rsidRDefault="00D01F5F" w:rsidP="00D65672">
      <w:pPr>
        <w:pStyle w:val="Heading2"/>
        <w:keepNext w:val="0"/>
        <w:tabs>
          <w:tab w:val="clear" w:pos="576"/>
          <w:tab w:val="num" w:pos="0"/>
        </w:tabs>
        <w:ind w:left="0" w:hanging="426"/>
        <w:jc w:val="left"/>
        <w:rPr>
          <w:rFonts w:ascii="Arial" w:hAnsi="Arial" w:cs="Arial"/>
          <w:color w:val="000000"/>
        </w:rPr>
      </w:pPr>
      <w:r w:rsidRPr="00D01F5F">
        <w:rPr>
          <w:rFonts w:ascii="Arial" w:hAnsi="Arial" w:cs="Arial"/>
          <w:color w:val="000000"/>
        </w:rPr>
        <w:t>Th</w:t>
      </w:r>
      <w:r w:rsidR="00511E46">
        <w:rPr>
          <w:rFonts w:ascii="Arial" w:hAnsi="Arial" w:cs="Arial"/>
          <w:color w:val="000000"/>
        </w:rPr>
        <w:t xml:space="preserve">e </w:t>
      </w:r>
      <w:r w:rsidR="009021A7">
        <w:rPr>
          <w:rFonts w:ascii="Arial" w:hAnsi="Arial" w:cs="Arial"/>
          <w:color w:val="000000"/>
        </w:rPr>
        <w:t>DSG allocations for 202</w:t>
      </w:r>
      <w:r w:rsidR="005E1847">
        <w:rPr>
          <w:rFonts w:ascii="Arial" w:hAnsi="Arial" w:cs="Arial"/>
          <w:color w:val="000000"/>
        </w:rPr>
        <w:t>3</w:t>
      </w:r>
      <w:r w:rsidR="009021A7">
        <w:rPr>
          <w:rFonts w:ascii="Arial" w:hAnsi="Arial" w:cs="Arial"/>
          <w:color w:val="000000"/>
        </w:rPr>
        <w:t>/2</w:t>
      </w:r>
      <w:r w:rsidR="005E1847">
        <w:rPr>
          <w:rFonts w:ascii="Arial" w:hAnsi="Arial" w:cs="Arial"/>
          <w:color w:val="000000"/>
        </w:rPr>
        <w:t>4</w:t>
      </w:r>
      <w:r w:rsidR="009021A7">
        <w:rPr>
          <w:rFonts w:ascii="Arial" w:hAnsi="Arial" w:cs="Arial"/>
          <w:color w:val="000000"/>
        </w:rPr>
        <w:t xml:space="preserve"> will be </w:t>
      </w:r>
      <w:r w:rsidR="00D459F7">
        <w:rPr>
          <w:rFonts w:ascii="Arial" w:hAnsi="Arial" w:cs="Arial"/>
          <w:color w:val="000000"/>
        </w:rPr>
        <w:t>confirmed</w:t>
      </w:r>
      <w:r w:rsidR="009021A7">
        <w:rPr>
          <w:rFonts w:ascii="Arial" w:hAnsi="Arial" w:cs="Arial"/>
          <w:color w:val="000000"/>
        </w:rPr>
        <w:t xml:space="preserve"> in December, based on updated data sets</w:t>
      </w:r>
      <w:r w:rsidR="00D65672">
        <w:rPr>
          <w:rFonts w:ascii="Arial" w:hAnsi="Arial" w:cs="Arial"/>
          <w:color w:val="000000"/>
        </w:rPr>
        <w:t>.</w:t>
      </w:r>
    </w:p>
    <w:p w14:paraId="77EE0E44" w14:textId="48DD3317" w:rsidR="0030742C" w:rsidRPr="00594B28" w:rsidRDefault="00DB6615" w:rsidP="00594B28">
      <w:pPr>
        <w:pStyle w:val="Heading1"/>
        <w:keepNext w:val="0"/>
        <w:tabs>
          <w:tab w:val="clear" w:pos="432"/>
          <w:tab w:val="num" w:pos="0"/>
        </w:tabs>
        <w:spacing w:after="120"/>
        <w:ind w:left="0" w:hanging="426"/>
        <w:jc w:val="left"/>
        <w:rPr>
          <w:rFonts w:ascii="Arial" w:hAnsi="Arial" w:cs="Arial"/>
        </w:rPr>
      </w:pPr>
      <w:r w:rsidRPr="0030742C">
        <w:rPr>
          <w:rFonts w:ascii="Arial" w:hAnsi="Arial" w:cs="Arial"/>
        </w:rPr>
        <w:lastRenderedPageBreak/>
        <w:t>Provisional DSG Allocations 202</w:t>
      </w:r>
      <w:r w:rsidR="00EC6498">
        <w:rPr>
          <w:rFonts w:ascii="Arial" w:hAnsi="Arial" w:cs="Arial"/>
        </w:rPr>
        <w:t>3</w:t>
      </w:r>
      <w:r w:rsidRPr="0030742C">
        <w:rPr>
          <w:rFonts w:ascii="Arial" w:hAnsi="Arial" w:cs="Arial"/>
        </w:rPr>
        <w:t>/2</w:t>
      </w:r>
      <w:r w:rsidR="00EC6498">
        <w:rPr>
          <w:rFonts w:ascii="Arial" w:hAnsi="Arial" w:cs="Arial"/>
        </w:rPr>
        <w:t>4</w:t>
      </w:r>
    </w:p>
    <w:p w14:paraId="6FB1B9C5" w14:textId="582C2702" w:rsidR="0052023C" w:rsidRDefault="00150410" w:rsidP="0030742C">
      <w:pPr>
        <w:pStyle w:val="Heading2"/>
        <w:keepNext w:val="0"/>
        <w:tabs>
          <w:tab w:val="clear" w:pos="576"/>
          <w:tab w:val="num" w:pos="0"/>
        </w:tabs>
        <w:ind w:left="0" w:hanging="426"/>
        <w:jc w:val="left"/>
        <w:rPr>
          <w:rFonts w:ascii="Arial" w:hAnsi="Arial" w:cs="Arial"/>
          <w:color w:val="000000"/>
        </w:rPr>
      </w:pPr>
      <w:r>
        <w:rPr>
          <w:rFonts w:ascii="Arial" w:hAnsi="Arial" w:cs="Arial"/>
          <w:color w:val="000000"/>
        </w:rPr>
        <w:t>T</w:t>
      </w:r>
      <w:r w:rsidR="00097C7A">
        <w:rPr>
          <w:rFonts w:ascii="Arial" w:hAnsi="Arial" w:cs="Arial"/>
          <w:color w:val="000000"/>
        </w:rPr>
        <w:t xml:space="preserve">he provision DSG allocations provide an additional </w:t>
      </w:r>
      <w:r w:rsidR="007133F0">
        <w:rPr>
          <w:rFonts w:ascii="Arial" w:hAnsi="Arial" w:cs="Arial"/>
          <w:color w:val="000000"/>
        </w:rPr>
        <w:t>£</w:t>
      </w:r>
      <w:r w:rsidR="00E023CC">
        <w:rPr>
          <w:rFonts w:ascii="Arial" w:hAnsi="Arial" w:cs="Arial"/>
          <w:color w:val="000000"/>
        </w:rPr>
        <w:t>26</w:t>
      </w:r>
      <w:r w:rsidR="0067131E">
        <w:rPr>
          <w:rFonts w:ascii="Arial" w:hAnsi="Arial" w:cs="Arial"/>
          <w:color w:val="000000"/>
        </w:rPr>
        <w:t>.6</w:t>
      </w:r>
      <w:r w:rsidR="007133F0">
        <w:rPr>
          <w:rFonts w:ascii="Arial" w:hAnsi="Arial" w:cs="Arial"/>
          <w:color w:val="000000"/>
        </w:rPr>
        <w:t>m compared to the current 202</w:t>
      </w:r>
      <w:r w:rsidR="00DA0468">
        <w:rPr>
          <w:rFonts w:ascii="Arial" w:hAnsi="Arial" w:cs="Arial"/>
          <w:color w:val="000000"/>
        </w:rPr>
        <w:t>2</w:t>
      </w:r>
      <w:r w:rsidR="007133F0">
        <w:rPr>
          <w:rFonts w:ascii="Arial" w:hAnsi="Arial" w:cs="Arial"/>
          <w:color w:val="000000"/>
        </w:rPr>
        <w:t>/2</w:t>
      </w:r>
      <w:r w:rsidR="00DA0468">
        <w:rPr>
          <w:rFonts w:ascii="Arial" w:hAnsi="Arial" w:cs="Arial"/>
          <w:color w:val="000000"/>
        </w:rPr>
        <w:t>3</w:t>
      </w:r>
      <w:r w:rsidR="007133F0">
        <w:rPr>
          <w:rFonts w:ascii="Arial" w:hAnsi="Arial" w:cs="Arial"/>
          <w:color w:val="000000"/>
        </w:rPr>
        <w:t xml:space="preserve"> allocations</w:t>
      </w:r>
      <w:r w:rsidR="000F28E5">
        <w:rPr>
          <w:rFonts w:ascii="Arial" w:hAnsi="Arial" w:cs="Arial"/>
          <w:color w:val="000000"/>
        </w:rPr>
        <w:t>, as summarised in the following table:</w:t>
      </w:r>
    </w:p>
    <w:tbl>
      <w:tblPr>
        <w:tblW w:w="89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142"/>
        <w:gridCol w:w="1701"/>
        <w:gridCol w:w="1276"/>
        <w:gridCol w:w="1035"/>
      </w:tblGrid>
      <w:tr w:rsidR="00695CC9" w14:paraId="44AD931B" w14:textId="743E94B0" w:rsidTr="6F507AC3">
        <w:trPr>
          <w:trHeight w:val="992"/>
        </w:trPr>
        <w:tc>
          <w:tcPr>
            <w:tcW w:w="2835" w:type="dxa"/>
            <w:noWrap/>
            <w:tcMar>
              <w:top w:w="0" w:type="dxa"/>
              <w:left w:w="108" w:type="dxa"/>
              <w:bottom w:w="0" w:type="dxa"/>
              <w:right w:w="108" w:type="dxa"/>
            </w:tcMar>
            <w:vAlign w:val="bottom"/>
            <w:hideMark/>
          </w:tcPr>
          <w:p w14:paraId="0699C6A6" w14:textId="77777777" w:rsidR="00695CC9" w:rsidRDefault="00695CC9" w:rsidP="001539C9">
            <w:pPr>
              <w:rPr>
                <w:rFonts w:ascii="Arial" w:hAnsi="Arial" w:cs="Arial"/>
                <w:color w:val="000000"/>
                <w:szCs w:val="24"/>
                <w:lang w:eastAsia="en-GB"/>
              </w:rPr>
            </w:pPr>
            <w:r>
              <w:rPr>
                <w:rFonts w:ascii="Arial" w:hAnsi="Arial" w:cs="Arial"/>
                <w:color w:val="000000"/>
                <w:szCs w:val="24"/>
                <w:lang w:eastAsia="en-GB"/>
              </w:rPr>
              <w:t> </w:t>
            </w:r>
          </w:p>
        </w:tc>
        <w:tc>
          <w:tcPr>
            <w:tcW w:w="2142" w:type="dxa"/>
            <w:tcMar>
              <w:top w:w="0" w:type="dxa"/>
              <w:left w:w="108" w:type="dxa"/>
              <w:bottom w:w="0" w:type="dxa"/>
              <w:right w:w="108" w:type="dxa"/>
            </w:tcMar>
            <w:vAlign w:val="bottom"/>
            <w:hideMark/>
          </w:tcPr>
          <w:p w14:paraId="612CEE34" w14:textId="5AC6E359" w:rsidR="00695CC9" w:rsidRDefault="00695CC9" w:rsidP="00CC3DBD">
            <w:pPr>
              <w:spacing w:after="0"/>
              <w:jc w:val="center"/>
              <w:rPr>
                <w:rFonts w:ascii="Arial" w:hAnsi="Arial" w:cs="Arial"/>
                <w:b/>
                <w:bCs/>
                <w:color w:val="000000"/>
                <w:szCs w:val="24"/>
                <w:lang w:eastAsia="en-GB"/>
              </w:rPr>
            </w:pPr>
            <w:r>
              <w:rPr>
                <w:rFonts w:ascii="Arial" w:hAnsi="Arial" w:cs="Arial"/>
                <w:b/>
                <w:bCs/>
                <w:color w:val="000000"/>
                <w:szCs w:val="24"/>
                <w:lang w:eastAsia="en-GB"/>
              </w:rPr>
              <w:t>Current 202</w:t>
            </w:r>
            <w:r w:rsidR="00E53F15">
              <w:rPr>
                <w:rFonts w:ascii="Arial" w:hAnsi="Arial" w:cs="Arial"/>
                <w:b/>
                <w:bCs/>
                <w:color w:val="000000"/>
                <w:szCs w:val="24"/>
                <w:lang w:eastAsia="en-GB"/>
              </w:rPr>
              <w:t>2</w:t>
            </w:r>
            <w:r>
              <w:rPr>
                <w:rFonts w:ascii="Arial" w:hAnsi="Arial" w:cs="Arial"/>
                <w:b/>
                <w:bCs/>
                <w:color w:val="000000"/>
                <w:szCs w:val="24"/>
                <w:lang w:eastAsia="en-GB"/>
              </w:rPr>
              <w:t>/2</w:t>
            </w:r>
            <w:r w:rsidR="00E53F15">
              <w:rPr>
                <w:rFonts w:ascii="Arial" w:hAnsi="Arial" w:cs="Arial"/>
                <w:b/>
                <w:bCs/>
                <w:color w:val="000000"/>
                <w:szCs w:val="24"/>
                <w:lang w:eastAsia="en-GB"/>
              </w:rPr>
              <w:t>3</w:t>
            </w:r>
            <w:r>
              <w:rPr>
                <w:rFonts w:ascii="Arial" w:hAnsi="Arial" w:cs="Arial"/>
                <w:b/>
                <w:bCs/>
                <w:color w:val="000000"/>
                <w:szCs w:val="24"/>
                <w:lang w:eastAsia="en-GB"/>
              </w:rPr>
              <w:t xml:space="preserve"> DSG Allocation</w:t>
            </w:r>
          </w:p>
          <w:p w14:paraId="54666F7F" w14:textId="45A1BA78" w:rsidR="00695CC9" w:rsidRDefault="00695CC9" w:rsidP="00CC3DBD">
            <w:pPr>
              <w:spacing w:after="0"/>
              <w:jc w:val="center"/>
              <w:rPr>
                <w:rFonts w:ascii="Arial" w:hAnsi="Arial" w:cs="Arial"/>
                <w:b/>
                <w:bCs/>
                <w:color w:val="000000"/>
                <w:szCs w:val="24"/>
                <w:lang w:eastAsia="en-GB"/>
              </w:rPr>
            </w:pPr>
            <w:r>
              <w:rPr>
                <w:rFonts w:ascii="Arial" w:hAnsi="Arial" w:cs="Arial"/>
                <w:b/>
                <w:bCs/>
                <w:color w:val="000000"/>
                <w:szCs w:val="24"/>
                <w:lang w:eastAsia="en-GB"/>
              </w:rPr>
              <w:t>£000</w:t>
            </w:r>
          </w:p>
        </w:tc>
        <w:tc>
          <w:tcPr>
            <w:tcW w:w="1701" w:type="dxa"/>
            <w:tcMar>
              <w:top w:w="0" w:type="dxa"/>
              <w:left w:w="108" w:type="dxa"/>
              <w:bottom w:w="0" w:type="dxa"/>
              <w:right w:w="108" w:type="dxa"/>
            </w:tcMar>
            <w:vAlign w:val="bottom"/>
            <w:hideMark/>
          </w:tcPr>
          <w:p w14:paraId="61B49990" w14:textId="560621DE" w:rsidR="00695CC9" w:rsidRDefault="00695CC9" w:rsidP="00CC3DBD">
            <w:pPr>
              <w:spacing w:after="0"/>
              <w:jc w:val="center"/>
              <w:rPr>
                <w:rFonts w:ascii="Arial" w:hAnsi="Arial" w:cs="Arial"/>
                <w:b/>
                <w:bCs/>
                <w:color w:val="000000"/>
                <w:szCs w:val="24"/>
                <w:lang w:eastAsia="en-GB"/>
              </w:rPr>
            </w:pPr>
            <w:r>
              <w:rPr>
                <w:rFonts w:ascii="Arial" w:hAnsi="Arial" w:cs="Arial"/>
                <w:b/>
                <w:bCs/>
                <w:color w:val="000000"/>
                <w:szCs w:val="24"/>
                <w:lang w:eastAsia="en-GB"/>
              </w:rPr>
              <w:t>Provisional 202</w:t>
            </w:r>
            <w:r w:rsidR="00E53F15">
              <w:rPr>
                <w:rFonts w:ascii="Arial" w:hAnsi="Arial" w:cs="Arial"/>
                <w:b/>
                <w:bCs/>
                <w:color w:val="000000"/>
                <w:szCs w:val="24"/>
                <w:lang w:eastAsia="en-GB"/>
              </w:rPr>
              <w:t>3</w:t>
            </w:r>
            <w:r>
              <w:rPr>
                <w:rFonts w:ascii="Arial" w:hAnsi="Arial" w:cs="Arial"/>
                <w:b/>
                <w:bCs/>
                <w:color w:val="000000"/>
                <w:szCs w:val="24"/>
                <w:lang w:eastAsia="en-GB"/>
              </w:rPr>
              <w:t>/2</w:t>
            </w:r>
            <w:r w:rsidR="00E53F15">
              <w:rPr>
                <w:rFonts w:ascii="Arial" w:hAnsi="Arial" w:cs="Arial"/>
                <w:b/>
                <w:bCs/>
                <w:color w:val="000000"/>
                <w:szCs w:val="24"/>
                <w:lang w:eastAsia="en-GB"/>
              </w:rPr>
              <w:t>4</w:t>
            </w:r>
            <w:r>
              <w:rPr>
                <w:rFonts w:ascii="Arial" w:hAnsi="Arial" w:cs="Arial"/>
                <w:b/>
                <w:bCs/>
                <w:color w:val="000000"/>
                <w:szCs w:val="24"/>
                <w:lang w:eastAsia="en-GB"/>
              </w:rPr>
              <w:t xml:space="preserve"> DSG</w:t>
            </w:r>
          </w:p>
          <w:p w14:paraId="78D046E1" w14:textId="32953E7A" w:rsidR="00695CC9" w:rsidRDefault="00695CC9" w:rsidP="003B6740">
            <w:pPr>
              <w:jc w:val="center"/>
              <w:rPr>
                <w:rFonts w:ascii="Arial" w:hAnsi="Arial" w:cs="Arial"/>
                <w:b/>
                <w:bCs/>
                <w:color w:val="000000"/>
                <w:szCs w:val="24"/>
                <w:lang w:eastAsia="en-GB"/>
              </w:rPr>
            </w:pPr>
            <w:r>
              <w:rPr>
                <w:rFonts w:ascii="Arial" w:hAnsi="Arial" w:cs="Arial"/>
                <w:b/>
                <w:bCs/>
                <w:color w:val="000000"/>
                <w:szCs w:val="24"/>
                <w:lang w:eastAsia="en-GB"/>
              </w:rPr>
              <w:t>£000</w:t>
            </w:r>
          </w:p>
        </w:tc>
        <w:tc>
          <w:tcPr>
            <w:tcW w:w="1276" w:type="dxa"/>
            <w:noWrap/>
            <w:tcMar>
              <w:top w:w="0" w:type="dxa"/>
              <w:left w:w="108" w:type="dxa"/>
              <w:bottom w:w="0" w:type="dxa"/>
              <w:right w:w="108" w:type="dxa"/>
            </w:tcMar>
            <w:vAlign w:val="bottom"/>
            <w:hideMark/>
          </w:tcPr>
          <w:p w14:paraId="3B484B3E" w14:textId="77777777" w:rsidR="00695CC9" w:rsidRDefault="00695CC9" w:rsidP="00CC3DBD">
            <w:pPr>
              <w:spacing w:after="0"/>
              <w:jc w:val="center"/>
              <w:rPr>
                <w:rFonts w:ascii="Arial" w:hAnsi="Arial" w:cs="Arial"/>
                <w:b/>
                <w:bCs/>
                <w:color w:val="000000"/>
                <w:szCs w:val="24"/>
                <w:lang w:eastAsia="en-GB"/>
              </w:rPr>
            </w:pPr>
            <w:r>
              <w:rPr>
                <w:rFonts w:ascii="Arial" w:hAnsi="Arial" w:cs="Arial"/>
                <w:b/>
                <w:bCs/>
                <w:color w:val="000000"/>
                <w:szCs w:val="24"/>
                <w:lang w:eastAsia="en-GB"/>
              </w:rPr>
              <w:t>Change</w:t>
            </w:r>
          </w:p>
          <w:p w14:paraId="693C2D95" w14:textId="28F02222" w:rsidR="00695CC9" w:rsidRDefault="00695CC9" w:rsidP="003B6740">
            <w:pPr>
              <w:jc w:val="center"/>
              <w:rPr>
                <w:rFonts w:ascii="Arial" w:hAnsi="Arial" w:cs="Arial"/>
                <w:b/>
                <w:bCs/>
                <w:color w:val="000000"/>
                <w:szCs w:val="24"/>
                <w:lang w:eastAsia="en-GB"/>
              </w:rPr>
            </w:pPr>
            <w:r>
              <w:rPr>
                <w:rFonts w:ascii="Arial" w:hAnsi="Arial" w:cs="Arial"/>
                <w:b/>
                <w:bCs/>
                <w:color w:val="000000"/>
                <w:szCs w:val="24"/>
                <w:lang w:eastAsia="en-GB"/>
              </w:rPr>
              <w:t>£000</w:t>
            </w:r>
          </w:p>
        </w:tc>
        <w:tc>
          <w:tcPr>
            <w:tcW w:w="1035" w:type="dxa"/>
            <w:vAlign w:val="bottom"/>
          </w:tcPr>
          <w:p w14:paraId="55743014" w14:textId="77777777" w:rsidR="003B6740" w:rsidRDefault="00695CC9" w:rsidP="00CC3DBD">
            <w:pPr>
              <w:spacing w:after="0"/>
              <w:jc w:val="center"/>
              <w:rPr>
                <w:rFonts w:ascii="Arial" w:hAnsi="Arial" w:cs="Arial"/>
                <w:b/>
                <w:bCs/>
                <w:color w:val="000000"/>
                <w:szCs w:val="24"/>
                <w:lang w:eastAsia="en-GB"/>
              </w:rPr>
            </w:pPr>
            <w:r>
              <w:rPr>
                <w:rFonts w:ascii="Arial" w:hAnsi="Arial" w:cs="Arial"/>
                <w:b/>
                <w:bCs/>
                <w:color w:val="000000"/>
                <w:szCs w:val="24"/>
                <w:lang w:eastAsia="en-GB"/>
              </w:rPr>
              <w:t>Change</w:t>
            </w:r>
          </w:p>
          <w:p w14:paraId="1FDB256B" w14:textId="49324EBB" w:rsidR="00695CC9" w:rsidRDefault="00695CC9" w:rsidP="00594B28">
            <w:pPr>
              <w:jc w:val="center"/>
              <w:rPr>
                <w:rFonts w:ascii="Arial" w:hAnsi="Arial" w:cs="Arial"/>
                <w:b/>
                <w:bCs/>
                <w:color w:val="000000"/>
                <w:szCs w:val="24"/>
                <w:lang w:eastAsia="en-GB"/>
              </w:rPr>
            </w:pPr>
            <w:r>
              <w:rPr>
                <w:rFonts w:ascii="Arial" w:hAnsi="Arial" w:cs="Arial"/>
                <w:b/>
                <w:bCs/>
                <w:color w:val="000000"/>
                <w:szCs w:val="24"/>
                <w:lang w:eastAsia="en-GB"/>
              </w:rPr>
              <w:t>%</w:t>
            </w:r>
          </w:p>
        </w:tc>
      </w:tr>
      <w:tr w:rsidR="007B1D81" w14:paraId="66665F71" w14:textId="31CA16EA" w:rsidTr="6F507AC3">
        <w:trPr>
          <w:trHeight w:val="310"/>
        </w:trPr>
        <w:tc>
          <w:tcPr>
            <w:tcW w:w="2835" w:type="dxa"/>
            <w:noWrap/>
            <w:tcMar>
              <w:top w:w="0" w:type="dxa"/>
              <w:left w:w="108" w:type="dxa"/>
              <w:bottom w:w="0" w:type="dxa"/>
              <w:right w:w="108" w:type="dxa"/>
            </w:tcMar>
            <w:vAlign w:val="bottom"/>
            <w:hideMark/>
          </w:tcPr>
          <w:p w14:paraId="51F154D0" w14:textId="565F85AA" w:rsidR="007B1D81" w:rsidRDefault="007B1D81" w:rsidP="00CC3DBD">
            <w:pPr>
              <w:spacing w:after="0"/>
              <w:jc w:val="left"/>
              <w:rPr>
                <w:rFonts w:ascii="Arial" w:hAnsi="Arial" w:cs="Arial"/>
                <w:color w:val="000000"/>
                <w:szCs w:val="24"/>
                <w:lang w:eastAsia="en-GB"/>
              </w:rPr>
            </w:pPr>
            <w:r>
              <w:rPr>
                <w:rFonts w:ascii="Arial" w:hAnsi="Arial" w:cs="Arial"/>
                <w:color w:val="000000"/>
                <w:szCs w:val="24"/>
                <w:lang w:eastAsia="en-GB"/>
              </w:rPr>
              <w:t>Schools Block</w:t>
            </w:r>
          </w:p>
        </w:tc>
        <w:tc>
          <w:tcPr>
            <w:tcW w:w="2142" w:type="dxa"/>
            <w:noWrap/>
            <w:tcMar>
              <w:top w:w="0" w:type="dxa"/>
              <w:left w:w="108" w:type="dxa"/>
              <w:bottom w:w="0" w:type="dxa"/>
              <w:right w:w="108" w:type="dxa"/>
            </w:tcMar>
            <w:vAlign w:val="bottom"/>
          </w:tcPr>
          <w:p w14:paraId="324F9FE2" w14:textId="5036ABFE" w:rsidR="007B1D81" w:rsidRPr="007B1D81" w:rsidRDefault="008C4557" w:rsidP="00CC3DBD">
            <w:pPr>
              <w:spacing w:after="0"/>
              <w:jc w:val="right"/>
              <w:rPr>
                <w:rFonts w:ascii="Arial" w:hAnsi="Arial" w:cs="Arial"/>
                <w:color w:val="000000"/>
                <w:szCs w:val="24"/>
                <w:lang w:eastAsia="en-GB"/>
              </w:rPr>
            </w:pPr>
            <w:r>
              <w:rPr>
                <w:rFonts w:ascii="Arial" w:hAnsi="Arial" w:cs="Arial"/>
                <w:color w:val="000000"/>
                <w:szCs w:val="24"/>
              </w:rPr>
              <w:t>*</w:t>
            </w:r>
            <w:r w:rsidR="00FE3ECE">
              <w:rPr>
                <w:rFonts w:ascii="Arial" w:hAnsi="Arial" w:cs="Arial"/>
                <w:color w:val="000000"/>
                <w:szCs w:val="24"/>
              </w:rPr>
              <w:t>913,063</w:t>
            </w:r>
          </w:p>
        </w:tc>
        <w:tc>
          <w:tcPr>
            <w:tcW w:w="1701" w:type="dxa"/>
            <w:noWrap/>
            <w:tcMar>
              <w:top w:w="0" w:type="dxa"/>
              <w:left w:w="108" w:type="dxa"/>
              <w:bottom w:w="0" w:type="dxa"/>
              <w:right w:w="108" w:type="dxa"/>
            </w:tcMar>
            <w:vAlign w:val="bottom"/>
          </w:tcPr>
          <w:p w14:paraId="33B55F4B" w14:textId="2DB49389" w:rsidR="007B1D81" w:rsidRPr="007B1D81" w:rsidRDefault="00E53F15" w:rsidP="00CC3DBD">
            <w:pPr>
              <w:spacing w:after="0"/>
              <w:jc w:val="right"/>
              <w:rPr>
                <w:rFonts w:ascii="Arial" w:hAnsi="Arial" w:cs="Arial"/>
                <w:color w:val="000000"/>
                <w:szCs w:val="24"/>
                <w:lang w:eastAsia="en-GB"/>
              </w:rPr>
            </w:pPr>
            <w:r>
              <w:rPr>
                <w:rFonts w:ascii="Arial" w:hAnsi="Arial" w:cs="Arial"/>
                <w:color w:val="000000"/>
                <w:szCs w:val="24"/>
              </w:rPr>
              <w:t>927</w:t>
            </w:r>
            <w:r w:rsidR="007B1D81" w:rsidRPr="007B1D81">
              <w:rPr>
                <w:rFonts w:ascii="Arial" w:hAnsi="Arial" w:cs="Arial"/>
                <w:color w:val="000000"/>
                <w:szCs w:val="24"/>
              </w:rPr>
              <w:t>,</w:t>
            </w:r>
            <w:r>
              <w:rPr>
                <w:rFonts w:ascii="Arial" w:hAnsi="Arial" w:cs="Arial"/>
                <w:color w:val="000000"/>
                <w:szCs w:val="24"/>
              </w:rPr>
              <w:t>370</w:t>
            </w:r>
          </w:p>
        </w:tc>
        <w:tc>
          <w:tcPr>
            <w:tcW w:w="1276" w:type="dxa"/>
            <w:noWrap/>
            <w:tcMar>
              <w:top w:w="0" w:type="dxa"/>
              <w:left w:w="108" w:type="dxa"/>
              <w:bottom w:w="0" w:type="dxa"/>
              <w:right w:w="108" w:type="dxa"/>
            </w:tcMar>
            <w:vAlign w:val="bottom"/>
          </w:tcPr>
          <w:p w14:paraId="501590F1" w14:textId="011E0704" w:rsidR="007B1D81" w:rsidRPr="007B1D81" w:rsidRDefault="007B1D81" w:rsidP="00CC3DBD">
            <w:pPr>
              <w:spacing w:after="0"/>
              <w:jc w:val="right"/>
              <w:rPr>
                <w:rFonts w:ascii="Arial" w:hAnsi="Arial" w:cs="Arial"/>
                <w:color w:val="000000"/>
                <w:szCs w:val="24"/>
                <w:lang w:eastAsia="en-GB"/>
              </w:rPr>
            </w:pPr>
            <w:r w:rsidRPr="007B1D81">
              <w:rPr>
                <w:rFonts w:ascii="Arial" w:hAnsi="Arial" w:cs="Arial"/>
                <w:color w:val="000000"/>
                <w:szCs w:val="24"/>
              </w:rPr>
              <w:t>1</w:t>
            </w:r>
            <w:r w:rsidR="00E53F15">
              <w:rPr>
                <w:rFonts w:ascii="Arial" w:hAnsi="Arial" w:cs="Arial"/>
                <w:color w:val="000000"/>
                <w:szCs w:val="24"/>
              </w:rPr>
              <w:t>4</w:t>
            </w:r>
            <w:r w:rsidRPr="007B1D81">
              <w:rPr>
                <w:rFonts w:ascii="Arial" w:hAnsi="Arial" w:cs="Arial"/>
                <w:color w:val="000000"/>
                <w:szCs w:val="24"/>
              </w:rPr>
              <w:t>,</w:t>
            </w:r>
            <w:r w:rsidR="00E53F15">
              <w:rPr>
                <w:rFonts w:ascii="Arial" w:hAnsi="Arial" w:cs="Arial"/>
                <w:color w:val="000000"/>
                <w:szCs w:val="24"/>
              </w:rPr>
              <w:t>307</w:t>
            </w:r>
          </w:p>
        </w:tc>
        <w:tc>
          <w:tcPr>
            <w:tcW w:w="1035" w:type="dxa"/>
            <w:vAlign w:val="bottom"/>
          </w:tcPr>
          <w:p w14:paraId="30DDD897" w14:textId="7891D0DA" w:rsidR="007B1D81" w:rsidRPr="007B1D81" w:rsidRDefault="009417C7" w:rsidP="00CC3DBD">
            <w:pPr>
              <w:spacing w:after="0"/>
              <w:jc w:val="right"/>
              <w:rPr>
                <w:rFonts w:ascii="Arial" w:hAnsi="Arial" w:cs="Arial"/>
                <w:color w:val="000000"/>
                <w:szCs w:val="24"/>
                <w:lang w:eastAsia="en-GB"/>
              </w:rPr>
            </w:pPr>
            <w:r>
              <w:rPr>
                <w:rFonts w:ascii="Arial" w:hAnsi="Arial" w:cs="Arial"/>
                <w:color w:val="000000"/>
                <w:szCs w:val="24"/>
              </w:rPr>
              <w:t>1</w:t>
            </w:r>
            <w:r w:rsidR="007B1D81" w:rsidRPr="007B1D81">
              <w:rPr>
                <w:rFonts w:ascii="Arial" w:hAnsi="Arial" w:cs="Arial"/>
                <w:color w:val="000000"/>
                <w:szCs w:val="24"/>
              </w:rPr>
              <w:t>.</w:t>
            </w:r>
            <w:r>
              <w:rPr>
                <w:rFonts w:ascii="Arial" w:hAnsi="Arial" w:cs="Arial"/>
                <w:color w:val="000000"/>
                <w:szCs w:val="24"/>
              </w:rPr>
              <w:t>6</w:t>
            </w:r>
            <w:r w:rsidR="007B1D81" w:rsidRPr="007B1D81">
              <w:rPr>
                <w:rFonts w:ascii="Arial" w:hAnsi="Arial" w:cs="Arial"/>
                <w:color w:val="000000"/>
                <w:szCs w:val="24"/>
              </w:rPr>
              <w:t>%</w:t>
            </w:r>
          </w:p>
        </w:tc>
      </w:tr>
      <w:tr w:rsidR="00225630" w14:paraId="7AD348B7" w14:textId="739753D6" w:rsidTr="6F507AC3">
        <w:trPr>
          <w:trHeight w:val="310"/>
        </w:trPr>
        <w:tc>
          <w:tcPr>
            <w:tcW w:w="2835" w:type="dxa"/>
            <w:noWrap/>
            <w:tcMar>
              <w:top w:w="0" w:type="dxa"/>
              <w:left w:w="108" w:type="dxa"/>
              <w:bottom w:w="0" w:type="dxa"/>
              <w:right w:w="108" w:type="dxa"/>
            </w:tcMar>
            <w:vAlign w:val="bottom"/>
            <w:hideMark/>
          </w:tcPr>
          <w:p w14:paraId="00684F7E" w14:textId="5B0CF8A3" w:rsidR="00225630" w:rsidRDefault="00225630" w:rsidP="00CC3DBD">
            <w:pPr>
              <w:spacing w:after="0"/>
              <w:jc w:val="left"/>
              <w:rPr>
                <w:rFonts w:ascii="Arial" w:hAnsi="Arial" w:cs="Arial"/>
                <w:color w:val="000000"/>
                <w:szCs w:val="24"/>
                <w:lang w:eastAsia="en-GB"/>
              </w:rPr>
            </w:pPr>
            <w:r>
              <w:rPr>
                <w:rFonts w:ascii="Arial" w:hAnsi="Arial" w:cs="Arial"/>
                <w:color w:val="000000"/>
                <w:szCs w:val="24"/>
                <w:lang w:eastAsia="en-GB"/>
              </w:rPr>
              <w:t>High Needs Block</w:t>
            </w:r>
          </w:p>
        </w:tc>
        <w:tc>
          <w:tcPr>
            <w:tcW w:w="2142" w:type="dxa"/>
            <w:noWrap/>
            <w:tcMar>
              <w:top w:w="0" w:type="dxa"/>
              <w:left w:w="108" w:type="dxa"/>
              <w:bottom w:w="0" w:type="dxa"/>
              <w:right w:w="108" w:type="dxa"/>
            </w:tcMar>
            <w:vAlign w:val="bottom"/>
          </w:tcPr>
          <w:p w14:paraId="3CBE354B" w14:textId="0228B8A0" w:rsidR="00225630" w:rsidRPr="00225630" w:rsidRDefault="00225630" w:rsidP="00CC3DBD">
            <w:pPr>
              <w:spacing w:after="0"/>
              <w:jc w:val="right"/>
              <w:rPr>
                <w:rFonts w:ascii="Arial" w:hAnsi="Arial" w:cs="Arial"/>
                <w:color w:val="000000"/>
                <w:szCs w:val="24"/>
                <w:lang w:eastAsia="en-GB"/>
              </w:rPr>
            </w:pPr>
            <w:r w:rsidRPr="00225630">
              <w:rPr>
                <w:rFonts w:ascii="Arial" w:hAnsi="Arial" w:cs="Arial"/>
                <w:color w:val="000000"/>
                <w:szCs w:val="24"/>
              </w:rPr>
              <w:t>1</w:t>
            </w:r>
            <w:r w:rsidR="009417C7">
              <w:rPr>
                <w:rFonts w:ascii="Arial" w:hAnsi="Arial" w:cs="Arial"/>
                <w:color w:val="000000"/>
                <w:szCs w:val="24"/>
              </w:rPr>
              <w:t>74</w:t>
            </w:r>
            <w:r w:rsidRPr="00225630">
              <w:rPr>
                <w:rFonts w:ascii="Arial" w:hAnsi="Arial" w:cs="Arial"/>
                <w:color w:val="000000"/>
                <w:szCs w:val="24"/>
              </w:rPr>
              <w:t>,</w:t>
            </w:r>
            <w:r w:rsidR="009417C7">
              <w:rPr>
                <w:rFonts w:ascii="Arial" w:hAnsi="Arial" w:cs="Arial"/>
                <w:color w:val="000000"/>
                <w:szCs w:val="24"/>
              </w:rPr>
              <w:t>753</w:t>
            </w:r>
          </w:p>
        </w:tc>
        <w:tc>
          <w:tcPr>
            <w:tcW w:w="1701" w:type="dxa"/>
            <w:noWrap/>
            <w:tcMar>
              <w:top w:w="0" w:type="dxa"/>
              <w:left w:w="108" w:type="dxa"/>
              <w:bottom w:w="0" w:type="dxa"/>
              <w:right w:w="108" w:type="dxa"/>
            </w:tcMar>
            <w:vAlign w:val="bottom"/>
          </w:tcPr>
          <w:p w14:paraId="680F51A4" w14:textId="2CFE4EAA" w:rsidR="00225630" w:rsidRPr="00225630" w:rsidRDefault="00225630" w:rsidP="00CC3DBD">
            <w:pPr>
              <w:spacing w:after="0"/>
              <w:jc w:val="right"/>
              <w:rPr>
                <w:rFonts w:ascii="Arial" w:hAnsi="Arial" w:cs="Arial"/>
                <w:color w:val="000000"/>
                <w:szCs w:val="24"/>
                <w:lang w:eastAsia="en-GB"/>
              </w:rPr>
            </w:pPr>
            <w:r w:rsidRPr="00225630">
              <w:rPr>
                <w:rFonts w:ascii="Arial" w:hAnsi="Arial" w:cs="Arial"/>
                <w:color w:val="000000"/>
                <w:szCs w:val="24"/>
              </w:rPr>
              <w:t>18</w:t>
            </w:r>
            <w:r w:rsidR="009417C7">
              <w:rPr>
                <w:rFonts w:ascii="Arial" w:hAnsi="Arial" w:cs="Arial"/>
                <w:color w:val="000000"/>
                <w:szCs w:val="24"/>
              </w:rPr>
              <w:t>7,199</w:t>
            </w:r>
          </w:p>
        </w:tc>
        <w:tc>
          <w:tcPr>
            <w:tcW w:w="1276" w:type="dxa"/>
            <w:noWrap/>
            <w:tcMar>
              <w:top w:w="0" w:type="dxa"/>
              <w:left w:w="108" w:type="dxa"/>
              <w:bottom w:w="0" w:type="dxa"/>
              <w:right w:w="108" w:type="dxa"/>
            </w:tcMar>
            <w:vAlign w:val="bottom"/>
          </w:tcPr>
          <w:p w14:paraId="2EBBEF2C" w14:textId="04C5E2B6" w:rsidR="00225630" w:rsidRPr="00225630" w:rsidRDefault="00225630" w:rsidP="00CC3DBD">
            <w:pPr>
              <w:spacing w:after="0"/>
              <w:jc w:val="right"/>
              <w:rPr>
                <w:rFonts w:ascii="Arial" w:hAnsi="Arial" w:cs="Arial"/>
                <w:color w:val="000000"/>
                <w:szCs w:val="24"/>
                <w:lang w:eastAsia="en-GB"/>
              </w:rPr>
            </w:pPr>
            <w:r w:rsidRPr="00225630">
              <w:rPr>
                <w:rFonts w:ascii="Arial" w:hAnsi="Arial" w:cs="Arial"/>
                <w:color w:val="000000"/>
                <w:szCs w:val="24"/>
              </w:rPr>
              <w:t>1</w:t>
            </w:r>
            <w:r w:rsidR="00C213DF">
              <w:rPr>
                <w:rFonts w:ascii="Arial" w:hAnsi="Arial" w:cs="Arial"/>
                <w:color w:val="000000"/>
                <w:szCs w:val="24"/>
              </w:rPr>
              <w:t>2</w:t>
            </w:r>
            <w:r w:rsidRPr="00225630">
              <w:rPr>
                <w:rFonts w:ascii="Arial" w:hAnsi="Arial" w:cs="Arial"/>
                <w:color w:val="000000"/>
                <w:szCs w:val="24"/>
              </w:rPr>
              <w:t>,</w:t>
            </w:r>
            <w:r w:rsidR="00C213DF">
              <w:rPr>
                <w:rFonts w:ascii="Arial" w:hAnsi="Arial" w:cs="Arial"/>
                <w:color w:val="000000"/>
                <w:szCs w:val="24"/>
              </w:rPr>
              <w:t>446</w:t>
            </w:r>
          </w:p>
        </w:tc>
        <w:tc>
          <w:tcPr>
            <w:tcW w:w="1035" w:type="dxa"/>
            <w:vAlign w:val="bottom"/>
          </w:tcPr>
          <w:p w14:paraId="0F7827CA" w14:textId="63E7C213" w:rsidR="00225630" w:rsidRPr="00225630" w:rsidRDefault="00C213DF" w:rsidP="00CC3DBD">
            <w:pPr>
              <w:spacing w:after="0"/>
              <w:jc w:val="right"/>
              <w:rPr>
                <w:rFonts w:ascii="Arial" w:hAnsi="Arial" w:cs="Arial"/>
                <w:color w:val="000000"/>
                <w:szCs w:val="24"/>
                <w:lang w:eastAsia="en-GB"/>
              </w:rPr>
            </w:pPr>
            <w:r>
              <w:rPr>
                <w:rFonts w:ascii="Arial" w:hAnsi="Arial" w:cs="Arial"/>
                <w:color w:val="000000"/>
                <w:szCs w:val="24"/>
              </w:rPr>
              <w:t>7</w:t>
            </w:r>
            <w:r w:rsidR="00225630" w:rsidRPr="00225630">
              <w:rPr>
                <w:rFonts w:ascii="Arial" w:hAnsi="Arial" w:cs="Arial"/>
                <w:color w:val="000000"/>
                <w:szCs w:val="24"/>
              </w:rPr>
              <w:t>.</w:t>
            </w:r>
            <w:r>
              <w:rPr>
                <w:rFonts w:ascii="Arial" w:hAnsi="Arial" w:cs="Arial"/>
                <w:color w:val="000000"/>
                <w:szCs w:val="24"/>
              </w:rPr>
              <w:t>1</w:t>
            </w:r>
            <w:r w:rsidR="00225630" w:rsidRPr="00225630">
              <w:rPr>
                <w:rFonts w:ascii="Arial" w:hAnsi="Arial" w:cs="Arial"/>
                <w:color w:val="000000"/>
                <w:szCs w:val="24"/>
              </w:rPr>
              <w:t>%</w:t>
            </w:r>
          </w:p>
        </w:tc>
      </w:tr>
      <w:tr w:rsidR="00225630" w14:paraId="4F45D7E2" w14:textId="40C27DAD" w:rsidTr="6F507AC3">
        <w:trPr>
          <w:trHeight w:val="310"/>
        </w:trPr>
        <w:tc>
          <w:tcPr>
            <w:tcW w:w="2835" w:type="dxa"/>
            <w:noWrap/>
            <w:tcMar>
              <w:top w:w="0" w:type="dxa"/>
              <w:left w:w="108" w:type="dxa"/>
              <w:bottom w:w="0" w:type="dxa"/>
              <w:right w:w="108" w:type="dxa"/>
            </w:tcMar>
            <w:vAlign w:val="bottom"/>
            <w:hideMark/>
          </w:tcPr>
          <w:p w14:paraId="16999D9A" w14:textId="2BA37FCF" w:rsidR="00225630" w:rsidRDefault="00225630" w:rsidP="00CC3DBD">
            <w:pPr>
              <w:spacing w:after="0"/>
              <w:jc w:val="left"/>
              <w:rPr>
                <w:rFonts w:ascii="Arial" w:hAnsi="Arial" w:cs="Arial"/>
                <w:color w:val="000000"/>
                <w:szCs w:val="24"/>
                <w:lang w:eastAsia="en-GB"/>
              </w:rPr>
            </w:pPr>
            <w:r>
              <w:rPr>
                <w:rFonts w:ascii="Arial" w:hAnsi="Arial" w:cs="Arial"/>
                <w:color w:val="000000"/>
                <w:szCs w:val="24"/>
                <w:lang w:eastAsia="en-GB"/>
              </w:rPr>
              <w:t>Central School Services Block</w:t>
            </w:r>
          </w:p>
        </w:tc>
        <w:tc>
          <w:tcPr>
            <w:tcW w:w="2142" w:type="dxa"/>
            <w:noWrap/>
            <w:tcMar>
              <w:top w:w="0" w:type="dxa"/>
              <w:left w:w="108" w:type="dxa"/>
              <w:bottom w:w="0" w:type="dxa"/>
              <w:right w:w="108" w:type="dxa"/>
            </w:tcMar>
            <w:vAlign w:val="bottom"/>
          </w:tcPr>
          <w:p w14:paraId="1E3FE002" w14:textId="7650E7BC" w:rsidR="00225630" w:rsidRPr="00225630" w:rsidRDefault="00225630" w:rsidP="00CC3DBD">
            <w:pPr>
              <w:spacing w:after="0"/>
              <w:jc w:val="right"/>
              <w:rPr>
                <w:rFonts w:ascii="Arial" w:hAnsi="Arial" w:cs="Arial"/>
                <w:color w:val="000000"/>
                <w:szCs w:val="24"/>
                <w:lang w:eastAsia="en-GB"/>
              </w:rPr>
            </w:pPr>
            <w:r w:rsidRPr="00225630">
              <w:rPr>
                <w:rFonts w:ascii="Arial" w:hAnsi="Arial" w:cs="Arial"/>
                <w:color w:val="000000"/>
                <w:szCs w:val="24"/>
              </w:rPr>
              <w:t>8,</w:t>
            </w:r>
            <w:r w:rsidR="00C213DF">
              <w:rPr>
                <w:rFonts w:ascii="Arial" w:hAnsi="Arial" w:cs="Arial"/>
                <w:color w:val="000000"/>
                <w:szCs w:val="24"/>
              </w:rPr>
              <w:t>080</w:t>
            </w:r>
          </w:p>
        </w:tc>
        <w:tc>
          <w:tcPr>
            <w:tcW w:w="1701" w:type="dxa"/>
            <w:noWrap/>
            <w:tcMar>
              <w:top w:w="0" w:type="dxa"/>
              <w:left w:w="108" w:type="dxa"/>
              <w:bottom w:w="0" w:type="dxa"/>
              <w:right w:w="108" w:type="dxa"/>
            </w:tcMar>
            <w:vAlign w:val="bottom"/>
          </w:tcPr>
          <w:p w14:paraId="13817602" w14:textId="795DF3FD" w:rsidR="00225630" w:rsidRPr="00225630" w:rsidRDefault="00C213DF" w:rsidP="00CC3DBD">
            <w:pPr>
              <w:spacing w:after="0"/>
              <w:jc w:val="right"/>
              <w:rPr>
                <w:rFonts w:ascii="Arial" w:hAnsi="Arial" w:cs="Arial"/>
                <w:color w:val="000000"/>
                <w:szCs w:val="24"/>
                <w:lang w:eastAsia="en-GB"/>
              </w:rPr>
            </w:pPr>
            <w:r>
              <w:rPr>
                <w:rFonts w:ascii="Arial" w:hAnsi="Arial" w:cs="Arial"/>
                <w:color w:val="000000"/>
                <w:szCs w:val="24"/>
              </w:rPr>
              <w:t>7</w:t>
            </w:r>
            <w:r w:rsidR="00225630" w:rsidRPr="00225630">
              <w:rPr>
                <w:rFonts w:ascii="Arial" w:hAnsi="Arial" w:cs="Arial"/>
                <w:color w:val="000000"/>
                <w:szCs w:val="24"/>
              </w:rPr>
              <w:t>,</w:t>
            </w:r>
            <w:r>
              <w:rPr>
                <w:rFonts w:ascii="Arial" w:hAnsi="Arial" w:cs="Arial"/>
                <w:color w:val="000000"/>
                <w:szCs w:val="24"/>
              </w:rPr>
              <w:t>923</w:t>
            </w:r>
          </w:p>
        </w:tc>
        <w:tc>
          <w:tcPr>
            <w:tcW w:w="1276" w:type="dxa"/>
            <w:noWrap/>
            <w:tcMar>
              <w:top w:w="0" w:type="dxa"/>
              <w:left w:w="108" w:type="dxa"/>
              <w:bottom w:w="0" w:type="dxa"/>
              <w:right w:w="108" w:type="dxa"/>
            </w:tcMar>
            <w:vAlign w:val="bottom"/>
          </w:tcPr>
          <w:p w14:paraId="6898F6ED" w14:textId="11E8C51E" w:rsidR="00225630" w:rsidRPr="00225630" w:rsidRDefault="00225630" w:rsidP="00CC3DBD">
            <w:pPr>
              <w:spacing w:after="0"/>
              <w:jc w:val="right"/>
              <w:rPr>
                <w:rFonts w:ascii="Arial" w:hAnsi="Arial" w:cs="Arial"/>
                <w:color w:val="000000"/>
                <w:szCs w:val="24"/>
                <w:lang w:eastAsia="en-GB"/>
              </w:rPr>
            </w:pPr>
            <w:r w:rsidRPr="00225630">
              <w:rPr>
                <w:rFonts w:ascii="Arial" w:hAnsi="Arial" w:cs="Arial"/>
                <w:color w:val="000000"/>
                <w:szCs w:val="24"/>
              </w:rPr>
              <w:t>-1</w:t>
            </w:r>
            <w:r w:rsidR="006224C1">
              <w:rPr>
                <w:rFonts w:ascii="Arial" w:hAnsi="Arial" w:cs="Arial"/>
                <w:color w:val="000000"/>
                <w:szCs w:val="24"/>
              </w:rPr>
              <w:t>57</w:t>
            </w:r>
          </w:p>
        </w:tc>
        <w:tc>
          <w:tcPr>
            <w:tcW w:w="1035" w:type="dxa"/>
            <w:vAlign w:val="bottom"/>
          </w:tcPr>
          <w:p w14:paraId="005C232E" w14:textId="758857D8" w:rsidR="00225630" w:rsidRPr="00225630" w:rsidRDefault="00225630" w:rsidP="00CC3DBD">
            <w:pPr>
              <w:spacing w:after="0"/>
              <w:jc w:val="right"/>
              <w:rPr>
                <w:rFonts w:ascii="Arial" w:hAnsi="Arial" w:cs="Arial"/>
                <w:color w:val="000000"/>
                <w:szCs w:val="24"/>
                <w:lang w:eastAsia="en-GB"/>
              </w:rPr>
            </w:pPr>
            <w:r w:rsidRPr="00225630">
              <w:rPr>
                <w:rFonts w:ascii="Arial" w:hAnsi="Arial" w:cs="Arial"/>
                <w:color w:val="000000"/>
                <w:szCs w:val="24"/>
              </w:rPr>
              <w:t>-</w:t>
            </w:r>
            <w:r w:rsidR="006224C1">
              <w:rPr>
                <w:rFonts w:ascii="Arial" w:hAnsi="Arial" w:cs="Arial"/>
                <w:color w:val="000000"/>
                <w:szCs w:val="24"/>
              </w:rPr>
              <w:t>1</w:t>
            </w:r>
            <w:r w:rsidRPr="00225630">
              <w:rPr>
                <w:rFonts w:ascii="Arial" w:hAnsi="Arial" w:cs="Arial"/>
                <w:color w:val="000000"/>
                <w:szCs w:val="24"/>
              </w:rPr>
              <w:t>.</w:t>
            </w:r>
            <w:r w:rsidR="006224C1">
              <w:rPr>
                <w:rFonts w:ascii="Arial" w:hAnsi="Arial" w:cs="Arial"/>
                <w:color w:val="000000"/>
                <w:szCs w:val="24"/>
              </w:rPr>
              <w:t>9</w:t>
            </w:r>
            <w:r w:rsidRPr="00225630">
              <w:rPr>
                <w:rFonts w:ascii="Arial" w:hAnsi="Arial" w:cs="Arial"/>
                <w:color w:val="000000"/>
                <w:szCs w:val="24"/>
              </w:rPr>
              <w:t>%</w:t>
            </w:r>
          </w:p>
        </w:tc>
      </w:tr>
      <w:tr w:rsidR="00C64BF9" w14:paraId="210EAE4C" w14:textId="44836690" w:rsidTr="6F507AC3">
        <w:trPr>
          <w:trHeight w:val="310"/>
        </w:trPr>
        <w:tc>
          <w:tcPr>
            <w:tcW w:w="2835" w:type="dxa"/>
            <w:noWrap/>
            <w:tcMar>
              <w:top w:w="0" w:type="dxa"/>
              <w:left w:w="108" w:type="dxa"/>
              <w:bottom w:w="0" w:type="dxa"/>
              <w:right w:w="108" w:type="dxa"/>
            </w:tcMar>
            <w:vAlign w:val="bottom"/>
            <w:hideMark/>
          </w:tcPr>
          <w:p w14:paraId="4577E79F" w14:textId="77777777" w:rsidR="00C64BF9" w:rsidRDefault="00C64BF9" w:rsidP="00CC3DBD">
            <w:pPr>
              <w:spacing w:after="0"/>
              <w:jc w:val="left"/>
              <w:rPr>
                <w:rFonts w:ascii="Arial" w:hAnsi="Arial" w:cs="Arial"/>
                <w:b/>
                <w:bCs/>
                <w:color w:val="000000"/>
                <w:szCs w:val="24"/>
                <w:lang w:eastAsia="en-GB"/>
              </w:rPr>
            </w:pPr>
            <w:r>
              <w:rPr>
                <w:rFonts w:ascii="Arial" w:hAnsi="Arial" w:cs="Arial"/>
                <w:b/>
                <w:bCs/>
                <w:color w:val="000000"/>
                <w:szCs w:val="24"/>
                <w:lang w:eastAsia="en-GB"/>
              </w:rPr>
              <w:t>Total</w:t>
            </w:r>
          </w:p>
        </w:tc>
        <w:tc>
          <w:tcPr>
            <w:tcW w:w="2142" w:type="dxa"/>
            <w:noWrap/>
            <w:tcMar>
              <w:top w:w="0" w:type="dxa"/>
              <w:left w:w="108" w:type="dxa"/>
              <w:bottom w:w="0" w:type="dxa"/>
              <w:right w:w="108" w:type="dxa"/>
            </w:tcMar>
            <w:vAlign w:val="bottom"/>
          </w:tcPr>
          <w:p w14:paraId="23FD9588" w14:textId="03B4E618" w:rsidR="00C64BF9" w:rsidRPr="00F313C1" w:rsidRDefault="00C64BF9" w:rsidP="00CC3DBD">
            <w:pPr>
              <w:spacing w:after="0"/>
              <w:jc w:val="right"/>
              <w:rPr>
                <w:rFonts w:ascii="Arial" w:hAnsi="Arial" w:cs="Arial"/>
                <w:b/>
                <w:bCs/>
                <w:color w:val="000000"/>
                <w:szCs w:val="24"/>
                <w:lang w:eastAsia="en-GB"/>
              </w:rPr>
            </w:pPr>
            <w:r w:rsidRPr="00F313C1">
              <w:rPr>
                <w:rFonts w:ascii="Arial" w:hAnsi="Arial" w:cs="Arial"/>
                <w:b/>
                <w:bCs/>
                <w:color w:val="000000"/>
                <w:szCs w:val="24"/>
              </w:rPr>
              <w:t>1,0</w:t>
            </w:r>
            <w:r w:rsidR="004F19BD">
              <w:rPr>
                <w:rFonts w:ascii="Arial" w:hAnsi="Arial" w:cs="Arial"/>
                <w:b/>
                <w:bCs/>
                <w:color w:val="000000"/>
                <w:szCs w:val="24"/>
              </w:rPr>
              <w:t>9</w:t>
            </w:r>
            <w:r w:rsidRPr="00F313C1">
              <w:rPr>
                <w:rFonts w:ascii="Arial" w:hAnsi="Arial" w:cs="Arial"/>
                <w:b/>
                <w:bCs/>
                <w:color w:val="000000"/>
                <w:szCs w:val="24"/>
              </w:rPr>
              <w:t>5,</w:t>
            </w:r>
            <w:r w:rsidR="004F19BD">
              <w:rPr>
                <w:rFonts w:ascii="Arial" w:hAnsi="Arial" w:cs="Arial"/>
                <w:b/>
                <w:bCs/>
                <w:color w:val="000000"/>
                <w:szCs w:val="24"/>
              </w:rPr>
              <w:t>896</w:t>
            </w:r>
          </w:p>
        </w:tc>
        <w:tc>
          <w:tcPr>
            <w:tcW w:w="1701" w:type="dxa"/>
            <w:noWrap/>
            <w:tcMar>
              <w:top w:w="0" w:type="dxa"/>
              <w:left w:w="108" w:type="dxa"/>
              <w:bottom w:w="0" w:type="dxa"/>
              <w:right w:w="108" w:type="dxa"/>
            </w:tcMar>
            <w:vAlign w:val="bottom"/>
          </w:tcPr>
          <w:p w14:paraId="525E42EB" w14:textId="740868BA" w:rsidR="00C64BF9" w:rsidRPr="00F313C1" w:rsidRDefault="00C64BF9" w:rsidP="00CC3DBD">
            <w:pPr>
              <w:spacing w:after="0"/>
              <w:jc w:val="right"/>
              <w:rPr>
                <w:rFonts w:ascii="Arial" w:hAnsi="Arial" w:cs="Arial"/>
                <w:b/>
                <w:bCs/>
                <w:color w:val="000000"/>
                <w:szCs w:val="24"/>
                <w:lang w:eastAsia="en-GB"/>
              </w:rPr>
            </w:pPr>
            <w:r w:rsidRPr="00F313C1">
              <w:rPr>
                <w:rFonts w:ascii="Arial" w:hAnsi="Arial" w:cs="Arial"/>
                <w:b/>
                <w:bCs/>
                <w:color w:val="000000"/>
                <w:szCs w:val="24"/>
              </w:rPr>
              <w:t>1,</w:t>
            </w:r>
            <w:r w:rsidR="00D35467">
              <w:rPr>
                <w:rFonts w:ascii="Arial" w:hAnsi="Arial" w:cs="Arial"/>
                <w:b/>
                <w:bCs/>
                <w:color w:val="000000"/>
                <w:szCs w:val="24"/>
              </w:rPr>
              <w:t>122,492</w:t>
            </w:r>
          </w:p>
        </w:tc>
        <w:tc>
          <w:tcPr>
            <w:tcW w:w="1276" w:type="dxa"/>
            <w:noWrap/>
            <w:tcMar>
              <w:top w:w="0" w:type="dxa"/>
              <w:left w:w="108" w:type="dxa"/>
              <w:bottom w:w="0" w:type="dxa"/>
              <w:right w:w="108" w:type="dxa"/>
            </w:tcMar>
            <w:vAlign w:val="bottom"/>
          </w:tcPr>
          <w:p w14:paraId="053A1A46" w14:textId="3FF09ED5" w:rsidR="00C64BF9" w:rsidRPr="00F313C1" w:rsidRDefault="00525034" w:rsidP="00CC3DBD">
            <w:pPr>
              <w:spacing w:after="0"/>
              <w:jc w:val="right"/>
              <w:rPr>
                <w:rFonts w:ascii="Arial" w:hAnsi="Arial" w:cs="Arial"/>
                <w:b/>
                <w:bCs/>
                <w:color w:val="000000"/>
                <w:szCs w:val="24"/>
                <w:lang w:eastAsia="en-GB"/>
              </w:rPr>
            </w:pPr>
            <w:r>
              <w:rPr>
                <w:rFonts w:ascii="Arial" w:hAnsi="Arial" w:cs="Arial"/>
                <w:b/>
                <w:bCs/>
                <w:color w:val="000000"/>
                <w:szCs w:val="24"/>
              </w:rPr>
              <w:t>26</w:t>
            </w:r>
            <w:r w:rsidR="00C64BF9" w:rsidRPr="00F313C1">
              <w:rPr>
                <w:rFonts w:ascii="Arial" w:hAnsi="Arial" w:cs="Arial"/>
                <w:b/>
                <w:bCs/>
                <w:color w:val="000000"/>
                <w:szCs w:val="24"/>
              </w:rPr>
              <w:t>,</w:t>
            </w:r>
            <w:r>
              <w:rPr>
                <w:rFonts w:ascii="Arial" w:hAnsi="Arial" w:cs="Arial"/>
                <w:b/>
                <w:bCs/>
                <w:color w:val="000000"/>
                <w:szCs w:val="24"/>
              </w:rPr>
              <w:t>596</w:t>
            </w:r>
          </w:p>
        </w:tc>
        <w:tc>
          <w:tcPr>
            <w:tcW w:w="1035" w:type="dxa"/>
            <w:vAlign w:val="bottom"/>
          </w:tcPr>
          <w:p w14:paraId="000275F0" w14:textId="62DE22FC" w:rsidR="00C64BF9" w:rsidRPr="00F313C1" w:rsidRDefault="005B68C2" w:rsidP="00CC3DBD">
            <w:pPr>
              <w:spacing w:after="0"/>
              <w:jc w:val="right"/>
              <w:rPr>
                <w:rFonts w:ascii="Arial" w:hAnsi="Arial" w:cs="Arial"/>
                <w:b/>
                <w:bCs/>
                <w:color w:val="000000"/>
                <w:szCs w:val="24"/>
                <w:lang w:eastAsia="en-GB"/>
              </w:rPr>
            </w:pPr>
            <w:r>
              <w:rPr>
                <w:rFonts w:ascii="Arial" w:hAnsi="Arial" w:cs="Arial"/>
                <w:b/>
                <w:bCs/>
                <w:color w:val="000000"/>
                <w:szCs w:val="24"/>
              </w:rPr>
              <w:t>2</w:t>
            </w:r>
            <w:r w:rsidR="00C64BF9" w:rsidRPr="00F313C1">
              <w:rPr>
                <w:rFonts w:ascii="Arial" w:hAnsi="Arial" w:cs="Arial"/>
                <w:b/>
                <w:bCs/>
                <w:color w:val="000000"/>
                <w:szCs w:val="24"/>
              </w:rPr>
              <w:t>.</w:t>
            </w:r>
            <w:r>
              <w:rPr>
                <w:rFonts w:ascii="Arial" w:hAnsi="Arial" w:cs="Arial"/>
                <w:b/>
                <w:bCs/>
                <w:color w:val="000000"/>
                <w:szCs w:val="24"/>
              </w:rPr>
              <w:t>4</w:t>
            </w:r>
            <w:r w:rsidR="00C64BF9" w:rsidRPr="00F313C1">
              <w:rPr>
                <w:rFonts w:ascii="Arial" w:hAnsi="Arial" w:cs="Arial"/>
                <w:b/>
                <w:bCs/>
                <w:color w:val="000000"/>
                <w:szCs w:val="24"/>
              </w:rPr>
              <w:t>%</w:t>
            </w:r>
          </w:p>
        </w:tc>
      </w:tr>
    </w:tbl>
    <w:p w14:paraId="39FAA99B" w14:textId="52EC2236" w:rsidR="00D00FB6" w:rsidRPr="00C65C90" w:rsidRDefault="00BD737A" w:rsidP="00D00FB6">
      <w:pPr>
        <w:pStyle w:val="Heading2"/>
        <w:keepNext w:val="0"/>
        <w:numPr>
          <w:ilvl w:val="0"/>
          <w:numId w:val="0"/>
        </w:numPr>
        <w:spacing w:after="0"/>
        <w:jc w:val="left"/>
        <w:rPr>
          <w:rFonts w:ascii="Arial" w:hAnsi="Arial" w:cs="Arial"/>
          <w:color w:val="000000"/>
          <w:sz w:val="20"/>
        </w:rPr>
      </w:pPr>
      <w:r w:rsidRPr="00C65C90">
        <w:rPr>
          <w:rFonts w:ascii="Arial" w:hAnsi="Arial" w:cs="Arial"/>
          <w:color w:val="000000"/>
          <w:sz w:val="20"/>
        </w:rPr>
        <w:t xml:space="preserve">*Includes </w:t>
      </w:r>
      <w:r w:rsidR="0037713C" w:rsidRPr="00C65C90">
        <w:rPr>
          <w:rFonts w:ascii="Arial" w:hAnsi="Arial" w:cs="Arial"/>
          <w:color w:val="000000"/>
          <w:sz w:val="20"/>
        </w:rPr>
        <w:t>Supplementary Grant funding rolled into the 2022/23 schools block allocation</w:t>
      </w:r>
    </w:p>
    <w:p w14:paraId="0A72570D" w14:textId="77777777" w:rsidR="00BD737A" w:rsidRDefault="00BD737A" w:rsidP="00D00FB6">
      <w:pPr>
        <w:pStyle w:val="Heading2"/>
        <w:keepNext w:val="0"/>
        <w:numPr>
          <w:ilvl w:val="0"/>
          <w:numId w:val="0"/>
        </w:numPr>
        <w:spacing w:after="0"/>
        <w:jc w:val="left"/>
        <w:rPr>
          <w:rFonts w:ascii="Arial" w:hAnsi="Arial" w:cs="Arial"/>
          <w:color w:val="000000"/>
        </w:rPr>
      </w:pPr>
    </w:p>
    <w:p w14:paraId="401CF184" w14:textId="69564982" w:rsidR="00F2741B" w:rsidRPr="00583BE5" w:rsidRDefault="00331A77" w:rsidP="000C4733">
      <w:pPr>
        <w:pStyle w:val="Heading2"/>
        <w:keepNext w:val="0"/>
        <w:tabs>
          <w:tab w:val="clear" w:pos="576"/>
          <w:tab w:val="num" w:pos="0"/>
        </w:tabs>
        <w:ind w:left="0" w:hanging="426"/>
        <w:jc w:val="left"/>
        <w:rPr>
          <w:rFonts w:ascii="Arial" w:hAnsi="Arial" w:cs="Arial"/>
        </w:rPr>
      </w:pPr>
      <w:r w:rsidRPr="00E023CC">
        <w:rPr>
          <w:rFonts w:ascii="Arial" w:hAnsi="Arial" w:cs="Arial"/>
        </w:rPr>
        <w:t xml:space="preserve">Despite an increase of </w:t>
      </w:r>
      <w:r w:rsidR="00E023CC" w:rsidRPr="00E023CC">
        <w:rPr>
          <w:rFonts w:ascii="Arial" w:hAnsi="Arial" w:cs="Arial"/>
        </w:rPr>
        <w:t>2</w:t>
      </w:r>
      <w:r w:rsidR="00C64BF9" w:rsidRPr="00E023CC">
        <w:rPr>
          <w:rFonts w:ascii="Arial" w:hAnsi="Arial" w:cs="Arial"/>
        </w:rPr>
        <w:t>.</w:t>
      </w:r>
      <w:r w:rsidR="00E023CC" w:rsidRPr="00595843">
        <w:rPr>
          <w:rFonts w:ascii="Arial" w:hAnsi="Arial" w:cs="Arial"/>
        </w:rPr>
        <w:t>4</w:t>
      </w:r>
      <w:r w:rsidRPr="00595843">
        <w:rPr>
          <w:rFonts w:ascii="Arial" w:hAnsi="Arial" w:cs="Arial"/>
        </w:rPr>
        <w:t>%, Hampshire remains one of the lowest funded local authorities.</w:t>
      </w:r>
      <w:r w:rsidR="001D21D7" w:rsidRPr="00595843">
        <w:rPr>
          <w:rFonts w:ascii="Arial" w:hAnsi="Arial" w:cs="Arial"/>
        </w:rPr>
        <w:t xml:space="preserve"> </w:t>
      </w:r>
      <w:r w:rsidR="00AF794F" w:rsidRPr="00595843">
        <w:rPr>
          <w:rFonts w:ascii="Arial" w:hAnsi="Arial" w:cs="Arial"/>
        </w:rPr>
        <w:t>Overall,</w:t>
      </w:r>
      <w:r w:rsidR="001D21D7" w:rsidRPr="00595843">
        <w:rPr>
          <w:rFonts w:ascii="Arial" w:hAnsi="Arial" w:cs="Arial"/>
        </w:rPr>
        <w:t xml:space="preserve"> for DSG, we are the </w:t>
      </w:r>
      <w:r w:rsidR="00595843" w:rsidRPr="00595843">
        <w:rPr>
          <w:rFonts w:ascii="Arial" w:hAnsi="Arial" w:cs="Arial"/>
        </w:rPr>
        <w:t>5</w:t>
      </w:r>
      <w:r w:rsidR="001D21D7" w:rsidRPr="00595843">
        <w:rPr>
          <w:rFonts w:ascii="Arial" w:hAnsi="Arial" w:cs="Arial"/>
          <w:vertAlign w:val="superscript"/>
        </w:rPr>
        <w:t>th</w:t>
      </w:r>
      <w:r w:rsidR="001D21D7" w:rsidRPr="00595843">
        <w:rPr>
          <w:rFonts w:ascii="Arial" w:hAnsi="Arial" w:cs="Arial"/>
        </w:rPr>
        <w:t xml:space="preserve"> lowest funded</w:t>
      </w:r>
      <w:r w:rsidR="0020124B" w:rsidRPr="00595843">
        <w:rPr>
          <w:rFonts w:ascii="Arial" w:hAnsi="Arial" w:cs="Arial"/>
        </w:rPr>
        <w:t>, however this is an increase of 1 place from 202</w:t>
      </w:r>
      <w:r w:rsidR="00595843" w:rsidRPr="00595843">
        <w:rPr>
          <w:rFonts w:ascii="Arial" w:hAnsi="Arial" w:cs="Arial"/>
        </w:rPr>
        <w:t>2</w:t>
      </w:r>
      <w:r w:rsidR="00C4444A" w:rsidRPr="00595843">
        <w:rPr>
          <w:rFonts w:ascii="Arial" w:hAnsi="Arial" w:cs="Arial"/>
        </w:rPr>
        <w:t>/2</w:t>
      </w:r>
      <w:r w:rsidR="00595843" w:rsidRPr="00595843">
        <w:rPr>
          <w:rFonts w:ascii="Arial" w:hAnsi="Arial" w:cs="Arial"/>
        </w:rPr>
        <w:t>3</w:t>
      </w:r>
      <w:r w:rsidR="0020124B" w:rsidRPr="00595843">
        <w:rPr>
          <w:rFonts w:ascii="Arial" w:hAnsi="Arial" w:cs="Arial"/>
        </w:rPr>
        <w:t>.</w:t>
      </w:r>
    </w:p>
    <w:p w14:paraId="54949AED" w14:textId="1E2FBCB6" w:rsidR="00594B28" w:rsidRPr="00594B28" w:rsidRDefault="00D01F5F" w:rsidP="00594B28">
      <w:pPr>
        <w:pStyle w:val="Heading1"/>
        <w:keepNext w:val="0"/>
        <w:tabs>
          <w:tab w:val="clear" w:pos="432"/>
          <w:tab w:val="num" w:pos="0"/>
        </w:tabs>
        <w:spacing w:after="120"/>
        <w:ind w:left="0" w:hanging="426"/>
        <w:jc w:val="left"/>
        <w:rPr>
          <w:rFonts w:ascii="Arial" w:hAnsi="Arial" w:cs="Arial"/>
        </w:rPr>
      </w:pPr>
      <w:bookmarkStart w:id="4" w:name="OLE_LINK5"/>
      <w:bookmarkStart w:id="5" w:name="OLE_LINK6"/>
      <w:bookmarkEnd w:id="0"/>
      <w:r>
        <w:rPr>
          <w:rFonts w:ascii="Arial" w:hAnsi="Arial" w:cs="Arial"/>
        </w:rPr>
        <w:t>School funding</w:t>
      </w:r>
      <w:r w:rsidR="00DD243E">
        <w:rPr>
          <w:rFonts w:ascii="Arial" w:hAnsi="Arial" w:cs="Arial"/>
        </w:rPr>
        <w:t xml:space="preserve"> </w:t>
      </w:r>
      <w:r w:rsidR="00594B28">
        <w:rPr>
          <w:rFonts w:ascii="Arial" w:hAnsi="Arial" w:cs="Arial"/>
        </w:rPr>
        <w:t>–</w:t>
      </w:r>
      <w:r w:rsidR="00DD243E">
        <w:rPr>
          <w:rFonts w:ascii="Arial" w:hAnsi="Arial" w:cs="Arial"/>
        </w:rPr>
        <w:t xml:space="preserve"> Overvie</w:t>
      </w:r>
      <w:r w:rsidR="00594B28">
        <w:rPr>
          <w:rFonts w:ascii="Arial" w:hAnsi="Arial" w:cs="Arial"/>
        </w:rPr>
        <w:t>w</w:t>
      </w:r>
    </w:p>
    <w:p w14:paraId="7289A693" w14:textId="2E36966D" w:rsidR="00F40F67" w:rsidRPr="00EB5E67" w:rsidRDefault="008839FC" w:rsidP="00594B28">
      <w:pPr>
        <w:pStyle w:val="Heading2"/>
        <w:keepNext w:val="0"/>
        <w:tabs>
          <w:tab w:val="clear" w:pos="576"/>
          <w:tab w:val="num" w:pos="0"/>
        </w:tabs>
        <w:ind w:left="0" w:hanging="426"/>
        <w:jc w:val="left"/>
        <w:rPr>
          <w:rFonts w:ascii="Arial" w:hAnsi="Arial" w:cs="Arial"/>
        </w:rPr>
      </w:pPr>
      <w:r w:rsidRPr="00EB5E67">
        <w:rPr>
          <w:rFonts w:ascii="Arial" w:hAnsi="Arial" w:cs="Arial"/>
        </w:rPr>
        <w:t xml:space="preserve">The </w:t>
      </w:r>
      <w:r w:rsidR="0009124C" w:rsidRPr="00EB5E67">
        <w:rPr>
          <w:rFonts w:ascii="Arial" w:hAnsi="Arial" w:cs="Arial"/>
        </w:rPr>
        <w:t>s</w:t>
      </w:r>
      <w:r w:rsidRPr="00EB5E67">
        <w:rPr>
          <w:rFonts w:ascii="Arial" w:hAnsi="Arial" w:cs="Arial"/>
        </w:rPr>
        <w:t>chools national funding formula</w:t>
      </w:r>
      <w:r w:rsidR="001B7CD6" w:rsidRPr="00EB5E67">
        <w:rPr>
          <w:rFonts w:ascii="Arial" w:hAnsi="Arial" w:cs="Arial"/>
        </w:rPr>
        <w:t xml:space="preserve"> (NFF)</w:t>
      </w:r>
      <w:r w:rsidRPr="00EB5E67">
        <w:rPr>
          <w:rFonts w:ascii="Arial" w:hAnsi="Arial" w:cs="Arial"/>
        </w:rPr>
        <w:t xml:space="preserve"> </w:t>
      </w:r>
      <w:r w:rsidR="00F40F67" w:rsidRPr="00EB5E67">
        <w:rPr>
          <w:rFonts w:ascii="Arial" w:hAnsi="Arial" w:cs="Arial"/>
        </w:rPr>
        <w:t>has been updated for 202</w:t>
      </w:r>
      <w:r w:rsidR="00A06E24" w:rsidRPr="00EB5E67">
        <w:rPr>
          <w:rFonts w:ascii="Arial" w:hAnsi="Arial" w:cs="Arial"/>
        </w:rPr>
        <w:t>3</w:t>
      </w:r>
      <w:r w:rsidR="00F40F67" w:rsidRPr="00EB5E67">
        <w:rPr>
          <w:rFonts w:ascii="Arial" w:hAnsi="Arial" w:cs="Arial"/>
        </w:rPr>
        <w:t>/2</w:t>
      </w:r>
      <w:r w:rsidR="00A06E24" w:rsidRPr="00EB5E67">
        <w:rPr>
          <w:rFonts w:ascii="Arial" w:hAnsi="Arial" w:cs="Arial"/>
        </w:rPr>
        <w:t>4</w:t>
      </w:r>
      <w:r w:rsidR="00E32E05" w:rsidRPr="00EB5E67">
        <w:rPr>
          <w:rFonts w:ascii="Arial" w:hAnsi="Arial" w:cs="Arial"/>
        </w:rPr>
        <w:t xml:space="preserve"> with new factor values and </w:t>
      </w:r>
      <w:r w:rsidR="00470B6D" w:rsidRPr="00EB5E67">
        <w:rPr>
          <w:rFonts w:ascii="Arial" w:hAnsi="Arial" w:cs="Arial"/>
        </w:rPr>
        <w:t xml:space="preserve">some technical adjustments. </w:t>
      </w:r>
      <w:r w:rsidR="00156037" w:rsidRPr="00EB5E67">
        <w:rPr>
          <w:rFonts w:ascii="Arial" w:hAnsi="Arial" w:cs="Arial"/>
        </w:rPr>
        <w:t>The key changes are:</w:t>
      </w:r>
    </w:p>
    <w:p w14:paraId="722DDF5B" w14:textId="337986C1" w:rsidR="00AB35DD" w:rsidRDefault="00C67BAF" w:rsidP="002A1016">
      <w:pPr>
        <w:pStyle w:val="Heading2"/>
        <w:numPr>
          <w:ilvl w:val="0"/>
          <w:numId w:val="8"/>
        </w:numPr>
        <w:ind w:left="567" w:hanging="567"/>
        <w:jc w:val="left"/>
        <w:rPr>
          <w:rFonts w:ascii="Arial" w:hAnsi="Arial" w:cs="Arial"/>
        </w:rPr>
      </w:pPr>
      <w:r w:rsidRPr="00EB5E67">
        <w:rPr>
          <w:rFonts w:ascii="Arial" w:hAnsi="Arial" w:cs="Arial"/>
        </w:rPr>
        <w:t xml:space="preserve">The core NFF factors will increase by </w:t>
      </w:r>
      <w:r w:rsidR="000E2438" w:rsidRPr="00EB5E67">
        <w:rPr>
          <w:rFonts w:ascii="Arial" w:hAnsi="Arial" w:cs="Arial"/>
        </w:rPr>
        <w:t>2.4</w:t>
      </w:r>
      <w:r w:rsidRPr="00EB5E67">
        <w:rPr>
          <w:rFonts w:ascii="Arial" w:hAnsi="Arial" w:cs="Arial"/>
        </w:rPr>
        <w:t>%</w:t>
      </w:r>
      <w:r w:rsidR="006F6202" w:rsidRPr="00EB5E67">
        <w:rPr>
          <w:rFonts w:ascii="Arial" w:hAnsi="Arial" w:cs="Arial"/>
        </w:rPr>
        <w:t xml:space="preserve">, </w:t>
      </w:r>
      <w:r w:rsidR="00AB35DD" w:rsidRPr="00EB5E67">
        <w:rPr>
          <w:rFonts w:ascii="Arial" w:hAnsi="Arial" w:cs="Arial"/>
        </w:rPr>
        <w:t>which includes the basic entitlement</w:t>
      </w:r>
      <w:r w:rsidR="00A06E24" w:rsidRPr="00EB5E67">
        <w:rPr>
          <w:rFonts w:ascii="Arial" w:hAnsi="Arial" w:cs="Arial"/>
        </w:rPr>
        <w:t xml:space="preserve"> </w:t>
      </w:r>
      <w:r w:rsidR="00D41528" w:rsidRPr="00EB5E67">
        <w:rPr>
          <w:rFonts w:ascii="Arial" w:hAnsi="Arial" w:cs="Arial"/>
        </w:rPr>
        <w:t>and the lump sum.</w:t>
      </w:r>
    </w:p>
    <w:p w14:paraId="5B805A21" w14:textId="0199A025" w:rsidR="00720A68" w:rsidRPr="00EB5E67" w:rsidRDefault="00720A68" w:rsidP="002A1016">
      <w:pPr>
        <w:pStyle w:val="Heading2"/>
        <w:numPr>
          <w:ilvl w:val="0"/>
          <w:numId w:val="8"/>
        </w:numPr>
        <w:ind w:left="567" w:hanging="567"/>
        <w:jc w:val="left"/>
        <w:rPr>
          <w:rFonts w:ascii="Arial" w:hAnsi="Arial" w:cs="Arial"/>
        </w:rPr>
      </w:pPr>
      <w:r w:rsidRPr="00720A68">
        <w:rPr>
          <w:rFonts w:ascii="Arial" w:hAnsi="Arial" w:cs="Arial"/>
        </w:rPr>
        <w:t xml:space="preserve">Funding for disadvantaged pupils will see greater increases – with funding for </w:t>
      </w:r>
      <w:r w:rsidR="00717D5E">
        <w:rPr>
          <w:rFonts w:ascii="Arial" w:hAnsi="Arial" w:cs="Arial"/>
        </w:rPr>
        <w:t>the</w:t>
      </w:r>
      <w:r w:rsidRPr="00720A68">
        <w:rPr>
          <w:rFonts w:ascii="Arial" w:hAnsi="Arial" w:cs="Arial"/>
        </w:rPr>
        <w:t xml:space="preserve"> two deprivation factors in the NFF increasing by a greater amount than other factors. These two factors (relating to pupils who have been eligible for free school meals at any point over the last six years, and the IDACI factor which relates to relative deprivation between local areas) will increase by 4.3% compared to their 2022-23 values</w:t>
      </w:r>
    </w:p>
    <w:p w14:paraId="2C20EFF9" w14:textId="52E68201" w:rsidR="00832DF1" w:rsidRDefault="00832DF1" w:rsidP="002A1016">
      <w:pPr>
        <w:pStyle w:val="Heading2"/>
        <w:numPr>
          <w:ilvl w:val="0"/>
          <w:numId w:val="8"/>
        </w:numPr>
        <w:ind w:left="567" w:hanging="567"/>
        <w:jc w:val="left"/>
        <w:rPr>
          <w:rFonts w:ascii="Arial" w:hAnsi="Arial" w:cs="Arial"/>
        </w:rPr>
      </w:pPr>
      <w:r w:rsidRPr="00EB5E67">
        <w:rPr>
          <w:rFonts w:ascii="Arial" w:hAnsi="Arial" w:cs="Arial"/>
        </w:rPr>
        <w:t xml:space="preserve">The minimum per pupil funding levels and funding floor are increasing by </w:t>
      </w:r>
      <w:r w:rsidR="00E85467" w:rsidRPr="00EB5E67">
        <w:rPr>
          <w:rFonts w:ascii="Arial" w:hAnsi="Arial" w:cs="Arial"/>
        </w:rPr>
        <w:t>0.5</w:t>
      </w:r>
      <w:r w:rsidRPr="00EB5E67">
        <w:rPr>
          <w:rFonts w:ascii="Arial" w:hAnsi="Arial" w:cs="Arial"/>
        </w:rPr>
        <w:t>%.</w:t>
      </w:r>
      <w:r w:rsidR="00A04266" w:rsidRPr="00EB5E67">
        <w:rPr>
          <w:rFonts w:ascii="Arial" w:hAnsi="Arial" w:cs="Arial"/>
        </w:rPr>
        <w:t xml:space="preserve"> This means that all schools will see an increase</w:t>
      </w:r>
      <w:r w:rsidR="00806C65" w:rsidRPr="00EB5E67">
        <w:rPr>
          <w:rFonts w:ascii="Arial" w:hAnsi="Arial" w:cs="Arial"/>
        </w:rPr>
        <w:t xml:space="preserve"> in their pupil-led funding</w:t>
      </w:r>
      <w:r w:rsidR="00A04266" w:rsidRPr="00EB5E67">
        <w:rPr>
          <w:rFonts w:ascii="Arial" w:hAnsi="Arial" w:cs="Arial"/>
        </w:rPr>
        <w:t xml:space="preserve"> of at least </w:t>
      </w:r>
      <w:r w:rsidR="000424CF" w:rsidRPr="00EB5E67">
        <w:rPr>
          <w:rFonts w:ascii="Arial" w:hAnsi="Arial" w:cs="Arial"/>
        </w:rPr>
        <w:t>0.5</w:t>
      </w:r>
      <w:r w:rsidR="00A04266" w:rsidRPr="00EB5E67">
        <w:rPr>
          <w:rFonts w:ascii="Arial" w:hAnsi="Arial" w:cs="Arial"/>
        </w:rPr>
        <w:t>% per pupil compared to their baseline.</w:t>
      </w:r>
    </w:p>
    <w:p w14:paraId="64E066E6" w14:textId="77777777" w:rsidR="0004245C" w:rsidRDefault="00D16FDA" w:rsidP="002A1016">
      <w:pPr>
        <w:pStyle w:val="Heading2"/>
        <w:numPr>
          <w:ilvl w:val="0"/>
          <w:numId w:val="8"/>
        </w:numPr>
        <w:ind w:left="567" w:hanging="567"/>
        <w:jc w:val="left"/>
        <w:rPr>
          <w:rFonts w:ascii="Arial" w:hAnsi="Arial" w:cs="Arial"/>
        </w:rPr>
      </w:pPr>
      <w:r w:rsidRPr="00D16FDA">
        <w:rPr>
          <w:rFonts w:ascii="Arial" w:hAnsi="Arial" w:cs="Arial"/>
        </w:rPr>
        <w:t xml:space="preserve">Funding floor baselines have also been increased to take account of the rolling in of the </w:t>
      </w:r>
      <w:bookmarkStart w:id="6" w:name="_Int_WhuY02io"/>
      <w:r w:rsidRPr="00D16FDA">
        <w:rPr>
          <w:rFonts w:ascii="Arial" w:hAnsi="Arial" w:cs="Arial"/>
        </w:rPr>
        <w:t>schools</w:t>
      </w:r>
      <w:bookmarkEnd w:id="6"/>
      <w:r w:rsidRPr="00D16FDA">
        <w:rPr>
          <w:rFonts w:ascii="Arial" w:hAnsi="Arial" w:cs="Arial"/>
        </w:rPr>
        <w:t xml:space="preserve"> supplementary grant.</w:t>
      </w:r>
      <w:r w:rsidR="000E3A2A">
        <w:rPr>
          <w:rFonts w:ascii="Arial" w:hAnsi="Arial" w:cs="Arial"/>
        </w:rPr>
        <w:t xml:space="preserve"> </w:t>
      </w:r>
    </w:p>
    <w:p w14:paraId="67D84C85" w14:textId="075E19D9" w:rsidR="00D16FDA" w:rsidRPr="003F67D2" w:rsidRDefault="0004245C" w:rsidP="002A1016">
      <w:pPr>
        <w:pStyle w:val="Heading2"/>
        <w:numPr>
          <w:ilvl w:val="0"/>
          <w:numId w:val="8"/>
        </w:numPr>
        <w:ind w:left="567" w:hanging="567"/>
        <w:jc w:val="left"/>
        <w:rPr>
          <w:rFonts w:ascii="Arial" w:hAnsi="Arial" w:cs="Arial"/>
          <w:color w:val="FF0000"/>
        </w:rPr>
      </w:pPr>
      <w:r w:rsidRPr="00C65C90">
        <w:rPr>
          <w:rFonts w:ascii="Arial" w:hAnsi="Arial" w:cs="Arial"/>
        </w:rPr>
        <w:t xml:space="preserve">The </w:t>
      </w:r>
      <w:r w:rsidR="00C86837" w:rsidRPr="00C65C90">
        <w:rPr>
          <w:rFonts w:ascii="Arial" w:hAnsi="Arial" w:cs="Arial"/>
        </w:rPr>
        <w:t xml:space="preserve">Supplementary </w:t>
      </w:r>
      <w:r w:rsidRPr="0004245C">
        <w:rPr>
          <w:rFonts w:ascii="Arial" w:hAnsi="Arial" w:cs="Arial"/>
        </w:rPr>
        <w:t>grant funding in respect of pupils from reception to year 11 (inclusive) is being rolled into the schools NFF from 2023-24.</w:t>
      </w:r>
      <w:r w:rsidR="004B53AE">
        <w:rPr>
          <w:rFonts w:ascii="Arial" w:hAnsi="Arial" w:cs="Arial"/>
        </w:rPr>
        <w:t xml:space="preserve"> </w:t>
      </w:r>
      <w:r w:rsidR="000E3A2A">
        <w:rPr>
          <w:rFonts w:ascii="Arial" w:hAnsi="Arial" w:cs="Arial"/>
        </w:rPr>
        <w:t>T</w:t>
      </w:r>
      <w:r w:rsidR="000E3A2A" w:rsidRPr="000E3A2A">
        <w:rPr>
          <w:rFonts w:ascii="Arial" w:hAnsi="Arial" w:cs="Arial"/>
        </w:rPr>
        <w:t>he post-16 and early years element of the grant will continue as a separate grant for 2023-24</w:t>
      </w:r>
      <w:r w:rsidR="004B53AE">
        <w:rPr>
          <w:rFonts w:ascii="Arial" w:hAnsi="Arial" w:cs="Arial"/>
        </w:rPr>
        <w:t>.</w:t>
      </w:r>
      <w:r w:rsidR="000D4595">
        <w:rPr>
          <w:rFonts w:ascii="Arial" w:hAnsi="Arial" w:cs="Arial"/>
        </w:rPr>
        <w:t xml:space="preserve"> </w:t>
      </w:r>
      <w:r w:rsidR="00903168">
        <w:rPr>
          <w:rFonts w:ascii="Arial" w:hAnsi="Arial" w:cs="Arial"/>
        </w:rPr>
        <w:t>This involves increasing</w:t>
      </w:r>
      <w:r w:rsidR="00052FE9">
        <w:rPr>
          <w:rFonts w:ascii="Arial" w:hAnsi="Arial" w:cs="Arial"/>
        </w:rPr>
        <w:t xml:space="preserve"> primary, KS3 and KS4</w:t>
      </w:r>
      <w:r w:rsidR="00C22FBC">
        <w:rPr>
          <w:rFonts w:ascii="Arial" w:hAnsi="Arial" w:cs="Arial"/>
        </w:rPr>
        <w:t xml:space="preserve"> basic entitlement</w:t>
      </w:r>
      <w:r w:rsidR="000D4595" w:rsidRPr="000D4595">
        <w:rPr>
          <w:rFonts w:ascii="Arial" w:hAnsi="Arial" w:cs="Arial"/>
        </w:rPr>
        <w:t xml:space="preserve"> factors</w:t>
      </w:r>
      <w:r w:rsidR="00C22FBC">
        <w:rPr>
          <w:rFonts w:ascii="Arial" w:hAnsi="Arial" w:cs="Arial"/>
        </w:rPr>
        <w:t xml:space="preserve"> </w:t>
      </w:r>
      <w:r w:rsidR="00E33DD5">
        <w:rPr>
          <w:rFonts w:ascii="Arial" w:hAnsi="Arial" w:cs="Arial"/>
        </w:rPr>
        <w:t xml:space="preserve">and the school lump sum </w:t>
      </w:r>
      <w:r w:rsidR="00C22FBC">
        <w:rPr>
          <w:rFonts w:ascii="Arial" w:hAnsi="Arial" w:cs="Arial"/>
        </w:rPr>
        <w:t xml:space="preserve">(by </w:t>
      </w:r>
      <w:r w:rsidR="00180354">
        <w:rPr>
          <w:rFonts w:ascii="Arial" w:hAnsi="Arial" w:cs="Arial"/>
        </w:rPr>
        <w:t>an additional 3%)</w:t>
      </w:r>
      <w:r w:rsidR="00903168">
        <w:rPr>
          <w:rFonts w:ascii="Arial" w:hAnsi="Arial" w:cs="Arial"/>
        </w:rPr>
        <w:t xml:space="preserve">, </w:t>
      </w:r>
      <w:r w:rsidR="00903168" w:rsidRPr="00903168">
        <w:rPr>
          <w:rFonts w:ascii="Arial" w:hAnsi="Arial" w:cs="Arial"/>
        </w:rPr>
        <w:t>FSM6 factor</w:t>
      </w:r>
      <w:r w:rsidR="00180354">
        <w:rPr>
          <w:rFonts w:ascii="Arial" w:hAnsi="Arial" w:cs="Arial"/>
        </w:rPr>
        <w:t xml:space="preserve"> (by an additional</w:t>
      </w:r>
      <w:r w:rsidR="0098522C">
        <w:rPr>
          <w:rFonts w:ascii="Arial" w:hAnsi="Arial" w:cs="Arial"/>
        </w:rPr>
        <w:t xml:space="preserve"> 14.4%)</w:t>
      </w:r>
      <w:r w:rsidR="00E33DD5">
        <w:rPr>
          <w:rFonts w:ascii="Arial" w:hAnsi="Arial" w:cs="Arial"/>
        </w:rPr>
        <w:t xml:space="preserve">, </w:t>
      </w:r>
      <w:r w:rsidR="002956DE">
        <w:rPr>
          <w:rFonts w:ascii="Arial" w:hAnsi="Arial" w:cs="Arial"/>
        </w:rPr>
        <w:t xml:space="preserve">increasing the </w:t>
      </w:r>
      <w:r w:rsidR="002956DE" w:rsidRPr="002956DE">
        <w:rPr>
          <w:rFonts w:ascii="Arial" w:hAnsi="Arial" w:cs="Arial"/>
        </w:rPr>
        <w:t>MPP</w:t>
      </w:r>
      <w:r w:rsidR="002956DE">
        <w:rPr>
          <w:rFonts w:ascii="Arial" w:hAnsi="Arial" w:cs="Arial"/>
        </w:rPr>
        <w:t xml:space="preserve"> </w:t>
      </w:r>
      <w:r w:rsidR="002956DE" w:rsidRPr="002956DE">
        <w:rPr>
          <w:rFonts w:ascii="Arial" w:hAnsi="Arial" w:cs="Arial"/>
        </w:rPr>
        <w:t xml:space="preserve">funding </w:t>
      </w:r>
      <w:r w:rsidR="003F67D2">
        <w:rPr>
          <w:rFonts w:ascii="Arial" w:hAnsi="Arial" w:cs="Arial"/>
        </w:rPr>
        <w:t>factor (by an additional 0.5%)</w:t>
      </w:r>
      <w:r w:rsidR="002956DE" w:rsidRPr="002956DE">
        <w:rPr>
          <w:rFonts w:ascii="Arial" w:hAnsi="Arial" w:cs="Arial"/>
        </w:rPr>
        <w:t xml:space="preserve"> </w:t>
      </w:r>
      <w:r w:rsidR="005D77C6">
        <w:rPr>
          <w:rFonts w:ascii="Arial" w:hAnsi="Arial" w:cs="Arial"/>
        </w:rPr>
        <w:t xml:space="preserve">and </w:t>
      </w:r>
      <w:r w:rsidR="005D77C6" w:rsidRPr="00F57B9B">
        <w:rPr>
          <w:rFonts w:ascii="Arial" w:hAnsi="Arial" w:cs="Arial"/>
        </w:rPr>
        <w:t xml:space="preserve">adding an amount representing the </w:t>
      </w:r>
      <w:r w:rsidR="005D77C6" w:rsidRPr="00F57B9B">
        <w:rPr>
          <w:rFonts w:ascii="Arial" w:hAnsi="Arial" w:cs="Arial"/>
        </w:rPr>
        <w:lastRenderedPageBreak/>
        <w:t>funding schools receive</w:t>
      </w:r>
      <w:r w:rsidR="00CE241B">
        <w:rPr>
          <w:rFonts w:ascii="Arial" w:hAnsi="Arial" w:cs="Arial"/>
        </w:rPr>
        <w:t>d</w:t>
      </w:r>
      <w:r w:rsidR="005D77C6" w:rsidRPr="00F57B9B">
        <w:rPr>
          <w:rFonts w:ascii="Arial" w:hAnsi="Arial" w:cs="Arial"/>
        </w:rPr>
        <w:t xml:space="preserve"> through the grant </w:t>
      </w:r>
      <w:r w:rsidR="00CE241B">
        <w:rPr>
          <w:rFonts w:ascii="Arial" w:hAnsi="Arial" w:cs="Arial"/>
        </w:rPr>
        <w:t xml:space="preserve">in 2022/23 </w:t>
      </w:r>
      <w:r w:rsidR="00D2478B" w:rsidRPr="00F57B9B">
        <w:rPr>
          <w:rFonts w:ascii="Arial" w:hAnsi="Arial" w:cs="Arial"/>
        </w:rPr>
        <w:t>(</w:t>
      </w:r>
      <w:r w:rsidR="005D77C6" w:rsidRPr="00F57B9B">
        <w:rPr>
          <w:rFonts w:ascii="Arial" w:hAnsi="Arial" w:cs="Arial"/>
        </w:rPr>
        <w:t>in respect of their reception to Year 11 pupils</w:t>
      </w:r>
      <w:r w:rsidR="00D2478B" w:rsidRPr="00F57B9B">
        <w:rPr>
          <w:rFonts w:ascii="Arial" w:hAnsi="Arial" w:cs="Arial"/>
        </w:rPr>
        <w:t>)</w:t>
      </w:r>
      <w:r w:rsidR="005D77C6" w:rsidRPr="00F57B9B">
        <w:rPr>
          <w:rFonts w:ascii="Arial" w:hAnsi="Arial" w:cs="Arial"/>
        </w:rPr>
        <w:t xml:space="preserve"> onto their baselines</w:t>
      </w:r>
      <w:r w:rsidR="005D77C6" w:rsidRPr="003F67D2">
        <w:rPr>
          <w:rFonts w:ascii="Arial" w:hAnsi="Arial" w:cs="Arial"/>
          <w:color w:val="FF0000"/>
        </w:rPr>
        <w:t>.</w:t>
      </w:r>
    </w:p>
    <w:p w14:paraId="756D689D" w14:textId="73D73F16" w:rsidR="00A048CD" w:rsidRPr="00277EBB" w:rsidRDefault="00245C90" w:rsidP="002A1016">
      <w:pPr>
        <w:pStyle w:val="Heading2"/>
        <w:numPr>
          <w:ilvl w:val="0"/>
          <w:numId w:val="8"/>
        </w:numPr>
        <w:ind w:left="567" w:hanging="567"/>
        <w:jc w:val="left"/>
        <w:rPr>
          <w:rFonts w:ascii="Arial" w:hAnsi="Arial" w:cs="Arial"/>
        </w:rPr>
      </w:pPr>
      <w:r w:rsidRPr="00277EBB">
        <w:rPr>
          <w:rFonts w:ascii="Arial" w:hAnsi="Arial" w:cs="Arial"/>
        </w:rPr>
        <w:t xml:space="preserve">The 2019 data for early years foundation stage and </w:t>
      </w:r>
      <w:r w:rsidR="00FC7698" w:rsidRPr="00277EBB">
        <w:rPr>
          <w:rFonts w:ascii="Arial" w:hAnsi="Arial" w:cs="Arial"/>
        </w:rPr>
        <w:t>key stage 2 assessment has been used for the Low Prior Attainment factor as a proxy for 2020</w:t>
      </w:r>
      <w:r w:rsidR="00C7706F">
        <w:rPr>
          <w:rFonts w:ascii="Arial" w:hAnsi="Arial" w:cs="Arial"/>
        </w:rPr>
        <w:t xml:space="preserve"> and 2021</w:t>
      </w:r>
      <w:r w:rsidR="00FC7698" w:rsidRPr="00277EBB">
        <w:rPr>
          <w:rFonts w:ascii="Arial" w:hAnsi="Arial" w:cs="Arial"/>
        </w:rPr>
        <w:t xml:space="preserve"> data following the cancellation</w:t>
      </w:r>
      <w:r w:rsidR="00306984" w:rsidRPr="00277EBB">
        <w:rPr>
          <w:rFonts w:ascii="Arial" w:hAnsi="Arial" w:cs="Arial"/>
        </w:rPr>
        <w:t xml:space="preserve"> of the assessments.</w:t>
      </w:r>
    </w:p>
    <w:p w14:paraId="5848D807" w14:textId="1BF7D441" w:rsidR="00234134" w:rsidRPr="009105A9" w:rsidRDefault="00EF18B7" w:rsidP="00594B28">
      <w:pPr>
        <w:pStyle w:val="Heading2"/>
        <w:keepNext w:val="0"/>
        <w:tabs>
          <w:tab w:val="clear" w:pos="576"/>
          <w:tab w:val="num" w:pos="0"/>
        </w:tabs>
        <w:ind w:left="0" w:hanging="426"/>
        <w:jc w:val="left"/>
        <w:rPr>
          <w:rFonts w:ascii="Arial" w:hAnsi="Arial" w:cs="Arial"/>
        </w:rPr>
      </w:pPr>
      <w:r w:rsidRPr="009105A9">
        <w:rPr>
          <w:rFonts w:ascii="Arial" w:hAnsi="Arial" w:cs="Arial"/>
        </w:rPr>
        <w:t xml:space="preserve">Following last year’s </w:t>
      </w:r>
      <w:r w:rsidR="00FD0050" w:rsidRPr="009105A9">
        <w:rPr>
          <w:rFonts w:ascii="Arial" w:hAnsi="Arial" w:cs="Arial"/>
        </w:rPr>
        <w:t>consultation,</w:t>
      </w:r>
      <w:r w:rsidRPr="009105A9">
        <w:rPr>
          <w:rFonts w:ascii="Arial" w:hAnsi="Arial" w:cs="Arial"/>
        </w:rPr>
        <w:t xml:space="preserve"> t</w:t>
      </w:r>
      <w:r w:rsidR="00234134" w:rsidRPr="009105A9">
        <w:rPr>
          <w:rFonts w:ascii="Arial" w:hAnsi="Arial" w:cs="Arial"/>
        </w:rPr>
        <w:t xml:space="preserve">he government </w:t>
      </w:r>
      <w:r w:rsidR="00E7535B" w:rsidRPr="009105A9">
        <w:rPr>
          <w:rFonts w:ascii="Arial" w:hAnsi="Arial" w:cs="Arial"/>
        </w:rPr>
        <w:t>has confirmed that it will move forward with its plans to implement a direct NFF, whereby funding will be allocated directly to schools based on a single, national formula.</w:t>
      </w:r>
    </w:p>
    <w:p w14:paraId="0A0AA3EE" w14:textId="0F5A063F" w:rsidR="00DF5995" w:rsidRDefault="00447EEF" w:rsidP="00A778DB">
      <w:pPr>
        <w:pStyle w:val="Heading2"/>
        <w:keepNext w:val="0"/>
        <w:numPr>
          <w:ilvl w:val="0"/>
          <w:numId w:val="0"/>
        </w:numPr>
        <w:tabs>
          <w:tab w:val="num" w:pos="0"/>
        </w:tabs>
        <w:jc w:val="left"/>
      </w:pPr>
      <w:r w:rsidRPr="00DF5995">
        <w:rPr>
          <w:rFonts w:ascii="Arial" w:hAnsi="Arial" w:cs="Arial"/>
        </w:rPr>
        <w:t>Local authorities will be required to start bringing their own formulae closer to the schools NFF from 2023-24</w:t>
      </w:r>
      <w:r w:rsidR="00A75B04" w:rsidRPr="00DF5995">
        <w:rPr>
          <w:rFonts w:ascii="Arial" w:hAnsi="Arial" w:cs="Arial"/>
        </w:rPr>
        <w:t xml:space="preserve">. </w:t>
      </w:r>
      <w:r w:rsidR="00427406">
        <w:rPr>
          <w:rFonts w:ascii="Arial" w:hAnsi="Arial" w:cs="Arial"/>
        </w:rPr>
        <w:t>H</w:t>
      </w:r>
      <w:r w:rsidR="009922BE">
        <w:rPr>
          <w:rFonts w:ascii="Arial" w:hAnsi="Arial" w:cs="Arial"/>
        </w:rPr>
        <w:t xml:space="preserve">ampshire County Council are already </w:t>
      </w:r>
      <w:r w:rsidR="00090173">
        <w:rPr>
          <w:rFonts w:ascii="Arial" w:hAnsi="Arial" w:cs="Arial"/>
        </w:rPr>
        <w:t>in line</w:t>
      </w:r>
      <w:r w:rsidR="009922BE">
        <w:rPr>
          <w:rFonts w:ascii="Arial" w:hAnsi="Arial" w:cs="Arial"/>
        </w:rPr>
        <w:t xml:space="preserve"> with the government guidelines set.</w:t>
      </w:r>
      <w:r w:rsidR="00EE388F" w:rsidRPr="00EE388F">
        <w:t xml:space="preserve"> </w:t>
      </w:r>
    </w:p>
    <w:p w14:paraId="7C11B470" w14:textId="72C6E8AC" w:rsidR="008839FC" w:rsidRPr="009006BE" w:rsidRDefault="00C46886" w:rsidP="005635FE">
      <w:pPr>
        <w:pStyle w:val="Heading2"/>
        <w:keepNext w:val="0"/>
        <w:tabs>
          <w:tab w:val="clear" w:pos="576"/>
          <w:tab w:val="num" w:pos="0"/>
        </w:tabs>
        <w:ind w:left="0" w:hanging="426"/>
        <w:jc w:val="left"/>
        <w:rPr>
          <w:rFonts w:ascii="Arial" w:hAnsi="Arial" w:cs="Arial"/>
        </w:rPr>
      </w:pPr>
      <w:r w:rsidRPr="009006BE">
        <w:rPr>
          <w:rFonts w:ascii="Arial" w:hAnsi="Arial" w:cs="Arial"/>
        </w:rPr>
        <w:t xml:space="preserve">Local authorities can continue to set a minimum funding guarantee </w:t>
      </w:r>
      <w:r w:rsidR="0074036A" w:rsidRPr="0074036A">
        <w:rPr>
          <w:rFonts w:ascii="Arial" w:hAnsi="Arial" w:cs="Arial"/>
        </w:rPr>
        <w:t>which in 2023-24 must be between +0.0% and +0.5%</w:t>
      </w:r>
      <w:r w:rsidR="0074036A">
        <w:rPr>
          <w:rFonts w:ascii="Arial" w:hAnsi="Arial" w:cs="Arial"/>
        </w:rPr>
        <w:t xml:space="preserve"> (reduction </w:t>
      </w:r>
      <w:r w:rsidR="004E2898">
        <w:rPr>
          <w:rFonts w:ascii="Arial" w:hAnsi="Arial" w:cs="Arial"/>
        </w:rPr>
        <w:t>from</w:t>
      </w:r>
      <w:r w:rsidR="0074036A">
        <w:rPr>
          <w:rFonts w:ascii="Arial" w:hAnsi="Arial" w:cs="Arial"/>
        </w:rPr>
        <w:t xml:space="preserve"> 1.5%</w:t>
      </w:r>
      <w:r w:rsidR="00F5189B">
        <w:rPr>
          <w:rFonts w:ascii="Arial" w:hAnsi="Arial" w:cs="Arial"/>
        </w:rPr>
        <w:t xml:space="preserve">) and </w:t>
      </w:r>
      <w:r w:rsidR="00413F0F" w:rsidRPr="009006BE">
        <w:rPr>
          <w:rFonts w:ascii="Arial" w:hAnsi="Arial" w:cs="Arial"/>
        </w:rPr>
        <w:t xml:space="preserve">up to 0.5% </w:t>
      </w:r>
      <w:r w:rsidR="00E93C2E" w:rsidRPr="009006BE">
        <w:rPr>
          <w:rFonts w:ascii="Arial" w:hAnsi="Arial" w:cs="Arial"/>
        </w:rPr>
        <w:t>of the Schools Block</w:t>
      </w:r>
      <w:r w:rsidR="0096038B" w:rsidRPr="009006BE">
        <w:rPr>
          <w:rFonts w:ascii="Arial" w:hAnsi="Arial" w:cs="Arial"/>
        </w:rPr>
        <w:t xml:space="preserve"> can </w:t>
      </w:r>
      <w:r w:rsidR="00413F0F" w:rsidRPr="009006BE">
        <w:rPr>
          <w:rFonts w:ascii="Arial" w:hAnsi="Arial" w:cs="Arial"/>
        </w:rPr>
        <w:t>still</w:t>
      </w:r>
      <w:r w:rsidR="0096038B" w:rsidRPr="009006BE">
        <w:rPr>
          <w:rFonts w:ascii="Arial" w:hAnsi="Arial" w:cs="Arial"/>
        </w:rPr>
        <w:t xml:space="preserve"> be transferred to another block w</w:t>
      </w:r>
      <w:r w:rsidR="00413F0F" w:rsidRPr="009006BE">
        <w:rPr>
          <w:rFonts w:ascii="Arial" w:hAnsi="Arial" w:cs="Arial"/>
        </w:rPr>
        <w:t>ith approval from Schools Forum</w:t>
      </w:r>
      <w:r w:rsidR="005635FE" w:rsidRPr="009006BE">
        <w:rPr>
          <w:rFonts w:ascii="Arial" w:hAnsi="Arial" w:cs="Arial"/>
        </w:rPr>
        <w:t>.</w:t>
      </w:r>
    </w:p>
    <w:p w14:paraId="0260E5C2" w14:textId="55E7DF9E" w:rsidR="00EF5CE4" w:rsidRPr="00BC67F0" w:rsidRDefault="00DD243E" w:rsidP="00461659">
      <w:pPr>
        <w:pStyle w:val="Heading1"/>
        <w:keepNext w:val="0"/>
        <w:tabs>
          <w:tab w:val="clear" w:pos="432"/>
          <w:tab w:val="num" w:pos="0"/>
        </w:tabs>
        <w:spacing w:after="120"/>
        <w:ind w:left="0" w:hanging="426"/>
        <w:jc w:val="left"/>
        <w:rPr>
          <w:rFonts w:ascii="Arial" w:hAnsi="Arial" w:cs="Arial"/>
        </w:rPr>
      </w:pPr>
      <w:r w:rsidRPr="00BC67F0">
        <w:rPr>
          <w:rFonts w:ascii="Arial" w:hAnsi="Arial" w:cs="Arial"/>
        </w:rPr>
        <w:t>School funding – Local impact</w:t>
      </w:r>
    </w:p>
    <w:p w14:paraId="0E02BD60" w14:textId="55FB9C9B" w:rsidR="00A422BF" w:rsidRPr="000634AF" w:rsidRDefault="00DD243E" w:rsidP="00745024">
      <w:pPr>
        <w:pStyle w:val="Heading2"/>
        <w:keepNext w:val="0"/>
        <w:tabs>
          <w:tab w:val="clear" w:pos="576"/>
          <w:tab w:val="num" w:pos="0"/>
        </w:tabs>
        <w:ind w:left="0" w:hanging="426"/>
        <w:jc w:val="left"/>
        <w:rPr>
          <w:rFonts w:ascii="Arial" w:hAnsi="Arial" w:cs="Arial"/>
        </w:rPr>
      </w:pPr>
      <w:r w:rsidRPr="000634AF">
        <w:rPr>
          <w:rFonts w:ascii="Arial" w:hAnsi="Arial" w:cs="Arial"/>
        </w:rPr>
        <w:t>The recent announcements will result in a</w:t>
      </w:r>
      <w:r w:rsidR="00A153D8">
        <w:rPr>
          <w:rFonts w:ascii="Arial" w:hAnsi="Arial" w:cs="Arial"/>
        </w:rPr>
        <w:t>n</w:t>
      </w:r>
      <w:r w:rsidRPr="000634AF">
        <w:rPr>
          <w:rFonts w:ascii="Arial" w:hAnsi="Arial" w:cs="Arial"/>
        </w:rPr>
        <w:t xml:space="preserve"> increase in funding to Hampshire schools collectively </w:t>
      </w:r>
      <w:r w:rsidR="00A422BF" w:rsidRPr="000634AF">
        <w:rPr>
          <w:rFonts w:ascii="Arial" w:hAnsi="Arial" w:cs="Arial"/>
        </w:rPr>
        <w:t>however,</w:t>
      </w:r>
      <w:r w:rsidRPr="000634AF">
        <w:rPr>
          <w:rFonts w:ascii="Arial" w:hAnsi="Arial" w:cs="Arial"/>
        </w:rPr>
        <w:t xml:space="preserve"> </w:t>
      </w:r>
      <w:r w:rsidR="00764B99" w:rsidRPr="000634AF">
        <w:rPr>
          <w:rFonts w:ascii="Arial" w:hAnsi="Arial" w:cs="Arial"/>
        </w:rPr>
        <w:t>gains at</w:t>
      </w:r>
      <w:r w:rsidRPr="000634AF">
        <w:rPr>
          <w:rFonts w:ascii="Arial" w:hAnsi="Arial" w:cs="Arial"/>
        </w:rPr>
        <w:t xml:space="preserve"> </w:t>
      </w:r>
      <w:r w:rsidR="00F75327" w:rsidRPr="000634AF">
        <w:rPr>
          <w:rFonts w:ascii="Arial" w:hAnsi="Arial" w:cs="Arial"/>
        </w:rPr>
        <w:t>individual</w:t>
      </w:r>
      <w:r w:rsidRPr="000634AF">
        <w:rPr>
          <w:rFonts w:ascii="Arial" w:hAnsi="Arial" w:cs="Arial"/>
        </w:rPr>
        <w:t xml:space="preserve"> school level </w:t>
      </w:r>
      <w:r w:rsidR="00F75327" w:rsidRPr="000634AF">
        <w:rPr>
          <w:rFonts w:ascii="Arial" w:hAnsi="Arial" w:cs="Arial"/>
        </w:rPr>
        <w:t>vary significantly</w:t>
      </w:r>
      <w:r w:rsidRPr="000634AF">
        <w:rPr>
          <w:rFonts w:ascii="Arial" w:hAnsi="Arial" w:cs="Arial"/>
        </w:rPr>
        <w:t>.</w:t>
      </w:r>
    </w:p>
    <w:tbl>
      <w:tblPr>
        <w:tblW w:w="5000" w:type="pct"/>
        <w:tblLook w:val="04A0" w:firstRow="1" w:lastRow="0" w:firstColumn="1" w:lastColumn="0" w:noHBand="0" w:noVBand="1"/>
      </w:tblPr>
      <w:tblGrid>
        <w:gridCol w:w="1173"/>
        <w:gridCol w:w="1594"/>
        <w:gridCol w:w="2198"/>
        <w:gridCol w:w="2203"/>
        <w:gridCol w:w="1134"/>
      </w:tblGrid>
      <w:tr w:rsidR="002C6441" w:rsidRPr="002C6441" w14:paraId="5314FB1E" w14:textId="77777777" w:rsidTr="002C6441">
        <w:trPr>
          <w:trHeight w:val="1530"/>
        </w:trPr>
        <w:tc>
          <w:tcPr>
            <w:tcW w:w="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7362D" w14:textId="77777777" w:rsidR="002C6441" w:rsidRPr="002C6441" w:rsidRDefault="002C6441" w:rsidP="002C6441">
            <w:pPr>
              <w:spacing w:after="0"/>
              <w:jc w:val="left"/>
              <w:outlineLvl w:val="0"/>
              <w:rPr>
                <w:rFonts w:ascii="Arial" w:hAnsi="Arial" w:cs="Arial"/>
                <w:sz w:val="20"/>
                <w:lang w:val="en-US"/>
              </w:rPr>
            </w:pPr>
            <w:r w:rsidRPr="002C6441">
              <w:rPr>
                <w:rFonts w:ascii="Arial" w:hAnsi="Arial" w:cs="Arial"/>
                <w:sz w:val="20"/>
                <w:lang w:val="en-US"/>
              </w:rPr>
              <w:t> </w:t>
            </w:r>
          </w:p>
        </w:tc>
        <w:tc>
          <w:tcPr>
            <w:tcW w:w="960" w:type="pct"/>
            <w:tcBorders>
              <w:top w:val="single" w:sz="4" w:space="0" w:color="auto"/>
              <w:left w:val="nil"/>
              <w:bottom w:val="single" w:sz="4" w:space="0" w:color="auto"/>
              <w:right w:val="single" w:sz="4" w:space="0" w:color="auto"/>
            </w:tcBorders>
            <w:shd w:val="clear" w:color="auto" w:fill="auto"/>
            <w:noWrap/>
            <w:vAlign w:val="bottom"/>
            <w:hideMark/>
          </w:tcPr>
          <w:p w14:paraId="2CF60F4D" w14:textId="77777777" w:rsidR="002C6441" w:rsidRPr="002C6441" w:rsidRDefault="002C6441" w:rsidP="002C6441">
            <w:pPr>
              <w:spacing w:after="0"/>
              <w:jc w:val="left"/>
              <w:outlineLvl w:val="0"/>
              <w:rPr>
                <w:rFonts w:ascii="Arial" w:hAnsi="Arial" w:cs="Arial"/>
                <w:b/>
                <w:bCs/>
                <w:sz w:val="20"/>
                <w:lang w:val="en-US"/>
              </w:rPr>
            </w:pPr>
            <w:r w:rsidRPr="002C6441">
              <w:rPr>
                <w:rFonts w:ascii="Arial" w:hAnsi="Arial" w:cs="Arial"/>
                <w:b/>
                <w:bCs/>
                <w:sz w:val="20"/>
                <w:lang w:val="en-US"/>
              </w:rPr>
              <w:t>No. of schools</w:t>
            </w:r>
          </w:p>
        </w:tc>
        <w:tc>
          <w:tcPr>
            <w:tcW w:w="1324" w:type="pct"/>
            <w:tcBorders>
              <w:top w:val="single" w:sz="4" w:space="0" w:color="auto"/>
              <w:left w:val="nil"/>
              <w:bottom w:val="single" w:sz="4" w:space="0" w:color="auto"/>
              <w:right w:val="single" w:sz="4" w:space="0" w:color="auto"/>
            </w:tcBorders>
            <w:shd w:val="clear" w:color="auto" w:fill="auto"/>
            <w:vAlign w:val="bottom"/>
            <w:hideMark/>
          </w:tcPr>
          <w:p w14:paraId="76B5C43A" w14:textId="77777777" w:rsidR="002C6441" w:rsidRPr="002C6441" w:rsidRDefault="002C6441" w:rsidP="002C6441">
            <w:pPr>
              <w:spacing w:after="0"/>
              <w:jc w:val="left"/>
              <w:outlineLvl w:val="0"/>
              <w:rPr>
                <w:rFonts w:ascii="Arial" w:hAnsi="Arial" w:cs="Arial"/>
                <w:b/>
                <w:bCs/>
                <w:sz w:val="20"/>
                <w:lang w:val="en-US"/>
              </w:rPr>
            </w:pPr>
            <w:r w:rsidRPr="002C6441">
              <w:rPr>
                <w:rFonts w:ascii="Arial" w:hAnsi="Arial" w:cs="Arial"/>
                <w:b/>
                <w:bCs/>
                <w:sz w:val="20"/>
                <w:lang w:val="en-US"/>
              </w:rPr>
              <w:t>2023/24 Budget Share</w:t>
            </w:r>
            <w:r w:rsidRPr="002C6441">
              <w:rPr>
                <w:rFonts w:ascii="Arial" w:hAnsi="Arial" w:cs="Arial"/>
                <w:b/>
                <w:bCs/>
                <w:sz w:val="20"/>
                <w:lang w:val="en-US"/>
              </w:rPr>
              <w:br/>
              <w:t>(Provisional Funding) (£'000')</w:t>
            </w:r>
          </w:p>
        </w:tc>
        <w:tc>
          <w:tcPr>
            <w:tcW w:w="1327" w:type="pct"/>
            <w:tcBorders>
              <w:top w:val="single" w:sz="4" w:space="0" w:color="auto"/>
              <w:left w:val="nil"/>
              <w:bottom w:val="single" w:sz="4" w:space="0" w:color="auto"/>
              <w:right w:val="single" w:sz="4" w:space="0" w:color="auto"/>
            </w:tcBorders>
            <w:shd w:val="clear" w:color="auto" w:fill="auto"/>
            <w:vAlign w:val="bottom"/>
            <w:hideMark/>
          </w:tcPr>
          <w:p w14:paraId="3635DB4F" w14:textId="77777777" w:rsidR="002C6441" w:rsidRPr="002C6441" w:rsidRDefault="002C6441" w:rsidP="002C6441">
            <w:pPr>
              <w:spacing w:after="0"/>
              <w:jc w:val="left"/>
              <w:outlineLvl w:val="0"/>
              <w:rPr>
                <w:rFonts w:ascii="Arial" w:hAnsi="Arial" w:cs="Arial"/>
                <w:b/>
                <w:bCs/>
                <w:sz w:val="20"/>
                <w:lang w:val="en-US"/>
              </w:rPr>
            </w:pPr>
            <w:r w:rsidRPr="002C6441">
              <w:rPr>
                <w:rFonts w:ascii="Arial" w:hAnsi="Arial" w:cs="Arial"/>
                <w:b/>
                <w:bCs/>
                <w:sz w:val="20"/>
                <w:lang w:val="en-US"/>
              </w:rPr>
              <w:t>Change from 2022/23 (£'000')</w:t>
            </w:r>
          </w:p>
        </w:tc>
        <w:tc>
          <w:tcPr>
            <w:tcW w:w="683" w:type="pct"/>
            <w:tcBorders>
              <w:top w:val="single" w:sz="4" w:space="0" w:color="auto"/>
              <w:left w:val="nil"/>
              <w:bottom w:val="single" w:sz="4" w:space="0" w:color="auto"/>
              <w:right w:val="single" w:sz="4" w:space="0" w:color="auto"/>
            </w:tcBorders>
            <w:shd w:val="clear" w:color="auto" w:fill="auto"/>
            <w:vAlign w:val="bottom"/>
            <w:hideMark/>
          </w:tcPr>
          <w:p w14:paraId="4B2B3174" w14:textId="77777777" w:rsidR="002C6441" w:rsidRPr="002C6441" w:rsidRDefault="002C6441" w:rsidP="002C6441">
            <w:pPr>
              <w:spacing w:after="0"/>
              <w:jc w:val="left"/>
              <w:outlineLvl w:val="0"/>
              <w:rPr>
                <w:rFonts w:ascii="Arial" w:hAnsi="Arial" w:cs="Arial"/>
                <w:b/>
                <w:bCs/>
                <w:sz w:val="20"/>
                <w:lang w:val="en-US"/>
              </w:rPr>
            </w:pPr>
            <w:r w:rsidRPr="002C6441">
              <w:rPr>
                <w:rFonts w:ascii="Arial" w:hAnsi="Arial" w:cs="Arial"/>
                <w:b/>
                <w:bCs/>
                <w:sz w:val="20"/>
                <w:lang w:val="en-US"/>
              </w:rPr>
              <w:t>Change (%)</w:t>
            </w:r>
          </w:p>
        </w:tc>
      </w:tr>
      <w:tr w:rsidR="002C6441" w:rsidRPr="002C6441" w14:paraId="2007747B" w14:textId="77777777" w:rsidTr="002C6441">
        <w:trPr>
          <w:trHeight w:val="255"/>
        </w:trPr>
        <w:tc>
          <w:tcPr>
            <w:tcW w:w="706" w:type="pct"/>
            <w:tcBorders>
              <w:top w:val="nil"/>
              <w:left w:val="single" w:sz="4" w:space="0" w:color="auto"/>
              <w:bottom w:val="single" w:sz="4" w:space="0" w:color="auto"/>
              <w:right w:val="single" w:sz="4" w:space="0" w:color="auto"/>
            </w:tcBorders>
            <w:shd w:val="clear" w:color="auto" w:fill="auto"/>
            <w:noWrap/>
            <w:vAlign w:val="bottom"/>
            <w:hideMark/>
          </w:tcPr>
          <w:p w14:paraId="66F28EC7" w14:textId="77777777" w:rsidR="002C6441" w:rsidRPr="002C6441" w:rsidRDefault="002C6441" w:rsidP="002C6441">
            <w:pPr>
              <w:spacing w:after="0"/>
              <w:jc w:val="left"/>
              <w:outlineLvl w:val="0"/>
              <w:rPr>
                <w:rFonts w:ascii="Arial" w:hAnsi="Arial" w:cs="Arial"/>
                <w:sz w:val="20"/>
                <w:lang w:val="en-US"/>
              </w:rPr>
            </w:pPr>
            <w:r w:rsidRPr="002C6441">
              <w:rPr>
                <w:rFonts w:ascii="Arial" w:hAnsi="Arial" w:cs="Arial"/>
                <w:sz w:val="20"/>
                <w:lang w:val="en-US"/>
              </w:rPr>
              <w:t>Primary</w:t>
            </w:r>
          </w:p>
        </w:tc>
        <w:tc>
          <w:tcPr>
            <w:tcW w:w="960" w:type="pct"/>
            <w:tcBorders>
              <w:top w:val="nil"/>
              <w:left w:val="nil"/>
              <w:bottom w:val="single" w:sz="4" w:space="0" w:color="auto"/>
              <w:right w:val="single" w:sz="4" w:space="0" w:color="auto"/>
            </w:tcBorders>
            <w:shd w:val="clear" w:color="auto" w:fill="auto"/>
            <w:noWrap/>
            <w:vAlign w:val="bottom"/>
            <w:hideMark/>
          </w:tcPr>
          <w:p w14:paraId="025C632E" w14:textId="77777777" w:rsidR="002C6441" w:rsidRPr="002C6441" w:rsidRDefault="002C6441" w:rsidP="002C6441">
            <w:pPr>
              <w:spacing w:after="0"/>
              <w:jc w:val="right"/>
              <w:outlineLvl w:val="0"/>
              <w:rPr>
                <w:rFonts w:ascii="Arial" w:hAnsi="Arial" w:cs="Arial"/>
                <w:sz w:val="20"/>
                <w:lang w:val="en-US"/>
              </w:rPr>
            </w:pPr>
            <w:r w:rsidRPr="002C6441">
              <w:rPr>
                <w:rFonts w:ascii="Arial" w:hAnsi="Arial" w:cs="Arial"/>
                <w:sz w:val="20"/>
                <w:lang w:val="en-US"/>
              </w:rPr>
              <w:t>425</w:t>
            </w:r>
          </w:p>
        </w:tc>
        <w:tc>
          <w:tcPr>
            <w:tcW w:w="1324" w:type="pct"/>
            <w:tcBorders>
              <w:top w:val="nil"/>
              <w:left w:val="nil"/>
              <w:bottom w:val="single" w:sz="4" w:space="0" w:color="auto"/>
              <w:right w:val="single" w:sz="4" w:space="0" w:color="auto"/>
            </w:tcBorders>
            <w:shd w:val="clear" w:color="auto" w:fill="auto"/>
            <w:noWrap/>
            <w:vAlign w:val="bottom"/>
            <w:hideMark/>
          </w:tcPr>
          <w:p w14:paraId="2D558AFE" w14:textId="77777777" w:rsidR="002C6441" w:rsidRPr="002C6441" w:rsidRDefault="002C6441" w:rsidP="002C6441">
            <w:pPr>
              <w:spacing w:after="0"/>
              <w:jc w:val="left"/>
              <w:outlineLvl w:val="0"/>
              <w:rPr>
                <w:rFonts w:ascii="Arial" w:hAnsi="Arial" w:cs="Arial"/>
                <w:sz w:val="20"/>
                <w:lang w:val="en-US"/>
              </w:rPr>
            </w:pPr>
            <w:r w:rsidRPr="002C6441">
              <w:rPr>
                <w:rFonts w:ascii="Arial" w:hAnsi="Arial" w:cs="Arial"/>
                <w:sz w:val="20"/>
                <w:lang w:val="en-US"/>
              </w:rPr>
              <w:t xml:space="preserve">        499,419 </w:t>
            </w:r>
          </w:p>
        </w:tc>
        <w:tc>
          <w:tcPr>
            <w:tcW w:w="1327" w:type="pct"/>
            <w:tcBorders>
              <w:top w:val="nil"/>
              <w:left w:val="nil"/>
              <w:bottom w:val="single" w:sz="4" w:space="0" w:color="auto"/>
              <w:right w:val="single" w:sz="4" w:space="0" w:color="auto"/>
            </w:tcBorders>
            <w:shd w:val="clear" w:color="auto" w:fill="auto"/>
            <w:noWrap/>
            <w:vAlign w:val="bottom"/>
            <w:hideMark/>
          </w:tcPr>
          <w:p w14:paraId="45C1FD5B" w14:textId="77777777" w:rsidR="002C6441" w:rsidRPr="002C6441" w:rsidRDefault="002C6441" w:rsidP="002C6441">
            <w:pPr>
              <w:spacing w:after="0"/>
              <w:jc w:val="left"/>
              <w:outlineLvl w:val="0"/>
              <w:rPr>
                <w:rFonts w:ascii="Arial" w:hAnsi="Arial" w:cs="Arial"/>
                <w:sz w:val="20"/>
                <w:lang w:val="en-US"/>
              </w:rPr>
            </w:pPr>
            <w:r w:rsidRPr="002C6441">
              <w:rPr>
                <w:rFonts w:ascii="Arial" w:hAnsi="Arial" w:cs="Arial"/>
                <w:sz w:val="20"/>
                <w:lang w:val="en-US"/>
              </w:rPr>
              <w:t xml:space="preserve">             6,521 </w:t>
            </w:r>
          </w:p>
        </w:tc>
        <w:tc>
          <w:tcPr>
            <w:tcW w:w="683" w:type="pct"/>
            <w:tcBorders>
              <w:top w:val="nil"/>
              <w:left w:val="nil"/>
              <w:bottom w:val="single" w:sz="4" w:space="0" w:color="auto"/>
              <w:right w:val="single" w:sz="4" w:space="0" w:color="auto"/>
            </w:tcBorders>
            <w:shd w:val="clear" w:color="auto" w:fill="auto"/>
            <w:noWrap/>
            <w:vAlign w:val="bottom"/>
            <w:hideMark/>
          </w:tcPr>
          <w:p w14:paraId="3E2156B0" w14:textId="77777777" w:rsidR="002C6441" w:rsidRPr="002C6441" w:rsidRDefault="002C6441" w:rsidP="002C6441">
            <w:pPr>
              <w:spacing w:after="0"/>
              <w:jc w:val="right"/>
              <w:outlineLvl w:val="0"/>
              <w:rPr>
                <w:rFonts w:ascii="Arial" w:hAnsi="Arial" w:cs="Arial"/>
                <w:sz w:val="20"/>
                <w:lang w:val="en-US"/>
              </w:rPr>
            </w:pPr>
            <w:r w:rsidRPr="002C6441">
              <w:rPr>
                <w:rFonts w:ascii="Arial" w:hAnsi="Arial" w:cs="Arial"/>
                <w:sz w:val="20"/>
                <w:lang w:val="en-US"/>
              </w:rPr>
              <w:t>1.3%</w:t>
            </w:r>
          </w:p>
        </w:tc>
      </w:tr>
      <w:tr w:rsidR="002C6441" w:rsidRPr="002C6441" w14:paraId="04B163E3" w14:textId="77777777" w:rsidTr="002C6441">
        <w:trPr>
          <w:trHeight w:val="255"/>
        </w:trPr>
        <w:tc>
          <w:tcPr>
            <w:tcW w:w="706" w:type="pct"/>
            <w:tcBorders>
              <w:top w:val="nil"/>
              <w:left w:val="single" w:sz="4" w:space="0" w:color="auto"/>
              <w:bottom w:val="single" w:sz="4" w:space="0" w:color="auto"/>
              <w:right w:val="single" w:sz="4" w:space="0" w:color="auto"/>
            </w:tcBorders>
            <w:shd w:val="clear" w:color="auto" w:fill="auto"/>
            <w:noWrap/>
            <w:vAlign w:val="bottom"/>
            <w:hideMark/>
          </w:tcPr>
          <w:p w14:paraId="590C64A7" w14:textId="77777777" w:rsidR="002C6441" w:rsidRPr="002C6441" w:rsidRDefault="002C6441" w:rsidP="002C6441">
            <w:pPr>
              <w:spacing w:after="0"/>
              <w:jc w:val="left"/>
              <w:outlineLvl w:val="0"/>
              <w:rPr>
                <w:rFonts w:ascii="Arial" w:hAnsi="Arial" w:cs="Arial"/>
                <w:sz w:val="20"/>
                <w:lang w:val="en-US"/>
              </w:rPr>
            </w:pPr>
            <w:r w:rsidRPr="002C6441">
              <w:rPr>
                <w:rFonts w:ascii="Arial" w:hAnsi="Arial" w:cs="Arial"/>
                <w:sz w:val="20"/>
                <w:lang w:val="en-US"/>
              </w:rPr>
              <w:t>Secondary</w:t>
            </w:r>
          </w:p>
        </w:tc>
        <w:tc>
          <w:tcPr>
            <w:tcW w:w="960" w:type="pct"/>
            <w:tcBorders>
              <w:top w:val="nil"/>
              <w:left w:val="nil"/>
              <w:bottom w:val="single" w:sz="4" w:space="0" w:color="auto"/>
              <w:right w:val="single" w:sz="4" w:space="0" w:color="auto"/>
            </w:tcBorders>
            <w:shd w:val="clear" w:color="auto" w:fill="auto"/>
            <w:noWrap/>
            <w:vAlign w:val="bottom"/>
            <w:hideMark/>
          </w:tcPr>
          <w:p w14:paraId="4B7E4FEE" w14:textId="77777777" w:rsidR="002C6441" w:rsidRPr="002C6441" w:rsidRDefault="002C6441" w:rsidP="002C6441">
            <w:pPr>
              <w:spacing w:after="0"/>
              <w:jc w:val="right"/>
              <w:outlineLvl w:val="0"/>
              <w:rPr>
                <w:rFonts w:ascii="Arial" w:hAnsi="Arial" w:cs="Arial"/>
                <w:sz w:val="20"/>
                <w:lang w:val="en-US"/>
              </w:rPr>
            </w:pPr>
            <w:r w:rsidRPr="002C6441">
              <w:rPr>
                <w:rFonts w:ascii="Arial" w:hAnsi="Arial" w:cs="Arial"/>
                <w:sz w:val="20"/>
                <w:lang w:val="en-US"/>
              </w:rPr>
              <w:t>69</w:t>
            </w:r>
          </w:p>
        </w:tc>
        <w:tc>
          <w:tcPr>
            <w:tcW w:w="1324" w:type="pct"/>
            <w:tcBorders>
              <w:top w:val="nil"/>
              <w:left w:val="nil"/>
              <w:bottom w:val="single" w:sz="4" w:space="0" w:color="auto"/>
              <w:right w:val="single" w:sz="4" w:space="0" w:color="auto"/>
            </w:tcBorders>
            <w:shd w:val="clear" w:color="auto" w:fill="auto"/>
            <w:noWrap/>
            <w:vAlign w:val="bottom"/>
            <w:hideMark/>
          </w:tcPr>
          <w:p w14:paraId="47CD4191" w14:textId="77777777" w:rsidR="002C6441" w:rsidRPr="002C6441" w:rsidRDefault="002C6441" w:rsidP="002C6441">
            <w:pPr>
              <w:spacing w:after="0"/>
              <w:jc w:val="left"/>
              <w:outlineLvl w:val="0"/>
              <w:rPr>
                <w:rFonts w:ascii="Arial" w:hAnsi="Arial" w:cs="Arial"/>
                <w:sz w:val="20"/>
                <w:lang w:val="en-US"/>
              </w:rPr>
            </w:pPr>
            <w:r w:rsidRPr="002C6441">
              <w:rPr>
                <w:rFonts w:ascii="Arial" w:hAnsi="Arial" w:cs="Arial"/>
                <w:sz w:val="20"/>
                <w:lang w:val="en-US"/>
              </w:rPr>
              <w:t xml:space="preserve">        428,862 </w:t>
            </w:r>
          </w:p>
        </w:tc>
        <w:tc>
          <w:tcPr>
            <w:tcW w:w="1327" w:type="pct"/>
            <w:tcBorders>
              <w:top w:val="nil"/>
              <w:left w:val="nil"/>
              <w:bottom w:val="single" w:sz="4" w:space="0" w:color="auto"/>
              <w:right w:val="single" w:sz="4" w:space="0" w:color="auto"/>
            </w:tcBorders>
            <w:shd w:val="clear" w:color="auto" w:fill="auto"/>
            <w:noWrap/>
            <w:vAlign w:val="bottom"/>
            <w:hideMark/>
          </w:tcPr>
          <w:p w14:paraId="285924EE" w14:textId="77777777" w:rsidR="002C6441" w:rsidRPr="002C6441" w:rsidRDefault="002C6441" w:rsidP="002C6441">
            <w:pPr>
              <w:spacing w:after="0"/>
              <w:jc w:val="left"/>
              <w:outlineLvl w:val="0"/>
              <w:rPr>
                <w:rFonts w:ascii="Arial" w:hAnsi="Arial" w:cs="Arial"/>
                <w:sz w:val="20"/>
                <w:lang w:val="en-US"/>
              </w:rPr>
            </w:pPr>
            <w:r w:rsidRPr="002C6441">
              <w:rPr>
                <w:rFonts w:ascii="Arial" w:hAnsi="Arial" w:cs="Arial"/>
                <w:sz w:val="20"/>
                <w:lang w:val="en-US"/>
              </w:rPr>
              <w:t xml:space="preserve">             7,666 </w:t>
            </w:r>
          </w:p>
        </w:tc>
        <w:tc>
          <w:tcPr>
            <w:tcW w:w="683" w:type="pct"/>
            <w:tcBorders>
              <w:top w:val="nil"/>
              <w:left w:val="nil"/>
              <w:bottom w:val="single" w:sz="4" w:space="0" w:color="auto"/>
              <w:right w:val="single" w:sz="4" w:space="0" w:color="auto"/>
            </w:tcBorders>
            <w:shd w:val="clear" w:color="auto" w:fill="auto"/>
            <w:noWrap/>
            <w:vAlign w:val="bottom"/>
            <w:hideMark/>
          </w:tcPr>
          <w:p w14:paraId="7EEA7C59" w14:textId="77777777" w:rsidR="002C6441" w:rsidRPr="002C6441" w:rsidRDefault="002C6441" w:rsidP="002C6441">
            <w:pPr>
              <w:spacing w:after="0"/>
              <w:jc w:val="right"/>
              <w:outlineLvl w:val="0"/>
              <w:rPr>
                <w:rFonts w:ascii="Arial" w:hAnsi="Arial" w:cs="Arial"/>
                <w:sz w:val="20"/>
                <w:lang w:val="en-US"/>
              </w:rPr>
            </w:pPr>
            <w:r w:rsidRPr="002C6441">
              <w:rPr>
                <w:rFonts w:ascii="Arial" w:hAnsi="Arial" w:cs="Arial"/>
                <w:sz w:val="20"/>
                <w:lang w:val="en-US"/>
              </w:rPr>
              <w:t>1.8%</w:t>
            </w:r>
          </w:p>
        </w:tc>
      </w:tr>
      <w:tr w:rsidR="002C6441" w:rsidRPr="002C6441" w14:paraId="7C842733" w14:textId="77777777" w:rsidTr="002C6441">
        <w:trPr>
          <w:trHeight w:val="255"/>
        </w:trPr>
        <w:tc>
          <w:tcPr>
            <w:tcW w:w="706" w:type="pct"/>
            <w:tcBorders>
              <w:top w:val="nil"/>
              <w:left w:val="single" w:sz="4" w:space="0" w:color="auto"/>
              <w:bottom w:val="single" w:sz="4" w:space="0" w:color="auto"/>
              <w:right w:val="single" w:sz="4" w:space="0" w:color="auto"/>
            </w:tcBorders>
            <w:shd w:val="clear" w:color="auto" w:fill="auto"/>
            <w:noWrap/>
            <w:vAlign w:val="bottom"/>
            <w:hideMark/>
          </w:tcPr>
          <w:p w14:paraId="2451B131" w14:textId="77777777" w:rsidR="002C6441" w:rsidRPr="002C6441" w:rsidRDefault="002C6441" w:rsidP="002C6441">
            <w:pPr>
              <w:spacing w:after="0"/>
              <w:jc w:val="left"/>
              <w:outlineLvl w:val="0"/>
              <w:rPr>
                <w:rFonts w:ascii="Arial" w:hAnsi="Arial" w:cs="Arial"/>
                <w:b/>
                <w:bCs/>
                <w:sz w:val="20"/>
                <w:lang w:val="en-US"/>
              </w:rPr>
            </w:pPr>
            <w:r w:rsidRPr="002C6441">
              <w:rPr>
                <w:rFonts w:ascii="Arial" w:hAnsi="Arial" w:cs="Arial"/>
                <w:b/>
                <w:bCs/>
                <w:sz w:val="20"/>
                <w:lang w:val="en-US"/>
              </w:rPr>
              <w:t>Total</w:t>
            </w:r>
          </w:p>
        </w:tc>
        <w:tc>
          <w:tcPr>
            <w:tcW w:w="960" w:type="pct"/>
            <w:tcBorders>
              <w:top w:val="nil"/>
              <w:left w:val="nil"/>
              <w:bottom w:val="single" w:sz="4" w:space="0" w:color="auto"/>
              <w:right w:val="single" w:sz="4" w:space="0" w:color="auto"/>
            </w:tcBorders>
            <w:shd w:val="clear" w:color="auto" w:fill="auto"/>
            <w:noWrap/>
            <w:vAlign w:val="bottom"/>
            <w:hideMark/>
          </w:tcPr>
          <w:p w14:paraId="6D076157" w14:textId="77777777" w:rsidR="002C6441" w:rsidRPr="002C6441" w:rsidRDefault="002C6441" w:rsidP="002C6441">
            <w:pPr>
              <w:spacing w:after="0"/>
              <w:jc w:val="right"/>
              <w:outlineLvl w:val="0"/>
              <w:rPr>
                <w:rFonts w:ascii="Arial" w:hAnsi="Arial" w:cs="Arial"/>
                <w:b/>
                <w:bCs/>
                <w:sz w:val="20"/>
                <w:lang w:val="en-US"/>
              </w:rPr>
            </w:pPr>
            <w:r w:rsidRPr="002C6441">
              <w:rPr>
                <w:rFonts w:ascii="Arial" w:hAnsi="Arial" w:cs="Arial"/>
                <w:b/>
                <w:bCs/>
                <w:sz w:val="20"/>
                <w:lang w:val="en-US"/>
              </w:rPr>
              <w:t>494</w:t>
            </w:r>
          </w:p>
        </w:tc>
        <w:tc>
          <w:tcPr>
            <w:tcW w:w="1324" w:type="pct"/>
            <w:tcBorders>
              <w:top w:val="nil"/>
              <w:left w:val="nil"/>
              <w:bottom w:val="single" w:sz="4" w:space="0" w:color="auto"/>
              <w:right w:val="single" w:sz="4" w:space="0" w:color="auto"/>
            </w:tcBorders>
            <w:shd w:val="clear" w:color="auto" w:fill="auto"/>
            <w:noWrap/>
            <w:vAlign w:val="bottom"/>
            <w:hideMark/>
          </w:tcPr>
          <w:p w14:paraId="4F2E3DD1" w14:textId="77777777" w:rsidR="002C6441" w:rsidRPr="002C6441" w:rsidRDefault="002C6441" w:rsidP="002C6441">
            <w:pPr>
              <w:spacing w:after="0"/>
              <w:jc w:val="left"/>
              <w:outlineLvl w:val="0"/>
              <w:rPr>
                <w:rFonts w:ascii="Arial" w:hAnsi="Arial" w:cs="Arial"/>
                <w:b/>
                <w:bCs/>
                <w:sz w:val="20"/>
                <w:lang w:val="en-US"/>
              </w:rPr>
            </w:pPr>
            <w:r w:rsidRPr="002C6441">
              <w:rPr>
                <w:rFonts w:ascii="Arial" w:hAnsi="Arial" w:cs="Arial"/>
                <w:b/>
                <w:bCs/>
                <w:sz w:val="20"/>
                <w:lang w:val="en-US"/>
              </w:rPr>
              <w:t xml:space="preserve">        928,281 </w:t>
            </w:r>
          </w:p>
        </w:tc>
        <w:tc>
          <w:tcPr>
            <w:tcW w:w="1327" w:type="pct"/>
            <w:tcBorders>
              <w:top w:val="nil"/>
              <w:left w:val="nil"/>
              <w:bottom w:val="single" w:sz="4" w:space="0" w:color="auto"/>
              <w:right w:val="single" w:sz="4" w:space="0" w:color="auto"/>
            </w:tcBorders>
            <w:shd w:val="clear" w:color="auto" w:fill="auto"/>
            <w:noWrap/>
            <w:vAlign w:val="bottom"/>
            <w:hideMark/>
          </w:tcPr>
          <w:p w14:paraId="3C065477" w14:textId="77777777" w:rsidR="002C6441" w:rsidRPr="002C6441" w:rsidRDefault="002C6441" w:rsidP="002C6441">
            <w:pPr>
              <w:spacing w:after="0"/>
              <w:jc w:val="left"/>
              <w:outlineLvl w:val="0"/>
              <w:rPr>
                <w:rFonts w:ascii="Arial" w:hAnsi="Arial" w:cs="Arial"/>
                <w:b/>
                <w:bCs/>
                <w:sz w:val="20"/>
                <w:lang w:val="en-US"/>
              </w:rPr>
            </w:pPr>
            <w:r w:rsidRPr="002C6441">
              <w:rPr>
                <w:rFonts w:ascii="Arial" w:hAnsi="Arial" w:cs="Arial"/>
                <w:b/>
                <w:bCs/>
                <w:sz w:val="20"/>
                <w:lang w:val="en-US"/>
              </w:rPr>
              <w:t xml:space="preserve">           14,187 </w:t>
            </w:r>
          </w:p>
        </w:tc>
        <w:tc>
          <w:tcPr>
            <w:tcW w:w="683" w:type="pct"/>
            <w:tcBorders>
              <w:top w:val="nil"/>
              <w:left w:val="nil"/>
              <w:bottom w:val="single" w:sz="4" w:space="0" w:color="auto"/>
              <w:right w:val="single" w:sz="4" w:space="0" w:color="auto"/>
            </w:tcBorders>
            <w:shd w:val="clear" w:color="auto" w:fill="auto"/>
            <w:noWrap/>
            <w:vAlign w:val="bottom"/>
            <w:hideMark/>
          </w:tcPr>
          <w:p w14:paraId="59E33564" w14:textId="77777777" w:rsidR="002C6441" w:rsidRPr="002C6441" w:rsidRDefault="002C6441" w:rsidP="002C6441">
            <w:pPr>
              <w:spacing w:after="0"/>
              <w:jc w:val="right"/>
              <w:outlineLvl w:val="0"/>
              <w:rPr>
                <w:rFonts w:ascii="Arial" w:hAnsi="Arial" w:cs="Arial"/>
                <w:b/>
                <w:bCs/>
                <w:sz w:val="20"/>
                <w:lang w:val="en-US"/>
              </w:rPr>
            </w:pPr>
            <w:r w:rsidRPr="002C6441">
              <w:rPr>
                <w:rFonts w:ascii="Arial" w:hAnsi="Arial" w:cs="Arial"/>
                <w:b/>
                <w:bCs/>
                <w:sz w:val="20"/>
                <w:lang w:val="en-US"/>
              </w:rPr>
              <w:t>1.6%</w:t>
            </w:r>
          </w:p>
        </w:tc>
      </w:tr>
    </w:tbl>
    <w:p w14:paraId="77818C7F" w14:textId="23839C9C" w:rsidR="00557EE2" w:rsidRPr="002666D6" w:rsidRDefault="00D407B0" w:rsidP="752E4E0C">
      <w:pPr>
        <w:pStyle w:val="Heading2"/>
        <w:keepNext w:val="0"/>
        <w:numPr>
          <w:ilvl w:val="1"/>
          <w:numId w:val="0"/>
        </w:numPr>
        <w:spacing w:after="0"/>
        <w:jc w:val="left"/>
        <w:rPr>
          <w:rFonts w:ascii="Arial" w:hAnsi="Arial" w:cs="Arial"/>
          <w:sz w:val="20"/>
        </w:rPr>
      </w:pPr>
      <w:r w:rsidRPr="002666D6">
        <w:rPr>
          <w:rFonts w:ascii="Arial" w:hAnsi="Arial" w:cs="Arial"/>
          <w:sz w:val="20"/>
        </w:rPr>
        <w:t>*</w:t>
      </w:r>
      <w:r w:rsidR="001C7E52" w:rsidRPr="002666D6">
        <w:rPr>
          <w:rFonts w:ascii="Arial" w:hAnsi="Arial" w:cs="Arial"/>
          <w:sz w:val="20"/>
        </w:rPr>
        <w:t xml:space="preserve"> </w:t>
      </w:r>
      <w:bookmarkStart w:id="7" w:name="_Int_FK2fiS8H"/>
      <w:r w:rsidR="00FA67EA" w:rsidRPr="002666D6">
        <w:rPr>
          <w:rFonts w:ascii="Arial" w:hAnsi="Arial" w:cs="Arial"/>
          <w:sz w:val="20"/>
        </w:rPr>
        <w:t>total</w:t>
      </w:r>
      <w:bookmarkEnd w:id="7"/>
      <w:r w:rsidR="00FA67EA" w:rsidRPr="002666D6">
        <w:rPr>
          <w:rFonts w:ascii="Arial" w:hAnsi="Arial" w:cs="Arial"/>
          <w:sz w:val="20"/>
        </w:rPr>
        <w:t xml:space="preserve"> change different from allocation</w:t>
      </w:r>
      <w:r w:rsidR="000E4CBA" w:rsidRPr="002666D6">
        <w:rPr>
          <w:rFonts w:ascii="Arial" w:hAnsi="Arial" w:cs="Arial"/>
          <w:sz w:val="20"/>
        </w:rPr>
        <w:t xml:space="preserve"> table in 3.1</w:t>
      </w:r>
      <w:r w:rsidR="00FA67EA" w:rsidRPr="002666D6">
        <w:rPr>
          <w:rFonts w:ascii="Arial" w:hAnsi="Arial" w:cs="Arial"/>
          <w:sz w:val="20"/>
        </w:rPr>
        <w:t xml:space="preserve"> </w:t>
      </w:r>
      <w:r w:rsidR="007A457E" w:rsidRPr="002666D6">
        <w:rPr>
          <w:rFonts w:ascii="Arial" w:hAnsi="Arial" w:cs="Arial"/>
          <w:sz w:val="20"/>
        </w:rPr>
        <w:t>due to difference</w:t>
      </w:r>
      <w:r w:rsidR="008F13A9" w:rsidRPr="002666D6">
        <w:rPr>
          <w:rFonts w:ascii="Arial" w:hAnsi="Arial" w:cs="Arial"/>
          <w:sz w:val="20"/>
        </w:rPr>
        <w:t xml:space="preserve">s in funding methodology between NFF and </w:t>
      </w:r>
      <w:bookmarkStart w:id="8" w:name="_Int_YKoOWdh2"/>
      <w:r w:rsidR="00295841" w:rsidRPr="002666D6">
        <w:rPr>
          <w:rFonts w:ascii="Arial" w:hAnsi="Arial" w:cs="Arial"/>
          <w:sz w:val="20"/>
        </w:rPr>
        <w:t>DfE</w:t>
      </w:r>
      <w:bookmarkEnd w:id="8"/>
      <w:r w:rsidR="00295841" w:rsidRPr="002666D6">
        <w:rPr>
          <w:rFonts w:ascii="Arial" w:hAnsi="Arial" w:cs="Arial"/>
          <w:sz w:val="20"/>
        </w:rPr>
        <w:t xml:space="preserve"> </w:t>
      </w:r>
      <w:r w:rsidR="008F13A9" w:rsidRPr="002666D6">
        <w:rPr>
          <w:rFonts w:ascii="Arial" w:hAnsi="Arial" w:cs="Arial"/>
          <w:sz w:val="20"/>
        </w:rPr>
        <w:t>budgeting to</w:t>
      </w:r>
      <w:r w:rsidR="00295841" w:rsidRPr="002666D6">
        <w:rPr>
          <w:rFonts w:ascii="Arial" w:hAnsi="Arial" w:cs="Arial"/>
          <w:sz w:val="20"/>
        </w:rPr>
        <w:t>ol.</w:t>
      </w:r>
    </w:p>
    <w:p w14:paraId="2B1080FD" w14:textId="77777777" w:rsidR="004B4871" w:rsidRPr="00EC6498" w:rsidRDefault="004B4871" w:rsidP="00120F36">
      <w:pPr>
        <w:pStyle w:val="Heading2"/>
        <w:keepNext w:val="0"/>
        <w:numPr>
          <w:ilvl w:val="0"/>
          <w:numId w:val="0"/>
        </w:numPr>
        <w:spacing w:after="0"/>
        <w:jc w:val="left"/>
        <w:rPr>
          <w:rFonts w:ascii="Arial" w:hAnsi="Arial" w:cs="Arial"/>
          <w:color w:val="FF0000"/>
          <w:sz w:val="20"/>
        </w:rPr>
      </w:pPr>
    </w:p>
    <w:p w14:paraId="5A41332C" w14:textId="025F8E7A" w:rsidR="00F83935" w:rsidRPr="000634AF" w:rsidRDefault="00F83935" w:rsidP="752E4E0C">
      <w:pPr>
        <w:pStyle w:val="Heading2"/>
        <w:keepNext w:val="0"/>
        <w:tabs>
          <w:tab w:val="clear" w:pos="576"/>
        </w:tabs>
        <w:ind w:left="0" w:hanging="426"/>
        <w:jc w:val="left"/>
        <w:rPr>
          <w:rFonts w:ascii="Arial" w:hAnsi="Arial" w:cs="Arial"/>
        </w:rPr>
      </w:pPr>
      <w:r w:rsidRPr="000634AF">
        <w:rPr>
          <w:rFonts w:ascii="Arial" w:hAnsi="Arial" w:cs="Arial"/>
        </w:rPr>
        <w:t>A summary of the impact by district and number on roll is shown in Appendix 1.</w:t>
      </w:r>
      <w:r w:rsidR="00C4054B" w:rsidRPr="000634AF">
        <w:rPr>
          <w:rFonts w:ascii="Arial" w:hAnsi="Arial" w:cs="Arial"/>
        </w:rPr>
        <w:t xml:space="preserve"> At this stage, these figures are based on current understanding and the information available, therefore there will be changes to allocations.</w:t>
      </w:r>
      <w:r w:rsidR="00120B83">
        <w:rPr>
          <w:rFonts w:ascii="Arial" w:hAnsi="Arial" w:cs="Arial"/>
        </w:rPr>
        <w:t xml:space="preserve"> Please note the Appendix summaries ex</w:t>
      </w:r>
      <w:r w:rsidR="00DA18B2">
        <w:rPr>
          <w:rFonts w:ascii="Arial" w:hAnsi="Arial" w:cs="Arial"/>
        </w:rPr>
        <w:t xml:space="preserve">clude business rates </w:t>
      </w:r>
      <w:r w:rsidR="00697C7D">
        <w:rPr>
          <w:rFonts w:ascii="Arial" w:hAnsi="Arial" w:cs="Arial"/>
        </w:rPr>
        <w:t>(as now funded direct</w:t>
      </w:r>
      <w:r w:rsidR="00B80105">
        <w:rPr>
          <w:rFonts w:ascii="Arial" w:hAnsi="Arial" w:cs="Arial"/>
        </w:rPr>
        <w:t xml:space="preserve"> from the </w:t>
      </w:r>
      <w:bookmarkStart w:id="9" w:name="_Int_CBXFbHl5"/>
      <w:r w:rsidR="00B80105">
        <w:rPr>
          <w:rFonts w:ascii="Arial" w:hAnsi="Arial" w:cs="Arial"/>
        </w:rPr>
        <w:t>ESFA</w:t>
      </w:r>
      <w:bookmarkEnd w:id="9"/>
      <w:r w:rsidR="00B80105">
        <w:rPr>
          <w:rFonts w:ascii="Arial" w:hAnsi="Arial" w:cs="Arial"/>
        </w:rPr>
        <w:t xml:space="preserve"> to billing authorities) </w:t>
      </w:r>
      <w:r w:rsidR="00DA18B2">
        <w:rPr>
          <w:rFonts w:ascii="Arial" w:hAnsi="Arial" w:cs="Arial"/>
        </w:rPr>
        <w:t>to show the true impact of any gains.</w:t>
      </w:r>
    </w:p>
    <w:p w14:paraId="7F08CD80" w14:textId="207684B0" w:rsidR="006B5F4E" w:rsidRPr="00403839" w:rsidRDefault="00FE418D" w:rsidP="752E4E0C">
      <w:pPr>
        <w:pStyle w:val="Heading2"/>
        <w:keepNext w:val="0"/>
        <w:tabs>
          <w:tab w:val="clear" w:pos="576"/>
        </w:tabs>
        <w:ind w:left="0" w:hanging="426"/>
        <w:jc w:val="left"/>
        <w:rPr>
          <w:rFonts w:ascii="Arial" w:hAnsi="Arial" w:cs="Arial"/>
        </w:rPr>
      </w:pPr>
      <w:r w:rsidRPr="00403839">
        <w:rPr>
          <w:rFonts w:ascii="Arial" w:hAnsi="Arial" w:cs="Arial"/>
        </w:rPr>
        <w:t xml:space="preserve">On average, the funding for primary </w:t>
      </w:r>
      <w:r w:rsidR="00D01F60" w:rsidRPr="00403839">
        <w:rPr>
          <w:rFonts w:ascii="Arial" w:hAnsi="Arial" w:cs="Arial"/>
        </w:rPr>
        <w:t xml:space="preserve">and secondary </w:t>
      </w:r>
      <w:r w:rsidRPr="00403839">
        <w:rPr>
          <w:rFonts w:ascii="Arial" w:hAnsi="Arial" w:cs="Arial"/>
        </w:rPr>
        <w:t xml:space="preserve">schools has increased by </w:t>
      </w:r>
      <w:r w:rsidR="00403839" w:rsidRPr="00403839">
        <w:rPr>
          <w:rFonts w:ascii="Arial" w:hAnsi="Arial" w:cs="Arial"/>
        </w:rPr>
        <w:t>1.6</w:t>
      </w:r>
      <w:r w:rsidRPr="00403839">
        <w:rPr>
          <w:rFonts w:ascii="Arial" w:hAnsi="Arial" w:cs="Arial"/>
        </w:rPr>
        <w:t>%</w:t>
      </w:r>
      <w:r w:rsidR="00D01F60" w:rsidRPr="00403839">
        <w:rPr>
          <w:rFonts w:ascii="Arial" w:hAnsi="Arial" w:cs="Arial"/>
        </w:rPr>
        <w:t>.</w:t>
      </w:r>
      <w:r w:rsidR="00887D3A" w:rsidRPr="00403839">
        <w:rPr>
          <w:rFonts w:ascii="Arial" w:hAnsi="Arial" w:cs="Arial"/>
        </w:rPr>
        <w:t xml:space="preserve"> </w:t>
      </w:r>
      <w:bookmarkStart w:id="10" w:name="_Int_msn7agYG"/>
      <w:r w:rsidR="004A771D">
        <w:rPr>
          <w:rFonts w:ascii="Arial" w:hAnsi="Arial" w:cs="Arial"/>
        </w:rPr>
        <w:t>Similar to</w:t>
      </w:r>
      <w:bookmarkEnd w:id="10"/>
      <w:r w:rsidR="004A771D">
        <w:rPr>
          <w:rFonts w:ascii="Arial" w:hAnsi="Arial" w:cs="Arial"/>
        </w:rPr>
        <w:t xml:space="preserve"> 2022/2</w:t>
      </w:r>
      <w:r w:rsidR="004157C6">
        <w:rPr>
          <w:rFonts w:ascii="Arial" w:hAnsi="Arial" w:cs="Arial"/>
        </w:rPr>
        <w:t xml:space="preserve">3 but in contrast to years prior, </w:t>
      </w:r>
      <w:r w:rsidR="00D34BEB">
        <w:rPr>
          <w:rFonts w:ascii="Arial" w:hAnsi="Arial" w:cs="Arial"/>
        </w:rPr>
        <w:t>analysis shows for 2023/24 smaller school</w:t>
      </w:r>
      <w:r w:rsidR="00D45582">
        <w:rPr>
          <w:rFonts w:ascii="Arial" w:hAnsi="Arial" w:cs="Arial"/>
        </w:rPr>
        <w:t>s</w:t>
      </w:r>
      <w:r w:rsidR="00D34BEB">
        <w:rPr>
          <w:rFonts w:ascii="Arial" w:hAnsi="Arial" w:cs="Arial"/>
        </w:rPr>
        <w:t xml:space="preserve"> will receive slightly higher percentage gains</w:t>
      </w:r>
      <w:r w:rsidR="00D45582">
        <w:rPr>
          <w:rFonts w:ascii="Arial" w:hAnsi="Arial" w:cs="Arial"/>
        </w:rPr>
        <w:t xml:space="preserve">. </w:t>
      </w:r>
    </w:p>
    <w:p w14:paraId="69FAFA35" w14:textId="48F0A685" w:rsidR="008975A2" w:rsidRDefault="00D96750" w:rsidP="752E4E0C">
      <w:pPr>
        <w:pStyle w:val="Heading2"/>
        <w:keepNext w:val="0"/>
        <w:tabs>
          <w:tab w:val="clear" w:pos="576"/>
        </w:tabs>
        <w:ind w:left="0" w:hanging="426"/>
        <w:jc w:val="left"/>
        <w:rPr>
          <w:rFonts w:ascii="Arial" w:hAnsi="Arial" w:cs="Arial"/>
        </w:rPr>
      </w:pPr>
      <w:r w:rsidRPr="00013F6E">
        <w:rPr>
          <w:rFonts w:ascii="Arial" w:hAnsi="Arial" w:cs="Arial"/>
        </w:rPr>
        <w:t>In 2023/24</w:t>
      </w:r>
      <w:r w:rsidR="009D027B" w:rsidRPr="00013F6E">
        <w:rPr>
          <w:rFonts w:ascii="Arial" w:hAnsi="Arial" w:cs="Arial"/>
        </w:rPr>
        <w:t xml:space="preserve">, </w:t>
      </w:r>
      <w:r w:rsidR="004873C2">
        <w:rPr>
          <w:rFonts w:ascii="Arial" w:hAnsi="Arial" w:cs="Arial"/>
        </w:rPr>
        <w:t>30</w:t>
      </w:r>
      <w:r w:rsidR="009D027B" w:rsidRPr="00013F6E">
        <w:rPr>
          <w:rFonts w:ascii="Arial" w:hAnsi="Arial" w:cs="Arial"/>
        </w:rPr>
        <w:t>%</w:t>
      </w:r>
      <w:r w:rsidR="00603805" w:rsidRPr="00013F6E">
        <w:rPr>
          <w:rFonts w:ascii="Arial" w:hAnsi="Arial" w:cs="Arial"/>
        </w:rPr>
        <w:t xml:space="preserve"> (14</w:t>
      </w:r>
      <w:r w:rsidR="004873C2">
        <w:rPr>
          <w:rFonts w:ascii="Arial" w:hAnsi="Arial" w:cs="Arial"/>
        </w:rPr>
        <w:t>9</w:t>
      </w:r>
      <w:r w:rsidR="00603805" w:rsidRPr="00013F6E">
        <w:rPr>
          <w:rFonts w:ascii="Arial" w:hAnsi="Arial" w:cs="Arial"/>
        </w:rPr>
        <w:t xml:space="preserve"> schools)</w:t>
      </w:r>
      <w:r w:rsidR="009D027B" w:rsidRPr="00013F6E">
        <w:rPr>
          <w:rFonts w:ascii="Arial" w:hAnsi="Arial" w:cs="Arial"/>
        </w:rPr>
        <w:t xml:space="preserve"> of all schools will receive minimum per pupil funding which is a reduction of </w:t>
      </w:r>
      <w:r w:rsidR="00B27E77" w:rsidRPr="00013F6E">
        <w:rPr>
          <w:rFonts w:ascii="Arial" w:hAnsi="Arial" w:cs="Arial"/>
        </w:rPr>
        <w:t>2</w:t>
      </w:r>
      <w:r w:rsidR="004873C2">
        <w:rPr>
          <w:rFonts w:ascii="Arial" w:hAnsi="Arial" w:cs="Arial"/>
        </w:rPr>
        <w:t>7</w:t>
      </w:r>
      <w:r w:rsidR="00B27E77" w:rsidRPr="00013F6E">
        <w:rPr>
          <w:rFonts w:ascii="Arial" w:hAnsi="Arial" w:cs="Arial"/>
        </w:rPr>
        <w:t>% (</w:t>
      </w:r>
      <w:r w:rsidR="00291472" w:rsidRPr="00013F6E">
        <w:rPr>
          <w:rFonts w:ascii="Arial" w:hAnsi="Arial" w:cs="Arial"/>
        </w:rPr>
        <w:t>5</w:t>
      </w:r>
      <w:r w:rsidR="00F53063">
        <w:rPr>
          <w:rFonts w:ascii="Arial" w:hAnsi="Arial" w:cs="Arial"/>
        </w:rPr>
        <w:t>6</w:t>
      </w:r>
      <w:r w:rsidR="00291472" w:rsidRPr="00013F6E">
        <w:rPr>
          <w:rFonts w:ascii="Arial" w:hAnsi="Arial" w:cs="Arial"/>
        </w:rPr>
        <w:t xml:space="preserve"> schools)</w:t>
      </w:r>
      <w:r w:rsidR="0062196A" w:rsidRPr="00013F6E">
        <w:rPr>
          <w:rFonts w:ascii="Arial" w:hAnsi="Arial" w:cs="Arial"/>
        </w:rPr>
        <w:t xml:space="preserve">. </w:t>
      </w:r>
      <w:r w:rsidR="00E645EF">
        <w:rPr>
          <w:rFonts w:ascii="Arial" w:hAnsi="Arial" w:cs="Arial"/>
        </w:rPr>
        <w:t>As a result f</w:t>
      </w:r>
      <w:r w:rsidR="00264DB3" w:rsidRPr="00013F6E">
        <w:rPr>
          <w:rFonts w:ascii="Arial" w:hAnsi="Arial" w:cs="Arial"/>
        </w:rPr>
        <w:t>unding th</w:t>
      </w:r>
      <w:r w:rsidR="00F97F45" w:rsidRPr="00013F6E">
        <w:rPr>
          <w:rFonts w:ascii="Arial" w:hAnsi="Arial" w:cs="Arial"/>
        </w:rPr>
        <w:t>r</w:t>
      </w:r>
      <w:r w:rsidR="00264DB3" w:rsidRPr="00013F6E">
        <w:rPr>
          <w:rFonts w:ascii="Arial" w:hAnsi="Arial" w:cs="Arial"/>
        </w:rPr>
        <w:t>ough the minimum per pupil factor has reduced by 42.5% (£8.2m)</w:t>
      </w:r>
      <w:r w:rsidR="004C24BB">
        <w:rPr>
          <w:rFonts w:ascii="Arial" w:hAnsi="Arial" w:cs="Arial"/>
        </w:rPr>
        <w:t xml:space="preserve"> with this funding being re-directed elsewhere within the overall formula</w:t>
      </w:r>
    </w:p>
    <w:p w14:paraId="6A998955" w14:textId="77777777" w:rsidR="00DA0C1A" w:rsidRDefault="00C71A3C" w:rsidP="752E4E0C">
      <w:pPr>
        <w:pStyle w:val="Heading2"/>
        <w:keepNext w:val="0"/>
        <w:tabs>
          <w:tab w:val="clear" w:pos="576"/>
        </w:tabs>
        <w:ind w:left="0" w:hanging="426"/>
        <w:jc w:val="left"/>
        <w:rPr>
          <w:rFonts w:ascii="Arial" w:hAnsi="Arial" w:cs="Arial"/>
        </w:rPr>
      </w:pPr>
      <w:r w:rsidRPr="00013F6E">
        <w:rPr>
          <w:rFonts w:ascii="Arial" w:hAnsi="Arial" w:cs="Arial"/>
        </w:rPr>
        <w:lastRenderedPageBreak/>
        <w:t xml:space="preserve">The </w:t>
      </w:r>
      <w:r w:rsidR="00294C72">
        <w:rPr>
          <w:rFonts w:ascii="Arial" w:hAnsi="Arial" w:cs="Arial"/>
        </w:rPr>
        <w:t xml:space="preserve">rate </w:t>
      </w:r>
      <w:r w:rsidRPr="00013F6E">
        <w:rPr>
          <w:rFonts w:ascii="Arial" w:hAnsi="Arial" w:cs="Arial"/>
        </w:rPr>
        <w:t>increase</w:t>
      </w:r>
      <w:r w:rsidR="00294C72">
        <w:rPr>
          <w:rFonts w:ascii="Arial" w:hAnsi="Arial" w:cs="Arial"/>
        </w:rPr>
        <w:t>s</w:t>
      </w:r>
      <w:r w:rsidRPr="00013F6E">
        <w:rPr>
          <w:rFonts w:ascii="Arial" w:hAnsi="Arial" w:cs="Arial"/>
        </w:rPr>
        <w:t xml:space="preserve"> </w:t>
      </w:r>
      <w:r w:rsidR="008975A2">
        <w:rPr>
          <w:rFonts w:ascii="Arial" w:hAnsi="Arial" w:cs="Arial"/>
        </w:rPr>
        <w:t>to</w:t>
      </w:r>
      <w:r w:rsidRPr="00013F6E">
        <w:rPr>
          <w:rFonts w:ascii="Arial" w:hAnsi="Arial" w:cs="Arial"/>
        </w:rPr>
        <w:t xml:space="preserve"> core NFF factors </w:t>
      </w:r>
      <w:r w:rsidR="001F24A0">
        <w:rPr>
          <w:rFonts w:ascii="Arial" w:hAnsi="Arial" w:cs="Arial"/>
        </w:rPr>
        <w:t xml:space="preserve">published by the DfE </w:t>
      </w:r>
      <w:r w:rsidR="00B26C3C">
        <w:rPr>
          <w:rFonts w:ascii="Arial" w:hAnsi="Arial" w:cs="Arial"/>
        </w:rPr>
        <w:t xml:space="preserve">as part </w:t>
      </w:r>
      <w:r w:rsidR="00B04F67">
        <w:rPr>
          <w:rFonts w:ascii="Arial" w:hAnsi="Arial" w:cs="Arial"/>
        </w:rPr>
        <w:t xml:space="preserve">2023/24 </w:t>
      </w:r>
      <w:r w:rsidR="00294C72">
        <w:rPr>
          <w:rFonts w:ascii="Arial" w:hAnsi="Arial" w:cs="Arial"/>
        </w:rPr>
        <w:t>NFF</w:t>
      </w:r>
      <w:r w:rsidR="005B0280" w:rsidRPr="00013F6E">
        <w:rPr>
          <w:rFonts w:ascii="Arial" w:hAnsi="Arial" w:cs="Arial"/>
        </w:rPr>
        <w:t xml:space="preserve"> and the </w:t>
      </w:r>
      <w:r w:rsidR="0021278C" w:rsidRPr="00013F6E">
        <w:rPr>
          <w:rFonts w:ascii="Arial" w:hAnsi="Arial" w:cs="Arial"/>
        </w:rPr>
        <w:t xml:space="preserve">additional </w:t>
      </w:r>
      <w:r w:rsidR="005B0280" w:rsidRPr="00013F6E">
        <w:rPr>
          <w:rFonts w:ascii="Arial" w:hAnsi="Arial" w:cs="Arial"/>
        </w:rPr>
        <w:t>increase</w:t>
      </w:r>
      <w:r w:rsidR="0021278C" w:rsidRPr="00013F6E">
        <w:rPr>
          <w:rFonts w:ascii="Arial" w:hAnsi="Arial" w:cs="Arial"/>
        </w:rPr>
        <w:t>s</w:t>
      </w:r>
      <w:r w:rsidR="005B0280" w:rsidRPr="00013F6E">
        <w:rPr>
          <w:rFonts w:ascii="Arial" w:hAnsi="Arial" w:cs="Arial"/>
        </w:rPr>
        <w:t xml:space="preserve"> to </w:t>
      </w:r>
      <w:r w:rsidR="00F96EFD">
        <w:rPr>
          <w:rFonts w:ascii="Arial" w:hAnsi="Arial" w:cs="Arial"/>
        </w:rPr>
        <w:t xml:space="preserve">core factors </w:t>
      </w:r>
      <w:r w:rsidR="00421C50">
        <w:rPr>
          <w:rFonts w:ascii="Arial" w:hAnsi="Arial" w:cs="Arial"/>
        </w:rPr>
        <w:t>following the roll</w:t>
      </w:r>
      <w:r w:rsidR="00A72461" w:rsidRPr="00013F6E">
        <w:rPr>
          <w:rFonts w:ascii="Arial" w:hAnsi="Arial" w:cs="Arial"/>
        </w:rPr>
        <w:t xml:space="preserve"> in of the supplementary grant </w:t>
      </w:r>
      <w:r w:rsidR="00F96EFD">
        <w:rPr>
          <w:rFonts w:ascii="Arial" w:hAnsi="Arial" w:cs="Arial"/>
        </w:rPr>
        <w:t>have</w:t>
      </w:r>
      <w:r w:rsidR="00A72461" w:rsidRPr="00013F6E">
        <w:rPr>
          <w:rFonts w:ascii="Arial" w:hAnsi="Arial" w:cs="Arial"/>
        </w:rPr>
        <w:t xml:space="preserve"> all contributed to </w:t>
      </w:r>
      <w:r w:rsidR="00207A3A" w:rsidRPr="00013F6E">
        <w:rPr>
          <w:rFonts w:ascii="Arial" w:hAnsi="Arial" w:cs="Arial"/>
        </w:rPr>
        <w:t xml:space="preserve">more schools receiving </w:t>
      </w:r>
      <w:r w:rsidR="00DE4C40" w:rsidRPr="00013F6E">
        <w:rPr>
          <w:rFonts w:ascii="Arial" w:hAnsi="Arial" w:cs="Arial"/>
        </w:rPr>
        <w:t>per pupil funding over and above the minimum per pupil funding levels.</w:t>
      </w:r>
      <w:r w:rsidR="001F24A0">
        <w:rPr>
          <w:rFonts w:ascii="Arial" w:hAnsi="Arial" w:cs="Arial"/>
        </w:rPr>
        <w:t xml:space="preserve"> </w:t>
      </w:r>
    </w:p>
    <w:p w14:paraId="553BFB6D" w14:textId="77777777" w:rsidR="00037574" w:rsidRDefault="00421C50" w:rsidP="00037574">
      <w:pPr>
        <w:pStyle w:val="Heading2"/>
        <w:keepNext w:val="0"/>
        <w:tabs>
          <w:tab w:val="clear" w:pos="576"/>
        </w:tabs>
        <w:ind w:left="0" w:hanging="426"/>
        <w:jc w:val="left"/>
        <w:rPr>
          <w:rFonts w:ascii="Arial" w:hAnsi="Arial" w:cs="Arial"/>
        </w:rPr>
      </w:pPr>
      <w:r>
        <w:rPr>
          <w:rFonts w:ascii="Arial" w:hAnsi="Arial" w:cs="Arial"/>
        </w:rPr>
        <w:t xml:space="preserve">Overall </w:t>
      </w:r>
      <w:r w:rsidR="00401854">
        <w:rPr>
          <w:rFonts w:ascii="Arial" w:hAnsi="Arial" w:cs="Arial"/>
        </w:rPr>
        <w:t xml:space="preserve">for 2023/24, </w:t>
      </w:r>
      <w:r w:rsidR="007A1F01" w:rsidRPr="00BE5E8A">
        <w:rPr>
          <w:rFonts w:ascii="Arial" w:hAnsi="Arial" w:cs="Arial"/>
        </w:rPr>
        <w:t xml:space="preserve">taking into account the mainstream grant, </w:t>
      </w:r>
      <w:r>
        <w:rPr>
          <w:rFonts w:ascii="Arial" w:hAnsi="Arial" w:cs="Arial"/>
        </w:rPr>
        <w:t>the minimum per pupil funding</w:t>
      </w:r>
      <w:r w:rsidR="00495C45">
        <w:rPr>
          <w:rFonts w:ascii="Arial" w:hAnsi="Arial" w:cs="Arial"/>
        </w:rPr>
        <w:t xml:space="preserve"> level</w:t>
      </w:r>
      <w:r>
        <w:rPr>
          <w:rFonts w:ascii="Arial" w:hAnsi="Arial" w:cs="Arial"/>
        </w:rPr>
        <w:t xml:space="preserve"> </w:t>
      </w:r>
      <w:r w:rsidR="000B1D51">
        <w:rPr>
          <w:rFonts w:ascii="Arial" w:hAnsi="Arial" w:cs="Arial"/>
        </w:rPr>
        <w:t>will</w:t>
      </w:r>
      <w:r>
        <w:rPr>
          <w:rFonts w:ascii="Arial" w:hAnsi="Arial" w:cs="Arial"/>
        </w:rPr>
        <w:t xml:space="preserve"> increase by </w:t>
      </w:r>
      <w:r w:rsidR="00495C45">
        <w:rPr>
          <w:rFonts w:ascii="Arial" w:hAnsi="Arial" w:cs="Arial"/>
        </w:rPr>
        <w:t xml:space="preserve">around 3.5%, however </w:t>
      </w:r>
      <w:r w:rsidR="000B1D51">
        <w:rPr>
          <w:rFonts w:ascii="Arial" w:hAnsi="Arial" w:cs="Arial"/>
        </w:rPr>
        <w:t xml:space="preserve">basic entitlement </w:t>
      </w:r>
      <w:r w:rsidR="002B26B1">
        <w:rPr>
          <w:rFonts w:ascii="Arial" w:hAnsi="Arial" w:cs="Arial"/>
        </w:rPr>
        <w:t xml:space="preserve">for each phase </w:t>
      </w:r>
      <w:r w:rsidR="002A0EAE">
        <w:rPr>
          <w:rFonts w:ascii="Arial" w:hAnsi="Arial" w:cs="Arial"/>
        </w:rPr>
        <w:t xml:space="preserve">and the lump sum </w:t>
      </w:r>
      <w:r w:rsidR="002B26B1">
        <w:rPr>
          <w:rFonts w:ascii="Arial" w:hAnsi="Arial" w:cs="Arial"/>
        </w:rPr>
        <w:t>will increase by 5.8%</w:t>
      </w:r>
      <w:r w:rsidR="00401854">
        <w:rPr>
          <w:rFonts w:ascii="Arial" w:hAnsi="Arial" w:cs="Arial"/>
        </w:rPr>
        <w:t xml:space="preserve">. </w:t>
      </w:r>
      <w:r w:rsidR="00027168">
        <w:rPr>
          <w:rFonts w:ascii="Arial" w:hAnsi="Arial" w:cs="Arial"/>
        </w:rPr>
        <w:t xml:space="preserve">For 2023/24 the DfE are directing additional support towards disadvantaged pupils </w:t>
      </w:r>
      <w:r w:rsidR="000B63F6">
        <w:rPr>
          <w:rFonts w:ascii="Arial" w:hAnsi="Arial" w:cs="Arial"/>
        </w:rPr>
        <w:t xml:space="preserve">with the FSM6 factor increasing by </w:t>
      </w:r>
      <w:r w:rsidR="00355218">
        <w:rPr>
          <w:rFonts w:ascii="Arial" w:hAnsi="Arial" w:cs="Arial"/>
        </w:rPr>
        <w:t>19%-20% and the IDACI deprivation bandings increasing by around 5%.</w:t>
      </w:r>
    </w:p>
    <w:p w14:paraId="55096293" w14:textId="77777777" w:rsidR="00BD35DF" w:rsidRDefault="00EF2640" w:rsidP="00037574">
      <w:pPr>
        <w:pStyle w:val="Heading2"/>
        <w:keepNext w:val="0"/>
        <w:tabs>
          <w:tab w:val="clear" w:pos="576"/>
        </w:tabs>
        <w:ind w:left="0" w:hanging="426"/>
        <w:jc w:val="left"/>
        <w:rPr>
          <w:rFonts w:ascii="Arial" w:hAnsi="Arial" w:cs="Arial"/>
        </w:rPr>
      </w:pPr>
      <w:r w:rsidRPr="00037574">
        <w:rPr>
          <w:rFonts w:ascii="Arial" w:hAnsi="Arial" w:cs="Arial"/>
        </w:rPr>
        <w:t xml:space="preserve">For 2023/24, </w:t>
      </w:r>
      <w:r w:rsidR="00327C0A" w:rsidRPr="00037574">
        <w:rPr>
          <w:rFonts w:ascii="Arial" w:hAnsi="Arial" w:cs="Arial"/>
        </w:rPr>
        <w:t>24% (118 schools) of all schools will receive minimum funding guarantee (MFG)</w:t>
      </w:r>
      <w:r w:rsidR="006A2044" w:rsidRPr="00037574">
        <w:rPr>
          <w:rFonts w:ascii="Arial" w:hAnsi="Arial" w:cs="Arial"/>
        </w:rPr>
        <w:t xml:space="preserve">. Despite this being an increase </w:t>
      </w:r>
      <w:r w:rsidR="00336AA7" w:rsidRPr="00037574">
        <w:rPr>
          <w:rFonts w:ascii="Arial" w:hAnsi="Arial" w:cs="Arial"/>
        </w:rPr>
        <w:t>of 44% (</w:t>
      </w:r>
      <w:r w:rsidR="00BF7BAD" w:rsidRPr="00037574">
        <w:rPr>
          <w:rFonts w:ascii="Arial" w:hAnsi="Arial" w:cs="Arial"/>
        </w:rPr>
        <w:t>36 schools) from 2022/23</w:t>
      </w:r>
      <w:r w:rsidR="002F59F5" w:rsidRPr="00037574">
        <w:rPr>
          <w:rFonts w:ascii="Arial" w:hAnsi="Arial" w:cs="Arial"/>
        </w:rPr>
        <w:t>, funding through th</w:t>
      </w:r>
      <w:r w:rsidR="00961221" w:rsidRPr="00037574">
        <w:rPr>
          <w:rFonts w:ascii="Arial" w:hAnsi="Arial" w:cs="Arial"/>
        </w:rPr>
        <w:t xml:space="preserve">e MFG factor has reduced by </w:t>
      </w:r>
      <w:r w:rsidR="00E0522F" w:rsidRPr="00037574">
        <w:rPr>
          <w:rFonts w:ascii="Arial" w:hAnsi="Arial" w:cs="Arial"/>
        </w:rPr>
        <w:t>43% (</w:t>
      </w:r>
      <w:r w:rsidR="00E541C5" w:rsidRPr="00037574">
        <w:rPr>
          <w:rFonts w:ascii="Arial" w:hAnsi="Arial" w:cs="Arial"/>
        </w:rPr>
        <w:t>£1.6m)</w:t>
      </w:r>
      <w:r w:rsidR="00BC31C3" w:rsidRPr="00037574">
        <w:rPr>
          <w:rFonts w:ascii="Arial" w:hAnsi="Arial" w:cs="Arial"/>
        </w:rPr>
        <w:t xml:space="preserve"> with this funding being redirected elsewhere</w:t>
      </w:r>
      <w:r w:rsidR="006D489F" w:rsidRPr="00037574">
        <w:rPr>
          <w:rFonts w:ascii="Arial" w:hAnsi="Arial" w:cs="Arial"/>
        </w:rPr>
        <w:t xml:space="preserve"> within the formula</w:t>
      </w:r>
      <w:r w:rsidR="00660643" w:rsidRPr="00037574">
        <w:rPr>
          <w:rFonts w:ascii="Arial" w:hAnsi="Arial" w:cs="Arial"/>
        </w:rPr>
        <w:t xml:space="preserve">. </w:t>
      </w:r>
      <w:r w:rsidR="00B069F7" w:rsidRPr="00037574">
        <w:rPr>
          <w:rFonts w:ascii="Arial" w:hAnsi="Arial" w:cs="Arial"/>
        </w:rPr>
        <w:t xml:space="preserve">The </w:t>
      </w:r>
      <w:r w:rsidR="00B24C93" w:rsidRPr="00037574">
        <w:rPr>
          <w:rFonts w:ascii="Arial" w:hAnsi="Arial" w:cs="Arial"/>
        </w:rPr>
        <w:t xml:space="preserve">rate increases </w:t>
      </w:r>
      <w:r w:rsidR="00164C6A" w:rsidRPr="00037574">
        <w:rPr>
          <w:rFonts w:ascii="Arial" w:hAnsi="Arial" w:cs="Arial"/>
        </w:rPr>
        <w:t xml:space="preserve">to formula factors </w:t>
      </w:r>
      <w:r w:rsidR="00F6420C" w:rsidRPr="00037574">
        <w:rPr>
          <w:rFonts w:ascii="Arial" w:hAnsi="Arial" w:cs="Arial"/>
        </w:rPr>
        <w:t xml:space="preserve">and the reduction in MFG </w:t>
      </w:r>
      <w:r w:rsidR="004428BD" w:rsidRPr="00037574">
        <w:rPr>
          <w:rFonts w:ascii="Arial" w:hAnsi="Arial" w:cs="Arial"/>
        </w:rPr>
        <w:t>set at</w:t>
      </w:r>
      <w:r w:rsidR="00F6420C" w:rsidRPr="00037574">
        <w:rPr>
          <w:rFonts w:ascii="Arial" w:hAnsi="Arial" w:cs="Arial"/>
        </w:rPr>
        <w:t xml:space="preserve"> </w:t>
      </w:r>
      <w:r w:rsidR="004428BD" w:rsidRPr="00037574">
        <w:rPr>
          <w:rFonts w:ascii="Arial" w:hAnsi="Arial" w:cs="Arial"/>
        </w:rPr>
        <w:t>+</w:t>
      </w:r>
      <w:r w:rsidR="005045E6" w:rsidRPr="00037574">
        <w:rPr>
          <w:rFonts w:ascii="Arial" w:hAnsi="Arial" w:cs="Arial"/>
        </w:rPr>
        <w:t>1.70%</w:t>
      </w:r>
      <w:r w:rsidR="004428BD" w:rsidRPr="00037574">
        <w:rPr>
          <w:rFonts w:ascii="Arial" w:hAnsi="Arial" w:cs="Arial"/>
        </w:rPr>
        <w:t xml:space="preserve"> in 2022/23 to</w:t>
      </w:r>
      <w:r w:rsidR="005045E6" w:rsidRPr="00037574">
        <w:rPr>
          <w:rFonts w:ascii="Arial" w:hAnsi="Arial" w:cs="Arial"/>
        </w:rPr>
        <w:t xml:space="preserve"> </w:t>
      </w:r>
      <w:r w:rsidR="004428BD" w:rsidRPr="00037574">
        <w:rPr>
          <w:rFonts w:ascii="Arial" w:hAnsi="Arial" w:cs="Arial"/>
        </w:rPr>
        <w:t>+</w:t>
      </w:r>
      <w:r w:rsidR="005045E6" w:rsidRPr="00037574">
        <w:rPr>
          <w:rFonts w:ascii="Arial" w:hAnsi="Arial" w:cs="Arial"/>
        </w:rPr>
        <w:t xml:space="preserve">0.50% </w:t>
      </w:r>
      <w:r w:rsidR="004428BD" w:rsidRPr="00037574">
        <w:rPr>
          <w:rFonts w:ascii="Arial" w:hAnsi="Arial" w:cs="Arial"/>
        </w:rPr>
        <w:t>in 2023/24</w:t>
      </w:r>
      <w:r w:rsidR="00277A7C" w:rsidRPr="00037574">
        <w:rPr>
          <w:rFonts w:ascii="Arial" w:hAnsi="Arial" w:cs="Arial"/>
        </w:rPr>
        <w:t xml:space="preserve"> </w:t>
      </w:r>
      <w:r w:rsidR="00164C6A" w:rsidRPr="00037574">
        <w:rPr>
          <w:rFonts w:ascii="Arial" w:hAnsi="Arial" w:cs="Arial"/>
        </w:rPr>
        <w:t xml:space="preserve">have </w:t>
      </w:r>
      <w:r w:rsidR="00DE75E9" w:rsidRPr="00037574">
        <w:rPr>
          <w:rFonts w:ascii="Arial" w:hAnsi="Arial" w:cs="Arial"/>
        </w:rPr>
        <w:t xml:space="preserve">greatly reduced the </w:t>
      </w:r>
      <w:r w:rsidR="009D5533" w:rsidRPr="00037574">
        <w:rPr>
          <w:rFonts w:ascii="Arial" w:hAnsi="Arial" w:cs="Arial"/>
        </w:rPr>
        <w:t xml:space="preserve">level of funding </w:t>
      </w:r>
      <w:r w:rsidR="00B67E55" w:rsidRPr="00037574">
        <w:rPr>
          <w:rFonts w:ascii="Arial" w:hAnsi="Arial" w:cs="Arial"/>
        </w:rPr>
        <w:t>flowing through the MFG</w:t>
      </w:r>
      <w:r w:rsidR="005339F5" w:rsidRPr="00037574">
        <w:rPr>
          <w:rFonts w:ascii="Arial" w:hAnsi="Arial" w:cs="Arial"/>
        </w:rPr>
        <w:t>.</w:t>
      </w:r>
    </w:p>
    <w:p w14:paraId="38289BC0" w14:textId="7901CC59" w:rsidR="00B14D54" w:rsidRPr="00037574" w:rsidRDefault="00EF13C1" w:rsidP="00BD35DF">
      <w:pPr>
        <w:pStyle w:val="Heading2"/>
        <w:keepNext w:val="0"/>
        <w:numPr>
          <w:ilvl w:val="0"/>
          <w:numId w:val="0"/>
        </w:numPr>
        <w:jc w:val="left"/>
        <w:rPr>
          <w:rFonts w:ascii="Arial" w:hAnsi="Arial" w:cs="Arial"/>
        </w:rPr>
      </w:pPr>
      <w:r w:rsidRPr="00037574">
        <w:rPr>
          <w:rFonts w:ascii="Arial" w:hAnsi="Arial" w:cs="Arial"/>
          <w:u w:val="single"/>
        </w:rPr>
        <w:t>Rolling the schools supplementary grant funding into the NFF</w:t>
      </w:r>
    </w:p>
    <w:p w14:paraId="3885452B" w14:textId="7249696D" w:rsidR="00B14D54" w:rsidRDefault="00042EAC" w:rsidP="00042EAC">
      <w:pPr>
        <w:pStyle w:val="Heading2"/>
        <w:keepNext w:val="0"/>
        <w:tabs>
          <w:tab w:val="clear" w:pos="576"/>
          <w:tab w:val="num" w:pos="0"/>
        </w:tabs>
        <w:ind w:left="0" w:hanging="426"/>
        <w:jc w:val="left"/>
        <w:rPr>
          <w:rFonts w:ascii="Arial" w:hAnsi="Arial" w:cs="Arial"/>
        </w:rPr>
      </w:pPr>
      <w:r w:rsidRPr="00042EAC">
        <w:rPr>
          <w:rFonts w:ascii="Arial" w:hAnsi="Arial" w:cs="Arial"/>
        </w:rPr>
        <w:t>The schools supplementary grant was introduced to support schools to meet the costs of the Health and Social Care Levy and wider costs in 2022-23. The grant funding in respect of pupils from reception to year 11 (inclusive) is being rolled into the schools NFF from 2023-24.</w:t>
      </w:r>
    </w:p>
    <w:p w14:paraId="477C6A8E" w14:textId="7ED811BA" w:rsidR="004A03FB" w:rsidRDefault="004A03FB" w:rsidP="752E4E0C">
      <w:pPr>
        <w:pStyle w:val="Heading2"/>
        <w:keepNext w:val="0"/>
        <w:tabs>
          <w:tab w:val="clear" w:pos="576"/>
        </w:tabs>
        <w:ind w:left="0" w:hanging="426"/>
        <w:jc w:val="left"/>
        <w:rPr>
          <w:rFonts w:ascii="Arial" w:hAnsi="Arial" w:cs="Arial"/>
        </w:rPr>
      </w:pPr>
      <w:r w:rsidRPr="004A03FB">
        <w:rPr>
          <w:rFonts w:ascii="Arial" w:hAnsi="Arial" w:cs="Arial"/>
        </w:rPr>
        <w:t xml:space="preserve">The aim of </w:t>
      </w:r>
      <w:r>
        <w:rPr>
          <w:rFonts w:ascii="Arial" w:hAnsi="Arial" w:cs="Arial"/>
        </w:rPr>
        <w:t>the DfE</w:t>
      </w:r>
      <w:r w:rsidRPr="004A03FB">
        <w:rPr>
          <w:rFonts w:ascii="Arial" w:hAnsi="Arial" w:cs="Arial"/>
        </w:rPr>
        <w:t xml:space="preserve"> approach for rolling the grant into the schools NFF is to ensure that the additional funding schools attract through the NFF is as close as possible to the funding they would have received if the funding </w:t>
      </w:r>
      <w:bookmarkStart w:id="11" w:name="_Int_oCRxJExn"/>
      <w:r w:rsidR="0DAB05DE" w:rsidRPr="752E4E0C">
        <w:rPr>
          <w:rFonts w:ascii="Arial" w:hAnsi="Arial" w:cs="Arial"/>
        </w:rPr>
        <w:t>were</w:t>
      </w:r>
      <w:bookmarkEnd w:id="11"/>
      <w:r w:rsidRPr="004A03FB">
        <w:rPr>
          <w:rFonts w:ascii="Arial" w:hAnsi="Arial" w:cs="Arial"/>
        </w:rPr>
        <w:t xml:space="preserve"> continuing as a separate grant in 2023-24, without adding significant additional complexity to the formula.</w:t>
      </w:r>
    </w:p>
    <w:p w14:paraId="3ED92C2E" w14:textId="551E54E9" w:rsidR="004A03FB" w:rsidRPr="00042EAC" w:rsidRDefault="003D4A98" w:rsidP="00E739A8">
      <w:pPr>
        <w:pStyle w:val="Heading2"/>
        <w:keepNext w:val="0"/>
        <w:tabs>
          <w:tab w:val="clear" w:pos="576"/>
        </w:tabs>
        <w:ind w:left="0" w:hanging="567"/>
        <w:jc w:val="left"/>
        <w:rPr>
          <w:rFonts w:ascii="Arial" w:hAnsi="Arial" w:cs="Arial"/>
        </w:rPr>
      </w:pPr>
      <w:r>
        <w:rPr>
          <w:rFonts w:ascii="Arial" w:hAnsi="Arial" w:cs="Arial"/>
        </w:rPr>
        <w:t>The grant has been rolled in</w:t>
      </w:r>
      <w:r w:rsidR="007871A8">
        <w:rPr>
          <w:rFonts w:ascii="Arial" w:hAnsi="Arial" w:cs="Arial"/>
        </w:rPr>
        <w:t xml:space="preserve"> 3 ways</w:t>
      </w:r>
      <w:r w:rsidR="006500BD" w:rsidRPr="00ED6DE4">
        <w:rPr>
          <w:rFonts w:ascii="Arial" w:hAnsi="Arial" w:cs="Arial"/>
        </w:rPr>
        <w:t xml:space="preserve">, to reflect the three </w:t>
      </w:r>
      <w:bookmarkStart w:id="12" w:name="_Int_aLOOQuyj"/>
      <w:r w:rsidR="006500BD" w:rsidRPr="00ED6DE4">
        <w:rPr>
          <w:rFonts w:ascii="Arial" w:hAnsi="Arial" w:cs="Arial"/>
        </w:rPr>
        <w:t>different ways</w:t>
      </w:r>
      <w:bookmarkEnd w:id="12"/>
      <w:r w:rsidR="006500BD" w:rsidRPr="00ED6DE4">
        <w:rPr>
          <w:rFonts w:ascii="Arial" w:hAnsi="Arial" w:cs="Arial"/>
        </w:rPr>
        <w:t xml:space="preserve"> in which schools attract funding through the NFF</w:t>
      </w:r>
      <w:r w:rsidR="00ED6DE4">
        <w:rPr>
          <w:rFonts w:ascii="Arial" w:hAnsi="Arial" w:cs="Arial"/>
        </w:rPr>
        <w:t>:</w:t>
      </w:r>
    </w:p>
    <w:p w14:paraId="40BEF4A1" w14:textId="456854B0" w:rsidR="006C022D" w:rsidRPr="00ED6DE4" w:rsidRDefault="00D02E25" w:rsidP="00ED6DE4">
      <w:pPr>
        <w:pStyle w:val="Heading2"/>
        <w:keepNext w:val="0"/>
        <w:numPr>
          <w:ilvl w:val="0"/>
          <w:numId w:val="10"/>
        </w:numPr>
        <w:jc w:val="left"/>
        <w:rPr>
          <w:rFonts w:ascii="Arial" w:hAnsi="Arial" w:cs="Arial"/>
        </w:rPr>
      </w:pPr>
      <w:r w:rsidRPr="00ED6DE4">
        <w:rPr>
          <w:rFonts w:ascii="Arial" w:hAnsi="Arial" w:cs="Arial"/>
        </w:rPr>
        <w:t xml:space="preserve">Adding £97, £137 and £155 to the primary, key stage </w:t>
      </w:r>
      <w:bookmarkStart w:id="13" w:name="_Int_nmMaM4Vi"/>
      <w:r w:rsidRPr="00ED6DE4">
        <w:rPr>
          <w:rFonts w:ascii="Arial" w:hAnsi="Arial" w:cs="Arial"/>
        </w:rPr>
        <w:t>3</w:t>
      </w:r>
      <w:bookmarkEnd w:id="13"/>
      <w:r w:rsidRPr="00ED6DE4">
        <w:rPr>
          <w:rFonts w:ascii="Arial" w:hAnsi="Arial" w:cs="Arial"/>
        </w:rPr>
        <w:t xml:space="preserve"> and key stage 4 per pupil funding factors respectively; £85 and £124 to the primary and secondary FSM6 factors; and £3,680 to the school lump sum</w:t>
      </w:r>
      <w:r w:rsidR="008F1902">
        <w:rPr>
          <w:rFonts w:ascii="Arial" w:hAnsi="Arial" w:cs="Arial"/>
        </w:rPr>
        <w:t xml:space="preserve">. </w:t>
      </w:r>
      <w:r w:rsidR="006E04AC">
        <w:rPr>
          <w:rFonts w:ascii="Arial" w:hAnsi="Arial" w:cs="Arial"/>
        </w:rPr>
        <w:t xml:space="preserve">This is the equivalent to </w:t>
      </w:r>
      <w:r w:rsidR="00620F5C">
        <w:rPr>
          <w:rFonts w:ascii="Arial" w:hAnsi="Arial" w:cs="Arial"/>
        </w:rPr>
        <w:t xml:space="preserve">a </w:t>
      </w:r>
      <w:r w:rsidR="006E04AC">
        <w:rPr>
          <w:rFonts w:ascii="Arial" w:hAnsi="Arial" w:cs="Arial"/>
        </w:rPr>
        <w:t>3%</w:t>
      </w:r>
      <w:r w:rsidR="00861EF6">
        <w:rPr>
          <w:rFonts w:ascii="Arial" w:hAnsi="Arial" w:cs="Arial"/>
        </w:rPr>
        <w:t xml:space="preserve"> increase to </w:t>
      </w:r>
      <w:r w:rsidR="00980B70">
        <w:rPr>
          <w:rFonts w:ascii="Arial" w:hAnsi="Arial" w:cs="Arial"/>
        </w:rPr>
        <w:t xml:space="preserve">Hampshire </w:t>
      </w:r>
      <w:bookmarkStart w:id="14" w:name="_Int_oYFCXlRh"/>
      <w:r w:rsidR="0090456A">
        <w:rPr>
          <w:rFonts w:ascii="Arial" w:hAnsi="Arial" w:cs="Arial"/>
        </w:rPr>
        <w:t xml:space="preserve">2022/23 </w:t>
      </w:r>
      <w:r w:rsidR="00861EF6">
        <w:rPr>
          <w:rFonts w:ascii="Arial" w:hAnsi="Arial" w:cs="Arial"/>
        </w:rPr>
        <w:t>unit</w:t>
      </w:r>
      <w:bookmarkEnd w:id="14"/>
      <w:r w:rsidR="00861EF6">
        <w:rPr>
          <w:rFonts w:ascii="Arial" w:hAnsi="Arial" w:cs="Arial"/>
        </w:rPr>
        <w:t xml:space="preserve"> values </w:t>
      </w:r>
      <w:bookmarkStart w:id="15" w:name="_Int_1Q7nJ95Z"/>
      <w:r w:rsidR="00861EF6">
        <w:rPr>
          <w:rFonts w:ascii="Arial" w:hAnsi="Arial" w:cs="Arial"/>
        </w:rPr>
        <w:t>with the exception of</w:t>
      </w:r>
      <w:bookmarkEnd w:id="15"/>
      <w:r w:rsidR="00861EF6">
        <w:rPr>
          <w:rFonts w:ascii="Arial" w:hAnsi="Arial" w:cs="Arial"/>
        </w:rPr>
        <w:t xml:space="preserve"> the FSM6 factors which </w:t>
      </w:r>
      <w:r w:rsidR="00980B70">
        <w:rPr>
          <w:rFonts w:ascii="Arial" w:hAnsi="Arial" w:cs="Arial"/>
        </w:rPr>
        <w:t>is a 14.4% increase.</w:t>
      </w:r>
    </w:p>
    <w:p w14:paraId="6CDA6DE1" w14:textId="5799297C" w:rsidR="00AD3BD2" w:rsidRPr="00ED6DE4" w:rsidRDefault="00DE0257" w:rsidP="00ED6DE4">
      <w:pPr>
        <w:pStyle w:val="Heading2"/>
        <w:keepNext w:val="0"/>
        <w:numPr>
          <w:ilvl w:val="0"/>
          <w:numId w:val="10"/>
        </w:numPr>
        <w:jc w:val="left"/>
        <w:rPr>
          <w:rFonts w:ascii="Arial" w:hAnsi="Arial" w:cs="Arial"/>
        </w:rPr>
      </w:pPr>
      <w:r w:rsidRPr="00ED6DE4">
        <w:rPr>
          <w:rFonts w:ascii="Arial" w:hAnsi="Arial" w:cs="Arial"/>
        </w:rPr>
        <w:t xml:space="preserve">Adding £119, £155 and £173 to the minimum per pupil (MPP) funding levels for primary, KS3 and </w:t>
      </w:r>
      <w:bookmarkStart w:id="16" w:name="_Int_mc8tuPsC"/>
      <w:r w:rsidRPr="00ED6DE4">
        <w:rPr>
          <w:rFonts w:ascii="Arial" w:hAnsi="Arial" w:cs="Arial"/>
        </w:rPr>
        <w:t>KS4</w:t>
      </w:r>
      <w:bookmarkEnd w:id="16"/>
      <w:r w:rsidRPr="00ED6DE4">
        <w:rPr>
          <w:rFonts w:ascii="Arial" w:hAnsi="Arial" w:cs="Arial"/>
        </w:rPr>
        <w:t xml:space="preserve"> respectively. This increases the amount that schools funded through the minimum per pupil funding levels attract through the NFF.</w:t>
      </w:r>
      <w:r w:rsidR="00980B70">
        <w:rPr>
          <w:rFonts w:ascii="Arial" w:hAnsi="Arial" w:cs="Arial"/>
        </w:rPr>
        <w:t xml:space="preserve"> This is </w:t>
      </w:r>
      <w:r w:rsidR="002B14B2">
        <w:rPr>
          <w:rFonts w:ascii="Arial" w:hAnsi="Arial" w:cs="Arial"/>
        </w:rPr>
        <w:t>also t</w:t>
      </w:r>
      <w:r w:rsidR="00980B70">
        <w:rPr>
          <w:rFonts w:ascii="Arial" w:hAnsi="Arial" w:cs="Arial"/>
        </w:rPr>
        <w:t xml:space="preserve">he equivalent to around a 3% increase </w:t>
      </w:r>
      <w:r w:rsidR="002B14B2">
        <w:rPr>
          <w:rFonts w:ascii="Arial" w:hAnsi="Arial" w:cs="Arial"/>
        </w:rPr>
        <w:t xml:space="preserve">to Hampshire </w:t>
      </w:r>
      <w:bookmarkStart w:id="17" w:name="_Int_Z0LSFlrX"/>
      <w:r w:rsidR="0090456A">
        <w:rPr>
          <w:rFonts w:ascii="Arial" w:hAnsi="Arial" w:cs="Arial"/>
        </w:rPr>
        <w:t xml:space="preserve">2022/23 </w:t>
      </w:r>
      <w:r w:rsidR="002B14B2">
        <w:rPr>
          <w:rFonts w:ascii="Arial" w:hAnsi="Arial" w:cs="Arial"/>
        </w:rPr>
        <w:t>unit</w:t>
      </w:r>
      <w:bookmarkEnd w:id="17"/>
      <w:r w:rsidR="002B14B2">
        <w:rPr>
          <w:rFonts w:ascii="Arial" w:hAnsi="Arial" w:cs="Arial"/>
        </w:rPr>
        <w:t xml:space="preserve"> values.</w:t>
      </w:r>
    </w:p>
    <w:p w14:paraId="72023A1A" w14:textId="207F68E4" w:rsidR="00ED6DE4" w:rsidRPr="00ED6DE4" w:rsidRDefault="00ED6DE4" w:rsidP="00ED6DE4">
      <w:pPr>
        <w:pStyle w:val="Heading2"/>
        <w:keepNext w:val="0"/>
        <w:numPr>
          <w:ilvl w:val="0"/>
          <w:numId w:val="10"/>
        </w:numPr>
        <w:jc w:val="left"/>
        <w:rPr>
          <w:rFonts w:ascii="Arial" w:hAnsi="Arial" w:cs="Arial"/>
        </w:rPr>
      </w:pPr>
      <w:r w:rsidRPr="00ED6DE4">
        <w:rPr>
          <w:rFonts w:ascii="Arial" w:hAnsi="Arial" w:cs="Arial"/>
        </w:rPr>
        <w:t xml:space="preserve">Adding an amount representing the funding schools receive through the </w:t>
      </w:r>
      <w:bookmarkStart w:id="18" w:name="_Int_oUtMoAX1"/>
      <w:r w:rsidRPr="00ED6DE4">
        <w:rPr>
          <w:rFonts w:ascii="Arial" w:hAnsi="Arial" w:cs="Arial"/>
        </w:rPr>
        <w:t>schools</w:t>
      </w:r>
      <w:bookmarkEnd w:id="18"/>
      <w:r w:rsidRPr="00ED6DE4">
        <w:rPr>
          <w:rFonts w:ascii="Arial" w:hAnsi="Arial" w:cs="Arial"/>
        </w:rPr>
        <w:t xml:space="preserve"> supplementary grant in respect of their reception to Year </w:t>
      </w:r>
      <w:r w:rsidRPr="00ED6DE4">
        <w:rPr>
          <w:rFonts w:ascii="Arial" w:hAnsi="Arial" w:cs="Arial"/>
        </w:rPr>
        <w:lastRenderedPageBreak/>
        <w:t>11 pupils onto their baselines, which is used to calculate funding protection for the schools through the funding floor</w:t>
      </w:r>
      <w:r w:rsidR="00B73115">
        <w:rPr>
          <w:rFonts w:ascii="Arial" w:hAnsi="Arial" w:cs="Arial"/>
        </w:rPr>
        <w:t>.</w:t>
      </w:r>
    </w:p>
    <w:p w14:paraId="7B69BCF4" w14:textId="04541E63" w:rsidR="0090456A" w:rsidRPr="00ED6DE4" w:rsidRDefault="00AE401A" w:rsidP="006A6B3A">
      <w:pPr>
        <w:pStyle w:val="Heading2"/>
        <w:keepNext w:val="0"/>
        <w:tabs>
          <w:tab w:val="clear" w:pos="576"/>
        </w:tabs>
        <w:ind w:left="0" w:hanging="567"/>
        <w:jc w:val="left"/>
        <w:rPr>
          <w:rFonts w:ascii="Arial" w:hAnsi="Arial" w:cs="Arial"/>
        </w:rPr>
      </w:pPr>
      <w:r>
        <w:rPr>
          <w:rFonts w:ascii="Arial" w:hAnsi="Arial" w:cs="Arial"/>
        </w:rPr>
        <w:t xml:space="preserve">Analysis has shown the additional funding schools will receive in 2023/24 </w:t>
      </w:r>
      <w:bookmarkStart w:id="19" w:name="_Int_1VRFWzj6"/>
      <w:r>
        <w:rPr>
          <w:rFonts w:ascii="Arial" w:hAnsi="Arial" w:cs="Arial"/>
        </w:rPr>
        <w:t xml:space="preserve">as a result </w:t>
      </w:r>
      <w:r w:rsidR="00634B33">
        <w:rPr>
          <w:rFonts w:ascii="Arial" w:hAnsi="Arial" w:cs="Arial"/>
        </w:rPr>
        <w:t>of</w:t>
      </w:r>
      <w:bookmarkEnd w:id="19"/>
      <w:r w:rsidR="00634B33">
        <w:rPr>
          <w:rFonts w:ascii="Arial" w:hAnsi="Arial" w:cs="Arial"/>
        </w:rPr>
        <w:t xml:space="preserve"> the formula changes are almost identical</w:t>
      </w:r>
      <w:r w:rsidR="00F561E7">
        <w:rPr>
          <w:rFonts w:ascii="Arial" w:hAnsi="Arial" w:cs="Arial"/>
        </w:rPr>
        <w:t xml:space="preserve"> to funding received through the supplementary grant in 2022/23.</w:t>
      </w:r>
    </w:p>
    <w:p w14:paraId="631FDC8A" w14:textId="77777777" w:rsidR="00BC67F0" w:rsidRPr="004E6BB4" w:rsidRDefault="00BC67F0" w:rsidP="00BC67F0">
      <w:pPr>
        <w:pStyle w:val="Heading2"/>
        <w:keepNext w:val="0"/>
        <w:numPr>
          <w:ilvl w:val="0"/>
          <w:numId w:val="0"/>
        </w:numPr>
        <w:jc w:val="left"/>
        <w:rPr>
          <w:rFonts w:ascii="Arial" w:hAnsi="Arial" w:cs="Arial"/>
          <w:u w:val="single"/>
        </w:rPr>
      </w:pPr>
      <w:r w:rsidRPr="004E6BB4">
        <w:rPr>
          <w:rFonts w:ascii="Arial" w:hAnsi="Arial" w:cs="Arial"/>
          <w:u w:val="single"/>
        </w:rPr>
        <w:t>Consultation on the local school funding formula</w:t>
      </w:r>
    </w:p>
    <w:p w14:paraId="73FFC9E7" w14:textId="4741BF8E" w:rsidR="00707889" w:rsidRPr="00272C8F" w:rsidRDefault="00BC67F0" w:rsidP="006A6B3A">
      <w:pPr>
        <w:pStyle w:val="Heading2"/>
        <w:keepNext w:val="0"/>
        <w:tabs>
          <w:tab w:val="clear" w:pos="576"/>
        </w:tabs>
        <w:ind w:left="0" w:hanging="567"/>
        <w:jc w:val="left"/>
        <w:rPr>
          <w:rFonts w:ascii="Arial" w:hAnsi="Arial" w:cs="Arial"/>
        </w:rPr>
      </w:pPr>
      <w:r w:rsidRPr="00272C8F">
        <w:rPr>
          <w:rFonts w:ascii="Arial" w:hAnsi="Arial" w:cs="Arial"/>
        </w:rPr>
        <w:t>It is not possible to fully mirror the national funding formula, as the DfE calculate allocations using pupil characteristics from the October 202</w:t>
      </w:r>
      <w:r w:rsidR="007B04D8" w:rsidRPr="00272C8F">
        <w:rPr>
          <w:rFonts w:ascii="Arial" w:hAnsi="Arial" w:cs="Arial"/>
        </w:rPr>
        <w:t>1</w:t>
      </w:r>
      <w:r w:rsidRPr="00272C8F">
        <w:rPr>
          <w:rFonts w:ascii="Arial" w:hAnsi="Arial" w:cs="Arial"/>
        </w:rPr>
        <w:t xml:space="preserve"> pupil census, but school budget shares are calculated using pupil characteristics from the October 202</w:t>
      </w:r>
      <w:r w:rsidR="00DF0A01" w:rsidRPr="00272C8F">
        <w:rPr>
          <w:rFonts w:ascii="Arial" w:hAnsi="Arial" w:cs="Arial"/>
        </w:rPr>
        <w:t>2</w:t>
      </w:r>
      <w:r w:rsidRPr="00272C8F">
        <w:rPr>
          <w:rFonts w:ascii="Arial" w:hAnsi="Arial" w:cs="Arial"/>
        </w:rPr>
        <w:t xml:space="preserve"> pupil census. There is also a year lag in funding for premises costs. As a result</w:t>
      </w:r>
      <w:r w:rsidR="00707889" w:rsidRPr="00272C8F">
        <w:rPr>
          <w:rFonts w:ascii="Arial" w:hAnsi="Arial" w:cs="Arial"/>
        </w:rPr>
        <w:t>,</w:t>
      </w:r>
      <w:r w:rsidRPr="00272C8F">
        <w:rPr>
          <w:rFonts w:ascii="Arial" w:hAnsi="Arial" w:cs="Arial"/>
        </w:rPr>
        <w:t xml:space="preserve"> it will be necessary to adjust the local funding formula to meet the allocation.</w:t>
      </w:r>
    </w:p>
    <w:p w14:paraId="21CF4E09" w14:textId="49388D57" w:rsidR="00707889" w:rsidRPr="00EC6498" w:rsidRDefault="00BC67F0" w:rsidP="752E4E0C">
      <w:pPr>
        <w:pStyle w:val="Heading2"/>
        <w:keepNext w:val="0"/>
        <w:tabs>
          <w:tab w:val="clear" w:pos="576"/>
        </w:tabs>
        <w:ind w:left="0" w:hanging="567"/>
        <w:jc w:val="left"/>
        <w:rPr>
          <w:rFonts w:ascii="Arial" w:hAnsi="Arial" w:cs="Arial"/>
          <w:color w:val="FF0000"/>
        </w:rPr>
      </w:pPr>
      <w:r w:rsidRPr="00471B2B">
        <w:rPr>
          <w:rFonts w:ascii="Arial" w:hAnsi="Arial" w:cs="Arial"/>
        </w:rPr>
        <w:t>In 202</w:t>
      </w:r>
      <w:r w:rsidR="00BC1FA6" w:rsidRPr="00471B2B">
        <w:rPr>
          <w:rFonts w:ascii="Arial" w:hAnsi="Arial" w:cs="Arial"/>
        </w:rPr>
        <w:t>2</w:t>
      </w:r>
      <w:r w:rsidRPr="00471B2B">
        <w:rPr>
          <w:rFonts w:ascii="Arial" w:hAnsi="Arial" w:cs="Arial"/>
        </w:rPr>
        <w:t>/2</w:t>
      </w:r>
      <w:r w:rsidR="00BC1FA6" w:rsidRPr="00471B2B">
        <w:rPr>
          <w:rFonts w:ascii="Arial" w:hAnsi="Arial" w:cs="Arial"/>
        </w:rPr>
        <w:t>3</w:t>
      </w:r>
      <w:r w:rsidRPr="00471B2B">
        <w:rPr>
          <w:rFonts w:ascii="Arial" w:hAnsi="Arial" w:cs="Arial"/>
        </w:rPr>
        <w:t xml:space="preserve"> the variance in funding was £1.</w:t>
      </w:r>
      <w:r w:rsidR="00925D0B" w:rsidRPr="00471B2B">
        <w:rPr>
          <w:rFonts w:ascii="Arial" w:hAnsi="Arial" w:cs="Arial"/>
        </w:rPr>
        <w:t>3</w:t>
      </w:r>
      <w:r w:rsidRPr="00471B2B">
        <w:rPr>
          <w:rFonts w:ascii="Arial" w:hAnsi="Arial" w:cs="Arial"/>
        </w:rPr>
        <w:t>m, which was met by a proportional reduction to all unit values in the formula, except the minimum per pupil funding levels which cannot be adjusted.</w:t>
      </w:r>
      <w:r w:rsidRPr="00EC6498">
        <w:rPr>
          <w:rFonts w:ascii="Arial" w:hAnsi="Arial" w:cs="Arial"/>
          <w:color w:val="FF0000"/>
        </w:rPr>
        <w:t xml:space="preserve"> </w:t>
      </w:r>
      <w:r w:rsidRPr="00E20BE6">
        <w:rPr>
          <w:rFonts w:ascii="Arial" w:hAnsi="Arial" w:cs="Arial"/>
        </w:rPr>
        <w:t>The funding variance for 202</w:t>
      </w:r>
      <w:r w:rsidR="00E20BE6" w:rsidRPr="00E20BE6">
        <w:rPr>
          <w:rFonts w:ascii="Arial" w:hAnsi="Arial" w:cs="Arial"/>
        </w:rPr>
        <w:t>3</w:t>
      </w:r>
      <w:r w:rsidRPr="00E20BE6">
        <w:rPr>
          <w:rFonts w:ascii="Arial" w:hAnsi="Arial" w:cs="Arial"/>
        </w:rPr>
        <w:t>/2</w:t>
      </w:r>
      <w:r w:rsidR="00E20BE6" w:rsidRPr="00E20BE6">
        <w:rPr>
          <w:rFonts w:ascii="Arial" w:hAnsi="Arial" w:cs="Arial"/>
        </w:rPr>
        <w:t>4</w:t>
      </w:r>
      <w:r w:rsidRPr="00E20BE6">
        <w:rPr>
          <w:rFonts w:ascii="Arial" w:hAnsi="Arial" w:cs="Arial"/>
        </w:rPr>
        <w:t xml:space="preserve"> </w:t>
      </w:r>
      <w:bookmarkStart w:id="20" w:name="_Int_HLYk0aOD"/>
      <w:r w:rsidR="5E58FDC6" w:rsidRPr="752E4E0C">
        <w:rPr>
          <w:rFonts w:ascii="Arial" w:hAnsi="Arial" w:cs="Arial"/>
        </w:rPr>
        <w:t>will not</w:t>
      </w:r>
      <w:bookmarkEnd w:id="20"/>
      <w:r w:rsidRPr="00E20BE6">
        <w:rPr>
          <w:rFonts w:ascii="Arial" w:hAnsi="Arial" w:cs="Arial"/>
        </w:rPr>
        <w:t xml:space="preserve"> be known until December when the school budgeting tool is updated with the new pupil data and allocations are confirmed.</w:t>
      </w:r>
    </w:p>
    <w:p w14:paraId="1BEB16AA" w14:textId="19A7944B" w:rsidR="00BC67F0" w:rsidRPr="004E6BB4" w:rsidRDefault="00BC67F0" w:rsidP="00707889">
      <w:pPr>
        <w:pStyle w:val="Heading2"/>
        <w:keepNext w:val="0"/>
        <w:tabs>
          <w:tab w:val="clear" w:pos="576"/>
          <w:tab w:val="num" w:pos="0"/>
        </w:tabs>
        <w:ind w:left="0" w:hanging="567"/>
        <w:jc w:val="left"/>
        <w:rPr>
          <w:rFonts w:ascii="Arial" w:hAnsi="Arial" w:cs="Arial"/>
        </w:rPr>
      </w:pPr>
      <w:r w:rsidRPr="004E6BB4">
        <w:rPr>
          <w:rFonts w:ascii="Arial" w:hAnsi="Arial" w:cs="Arial"/>
        </w:rPr>
        <w:t xml:space="preserve">A consultation was carried out with schools last year on </w:t>
      </w:r>
      <w:r w:rsidR="005B1171">
        <w:rPr>
          <w:rFonts w:ascii="Arial" w:hAnsi="Arial" w:cs="Arial"/>
        </w:rPr>
        <w:t xml:space="preserve">the </w:t>
      </w:r>
      <w:r w:rsidR="00C855BB">
        <w:rPr>
          <w:rFonts w:ascii="Arial" w:hAnsi="Arial" w:cs="Arial"/>
        </w:rPr>
        <w:t xml:space="preserve">continued use of established </w:t>
      </w:r>
      <w:r w:rsidRPr="004E6BB4">
        <w:rPr>
          <w:rFonts w:ascii="Arial" w:hAnsi="Arial" w:cs="Arial"/>
        </w:rPr>
        <w:t>principles for the local funding formula for 202</w:t>
      </w:r>
      <w:r w:rsidR="00657A62" w:rsidRPr="004E6BB4">
        <w:rPr>
          <w:rFonts w:ascii="Arial" w:hAnsi="Arial" w:cs="Arial"/>
        </w:rPr>
        <w:t>2</w:t>
      </w:r>
      <w:r w:rsidRPr="004E6BB4">
        <w:rPr>
          <w:rFonts w:ascii="Arial" w:hAnsi="Arial" w:cs="Arial"/>
        </w:rPr>
        <w:t>/2</w:t>
      </w:r>
      <w:r w:rsidR="00657A62" w:rsidRPr="004E6BB4">
        <w:rPr>
          <w:rFonts w:ascii="Arial" w:hAnsi="Arial" w:cs="Arial"/>
        </w:rPr>
        <w:t>3</w:t>
      </w:r>
      <w:r w:rsidRPr="004E6BB4">
        <w:rPr>
          <w:rFonts w:ascii="Arial" w:hAnsi="Arial" w:cs="Arial"/>
        </w:rPr>
        <w:t xml:space="preserve"> to meet any variance in funding (positive or negative):</w:t>
      </w:r>
    </w:p>
    <w:p w14:paraId="24D13786" w14:textId="77777777" w:rsidR="00BC67F0" w:rsidRPr="004E6BB4" w:rsidRDefault="00BC67F0" w:rsidP="00ED6DE4">
      <w:pPr>
        <w:pStyle w:val="Heading2"/>
        <w:keepNext w:val="0"/>
        <w:numPr>
          <w:ilvl w:val="0"/>
          <w:numId w:val="9"/>
        </w:numPr>
        <w:jc w:val="left"/>
        <w:rPr>
          <w:rFonts w:ascii="Arial" w:hAnsi="Arial" w:cs="Arial"/>
        </w:rPr>
      </w:pPr>
      <w:r w:rsidRPr="004E6BB4">
        <w:rPr>
          <w:rFonts w:ascii="Arial" w:hAnsi="Arial" w:cs="Arial"/>
        </w:rPr>
        <w:t>use the growth fund; either to meet the additional cost or to increase the budget for any surplus if the variance is not material.</w:t>
      </w:r>
    </w:p>
    <w:p w14:paraId="094BD943" w14:textId="77777777" w:rsidR="00BC67F0" w:rsidRPr="004E6BB4" w:rsidRDefault="00BC67F0" w:rsidP="00ED6DE4">
      <w:pPr>
        <w:pStyle w:val="Heading2"/>
        <w:keepNext w:val="0"/>
        <w:numPr>
          <w:ilvl w:val="0"/>
          <w:numId w:val="9"/>
        </w:numPr>
        <w:jc w:val="left"/>
        <w:rPr>
          <w:rFonts w:ascii="Arial" w:hAnsi="Arial" w:cs="Arial"/>
        </w:rPr>
      </w:pPr>
      <w:r w:rsidRPr="004E6BB4">
        <w:rPr>
          <w:rFonts w:ascii="Arial" w:hAnsi="Arial" w:cs="Arial"/>
        </w:rPr>
        <w:t>adjust the local funding formula by adjusting all unit values on a proportional basis, except the minimum per pupil funding level, where the variance is more material and cannot be met by an adjustment to the growth fund.</w:t>
      </w:r>
    </w:p>
    <w:p w14:paraId="3DDAA10D" w14:textId="6FB2A2FA" w:rsidR="00BC67F0" w:rsidRPr="004E6BB4" w:rsidRDefault="00BC67F0" w:rsidP="752E4E0C">
      <w:pPr>
        <w:pStyle w:val="Heading2"/>
        <w:keepNext w:val="0"/>
        <w:tabs>
          <w:tab w:val="clear" w:pos="576"/>
        </w:tabs>
        <w:ind w:left="0" w:hanging="567"/>
        <w:jc w:val="left"/>
        <w:rPr>
          <w:rFonts w:ascii="Arial" w:hAnsi="Arial" w:cs="Arial"/>
        </w:rPr>
      </w:pPr>
      <w:r w:rsidRPr="004E6BB4">
        <w:rPr>
          <w:rFonts w:ascii="Arial" w:hAnsi="Arial" w:cs="Arial"/>
        </w:rPr>
        <w:t>It is proposed to use these same principles again for setting the 202</w:t>
      </w:r>
      <w:r w:rsidR="00657A62" w:rsidRPr="004E6BB4">
        <w:rPr>
          <w:rFonts w:ascii="Arial" w:hAnsi="Arial" w:cs="Arial"/>
        </w:rPr>
        <w:t>3</w:t>
      </w:r>
      <w:r w:rsidRPr="004E6BB4">
        <w:rPr>
          <w:rFonts w:ascii="Arial" w:hAnsi="Arial" w:cs="Arial"/>
        </w:rPr>
        <w:t>/2</w:t>
      </w:r>
      <w:r w:rsidR="00657A62" w:rsidRPr="004E6BB4">
        <w:rPr>
          <w:rFonts w:ascii="Arial" w:hAnsi="Arial" w:cs="Arial"/>
        </w:rPr>
        <w:t>4</w:t>
      </w:r>
      <w:r w:rsidRPr="004E6BB4">
        <w:rPr>
          <w:rFonts w:ascii="Arial" w:hAnsi="Arial" w:cs="Arial"/>
        </w:rPr>
        <w:t xml:space="preserve"> local funding formula. On this basis, a simple consultation will be carried out this year through the </w:t>
      </w:r>
      <w:r w:rsidR="1D1B7856" w:rsidRPr="752E4E0C">
        <w:rPr>
          <w:rFonts w:ascii="Arial" w:hAnsi="Arial" w:cs="Arial"/>
        </w:rPr>
        <w:t>schools'</w:t>
      </w:r>
      <w:r w:rsidRPr="004E6BB4">
        <w:rPr>
          <w:rFonts w:ascii="Arial" w:hAnsi="Arial" w:cs="Arial"/>
        </w:rPr>
        <w:t xml:space="preserve"> communications, whereby schools will be asked to send in any feedback they have via email.</w:t>
      </w:r>
    </w:p>
    <w:p w14:paraId="65346602" w14:textId="2E46BFDB" w:rsidR="005B20AE" w:rsidRPr="00B14FF6" w:rsidRDefault="008B6962" w:rsidP="00B14FF6">
      <w:pPr>
        <w:pStyle w:val="Heading2"/>
        <w:keepNext w:val="0"/>
        <w:numPr>
          <w:ilvl w:val="0"/>
          <w:numId w:val="0"/>
        </w:numPr>
        <w:jc w:val="left"/>
        <w:rPr>
          <w:rFonts w:ascii="Arial" w:hAnsi="Arial" w:cs="Arial"/>
          <w:u w:val="single"/>
        </w:rPr>
      </w:pPr>
      <w:r w:rsidRPr="00B14FF6">
        <w:rPr>
          <w:rFonts w:ascii="Arial" w:hAnsi="Arial" w:cs="Arial"/>
          <w:u w:val="single"/>
        </w:rPr>
        <w:t>Disapplication Requests</w:t>
      </w:r>
    </w:p>
    <w:p w14:paraId="1445AFAB" w14:textId="4DD713E5" w:rsidR="00086AD5" w:rsidRPr="00E02BC2" w:rsidRDefault="009027D4" w:rsidP="00086AD5">
      <w:pPr>
        <w:pStyle w:val="Heading2"/>
        <w:keepNext w:val="0"/>
        <w:tabs>
          <w:tab w:val="clear" w:pos="576"/>
          <w:tab w:val="num" w:pos="0"/>
        </w:tabs>
        <w:ind w:left="0" w:hanging="567"/>
        <w:jc w:val="left"/>
        <w:rPr>
          <w:rFonts w:ascii="Arial" w:hAnsi="Arial" w:cs="Arial"/>
        </w:rPr>
      </w:pPr>
      <w:r w:rsidRPr="00E02BC2">
        <w:rPr>
          <w:rFonts w:ascii="Arial" w:hAnsi="Arial" w:cs="Arial"/>
        </w:rPr>
        <w:t xml:space="preserve">The </w:t>
      </w:r>
      <w:r w:rsidR="009D2E42" w:rsidRPr="00E02BC2">
        <w:rPr>
          <w:rFonts w:ascii="Arial" w:hAnsi="Arial" w:cs="Arial"/>
        </w:rPr>
        <w:t xml:space="preserve">regulations require local authorities to set a </w:t>
      </w:r>
      <w:r w:rsidR="00D65E87" w:rsidRPr="00E02BC2">
        <w:rPr>
          <w:rFonts w:ascii="Arial" w:hAnsi="Arial" w:cs="Arial"/>
        </w:rPr>
        <w:t>minimum funding g</w:t>
      </w:r>
      <w:r w:rsidR="009D2E42" w:rsidRPr="00E02BC2">
        <w:rPr>
          <w:rFonts w:ascii="Arial" w:hAnsi="Arial" w:cs="Arial"/>
        </w:rPr>
        <w:t>uarantee of between +0.</w:t>
      </w:r>
      <w:r w:rsidR="003509E4" w:rsidRPr="00E02BC2">
        <w:rPr>
          <w:rFonts w:ascii="Arial" w:hAnsi="Arial" w:cs="Arial"/>
        </w:rPr>
        <w:t>0</w:t>
      </w:r>
      <w:r w:rsidR="009D2E42" w:rsidRPr="00E02BC2">
        <w:rPr>
          <w:rFonts w:ascii="Arial" w:hAnsi="Arial" w:cs="Arial"/>
        </w:rPr>
        <w:t>% and +</w:t>
      </w:r>
      <w:r w:rsidR="00E02BC2">
        <w:rPr>
          <w:rFonts w:ascii="Arial" w:hAnsi="Arial" w:cs="Arial"/>
        </w:rPr>
        <w:t>0.5</w:t>
      </w:r>
      <w:r w:rsidR="0013071D" w:rsidRPr="00E02BC2">
        <w:rPr>
          <w:rFonts w:ascii="Arial" w:hAnsi="Arial" w:cs="Arial"/>
        </w:rPr>
        <w:t>% to protect schools from excessive year on year changes to funding</w:t>
      </w:r>
      <w:r w:rsidR="00F17605" w:rsidRPr="00E02BC2">
        <w:rPr>
          <w:rFonts w:ascii="Arial" w:hAnsi="Arial" w:cs="Arial"/>
        </w:rPr>
        <w:t xml:space="preserve">. </w:t>
      </w:r>
      <w:r w:rsidR="00606B94" w:rsidRPr="00E02BC2">
        <w:rPr>
          <w:rFonts w:ascii="Arial" w:hAnsi="Arial" w:cs="Arial"/>
        </w:rPr>
        <w:t xml:space="preserve">If </w:t>
      </w:r>
      <w:r w:rsidR="00C67643" w:rsidRPr="00E02BC2">
        <w:rPr>
          <w:rFonts w:ascii="Arial" w:hAnsi="Arial" w:cs="Arial"/>
        </w:rPr>
        <w:t xml:space="preserve">unit values are increased to balance the </w:t>
      </w:r>
      <w:r w:rsidR="00AB32A0" w:rsidRPr="00E02BC2">
        <w:rPr>
          <w:rFonts w:ascii="Arial" w:hAnsi="Arial" w:cs="Arial"/>
        </w:rPr>
        <w:t>formula for 202</w:t>
      </w:r>
      <w:r w:rsidR="00C57F24">
        <w:rPr>
          <w:rFonts w:ascii="Arial" w:hAnsi="Arial" w:cs="Arial"/>
        </w:rPr>
        <w:t>3</w:t>
      </w:r>
      <w:r w:rsidR="00AB32A0" w:rsidRPr="00E02BC2">
        <w:rPr>
          <w:rFonts w:ascii="Arial" w:hAnsi="Arial" w:cs="Arial"/>
        </w:rPr>
        <w:t>/2</w:t>
      </w:r>
      <w:r w:rsidR="00C57F24">
        <w:rPr>
          <w:rFonts w:ascii="Arial" w:hAnsi="Arial" w:cs="Arial"/>
        </w:rPr>
        <w:t>4</w:t>
      </w:r>
      <w:r w:rsidR="00AB32A0" w:rsidRPr="00E02BC2">
        <w:rPr>
          <w:rFonts w:ascii="Arial" w:hAnsi="Arial" w:cs="Arial"/>
        </w:rPr>
        <w:t>, this would include an increase to the MFG</w:t>
      </w:r>
      <w:r w:rsidR="001F7BDE" w:rsidRPr="00E02BC2">
        <w:rPr>
          <w:rFonts w:ascii="Arial" w:hAnsi="Arial" w:cs="Arial"/>
        </w:rPr>
        <w:t xml:space="preserve"> rate, so an application will also be made to the ESFA to disapply the regulation</w:t>
      </w:r>
      <w:r w:rsidR="00B5683D" w:rsidRPr="00E02BC2">
        <w:rPr>
          <w:rFonts w:ascii="Arial" w:hAnsi="Arial" w:cs="Arial"/>
        </w:rPr>
        <w:t xml:space="preserve"> in relation to this.</w:t>
      </w:r>
    </w:p>
    <w:p w14:paraId="4A50ADE7" w14:textId="212518BF" w:rsidR="00EF5CE4" w:rsidRPr="00993B99" w:rsidRDefault="00EF5CE4" w:rsidP="00AF1EB6">
      <w:pPr>
        <w:pStyle w:val="Heading2"/>
        <w:keepNext w:val="0"/>
        <w:numPr>
          <w:ilvl w:val="0"/>
          <w:numId w:val="0"/>
        </w:numPr>
        <w:spacing w:after="120"/>
        <w:ind w:left="576" w:hanging="576"/>
        <w:jc w:val="left"/>
        <w:rPr>
          <w:rFonts w:ascii="Arial" w:hAnsi="Arial" w:cs="Arial"/>
          <w:b/>
        </w:rPr>
      </w:pPr>
      <w:r w:rsidRPr="00F61771">
        <w:rPr>
          <w:rFonts w:ascii="Arial" w:hAnsi="Arial" w:cs="Arial"/>
          <w:b/>
        </w:rPr>
        <w:t>School financial planning</w:t>
      </w:r>
    </w:p>
    <w:p w14:paraId="2665EA06" w14:textId="2C2ACCF3" w:rsidR="00F36098" w:rsidRPr="00993B99" w:rsidRDefault="00673724" w:rsidP="000B4C16">
      <w:pPr>
        <w:pStyle w:val="Heading2"/>
        <w:keepNext w:val="0"/>
        <w:tabs>
          <w:tab w:val="clear" w:pos="576"/>
          <w:tab w:val="num" w:pos="0"/>
        </w:tabs>
        <w:ind w:left="0" w:hanging="567"/>
        <w:jc w:val="left"/>
        <w:rPr>
          <w:rFonts w:ascii="Arial" w:hAnsi="Arial" w:cs="Arial"/>
        </w:rPr>
      </w:pPr>
      <w:r w:rsidRPr="00993B99">
        <w:rPr>
          <w:rFonts w:ascii="Arial" w:hAnsi="Arial" w:cs="Arial"/>
        </w:rPr>
        <w:t xml:space="preserve">The </w:t>
      </w:r>
      <w:r w:rsidR="00E63147" w:rsidRPr="00993B99">
        <w:rPr>
          <w:rFonts w:ascii="Arial" w:hAnsi="Arial" w:cs="Arial"/>
        </w:rPr>
        <w:t>S</w:t>
      </w:r>
      <w:r w:rsidRPr="00993B99">
        <w:rPr>
          <w:rFonts w:ascii="Arial" w:hAnsi="Arial" w:cs="Arial"/>
        </w:rPr>
        <w:t xml:space="preserve">chool </w:t>
      </w:r>
      <w:r w:rsidR="00E63147" w:rsidRPr="00993B99">
        <w:rPr>
          <w:rFonts w:ascii="Arial" w:hAnsi="Arial" w:cs="Arial"/>
        </w:rPr>
        <w:t>T</w:t>
      </w:r>
      <w:r w:rsidRPr="00993B99">
        <w:rPr>
          <w:rFonts w:ascii="Arial" w:hAnsi="Arial" w:cs="Arial"/>
        </w:rPr>
        <w:t xml:space="preserve">eachers </w:t>
      </w:r>
      <w:r w:rsidR="00E63147" w:rsidRPr="00993B99">
        <w:rPr>
          <w:rFonts w:ascii="Arial" w:hAnsi="Arial" w:cs="Arial"/>
        </w:rPr>
        <w:t>P</w:t>
      </w:r>
      <w:r w:rsidRPr="00993B99">
        <w:rPr>
          <w:rFonts w:ascii="Arial" w:hAnsi="Arial" w:cs="Arial"/>
        </w:rPr>
        <w:t xml:space="preserve">ay and </w:t>
      </w:r>
      <w:r w:rsidR="00754EE4" w:rsidRPr="00993B99">
        <w:rPr>
          <w:rFonts w:ascii="Arial" w:hAnsi="Arial" w:cs="Arial"/>
        </w:rPr>
        <w:t>C</w:t>
      </w:r>
      <w:r w:rsidRPr="00993B99">
        <w:rPr>
          <w:rFonts w:ascii="Arial" w:hAnsi="Arial" w:cs="Arial"/>
        </w:rPr>
        <w:t xml:space="preserve">onditions </w:t>
      </w:r>
      <w:r w:rsidR="00754EE4" w:rsidRPr="00993B99">
        <w:rPr>
          <w:rFonts w:ascii="Arial" w:hAnsi="Arial" w:cs="Arial"/>
        </w:rPr>
        <w:t xml:space="preserve">Document </w:t>
      </w:r>
      <w:r w:rsidRPr="00993B99">
        <w:rPr>
          <w:rFonts w:ascii="Arial" w:hAnsi="Arial" w:cs="Arial"/>
        </w:rPr>
        <w:t xml:space="preserve">to take effect from September </w:t>
      </w:r>
      <w:r w:rsidR="005B6FB5" w:rsidRPr="00993B99">
        <w:rPr>
          <w:rFonts w:ascii="Arial" w:hAnsi="Arial" w:cs="Arial"/>
        </w:rPr>
        <w:t>2022</w:t>
      </w:r>
      <w:r w:rsidR="00754EE4" w:rsidRPr="00993B99">
        <w:rPr>
          <w:rFonts w:ascii="Arial" w:hAnsi="Arial" w:cs="Arial"/>
        </w:rPr>
        <w:t xml:space="preserve"> has yet to be finalised.</w:t>
      </w:r>
      <w:r w:rsidR="002F2E99" w:rsidRPr="00993B99">
        <w:rPr>
          <w:rFonts w:ascii="Arial" w:hAnsi="Arial" w:cs="Arial"/>
        </w:rPr>
        <w:t xml:space="preserve"> </w:t>
      </w:r>
      <w:r w:rsidR="00584198" w:rsidRPr="00993B99">
        <w:rPr>
          <w:rFonts w:ascii="Arial" w:hAnsi="Arial" w:cs="Arial"/>
        </w:rPr>
        <w:t>The School Teachers Review Body (STRB) published their recommendations on 20 July</w:t>
      </w:r>
      <w:r w:rsidR="006F21C9" w:rsidRPr="00993B99">
        <w:rPr>
          <w:rFonts w:ascii="Arial" w:hAnsi="Arial" w:cs="Arial"/>
        </w:rPr>
        <w:t xml:space="preserve"> which</w:t>
      </w:r>
      <w:r w:rsidR="00584198" w:rsidRPr="00993B99">
        <w:rPr>
          <w:rFonts w:ascii="Arial" w:hAnsi="Arial" w:cs="Arial"/>
        </w:rPr>
        <w:t xml:space="preserve"> were higher than </w:t>
      </w:r>
      <w:r w:rsidR="00584198" w:rsidRPr="00993B99">
        <w:rPr>
          <w:rFonts w:ascii="Arial" w:hAnsi="Arial" w:cs="Arial"/>
        </w:rPr>
        <w:lastRenderedPageBreak/>
        <w:t>proposal submitted in the DfE evidence</w:t>
      </w:r>
      <w:r w:rsidR="00FC41CF" w:rsidRPr="00993B99">
        <w:rPr>
          <w:rFonts w:ascii="Arial" w:hAnsi="Arial" w:cs="Arial"/>
        </w:rPr>
        <w:t xml:space="preserve">. These were </w:t>
      </w:r>
      <w:r w:rsidR="00927065" w:rsidRPr="00993B99">
        <w:rPr>
          <w:rFonts w:ascii="Arial" w:hAnsi="Arial" w:cs="Arial"/>
        </w:rPr>
        <w:t>accepted by the Secretary of State</w:t>
      </w:r>
      <w:r w:rsidR="000832BB" w:rsidRPr="00993B99">
        <w:rPr>
          <w:rFonts w:ascii="Arial" w:hAnsi="Arial" w:cs="Arial"/>
        </w:rPr>
        <w:t xml:space="preserve"> subject to consultation</w:t>
      </w:r>
      <w:r w:rsidR="00BF38F6" w:rsidRPr="00993B99">
        <w:rPr>
          <w:rFonts w:ascii="Arial" w:hAnsi="Arial" w:cs="Arial"/>
        </w:rPr>
        <w:t xml:space="preserve"> and final approval</w:t>
      </w:r>
      <w:r w:rsidR="00C87F08" w:rsidRPr="00993B99">
        <w:rPr>
          <w:rFonts w:ascii="Arial" w:hAnsi="Arial" w:cs="Arial"/>
        </w:rPr>
        <w:t xml:space="preserve">. </w:t>
      </w:r>
    </w:p>
    <w:p w14:paraId="3151F6E5" w14:textId="627F6A8D" w:rsidR="00823E4C" w:rsidRPr="00993B99" w:rsidRDefault="00942F6A" w:rsidP="000B4C16">
      <w:pPr>
        <w:pStyle w:val="Heading2"/>
        <w:keepNext w:val="0"/>
        <w:tabs>
          <w:tab w:val="clear" w:pos="576"/>
          <w:tab w:val="num" w:pos="0"/>
        </w:tabs>
        <w:ind w:left="0" w:hanging="567"/>
        <w:jc w:val="left"/>
        <w:rPr>
          <w:rFonts w:ascii="Arial" w:hAnsi="Arial" w:cs="Arial"/>
        </w:rPr>
      </w:pPr>
      <w:r w:rsidRPr="00993B99">
        <w:rPr>
          <w:rFonts w:ascii="Arial" w:hAnsi="Arial" w:cs="Arial"/>
        </w:rPr>
        <w:t xml:space="preserve">The recommendation was </w:t>
      </w:r>
      <w:r w:rsidR="00F36098" w:rsidRPr="00993B99">
        <w:rPr>
          <w:rFonts w:ascii="Arial" w:hAnsi="Arial" w:cs="Arial"/>
        </w:rPr>
        <w:t>f</w:t>
      </w:r>
      <w:r w:rsidR="006A6CD3" w:rsidRPr="00993B99">
        <w:rPr>
          <w:rFonts w:ascii="Arial" w:hAnsi="Arial" w:cs="Arial"/>
        </w:rPr>
        <w:t xml:space="preserve">or </w:t>
      </w:r>
      <w:r w:rsidR="00790C59" w:rsidRPr="00993B99">
        <w:rPr>
          <w:rFonts w:ascii="Arial" w:hAnsi="Arial" w:cs="Arial"/>
        </w:rPr>
        <w:t>a 5%</w:t>
      </w:r>
      <w:r w:rsidR="00645EBA" w:rsidRPr="00993B99">
        <w:rPr>
          <w:rFonts w:ascii="Arial" w:hAnsi="Arial" w:cs="Arial"/>
        </w:rPr>
        <w:t xml:space="preserve"> award to </w:t>
      </w:r>
      <w:r w:rsidR="006A6CD3" w:rsidRPr="00993B99">
        <w:rPr>
          <w:rFonts w:ascii="Arial" w:hAnsi="Arial" w:cs="Arial"/>
        </w:rPr>
        <w:t>all pay and allowance ranges, except main pay range, in September 2022</w:t>
      </w:r>
      <w:r w:rsidR="000B4C16" w:rsidRPr="00993B99">
        <w:rPr>
          <w:rFonts w:ascii="Arial" w:hAnsi="Arial" w:cs="Arial"/>
        </w:rPr>
        <w:t xml:space="preserve">. </w:t>
      </w:r>
      <w:r w:rsidR="006A6CD3" w:rsidRPr="00993B99">
        <w:rPr>
          <w:rFonts w:ascii="Arial" w:hAnsi="Arial" w:cs="Arial"/>
        </w:rPr>
        <w:t>For main pay range, increases of 8.9% on the bottom and 5% on the top of the range in September 2022 (staggered in between)</w:t>
      </w:r>
      <w:r w:rsidR="00645EBA" w:rsidRPr="00993B99">
        <w:rPr>
          <w:rFonts w:ascii="Arial" w:hAnsi="Arial" w:cs="Arial"/>
        </w:rPr>
        <w:t>.</w:t>
      </w:r>
    </w:p>
    <w:p w14:paraId="0BED8B5E" w14:textId="5B34D6FE" w:rsidR="00163EB9" w:rsidRPr="00993B99" w:rsidRDefault="00BC0C2F" w:rsidP="005D1286">
      <w:pPr>
        <w:pStyle w:val="Heading2"/>
        <w:keepNext w:val="0"/>
        <w:tabs>
          <w:tab w:val="clear" w:pos="576"/>
          <w:tab w:val="num" w:pos="0"/>
        </w:tabs>
        <w:ind w:left="0" w:hanging="567"/>
        <w:jc w:val="left"/>
        <w:rPr>
          <w:rFonts w:ascii="Arial" w:hAnsi="Arial" w:cs="Arial"/>
        </w:rPr>
      </w:pPr>
      <w:r w:rsidRPr="00993B99">
        <w:rPr>
          <w:rFonts w:ascii="Arial" w:hAnsi="Arial" w:cs="Arial"/>
        </w:rPr>
        <w:t>The government h</w:t>
      </w:r>
      <w:r w:rsidR="0008336B" w:rsidRPr="00993B99">
        <w:rPr>
          <w:rFonts w:ascii="Arial" w:hAnsi="Arial" w:cs="Arial"/>
        </w:rPr>
        <w:t xml:space="preserve">ave restated their commitment to increase teachers starting pay </w:t>
      </w:r>
      <w:r w:rsidR="00823E4C" w:rsidRPr="00993B99">
        <w:rPr>
          <w:rFonts w:ascii="Arial" w:hAnsi="Arial" w:cs="Arial"/>
        </w:rPr>
        <w:t>to £30,000 however</w:t>
      </w:r>
      <w:r w:rsidR="00D040DF" w:rsidRPr="00993B99">
        <w:rPr>
          <w:rFonts w:ascii="Arial" w:hAnsi="Arial" w:cs="Arial"/>
        </w:rPr>
        <w:t xml:space="preserve"> </w:t>
      </w:r>
      <w:r w:rsidR="00C9535B" w:rsidRPr="00993B99">
        <w:rPr>
          <w:rFonts w:ascii="Arial" w:hAnsi="Arial" w:cs="Arial"/>
        </w:rPr>
        <w:t>no timescales have been confirmed.</w:t>
      </w:r>
    </w:p>
    <w:p w14:paraId="347D876D" w14:textId="73EF02FC" w:rsidR="004B4AC2" w:rsidRPr="00993B99" w:rsidRDefault="050BB490" w:rsidP="00862770">
      <w:pPr>
        <w:pStyle w:val="Heading2"/>
        <w:keepNext w:val="0"/>
        <w:tabs>
          <w:tab w:val="clear" w:pos="576"/>
          <w:tab w:val="num" w:pos="0"/>
        </w:tabs>
        <w:ind w:left="0" w:hanging="567"/>
        <w:jc w:val="left"/>
        <w:rPr>
          <w:rFonts w:ascii="Arial" w:hAnsi="Arial" w:cs="Arial"/>
        </w:rPr>
      </w:pPr>
      <w:r w:rsidRPr="00993B99">
        <w:rPr>
          <w:rFonts w:ascii="Arial" w:hAnsi="Arial" w:cs="Arial"/>
        </w:rPr>
        <w:t>The support staff pay award has not yet been finalised</w:t>
      </w:r>
      <w:r w:rsidR="380E9A0B" w:rsidRPr="00993B99">
        <w:rPr>
          <w:rFonts w:ascii="Arial" w:hAnsi="Arial" w:cs="Arial"/>
        </w:rPr>
        <w:t xml:space="preserve">. </w:t>
      </w:r>
      <w:r w:rsidR="00D24674" w:rsidRPr="00993B99">
        <w:rPr>
          <w:rFonts w:ascii="Arial" w:hAnsi="Arial" w:cs="Arial"/>
        </w:rPr>
        <w:t xml:space="preserve">In July 2022, the National Employers made a final one-year offer to the unions for a pay increase of £1,925 per annum on all pay points on the national pay scales. GMB, UNISON and Unite have agreed to consult their members on the employers’ final offer. </w:t>
      </w:r>
      <w:r w:rsidR="004461DC" w:rsidRPr="00993B99">
        <w:rPr>
          <w:rFonts w:ascii="Arial" w:hAnsi="Arial" w:cs="Arial"/>
        </w:rPr>
        <w:t xml:space="preserve">As a fixed sum is proposed, this will have a greater </w:t>
      </w:r>
      <w:r w:rsidR="004E4C33" w:rsidRPr="00993B99">
        <w:rPr>
          <w:rFonts w:ascii="Arial" w:hAnsi="Arial" w:cs="Arial"/>
        </w:rPr>
        <w:t xml:space="preserve">proportional impact </w:t>
      </w:r>
      <w:r w:rsidR="00C60FF9" w:rsidRPr="00993B99">
        <w:rPr>
          <w:rFonts w:ascii="Arial" w:hAnsi="Arial" w:cs="Arial"/>
        </w:rPr>
        <w:t xml:space="preserve">on </w:t>
      </w:r>
      <w:r w:rsidR="00141858" w:rsidRPr="00993B99">
        <w:rPr>
          <w:rFonts w:ascii="Arial" w:hAnsi="Arial" w:cs="Arial"/>
        </w:rPr>
        <w:t xml:space="preserve">employers who by nature of the </w:t>
      </w:r>
      <w:r w:rsidR="00052838" w:rsidRPr="00993B99">
        <w:rPr>
          <w:rFonts w:ascii="Arial" w:hAnsi="Arial" w:cs="Arial"/>
        </w:rPr>
        <w:t xml:space="preserve">requirement, </w:t>
      </w:r>
      <w:r w:rsidR="00D075F8" w:rsidRPr="00993B99">
        <w:rPr>
          <w:rFonts w:ascii="Arial" w:hAnsi="Arial" w:cs="Arial"/>
        </w:rPr>
        <w:t>typically employ</w:t>
      </w:r>
      <w:r w:rsidR="009D54E9" w:rsidRPr="00993B99">
        <w:rPr>
          <w:rFonts w:ascii="Arial" w:hAnsi="Arial" w:cs="Arial"/>
        </w:rPr>
        <w:t xml:space="preserve"> </w:t>
      </w:r>
      <w:r w:rsidR="007F5427" w:rsidRPr="00993B99">
        <w:rPr>
          <w:rFonts w:ascii="Arial" w:hAnsi="Arial" w:cs="Arial"/>
        </w:rPr>
        <w:t>most staff towards the lower end of the pay range (e.g. schools)</w:t>
      </w:r>
    </w:p>
    <w:p w14:paraId="4E063AA3" w14:textId="27227FFC" w:rsidR="001D63BE" w:rsidRPr="00993B99" w:rsidRDefault="00102B25" w:rsidP="752E4E0C">
      <w:pPr>
        <w:pStyle w:val="Heading2"/>
        <w:keepNext w:val="0"/>
        <w:tabs>
          <w:tab w:val="clear" w:pos="576"/>
        </w:tabs>
        <w:ind w:left="0" w:hanging="567"/>
        <w:jc w:val="left"/>
        <w:rPr>
          <w:rFonts w:ascii="Arial" w:hAnsi="Arial" w:cs="Arial"/>
        </w:rPr>
      </w:pPr>
      <w:r w:rsidRPr="00993B99">
        <w:rPr>
          <w:rFonts w:ascii="Arial" w:hAnsi="Arial" w:cs="Arial"/>
        </w:rPr>
        <w:t>P</w:t>
      </w:r>
      <w:r w:rsidR="00BE4943" w:rsidRPr="00993B99">
        <w:rPr>
          <w:rFonts w:ascii="Arial" w:hAnsi="Arial" w:cs="Arial"/>
        </w:rPr>
        <w:t xml:space="preserve">ay makes up the majority </w:t>
      </w:r>
      <w:r w:rsidR="00040FF9" w:rsidRPr="00993B99">
        <w:rPr>
          <w:rFonts w:ascii="Arial" w:hAnsi="Arial" w:cs="Arial"/>
        </w:rPr>
        <w:t xml:space="preserve">of </w:t>
      </w:r>
      <w:r w:rsidR="000B1AAF" w:rsidRPr="00993B99">
        <w:rPr>
          <w:rFonts w:ascii="Arial" w:hAnsi="Arial" w:cs="Arial"/>
        </w:rPr>
        <w:t>inflationary pressures in schools</w:t>
      </w:r>
      <w:r w:rsidR="0076057F" w:rsidRPr="00993B99">
        <w:rPr>
          <w:rFonts w:ascii="Arial" w:hAnsi="Arial" w:cs="Arial"/>
        </w:rPr>
        <w:t xml:space="preserve">, </w:t>
      </w:r>
      <w:r w:rsidR="001E2812" w:rsidRPr="00993B99">
        <w:rPr>
          <w:rFonts w:ascii="Arial" w:hAnsi="Arial" w:cs="Arial"/>
        </w:rPr>
        <w:t>however</w:t>
      </w:r>
      <w:r w:rsidR="00BC4299">
        <w:rPr>
          <w:rFonts w:ascii="Arial" w:hAnsi="Arial" w:cs="Arial"/>
        </w:rPr>
        <w:t>,</w:t>
      </w:r>
      <w:r w:rsidR="001E2812" w:rsidRPr="00993B99">
        <w:rPr>
          <w:rFonts w:ascii="Arial" w:hAnsi="Arial" w:cs="Arial"/>
        </w:rPr>
        <w:t xml:space="preserve"> whilst only</w:t>
      </w:r>
      <w:r w:rsidR="007076D5" w:rsidRPr="00993B99">
        <w:rPr>
          <w:rFonts w:ascii="Arial" w:hAnsi="Arial" w:cs="Arial"/>
        </w:rPr>
        <w:t xml:space="preserve"> forming a small part of overall costs historically (</w:t>
      </w:r>
      <w:r w:rsidR="00600DD6" w:rsidRPr="00993B99">
        <w:rPr>
          <w:rFonts w:ascii="Arial" w:hAnsi="Arial" w:cs="Arial"/>
        </w:rPr>
        <w:t>1.4% national average in 2019-20)</w:t>
      </w:r>
      <w:r w:rsidR="002544AA" w:rsidRPr="00993B99">
        <w:rPr>
          <w:rFonts w:ascii="Arial" w:hAnsi="Arial" w:cs="Arial"/>
        </w:rPr>
        <w:t xml:space="preserve">, </w:t>
      </w:r>
      <w:r w:rsidR="00576D98" w:rsidRPr="00993B99">
        <w:rPr>
          <w:rFonts w:ascii="Arial" w:hAnsi="Arial" w:cs="Arial"/>
        </w:rPr>
        <w:t>e</w:t>
      </w:r>
      <w:r w:rsidR="004F3B3B" w:rsidRPr="00993B99">
        <w:rPr>
          <w:rFonts w:ascii="Arial" w:hAnsi="Arial" w:cs="Arial"/>
        </w:rPr>
        <w:t xml:space="preserve">nergy inflation is a particular </w:t>
      </w:r>
      <w:r w:rsidR="00BA72CE" w:rsidRPr="00993B99">
        <w:rPr>
          <w:rFonts w:ascii="Arial" w:hAnsi="Arial" w:cs="Arial"/>
        </w:rPr>
        <w:t xml:space="preserve">current </w:t>
      </w:r>
      <w:r w:rsidR="004F3B3B" w:rsidRPr="00993B99">
        <w:rPr>
          <w:rFonts w:ascii="Arial" w:hAnsi="Arial" w:cs="Arial"/>
        </w:rPr>
        <w:t>pressure</w:t>
      </w:r>
      <w:r w:rsidR="00783224" w:rsidRPr="00993B99">
        <w:rPr>
          <w:rFonts w:ascii="Arial" w:hAnsi="Arial" w:cs="Arial"/>
        </w:rPr>
        <w:t xml:space="preserve">. </w:t>
      </w:r>
      <w:r w:rsidR="3755B29A" w:rsidRPr="00993B99">
        <w:rPr>
          <w:rFonts w:ascii="Arial" w:hAnsi="Arial" w:cs="Arial"/>
        </w:rPr>
        <w:t xml:space="preserve">The </w:t>
      </w:r>
      <w:r w:rsidR="000737DF" w:rsidRPr="00993B99">
        <w:rPr>
          <w:rFonts w:ascii="Arial" w:hAnsi="Arial" w:cs="Arial"/>
        </w:rPr>
        <w:t xml:space="preserve">impact </w:t>
      </w:r>
      <w:r w:rsidR="00D8307E" w:rsidRPr="00993B99">
        <w:rPr>
          <w:rFonts w:ascii="Arial" w:hAnsi="Arial" w:cs="Arial"/>
        </w:rPr>
        <w:t xml:space="preserve">varies considerably between schools depending on </w:t>
      </w:r>
      <w:r w:rsidR="00B10FC0" w:rsidRPr="00993B99">
        <w:rPr>
          <w:rFonts w:ascii="Arial" w:hAnsi="Arial" w:cs="Arial"/>
        </w:rPr>
        <w:t xml:space="preserve">the </w:t>
      </w:r>
      <w:r w:rsidR="004171D4" w:rsidRPr="00993B99">
        <w:rPr>
          <w:rFonts w:ascii="Arial" w:hAnsi="Arial" w:cs="Arial"/>
        </w:rPr>
        <w:t>source</w:t>
      </w:r>
      <w:r w:rsidR="0093618E" w:rsidRPr="00993B99">
        <w:rPr>
          <w:rFonts w:ascii="Arial" w:hAnsi="Arial" w:cs="Arial"/>
        </w:rPr>
        <w:t>s and usage</w:t>
      </w:r>
      <w:r w:rsidR="00610DD9" w:rsidRPr="00993B99">
        <w:rPr>
          <w:rFonts w:ascii="Arial" w:hAnsi="Arial" w:cs="Arial"/>
        </w:rPr>
        <w:t xml:space="preserve"> </w:t>
      </w:r>
      <w:r w:rsidR="00C905EF" w:rsidRPr="00993B99">
        <w:rPr>
          <w:rFonts w:ascii="Arial" w:hAnsi="Arial" w:cs="Arial"/>
        </w:rPr>
        <w:t xml:space="preserve">of energy </w:t>
      </w:r>
      <w:r w:rsidR="00610DD9" w:rsidRPr="00993B99">
        <w:rPr>
          <w:rFonts w:ascii="Arial" w:hAnsi="Arial" w:cs="Arial"/>
        </w:rPr>
        <w:t xml:space="preserve">however </w:t>
      </w:r>
      <w:r w:rsidR="001F7F02" w:rsidRPr="00993B99">
        <w:rPr>
          <w:rFonts w:ascii="Arial" w:hAnsi="Arial" w:cs="Arial"/>
        </w:rPr>
        <w:t>all schools are seeing a significant increase</w:t>
      </w:r>
      <w:r w:rsidR="004A533C" w:rsidRPr="00993B99">
        <w:rPr>
          <w:rFonts w:ascii="Arial" w:hAnsi="Arial" w:cs="Arial"/>
        </w:rPr>
        <w:t>.</w:t>
      </w:r>
      <w:r w:rsidR="001F7F02" w:rsidRPr="00993B99">
        <w:rPr>
          <w:rFonts w:ascii="Arial" w:hAnsi="Arial" w:cs="Arial"/>
        </w:rPr>
        <w:t xml:space="preserve"> </w:t>
      </w:r>
      <w:r w:rsidR="0020315D" w:rsidRPr="00993B99">
        <w:rPr>
          <w:rFonts w:ascii="Arial" w:hAnsi="Arial" w:cs="Arial"/>
        </w:rPr>
        <w:t>The</w:t>
      </w:r>
      <w:r w:rsidR="00F50DAA" w:rsidRPr="00993B99">
        <w:rPr>
          <w:rFonts w:ascii="Arial" w:hAnsi="Arial" w:cs="Arial"/>
        </w:rPr>
        <w:t xml:space="preserve"> energy contracting arrangements through the</w:t>
      </w:r>
      <w:r w:rsidR="0020315D" w:rsidRPr="00993B99">
        <w:rPr>
          <w:rFonts w:ascii="Arial" w:hAnsi="Arial" w:cs="Arial"/>
        </w:rPr>
        <w:t xml:space="preserve"> Council have had some success in </w:t>
      </w:r>
      <w:r w:rsidR="00CB5B28" w:rsidRPr="00993B99">
        <w:rPr>
          <w:rFonts w:ascii="Arial" w:hAnsi="Arial" w:cs="Arial"/>
        </w:rPr>
        <w:t>limiting</w:t>
      </w:r>
      <w:r w:rsidR="00F50DAA" w:rsidRPr="00993B99">
        <w:rPr>
          <w:rFonts w:ascii="Arial" w:hAnsi="Arial" w:cs="Arial"/>
        </w:rPr>
        <w:t xml:space="preserve"> the level of increases </w:t>
      </w:r>
      <w:r w:rsidR="00951DE3" w:rsidRPr="00993B99">
        <w:rPr>
          <w:rFonts w:ascii="Arial" w:hAnsi="Arial" w:cs="Arial"/>
        </w:rPr>
        <w:t>however</w:t>
      </w:r>
      <w:r w:rsidR="00496C8C" w:rsidRPr="00993B99">
        <w:rPr>
          <w:rFonts w:ascii="Arial" w:hAnsi="Arial" w:cs="Arial"/>
        </w:rPr>
        <w:t>,</w:t>
      </w:r>
      <w:r w:rsidR="00951DE3" w:rsidRPr="00993B99">
        <w:rPr>
          <w:rFonts w:ascii="Arial" w:hAnsi="Arial" w:cs="Arial"/>
        </w:rPr>
        <w:t xml:space="preserve"> the full impact </w:t>
      </w:r>
      <w:r w:rsidR="00D957E6" w:rsidRPr="00993B99">
        <w:rPr>
          <w:rFonts w:ascii="Arial" w:hAnsi="Arial" w:cs="Arial"/>
        </w:rPr>
        <w:t xml:space="preserve">and </w:t>
      </w:r>
      <w:r w:rsidR="00F920F2" w:rsidRPr="00993B99">
        <w:rPr>
          <w:rFonts w:ascii="Arial" w:hAnsi="Arial" w:cs="Arial"/>
        </w:rPr>
        <w:t xml:space="preserve">future outlook is </w:t>
      </w:r>
      <w:r w:rsidR="00B02EE9" w:rsidRPr="00993B99">
        <w:rPr>
          <w:rFonts w:ascii="Arial" w:hAnsi="Arial" w:cs="Arial"/>
        </w:rPr>
        <w:t>difficult to establish</w:t>
      </w:r>
      <w:r w:rsidR="00F0347B" w:rsidRPr="00993B99">
        <w:rPr>
          <w:rFonts w:ascii="Arial" w:hAnsi="Arial" w:cs="Arial"/>
        </w:rPr>
        <w:t xml:space="preserve"> </w:t>
      </w:r>
      <w:r w:rsidR="002A159C" w:rsidRPr="00993B99">
        <w:rPr>
          <w:rFonts w:ascii="Arial" w:hAnsi="Arial" w:cs="Arial"/>
        </w:rPr>
        <w:t xml:space="preserve">though </w:t>
      </w:r>
      <w:r w:rsidR="00F0347B" w:rsidRPr="00993B99">
        <w:rPr>
          <w:rFonts w:ascii="Arial" w:hAnsi="Arial" w:cs="Arial"/>
        </w:rPr>
        <w:t>the outlook remains challenging.</w:t>
      </w:r>
      <w:r w:rsidR="00CB5B28" w:rsidRPr="00993B99">
        <w:rPr>
          <w:rFonts w:ascii="Arial" w:hAnsi="Arial" w:cs="Arial"/>
        </w:rPr>
        <w:t xml:space="preserve"> </w:t>
      </w:r>
    </w:p>
    <w:p w14:paraId="531358F2" w14:textId="7151516C" w:rsidR="00E63147" w:rsidRPr="00993B99" w:rsidRDefault="004B4AC2" w:rsidP="005D1286">
      <w:pPr>
        <w:pStyle w:val="Heading2"/>
        <w:keepNext w:val="0"/>
        <w:tabs>
          <w:tab w:val="clear" w:pos="576"/>
          <w:tab w:val="num" w:pos="0"/>
        </w:tabs>
        <w:ind w:left="0" w:hanging="567"/>
        <w:jc w:val="left"/>
        <w:rPr>
          <w:rFonts w:ascii="Arial" w:hAnsi="Arial" w:cs="Arial"/>
        </w:rPr>
      </w:pPr>
      <w:r w:rsidRPr="00993B99">
        <w:rPr>
          <w:rFonts w:ascii="Arial" w:hAnsi="Arial" w:cs="Arial"/>
        </w:rPr>
        <w:t>F</w:t>
      </w:r>
      <w:r w:rsidR="00D040DF" w:rsidRPr="00993B99">
        <w:rPr>
          <w:rFonts w:ascii="Arial" w:hAnsi="Arial" w:cs="Arial"/>
        </w:rPr>
        <w:t xml:space="preserve">uture inflationary pressures on other expenditure will be influenced by the </w:t>
      </w:r>
      <w:r w:rsidR="00DD0EF5" w:rsidRPr="00993B99">
        <w:rPr>
          <w:rFonts w:ascii="Arial" w:hAnsi="Arial" w:cs="Arial"/>
        </w:rPr>
        <w:t xml:space="preserve">wider pay and energy pressure on the market, </w:t>
      </w:r>
      <w:r w:rsidR="005E3125" w:rsidRPr="00993B99">
        <w:rPr>
          <w:rFonts w:ascii="Arial" w:hAnsi="Arial" w:cs="Arial"/>
        </w:rPr>
        <w:t xml:space="preserve">the </w:t>
      </w:r>
      <w:r w:rsidR="00D040DF" w:rsidRPr="00993B99">
        <w:rPr>
          <w:rFonts w:ascii="Arial" w:hAnsi="Arial" w:cs="Arial"/>
        </w:rPr>
        <w:t>national economic state and the level of public sector debt.</w:t>
      </w:r>
    </w:p>
    <w:p w14:paraId="30C5B232" w14:textId="3617964B" w:rsidR="004F03FD" w:rsidRPr="00993B99" w:rsidRDefault="004F03FD" w:rsidP="005D1286">
      <w:pPr>
        <w:pStyle w:val="Heading2"/>
        <w:keepNext w:val="0"/>
        <w:tabs>
          <w:tab w:val="clear" w:pos="576"/>
          <w:tab w:val="num" w:pos="0"/>
        </w:tabs>
        <w:ind w:left="0" w:hanging="567"/>
        <w:jc w:val="left"/>
        <w:rPr>
          <w:rFonts w:ascii="Arial" w:hAnsi="Arial" w:cs="Arial"/>
        </w:rPr>
      </w:pPr>
      <w:r w:rsidRPr="00993B99">
        <w:rPr>
          <w:rFonts w:ascii="Arial" w:hAnsi="Arial" w:cs="Arial"/>
        </w:rPr>
        <w:t xml:space="preserve">Increases in funding </w:t>
      </w:r>
      <w:r w:rsidR="00E14F4E" w:rsidRPr="00993B99">
        <w:rPr>
          <w:rFonts w:ascii="Arial" w:hAnsi="Arial" w:cs="Arial"/>
        </w:rPr>
        <w:t xml:space="preserve">in recent years has been welcomed and </w:t>
      </w:r>
      <w:r w:rsidR="00F01987" w:rsidRPr="00993B99">
        <w:rPr>
          <w:rFonts w:ascii="Arial" w:hAnsi="Arial" w:cs="Arial"/>
        </w:rPr>
        <w:t xml:space="preserve">may </w:t>
      </w:r>
      <w:r w:rsidR="002F14CD" w:rsidRPr="00993B99">
        <w:rPr>
          <w:rFonts w:ascii="Arial" w:hAnsi="Arial" w:cs="Arial"/>
        </w:rPr>
        <w:t xml:space="preserve">mitigate in many cases </w:t>
      </w:r>
      <w:r w:rsidR="00E14F4E" w:rsidRPr="00993B99">
        <w:rPr>
          <w:rFonts w:ascii="Arial" w:hAnsi="Arial" w:cs="Arial"/>
        </w:rPr>
        <w:t>the</w:t>
      </w:r>
      <w:r w:rsidR="002F14CD" w:rsidRPr="00993B99">
        <w:rPr>
          <w:rFonts w:ascii="Arial" w:hAnsi="Arial" w:cs="Arial"/>
        </w:rPr>
        <w:t xml:space="preserve"> immediate impacts of the pressures outlined however</w:t>
      </w:r>
      <w:r w:rsidR="0097097D" w:rsidRPr="00993B99">
        <w:rPr>
          <w:rFonts w:ascii="Arial" w:hAnsi="Arial" w:cs="Arial"/>
        </w:rPr>
        <w:t xml:space="preserve">, </w:t>
      </w:r>
      <w:r w:rsidR="000114B2" w:rsidRPr="00993B99">
        <w:rPr>
          <w:rFonts w:ascii="Arial" w:hAnsi="Arial" w:cs="Arial"/>
        </w:rPr>
        <w:t>as with the inflationary impact on expenditure, increases in income received have also varied considerably.</w:t>
      </w:r>
      <w:r w:rsidR="00E14F4E" w:rsidRPr="00993B99">
        <w:rPr>
          <w:rFonts w:ascii="Arial" w:hAnsi="Arial" w:cs="Arial"/>
        </w:rPr>
        <w:t xml:space="preserve"> </w:t>
      </w:r>
      <w:r w:rsidR="00B24A97" w:rsidRPr="00993B99">
        <w:rPr>
          <w:rFonts w:ascii="Arial" w:hAnsi="Arial" w:cs="Arial"/>
        </w:rPr>
        <w:t xml:space="preserve">From 2023-24, </w:t>
      </w:r>
      <w:r w:rsidR="00E263CB" w:rsidRPr="00993B99">
        <w:rPr>
          <w:rFonts w:ascii="Arial" w:hAnsi="Arial" w:cs="Arial"/>
        </w:rPr>
        <w:t xml:space="preserve">the overall financial position is likely to become more challenging with </w:t>
      </w:r>
      <w:r w:rsidR="007679CF" w:rsidRPr="00993B99">
        <w:rPr>
          <w:rFonts w:ascii="Arial" w:hAnsi="Arial" w:cs="Arial"/>
        </w:rPr>
        <w:t>further action by schools more likely to maintain their financial health.</w:t>
      </w:r>
    </w:p>
    <w:p w14:paraId="41ED7ADC" w14:textId="2C92B208" w:rsidR="000A5510" w:rsidRPr="00993B99" w:rsidRDefault="000A5510" w:rsidP="005D1286">
      <w:pPr>
        <w:pStyle w:val="Heading2"/>
        <w:keepNext w:val="0"/>
        <w:tabs>
          <w:tab w:val="clear" w:pos="576"/>
          <w:tab w:val="num" w:pos="0"/>
        </w:tabs>
        <w:ind w:left="0" w:hanging="567"/>
        <w:jc w:val="left"/>
        <w:rPr>
          <w:rFonts w:ascii="Arial" w:hAnsi="Arial" w:cs="Arial"/>
        </w:rPr>
      </w:pPr>
      <w:r>
        <w:rPr>
          <w:rFonts w:ascii="Arial" w:hAnsi="Arial" w:cs="Arial"/>
        </w:rPr>
        <w:t xml:space="preserve">Funding for </w:t>
      </w:r>
      <w:r w:rsidR="00D81F39">
        <w:rPr>
          <w:rFonts w:ascii="Arial" w:hAnsi="Arial" w:cs="Arial"/>
        </w:rPr>
        <w:t xml:space="preserve">the provision of universal </w:t>
      </w:r>
      <w:r w:rsidR="00BF3383">
        <w:rPr>
          <w:rFonts w:ascii="Arial" w:hAnsi="Arial" w:cs="Arial"/>
        </w:rPr>
        <w:t xml:space="preserve">infant </w:t>
      </w:r>
      <w:r w:rsidR="000D37AA">
        <w:rPr>
          <w:rFonts w:ascii="Arial" w:hAnsi="Arial" w:cs="Arial"/>
        </w:rPr>
        <w:t xml:space="preserve">(UIFSM) </w:t>
      </w:r>
      <w:r w:rsidR="00D81F39">
        <w:rPr>
          <w:rFonts w:ascii="Arial" w:hAnsi="Arial" w:cs="Arial"/>
        </w:rPr>
        <w:t xml:space="preserve">and </w:t>
      </w:r>
      <w:r w:rsidR="00BF3383">
        <w:rPr>
          <w:rFonts w:ascii="Arial" w:hAnsi="Arial" w:cs="Arial"/>
        </w:rPr>
        <w:t xml:space="preserve">need led free schools meals will also remain challenging with schools highlighting this as an area of concern. </w:t>
      </w:r>
      <w:r w:rsidR="001541B7">
        <w:rPr>
          <w:rFonts w:ascii="Arial" w:hAnsi="Arial" w:cs="Arial"/>
        </w:rPr>
        <w:t>With</w:t>
      </w:r>
      <w:r w:rsidR="009373EA">
        <w:rPr>
          <w:rFonts w:ascii="Arial" w:hAnsi="Arial" w:cs="Arial"/>
        </w:rPr>
        <w:t xml:space="preserve"> inflation</w:t>
      </w:r>
      <w:r w:rsidR="00A64BB4">
        <w:rPr>
          <w:rFonts w:ascii="Arial" w:hAnsi="Arial" w:cs="Arial"/>
        </w:rPr>
        <w:t xml:space="preserve"> high on food, transport and in particular on pay, catering providers will </w:t>
      </w:r>
      <w:r w:rsidR="00D128A6">
        <w:rPr>
          <w:rFonts w:ascii="Arial" w:hAnsi="Arial" w:cs="Arial"/>
        </w:rPr>
        <w:t xml:space="preserve">need to consider </w:t>
      </w:r>
      <w:r w:rsidR="00F72865">
        <w:rPr>
          <w:rFonts w:ascii="Arial" w:hAnsi="Arial" w:cs="Arial"/>
        </w:rPr>
        <w:t>pr</w:t>
      </w:r>
      <w:r w:rsidR="008C776D">
        <w:rPr>
          <w:rFonts w:ascii="Arial" w:hAnsi="Arial" w:cs="Arial"/>
        </w:rPr>
        <w:t>icing as well as provision</w:t>
      </w:r>
      <w:r w:rsidR="00D90C3C">
        <w:rPr>
          <w:rFonts w:ascii="Arial" w:hAnsi="Arial" w:cs="Arial"/>
        </w:rPr>
        <w:t xml:space="preserve"> with funding levels not keeping pace</w:t>
      </w:r>
      <w:r w:rsidR="002C12A5">
        <w:rPr>
          <w:rFonts w:ascii="Arial" w:hAnsi="Arial" w:cs="Arial"/>
        </w:rPr>
        <w:t xml:space="preserve">. The </w:t>
      </w:r>
      <w:r w:rsidR="009F6479">
        <w:rPr>
          <w:rFonts w:ascii="Arial" w:hAnsi="Arial" w:cs="Arial"/>
        </w:rPr>
        <w:t xml:space="preserve">UIFSM rate </w:t>
      </w:r>
      <w:r w:rsidR="000D37AA">
        <w:rPr>
          <w:rFonts w:ascii="Arial" w:hAnsi="Arial" w:cs="Arial"/>
        </w:rPr>
        <w:t xml:space="preserve">for example was £2.30 on implementation of the policy in </w:t>
      </w:r>
      <w:r w:rsidR="009F6479">
        <w:rPr>
          <w:rFonts w:ascii="Arial" w:hAnsi="Arial" w:cs="Arial"/>
        </w:rPr>
        <w:t>2014</w:t>
      </w:r>
      <w:r w:rsidR="00384D17">
        <w:rPr>
          <w:rFonts w:ascii="Arial" w:hAnsi="Arial" w:cs="Arial"/>
        </w:rPr>
        <w:t xml:space="preserve"> and was £</w:t>
      </w:r>
      <w:r w:rsidR="00BD1155">
        <w:rPr>
          <w:rFonts w:ascii="Arial" w:hAnsi="Arial" w:cs="Arial"/>
        </w:rPr>
        <w:t>2.41</w:t>
      </w:r>
      <w:r w:rsidR="00384D17">
        <w:rPr>
          <w:rFonts w:ascii="Arial" w:hAnsi="Arial" w:cs="Arial"/>
        </w:rPr>
        <w:t xml:space="preserve"> in 2022-23, a </w:t>
      </w:r>
      <w:r w:rsidR="009745EB">
        <w:rPr>
          <w:rFonts w:ascii="Arial" w:hAnsi="Arial" w:cs="Arial"/>
        </w:rPr>
        <w:t>4.8</w:t>
      </w:r>
      <w:r w:rsidR="00384D17">
        <w:rPr>
          <w:rFonts w:ascii="Arial" w:hAnsi="Arial" w:cs="Arial"/>
        </w:rPr>
        <w:t>% increase</w:t>
      </w:r>
      <w:r w:rsidR="001B354F">
        <w:rPr>
          <w:rFonts w:ascii="Arial" w:hAnsi="Arial" w:cs="Arial"/>
        </w:rPr>
        <w:t xml:space="preserve"> over 8 years</w:t>
      </w:r>
      <w:r w:rsidR="00B3134E">
        <w:rPr>
          <w:rFonts w:ascii="Arial" w:hAnsi="Arial" w:cs="Arial"/>
        </w:rPr>
        <w:t>.</w:t>
      </w:r>
      <w:r w:rsidR="00AE7E78">
        <w:rPr>
          <w:rFonts w:ascii="Arial" w:hAnsi="Arial" w:cs="Arial"/>
        </w:rPr>
        <w:t xml:space="preserve"> This rate is currently </w:t>
      </w:r>
      <w:r w:rsidR="003A18CD">
        <w:rPr>
          <w:rFonts w:ascii="Arial" w:hAnsi="Arial" w:cs="Arial"/>
        </w:rPr>
        <w:t xml:space="preserve">below the rate provided in the National Funding Formula for free school meals </w:t>
      </w:r>
      <w:r w:rsidR="00FD0CC6">
        <w:rPr>
          <w:rFonts w:ascii="Arial" w:hAnsi="Arial" w:cs="Arial"/>
        </w:rPr>
        <w:t>(£2.47)</w:t>
      </w:r>
      <w:r w:rsidR="00A8296F">
        <w:rPr>
          <w:rFonts w:ascii="Arial" w:hAnsi="Arial" w:cs="Arial"/>
        </w:rPr>
        <w:t xml:space="preserve"> and will be increased further by 2.4% for 2023/24.</w:t>
      </w:r>
    </w:p>
    <w:p w14:paraId="0DADB76E" w14:textId="58A2082D" w:rsidR="00EF5CE4" w:rsidRPr="00993B99" w:rsidRDefault="00EC41AC" w:rsidP="00AF1EB6">
      <w:pPr>
        <w:pStyle w:val="Heading2"/>
        <w:keepNext w:val="0"/>
        <w:tabs>
          <w:tab w:val="clear" w:pos="576"/>
          <w:tab w:val="num" w:pos="0"/>
        </w:tabs>
        <w:ind w:left="0" w:hanging="567"/>
        <w:jc w:val="left"/>
        <w:rPr>
          <w:rFonts w:ascii="Arial" w:hAnsi="Arial" w:cs="Arial"/>
        </w:rPr>
      </w:pPr>
      <w:r w:rsidRPr="00993B99">
        <w:rPr>
          <w:rFonts w:ascii="Arial" w:hAnsi="Arial" w:cs="Arial"/>
        </w:rPr>
        <w:t>Given the high level of current uncertaint</w:t>
      </w:r>
      <w:r w:rsidR="00667240" w:rsidRPr="00993B99">
        <w:rPr>
          <w:rFonts w:ascii="Arial" w:hAnsi="Arial" w:cs="Arial"/>
        </w:rPr>
        <w:t>y</w:t>
      </w:r>
      <w:r w:rsidRPr="00993B99">
        <w:rPr>
          <w:rFonts w:ascii="Arial" w:hAnsi="Arial" w:cs="Arial"/>
        </w:rPr>
        <w:t>, b</w:t>
      </w:r>
      <w:r w:rsidR="004E4253" w:rsidRPr="00993B99">
        <w:rPr>
          <w:rFonts w:ascii="Arial" w:hAnsi="Arial" w:cs="Arial"/>
        </w:rPr>
        <w:t xml:space="preserve">udget planning assumptions will therefore need to be made based on the best information available at the time </w:t>
      </w:r>
      <w:r w:rsidR="00F66A5F" w:rsidRPr="00993B99">
        <w:rPr>
          <w:rFonts w:ascii="Arial" w:hAnsi="Arial" w:cs="Arial"/>
        </w:rPr>
        <w:lastRenderedPageBreak/>
        <w:t>with the recognition that these will need to be updated as and when</w:t>
      </w:r>
      <w:r w:rsidR="00DD4162" w:rsidRPr="00993B99">
        <w:rPr>
          <w:rFonts w:ascii="Arial" w:hAnsi="Arial" w:cs="Arial"/>
        </w:rPr>
        <w:t xml:space="preserve"> further</w:t>
      </w:r>
      <w:r w:rsidR="006A5290" w:rsidRPr="00993B99">
        <w:rPr>
          <w:rFonts w:ascii="Arial" w:hAnsi="Arial" w:cs="Arial"/>
        </w:rPr>
        <w:t xml:space="preserve"> information bec</w:t>
      </w:r>
      <w:r w:rsidR="00DD4162" w:rsidRPr="00993B99">
        <w:rPr>
          <w:rFonts w:ascii="Arial" w:hAnsi="Arial" w:cs="Arial"/>
        </w:rPr>
        <w:t>omes available.</w:t>
      </w:r>
    </w:p>
    <w:p w14:paraId="53C99CB3" w14:textId="4B3B2CCD" w:rsidR="00C07FC2" w:rsidRPr="00F82ABB" w:rsidRDefault="00C07FC2" w:rsidP="00AF1EB6">
      <w:pPr>
        <w:pStyle w:val="Heading1"/>
        <w:keepNext w:val="0"/>
        <w:tabs>
          <w:tab w:val="clear" w:pos="432"/>
          <w:tab w:val="num" w:pos="0"/>
        </w:tabs>
        <w:spacing w:after="120"/>
        <w:ind w:hanging="858"/>
        <w:jc w:val="left"/>
        <w:rPr>
          <w:rFonts w:ascii="Arial" w:hAnsi="Arial" w:cs="Arial"/>
        </w:rPr>
      </w:pPr>
      <w:r>
        <w:rPr>
          <w:rFonts w:ascii="Arial" w:hAnsi="Arial" w:cs="Arial"/>
        </w:rPr>
        <w:t>High Needs funding - Overview</w:t>
      </w:r>
    </w:p>
    <w:p w14:paraId="702FFE08" w14:textId="672D0F75" w:rsidR="00D73CC5" w:rsidRPr="005404CC" w:rsidRDefault="00D73CC5" w:rsidP="00D73CC5">
      <w:pPr>
        <w:pStyle w:val="Heading2"/>
        <w:keepNext w:val="0"/>
        <w:tabs>
          <w:tab w:val="clear" w:pos="576"/>
          <w:tab w:val="num" w:pos="0"/>
        </w:tabs>
        <w:ind w:left="0" w:hanging="567"/>
        <w:jc w:val="left"/>
        <w:rPr>
          <w:rFonts w:ascii="Arial" w:hAnsi="Arial" w:cs="Arial"/>
        </w:rPr>
      </w:pPr>
      <w:r w:rsidRPr="005404CC">
        <w:rPr>
          <w:rFonts w:ascii="Arial" w:hAnsi="Arial" w:cs="Arial"/>
        </w:rPr>
        <w:t>The high needs national funding formula continues to be used for 202</w:t>
      </w:r>
      <w:r w:rsidR="00965D81" w:rsidRPr="005404CC">
        <w:rPr>
          <w:rFonts w:ascii="Arial" w:hAnsi="Arial" w:cs="Arial"/>
        </w:rPr>
        <w:t>3</w:t>
      </w:r>
      <w:r w:rsidRPr="005404CC">
        <w:rPr>
          <w:rFonts w:ascii="Arial" w:hAnsi="Arial" w:cs="Arial"/>
        </w:rPr>
        <w:t>/2</w:t>
      </w:r>
      <w:r w:rsidR="00965D81" w:rsidRPr="005404CC">
        <w:rPr>
          <w:rFonts w:ascii="Arial" w:hAnsi="Arial" w:cs="Arial"/>
        </w:rPr>
        <w:t>4</w:t>
      </w:r>
      <w:r w:rsidRPr="005404CC">
        <w:rPr>
          <w:rFonts w:ascii="Arial" w:hAnsi="Arial" w:cs="Arial"/>
        </w:rPr>
        <w:t xml:space="preserve"> allocations, with no changes to the basic structure. The</w:t>
      </w:r>
      <w:r w:rsidR="001566DE">
        <w:rPr>
          <w:rFonts w:ascii="Arial" w:hAnsi="Arial" w:cs="Arial"/>
        </w:rPr>
        <w:t xml:space="preserve"> key changes are</w:t>
      </w:r>
      <w:r w:rsidRPr="005404CC">
        <w:rPr>
          <w:rFonts w:ascii="Arial" w:hAnsi="Arial" w:cs="Arial"/>
        </w:rPr>
        <w:t>:</w:t>
      </w:r>
    </w:p>
    <w:p w14:paraId="4C7DB41C" w14:textId="493E9D5A" w:rsidR="00D73CC5" w:rsidRPr="00481C7E" w:rsidRDefault="00C1172B" w:rsidP="00ED6DE4">
      <w:pPr>
        <w:pStyle w:val="Heading2"/>
        <w:keepNext w:val="0"/>
        <w:numPr>
          <w:ilvl w:val="0"/>
          <w:numId w:val="10"/>
        </w:numPr>
        <w:jc w:val="left"/>
        <w:rPr>
          <w:rFonts w:ascii="Arial" w:hAnsi="Arial" w:cs="Arial"/>
        </w:rPr>
      </w:pPr>
      <w:r w:rsidRPr="00481C7E">
        <w:rPr>
          <w:rFonts w:ascii="Arial" w:hAnsi="Arial" w:cs="Arial"/>
        </w:rPr>
        <w:t>Reflecting the range of opposing views on the appropriate weight to place on the historic spend factor, and the need for a gradual transition</w:t>
      </w:r>
      <w:r w:rsidR="005F5BB3" w:rsidRPr="00481C7E">
        <w:rPr>
          <w:rFonts w:ascii="Arial" w:hAnsi="Arial" w:cs="Arial"/>
        </w:rPr>
        <w:t xml:space="preserve">, </w:t>
      </w:r>
      <w:r w:rsidR="005F5868" w:rsidRPr="00481C7E">
        <w:rPr>
          <w:rFonts w:ascii="Arial" w:hAnsi="Arial" w:cs="Arial"/>
        </w:rPr>
        <w:t>the historic spend factor</w:t>
      </w:r>
      <w:r w:rsidR="00481C7E" w:rsidRPr="00481C7E">
        <w:rPr>
          <w:rFonts w:ascii="Arial" w:hAnsi="Arial" w:cs="Arial"/>
        </w:rPr>
        <w:t xml:space="preserve"> remains the same for 2023/24. </w:t>
      </w:r>
      <w:r w:rsidR="00C05A16" w:rsidRPr="00481C7E">
        <w:rPr>
          <w:rFonts w:ascii="Arial" w:hAnsi="Arial" w:cs="Arial"/>
        </w:rPr>
        <w:t>T</w:t>
      </w:r>
      <w:r w:rsidR="00B6560B" w:rsidRPr="00481C7E">
        <w:rPr>
          <w:rFonts w:ascii="Arial" w:hAnsi="Arial" w:cs="Arial"/>
        </w:rPr>
        <w:t xml:space="preserve">he overall proportion of funding through this factor </w:t>
      </w:r>
      <w:r w:rsidR="00284099" w:rsidRPr="00481C7E">
        <w:rPr>
          <w:rFonts w:ascii="Arial" w:hAnsi="Arial" w:cs="Arial"/>
        </w:rPr>
        <w:t>continues to reduce from 31% i</w:t>
      </w:r>
      <w:r w:rsidR="00B6560B" w:rsidRPr="00481C7E">
        <w:rPr>
          <w:rFonts w:ascii="Arial" w:hAnsi="Arial" w:cs="Arial"/>
        </w:rPr>
        <w:t>n 2022/2</w:t>
      </w:r>
      <w:r w:rsidR="00C27CB1" w:rsidRPr="00481C7E">
        <w:rPr>
          <w:rFonts w:ascii="Arial" w:hAnsi="Arial" w:cs="Arial"/>
        </w:rPr>
        <w:t>3</w:t>
      </w:r>
      <w:r w:rsidR="00284099" w:rsidRPr="00481C7E">
        <w:rPr>
          <w:rFonts w:ascii="Arial" w:hAnsi="Arial" w:cs="Arial"/>
        </w:rPr>
        <w:t xml:space="preserve"> to 29% in 2023/24.</w:t>
      </w:r>
    </w:p>
    <w:p w14:paraId="73EFC271" w14:textId="77777777" w:rsidR="00D73CC5" w:rsidRPr="007124C8" w:rsidRDefault="0068312A" w:rsidP="00ED6DE4">
      <w:pPr>
        <w:pStyle w:val="Heading2"/>
        <w:keepNext w:val="0"/>
        <w:numPr>
          <w:ilvl w:val="0"/>
          <w:numId w:val="10"/>
        </w:numPr>
        <w:jc w:val="left"/>
        <w:rPr>
          <w:rFonts w:ascii="Arial" w:hAnsi="Arial" w:cs="Arial"/>
        </w:rPr>
      </w:pPr>
      <w:r w:rsidRPr="007124C8">
        <w:rPr>
          <w:rFonts w:ascii="Arial" w:hAnsi="Arial" w:cs="Arial"/>
        </w:rPr>
        <w:t>As with the schools NFF, the low prior attainment data used in the High Needs NFF will be taken from the 2019 assessments due to the assessments being cancelled in 2020.</w:t>
      </w:r>
    </w:p>
    <w:p w14:paraId="29F9D8D3" w14:textId="5B6A5E6F" w:rsidR="0071240B" w:rsidRPr="00AA2928" w:rsidRDefault="0071240B" w:rsidP="00ED6DE4">
      <w:pPr>
        <w:pStyle w:val="Heading2"/>
        <w:keepNext w:val="0"/>
        <w:numPr>
          <w:ilvl w:val="0"/>
          <w:numId w:val="10"/>
        </w:numPr>
        <w:jc w:val="left"/>
        <w:rPr>
          <w:rFonts w:ascii="Arial" w:hAnsi="Arial" w:cs="Arial"/>
        </w:rPr>
      </w:pPr>
      <w:r w:rsidRPr="00AA2928">
        <w:rPr>
          <w:rFonts w:ascii="Arial" w:hAnsi="Arial" w:cs="Arial"/>
        </w:rPr>
        <w:t>The</w:t>
      </w:r>
      <w:r w:rsidR="00C03CB4" w:rsidRPr="00AA2928">
        <w:rPr>
          <w:rFonts w:ascii="Arial" w:hAnsi="Arial" w:cs="Arial"/>
        </w:rPr>
        <w:t xml:space="preserve"> </w:t>
      </w:r>
      <w:r w:rsidR="003711E6" w:rsidRPr="00AA2928">
        <w:rPr>
          <w:rFonts w:ascii="Arial" w:hAnsi="Arial" w:cs="Arial"/>
        </w:rPr>
        <w:t xml:space="preserve">funding floor </w:t>
      </w:r>
      <w:r w:rsidR="00C03CB4" w:rsidRPr="00AA2928">
        <w:rPr>
          <w:rFonts w:ascii="Arial" w:hAnsi="Arial" w:cs="Arial"/>
        </w:rPr>
        <w:t xml:space="preserve">for 2023/24 means </w:t>
      </w:r>
      <w:r w:rsidR="003711E6" w:rsidRPr="00AA2928">
        <w:rPr>
          <w:rFonts w:ascii="Arial" w:hAnsi="Arial" w:cs="Arial"/>
        </w:rPr>
        <w:t xml:space="preserve">local authorities will see a minimum increase of </w:t>
      </w:r>
      <w:r w:rsidR="0091606F" w:rsidRPr="00AA2928">
        <w:rPr>
          <w:rFonts w:ascii="Arial" w:hAnsi="Arial" w:cs="Arial"/>
        </w:rPr>
        <w:t>5</w:t>
      </w:r>
      <w:r w:rsidR="003711E6" w:rsidRPr="00AA2928">
        <w:rPr>
          <w:rFonts w:ascii="Arial" w:hAnsi="Arial" w:cs="Arial"/>
        </w:rPr>
        <w:t xml:space="preserve">% per head of the population, </w:t>
      </w:r>
      <w:r w:rsidR="006912B0" w:rsidRPr="00AA2928">
        <w:rPr>
          <w:rFonts w:ascii="Arial" w:hAnsi="Arial" w:cs="Arial"/>
        </w:rPr>
        <w:t>and</w:t>
      </w:r>
      <w:r w:rsidR="003711E6" w:rsidRPr="00AA2928">
        <w:rPr>
          <w:rFonts w:ascii="Arial" w:hAnsi="Arial" w:cs="Arial"/>
        </w:rPr>
        <w:t xml:space="preserve"> the gains cap</w:t>
      </w:r>
      <w:r w:rsidR="00BE48BE" w:rsidRPr="00AA2928">
        <w:rPr>
          <w:rFonts w:ascii="Arial" w:hAnsi="Arial" w:cs="Arial"/>
        </w:rPr>
        <w:t xml:space="preserve"> has </w:t>
      </w:r>
      <w:r w:rsidR="00D73CC5" w:rsidRPr="00AA2928">
        <w:rPr>
          <w:rFonts w:ascii="Arial" w:hAnsi="Arial" w:cs="Arial"/>
        </w:rPr>
        <w:t xml:space="preserve">been set at </w:t>
      </w:r>
      <w:r w:rsidR="00FC2928" w:rsidRPr="00AA2928">
        <w:rPr>
          <w:rFonts w:ascii="Arial" w:hAnsi="Arial" w:cs="Arial"/>
        </w:rPr>
        <w:t>7</w:t>
      </w:r>
      <w:r w:rsidR="00D73CC5" w:rsidRPr="00AA2928">
        <w:rPr>
          <w:rFonts w:ascii="Arial" w:hAnsi="Arial" w:cs="Arial"/>
        </w:rPr>
        <w:t>%.</w:t>
      </w:r>
      <w:r w:rsidR="00246B60" w:rsidRPr="00AA2928">
        <w:rPr>
          <w:rFonts w:ascii="Arial" w:hAnsi="Arial" w:cs="Arial"/>
        </w:rPr>
        <w:t xml:space="preserve"> </w:t>
      </w:r>
      <w:r w:rsidR="00AA2928">
        <w:rPr>
          <w:rFonts w:ascii="Arial" w:hAnsi="Arial" w:cs="Arial"/>
        </w:rPr>
        <w:t xml:space="preserve">These are lower than previously, </w:t>
      </w:r>
      <w:r w:rsidR="00483F6F">
        <w:rPr>
          <w:rFonts w:ascii="Arial" w:hAnsi="Arial" w:cs="Arial"/>
        </w:rPr>
        <w:t>due to adjusting</w:t>
      </w:r>
      <w:r w:rsidR="00AA2928">
        <w:rPr>
          <w:rFonts w:ascii="Arial" w:hAnsi="Arial" w:cs="Arial"/>
        </w:rPr>
        <w:t xml:space="preserve"> t</w:t>
      </w:r>
      <w:r w:rsidR="00AA2928" w:rsidRPr="00AA2928">
        <w:rPr>
          <w:rFonts w:ascii="Arial" w:hAnsi="Arial" w:cs="Arial"/>
        </w:rPr>
        <w:t>h</w:t>
      </w:r>
      <w:r w:rsidR="00246B60" w:rsidRPr="00AA2928">
        <w:rPr>
          <w:rFonts w:ascii="Arial" w:hAnsi="Arial" w:cs="Arial"/>
        </w:rPr>
        <w:t xml:space="preserve">e baseline </w:t>
      </w:r>
      <w:r w:rsidR="00AA2928" w:rsidRPr="00AA2928">
        <w:rPr>
          <w:rFonts w:ascii="Arial" w:hAnsi="Arial" w:cs="Arial"/>
        </w:rPr>
        <w:t>to</w:t>
      </w:r>
      <w:r w:rsidR="00246B60" w:rsidRPr="00AA2928">
        <w:rPr>
          <w:rFonts w:ascii="Arial" w:hAnsi="Arial" w:cs="Arial"/>
        </w:rPr>
        <w:t xml:space="preserve"> include the supplementary high needs funding that was allocated to local authorities in December 2021, following the 2021 spending review.</w:t>
      </w:r>
    </w:p>
    <w:p w14:paraId="176EB6CE" w14:textId="0DAAD465" w:rsidR="00083369" w:rsidRPr="004515C4" w:rsidRDefault="00A41A39" w:rsidP="752E4E0C">
      <w:pPr>
        <w:pStyle w:val="Heading2"/>
        <w:keepNext w:val="0"/>
        <w:tabs>
          <w:tab w:val="clear" w:pos="576"/>
        </w:tabs>
        <w:ind w:left="0" w:hanging="567"/>
        <w:jc w:val="left"/>
        <w:rPr>
          <w:rFonts w:ascii="Arial" w:hAnsi="Arial" w:cs="Arial"/>
        </w:rPr>
      </w:pPr>
      <w:r w:rsidRPr="004515C4">
        <w:rPr>
          <w:rFonts w:ascii="Arial" w:hAnsi="Arial" w:cs="Arial"/>
        </w:rPr>
        <w:t xml:space="preserve">The consultation on the </w:t>
      </w:r>
      <w:bookmarkStart w:id="21" w:name="_Int_WB0hkMx6"/>
      <w:r w:rsidRPr="004515C4">
        <w:rPr>
          <w:rFonts w:ascii="Arial" w:hAnsi="Arial" w:cs="Arial"/>
        </w:rPr>
        <w:t>SEND</w:t>
      </w:r>
      <w:bookmarkEnd w:id="21"/>
      <w:r w:rsidRPr="004515C4">
        <w:rPr>
          <w:rFonts w:ascii="Arial" w:hAnsi="Arial" w:cs="Arial"/>
        </w:rPr>
        <w:t xml:space="preserve"> and Alternative Provision Green Paper close</w:t>
      </w:r>
      <w:r w:rsidR="00F4210F" w:rsidRPr="004515C4">
        <w:rPr>
          <w:rFonts w:ascii="Arial" w:hAnsi="Arial" w:cs="Arial"/>
        </w:rPr>
        <w:t>d</w:t>
      </w:r>
      <w:r w:rsidRPr="004515C4">
        <w:rPr>
          <w:rFonts w:ascii="Arial" w:hAnsi="Arial" w:cs="Arial"/>
        </w:rPr>
        <w:t xml:space="preserve"> on 22 July </w:t>
      </w:r>
      <w:r w:rsidR="007030F3" w:rsidRPr="004515C4">
        <w:rPr>
          <w:rFonts w:ascii="Arial" w:hAnsi="Arial" w:cs="Arial"/>
        </w:rPr>
        <w:t xml:space="preserve">report </w:t>
      </w:r>
      <w:r w:rsidR="00F4210F" w:rsidRPr="004515C4">
        <w:rPr>
          <w:rFonts w:ascii="Arial" w:hAnsi="Arial" w:cs="Arial"/>
        </w:rPr>
        <w:t>and the Government is expected to confirm the next steps in implementing the reform programme later this year.</w:t>
      </w:r>
    </w:p>
    <w:p w14:paraId="4EC69125" w14:textId="3819DD19" w:rsidR="007721D8" w:rsidRPr="00F82ABB" w:rsidRDefault="007721D8" w:rsidP="00CE5A10">
      <w:pPr>
        <w:pStyle w:val="Heading1"/>
        <w:keepNext w:val="0"/>
        <w:tabs>
          <w:tab w:val="clear" w:pos="432"/>
          <w:tab w:val="num" w:pos="0"/>
        </w:tabs>
        <w:spacing w:after="120"/>
        <w:ind w:hanging="858"/>
        <w:jc w:val="left"/>
        <w:rPr>
          <w:rFonts w:ascii="Arial" w:hAnsi="Arial" w:cs="Arial"/>
        </w:rPr>
      </w:pPr>
      <w:r>
        <w:rPr>
          <w:rFonts w:ascii="Arial" w:hAnsi="Arial" w:cs="Arial"/>
        </w:rPr>
        <w:t>High Needs funding – Local impact</w:t>
      </w:r>
    </w:p>
    <w:p w14:paraId="7935213B" w14:textId="0A878EAF" w:rsidR="0047328E" w:rsidRPr="00D41946" w:rsidRDefault="0045157D" w:rsidP="00D41946">
      <w:pPr>
        <w:pStyle w:val="Heading2"/>
        <w:keepNext w:val="0"/>
        <w:tabs>
          <w:tab w:val="clear" w:pos="576"/>
          <w:tab w:val="num" w:pos="0"/>
        </w:tabs>
        <w:ind w:left="0" w:hanging="567"/>
        <w:jc w:val="left"/>
        <w:rPr>
          <w:rFonts w:ascii="Arial" w:hAnsi="Arial" w:cs="Arial"/>
        </w:rPr>
      </w:pPr>
      <w:r w:rsidRPr="001A645B">
        <w:rPr>
          <w:rFonts w:ascii="Arial" w:hAnsi="Arial" w:cs="Arial"/>
        </w:rPr>
        <w:t xml:space="preserve">Compared to the current allocations </w:t>
      </w:r>
      <w:r w:rsidR="00411AA8">
        <w:rPr>
          <w:rFonts w:ascii="Arial" w:hAnsi="Arial" w:cs="Arial"/>
        </w:rPr>
        <w:t>Hampshire is</w:t>
      </w:r>
      <w:r w:rsidRPr="001A645B">
        <w:rPr>
          <w:rFonts w:ascii="Arial" w:hAnsi="Arial" w:cs="Arial"/>
        </w:rPr>
        <w:t xml:space="preserve"> set to gain an </w:t>
      </w:r>
      <w:r w:rsidR="00A10DCC" w:rsidRPr="001A645B">
        <w:rPr>
          <w:rFonts w:ascii="Arial" w:hAnsi="Arial" w:cs="Arial"/>
        </w:rPr>
        <w:t>additional £1</w:t>
      </w:r>
      <w:r w:rsidR="005E3299" w:rsidRPr="001A645B">
        <w:rPr>
          <w:rFonts w:ascii="Arial" w:hAnsi="Arial" w:cs="Arial"/>
        </w:rPr>
        <w:t>2</w:t>
      </w:r>
      <w:r w:rsidR="00F3153B" w:rsidRPr="001A645B">
        <w:rPr>
          <w:rFonts w:ascii="Arial" w:hAnsi="Arial" w:cs="Arial"/>
        </w:rPr>
        <w:t>.</w:t>
      </w:r>
      <w:r w:rsidR="005E3299" w:rsidRPr="001A645B">
        <w:rPr>
          <w:rFonts w:ascii="Arial" w:hAnsi="Arial" w:cs="Arial"/>
        </w:rPr>
        <w:t>4</w:t>
      </w:r>
      <w:r w:rsidR="00F02505" w:rsidRPr="001A645B">
        <w:rPr>
          <w:rFonts w:ascii="Arial" w:hAnsi="Arial" w:cs="Arial"/>
        </w:rPr>
        <w:t xml:space="preserve"> in 202</w:t>
      </w:r>
      <w:r w:rsidR="00965D81" w:rsidRPr="001A645B">
        <w:rPr>
          <w:rFonts w:ascii="Arial" w:hAnsi="Arial" w:cs="Arial"/>
        </w:rPr>
        <w:t>3</w:t>
      </w:r>
      <w:r w:rsidR="00F02505" w:rsidRPr="001A645B">
        <w:rPr>
          <w:rFonts w:ascii="Arial" w:hAnsi="Arial" w:cs="Arial"/>
        </w:rPr>
        <w:t>/2</w:t>
      </w:r>
      <w:r w:rsidR="00965D81" w:rsidRPr="001A645B">
        <w:rPr>
          <w:rFonts w:ascii="Arial" w:hAnsi="Arial" w:cs="Arial"/>
        </w:rPr>
        <w:t>4</w:t>
      </w:r>
      <w:r w:rsidR="00F02505" w:rsidRPr="001A645B">
        <w:rPr>
          <w:rFonts w:ascii="Arial" w:hAnsi="Arial" w:cs="Arial"/>
        </w:rPr>
        <w:t>.</w:t>
      </w:r>
      <w:r w:rsidR="001E0F2A">
        <w:rPr>
          <w:rFonts w:ascii="Arial" w:hAnsi="Arial" w:cs="Arial"/>
        </w:rPr>
        <w:t xml:space="preserve"> </w:t>
      </w:r>
      <w:r w:rsidR="00F02505" w:rsidRPr="001A645B">
        <w:rPr>
          <w:rFonts w:ascii="Arial" w:hAnsi="Arial" w:cs="Arial"/>
        </w:rPr>
        <w:t xml:space="preserve">Most of this gain comes from the population and proxy factors within the formula, </w:t>
      </w:r>
      <w:r w:rsidR="00863458" w:rsidRPr="00863458">
        <w:rPr>
          <w:rFonts w:ascii="Arial" w:hAnsi="Arial" w:cs="Arial"/>
        </w:rPr>
        <w:t>offset by the one-off effect of the supplementary funding received in 2022/23 the funding for which is now included in the overall formula.</w:t>
      </w:r>
      <w:r w:rsidR="00D41946">
        <w:rPr>
          <w:rFonts w:ascii="Arial" w:hAnsi="Arial" w:cs="Arial"/>
        </w:rPr>
        <w:t xml:space="preserve"> </w:t>
      </w:r>
      <w:r w:rsidR="009B1A54" w:rsidRPr="00D41946">
        <w:rPr>
          <w:rFonts w:ascii="Arial" w:hAnsi="Arial" w:cs="Arial"/>
        </w:rPr>
        <w:t>Funding through the basic entitlement factor will be updated in December based on the updated pupil census data</w:t>
      </w:r>
      <w:r w:rsidR="00102C86">
        <w:rPr>
          <w:rFonts w:ascii="Arial" w:hAnsi="Arial" w:cs="Arial"/>
        </w:rPr>
        <w:t>. T</w:t>
      </w:r>
      <w:r w:rsidR="009B1A54" w:rsidRPr="00D41946">
        <w:rPr>
          <w:rFonts w:ascii="Arial" w:hAnsi="Arial" w:cs="Arial"/>
        </w:rPr>
        <w:t xml:space="preserve">he import/export factor will be updated </w:t>
      </w:r>
      <w:r w:rsidR="0049392F" w:rsidRPr="00D41946">
        <w:rPr>
          <w:rFonts w:ascii="Arial" w:hAnsi="Arial" w:cs="Arial"/>
        </w:rPr>
        <w:t xml:space="preserve">in </w:t>
      </w:r>
      <w:r w:rsidR="00CB7362">
        <w:rPr>
          <w:rFonts w:ascii="Arial" w:hAnsi="Arial" w:cs="Arial"/>
        </w:rPr>
        <w:t xml:space="preserve">autumn 2022 </w:t>
      </w:r>
      <w:r w:rsidR="000557A8">
        <w:rPr>
          <w:rFonts w:ascii="Arial" w:hAnsi="Arial" w:cs="Arial"/>
        </w:rPr>
        <w:t xml:space="preserve">following a review </w:t>
      </w:r>
      <w:r w:rsidR="00A9647E">
        <w:rPr>
          <w:rFonts w:ascii="Arial" w:hAnsi="Arial" w:cs="Arial"/>
        </w:rPr>
        <w:t>of</w:t>
      </w:r>
      <w:r w:rsidR="00B27BCD">
        <w:rPr>
          <w:rFonts w:ascii="Arial" w:hAnsi="Arial" w:cs="Arial"/>
        </w:rPr>
        <w:t xml:space="preserve"> the</w:t>
      </w:r>
      <w:r w:rsidR="002734B7">
        <w:rPr>
          <w:rFonts w:ascii="Arial" w:hAnsi="Arial" w:cs="Arial"/>
        </w:rPr>
        <w:t xml:space="preserve"> data supporting the</w:t>
      </w:r>
      <w:r w:rsidR="00B27BCD">
        <w:rPr>
          <w:rFonts w:ascii="Arial" w:hAnsi="Arial" w:cs="Arial"/>
        </w:rPr>
        <w:t xml:space="preserve"> factor</w:t>
      </w:r>
      <w:r w:rsidR="000557A8">
        <w:rPr>
          <w:rFonts w:ascii="Arial" w:hAnsi="Arial" w:cs="Arial"/>
        </w:rPr>
        <w:t xml:space="preserve"> </w:t>
      </w:r>
      <w:r w:rsidR="002071DE">
        <w:rPr>
          <w:rFonts w:ascii="Arial" w:hAnsi="Arial" w:cs="Arial"/>
        </w:rPr>
        <w:t xml:space="preserve">completed </w:t>
      </w:r>
      <w:r w:rsidR="00C174DE">
        <w:rPr>
          <w:rFonts w:ascii="Arial" w:hAnsi="Arial" w:cs="Arial"/>
        </w:rPr>
        <w:t>during summer 2022</w:t>
      </w:r>
      <w:r w:rsidR="00242151">
        <w:rPr>
          <w:rFonts w:ascii="Arial" w:hAnsi="Arial" w:cs="Arial"/>
        </w:rPr>
        <w:t>. Changes to the import/export factor will be made where</w:t>
      </w:r>
      <w:r w:rsidR="002D46E0">
        <w:rPr>
          <w:rFonts w:ascii="Arial" w:hAnsi="Arial" w:cs="Arial"/>
        </w:rPr>
        <w:t xml:space="preserve"> data errors h</w:t>
      </w:r>
      <w:r w:rsidR="002E56C2">
        <w:rPr>
          <w:rFonts w:ascii="Arial" w:hAnsi="Arial" w:cs="Arial"/>
        </w:rPr>
        <w:t xml:space="preserve">ave been agreed </w:t>
      </w:r>
      <w:r w:rsidR="00C24E14">
        <w:rPr>
          <w:rFonts w:ascii="Arial" w:hAnsi="Arial" w:cs="Arial"/>
        </w:rPr>
        <w:t>with other local authorities</w:t>
      </w:r>
      <w:r w:rsidR="0049392F" w:rsidRPr="00D41946">
        <w:rPr>
          <w:rFonts w:ascii="Arial" w:hAnsi="Arial" w:cs="Arial"/>
        </w:rPr>
        <w:t>.</w:t>
      </w:r>
    </w:p>
    <w:p w14:paraId="5EBB9684" w14:textId="24C35DA7" w:rsidR="00952A93" w:rsidRPr="001A645B" w:rsidRDefault="00952A93" w:rsidP="00CE5A10">
      <w:pPr>
        <w:pStyle w:val="Heading2"/>
        <w:keepNext w:val="0"/>
        <w:tabs>
          <w:tab w:val="clear" w:pos="576"/>
          <w:tab w:val="num" w:pos="0"/>
        </w:tabs>
        <w:ind w:left="0" w:hanging="567"/>
        <w:jc w:val="left"/>
        <w:rPr>
          <w:rFonts w:ascii="Arial" w:hAnsi="Arial" w:cs="Arial"/>
        </w:rPr>
      </w:pPr>
      <w:r w:rsidRPr="001A645B">
        <w:rPr>
          <w:rFonts w:ascii="Arial" w:hAnsi="Arial" w:cs="Arial"/>
        </w:rPr>
        <w:t xml:space="preserve">The historic spend, population and other proxy factors are subject to the funding floor and gains cap within the formula. </w:t>
      </w:r>
      <w:r w:rsidR="00411AA8">
        <w:rPr>
          <w:rFonts w:ascii="Arial" w:hAnsi="Arial" w:cs="Arial"/>
        </w:rPr>
        <w:t>Hampshire’s</w:t>
      </w:r>
      <w:r w:rsidR="00A12121" w:rsidRPr="001A645B">
        <w:rPr>
          <w:rFonts w:ascii="Arial" w:hAnsi="Arial" w:cs="Arial"/>
        </w:rPr>
        <w:t xml:space="preserve"> overall gain through these factors </w:t>
      </w:r>
      <w:r w:rsidR="00412EB1">
        <w:rPr>
          <w:rFonts w:ascii="Arial" w:hAnsi="Arial" w:cs="Arial"/>
        </w:rPr>
        <w:t>would have been</w:t>
      </w:r>
      <w:r w:rsidR="00A12121" w:rsidRPr="001A645B">
        <w:rPr>
          <w:rFonts w:ascii="Arial" w:hAnsi="Arial" w:cs="Arial"/>
        </w:rPr>
        <w:t xml:space="preserve"> </w:t>
      </w:r>
      <w:r w:rsidR="00602412" w:rsidRPr="001A645B">
        <w:rPr>
          <w:rFonts w:ascii="Arial" w:hAnsi="Arial" w:cs="Arial"/>
        </w:rPr>
        <w:t>7.5</w:t>
      </w:r>
      <w:r w:rsidR="00C03220" w:rsidRPr="001A645B">
        <w:rPr>
          <w:rFonts w:ascii="Arial" w:hAnsi="Arial" w:cs="Arial"/>
        </w:rPr>
        <w:t xml:space="preserve">% per head of the </w:t>
      </w:r>
      <w:r w:rsidR="00543EE4">
        <w:rPr>
          <w:rFonts w:ascii="Arial" w:hAnsi="Arial" w:cs="Arial"/>
        </w:rPr>
        <w:t xml:space="preserve">2-18 </w:t>
      </w:r>
      <w:r w:rsidR="00C03220" w:rsidRPr="001A645B">
        <w:rPr>
          <w:rFonts w:ascii="Arial" w:hAnsi="Arial" w:cs="Arial"/>
        </w:rPr>
        <w:t>population, b</w:t>
      </w:r>
      <w:r w:rsidR="00B27C8B" w:rsidRPr="001A645B">
        <w:rPr>
          <w:rFonts w:ascii="Arial" w:hAnsi="Arial" w:cs="Arial"/>
        </w:rPr>
        <w:t xml:space="preserve">ut this has been capped at </w:t>
      </w:r>
      <w:r w:rsidR="006851DF" w:rsidRPr="001A645B">
        <w:rPr>
          <w:rFonts w:ascii="Arial" w:hAnsi="Arial" w:cs="Arial"/>
        </w:rPr>
        <w:t>7</w:t>
      </w:r>
      <w:r w:rsidR="00B27C8B" w:rsidRPr="001A645B">
        <w:rPr>
          <w:rFonts w:ascii="Arial" w:hAnsi="Arial" w:cs="Arial"/>
        </w:rPr>
        <w:t>%, which has re</w:t>
      </w:r>
      <w:r w:rsidR="008451A8">
        <w:rPr>
          <w:rFonts w:ascii="Arial" w:hAnsi="Arial" w:cs="Arial"/>
        </w:rPr>
        <w:t>sulted in unrealised</w:t>
      </w:r>
      <w:r w:rsidR="00B27C8B" w:rsidRPr="001A645B">
        <w:rPr>
          <w:rFonts w:ascii="Arial" w:hAnsi="Arial" w:cs="Arial"/>
        </w:rPr>
        <w:t xml:space="preserve"> funding </w:t>
      </w:r>
      <w:r w:rsidR="008451A8">
        <w:rPr>
          <w:rFonts w:ascii="Arial" w:hAnsi="Arial" w:cs="Arial"/>
        </w:rPr>
        <w:t>of</w:t>
      </w:r>
      <w:r w:rsidR="00B27C8B" w:rsidRPr="001A645B">
        <w:rPr>
          <w:rFonts w:ascii="Arial" w:hAnsi="Arial" w:cs="Arial"/>
        </w:rPr>
        <w:t xml:space="preserve"> £</w:t>
      </w:r>
      <w:r w:rsidR="001A645B" w:rsidRPr="001A645B">
        <w:rPr>
          <w:rFonts w:ascii="Arial" w:hAnsi="Arial" w:cs="Arial"/>
        </w:rPr>
        <w:t>0</w:t>
      </w:r>
      <w:r w:rsidR="00B27C8B" w:rsidRPr="001A645B">
        <w:rPr>
          <w:rFonts w:ascii="Arial" w:hAnsi="Arial" w:cs="Arial"/>
        </w:rPr>
        <w:t>.</w:t>
      </w:r>
      <w:r w:rsidR="001A645B" w:rsidRPr="001A645B">
        <w:rPr>
          <w:rFonts w:ascii="Arial" w:hAnsi="Arial" w:cs="Arial"/>
        </w:rPr>
        <w:t>7</w:t>
      </w:r>
      <w:r w:rsidR="00B27C8B" w:rsidRPr="001A645B">
        <w:rPr>
          <w:rFonts w:ascii="Arial" w:hAnsi="Arial" w:cs="Arial"/>
        </w:rPr>
        <w:t>m.</w:t>
      </w:r>
    </w:p>
    <w:p w14:paraId="3943DD48" w14:textId="1BDA6C61" w:rsidR="00F15DAF" w:rsidRPr="00175D4A" w:rsidRDefault="00F42130" w:rsidP="752E4E0C">
      <w:pPr>
        <w:pStyle w:val="Heading2"/>
        <w:keepNext w:val="0"/>
        <w:tabs>
          <w:tab w:val="clear" w:pos="576"/>
        </w:tabs>
        <w:ind w:left="0" w:hanging="567"/>
        <w:jc w:val="left"/>
        <w:rPr>
          <w:rFonts w:ascii="Arial" w:hAnsi="Arial" w:cs="Arial"/>
        </w:rPr>
      </w:pPr>
      <w:r w:rsidRPr="00175D4A">
        <w:rPr>
          <w:rFonts w:ascii="Arial" w:hAnsi="Arial" w:cs="Arial"/>
        </w:rPr>
        <w:t>Recognising the pres</w:t>
      </w:r>
      <w:r w:rsidR="003F4692" w:rsidRPr="00175D4A">
        <w:rPr>
          <w:rFonts w:ascii="Arial" w:hAnsi="Arial" w:cs="Arial"/>
        </w:rPr>
        <w:t>sures faced, i</w:t>
      </w:r>
      <w:r w:rsidR="00F15DAF" w:rsidRPr="00175D4A">
        <w:rPr>
          <w:rFonts w:ascii="Arial" w:hAnsi="Arial" w:cs="Arial"/>
        </w:rPr>
        <w:t xml:space="preserve">t is proposed to increase </w:t>
      </w:r>
      <w:r w:rsidR="005F3AAC" w:rsidRPr="00175D4A">
        <w:rPr>
          <w:rFonts w:ascii="Arial" w:hAnsi="Arial" w:cs="Arial"/>
        </w:rPr>
        <w:t xml:space="preserve">funding for </w:t>
      </w:r>
      <w:r w:rsidR="00D50AA7" w:rsidRPr="00175D4A">
        <w:rPr>
          <w:rFonts w:ascii="Arial" w:hAnsi="Arial" w:cs="Arial"/>
        </w:rPr>
        <w:t>special schools, education centres</w:t>
      </w:r>
      <w:r w:rsidR="002E5631" w:rsidRPr="00175D4A">
        <w:rPr>
          <w:rFonts w:ascii="Arial" w:hAnsi="Arial" w:cs="Arial"/>
        </w:rPr>
        <w:t xml:space="preserve">, </w:t>
      </w:r>
      <w:r w:rsidR="00D50AA7" w:rsidRPr="00175D4A">
        <w:rPr>
          <w:rFonts w:ascii="Arial" w:hAnsi="Arial" w:cs="Arial"/>
        </w:rPr>
        <w:t>resourced provisions</w:t>
      </w:r>
      <w:r w:rsidR="00F154C5" w:rsidRPr="00175D4A">
        <w:rPr>
          <w:rFonts w:ascii="Arial" w:hAnsi="Arial" w:cs="Arial"/>
        </w:rPr>
        <w:t>,</w:t>
      </w:r>
      <w:r w:rsidR="002E5631" w:rsidRPr="00175D4A">
        <w:rPr>
          <w:rFonts w:ascii="Arial" w:hAnsi="Arial" w:cs="Arial"/>
        </w:rPr>
        <w:t xml:space="preserve"> and early years </w:t>
      </w:r>
      <w:bookmarkStart w:id="22" w:name="_Int_5zSki0iq"/>
      <w:r w:rsidR="002E5631" w:rsidRPr="00175D4A">
        <w:rPr>
          <w:rFonts w:ascii="Arial" w:hAnsi="Arial" w:cs="Arial"/>
        </w:rPr>
        <w:t>SEN</w:t>
      </w:r>
      <w:bookmarkEnd w:id="22"/>
      <w:r w:rsidR="002E5631" w:rsidRPr="00175D4A">
        <w:rPr>
          <w:rFonts w:ascii="Arial" w:hAnsi="Arial" w:cs="Arial"/>
        </w:rPr>
        <w:t xml:space="preserve"> hub places</w:t>
      </w:r>
      <w:r w:rsidR="005F3AAC" w:rsidRPr="00175D4A">
        <w:rPr>
          <w:rFonts w:ascii="Arial" w:hAnsi="Arial" w:cs="Arial"/>
        </w:rPr>
        <w:t xml:space="preserve"> by </w:t>
      </w:r>
      <w:r w:rsidR="002E5631" w:rsidRPr="00175D4A">
        <w:rPr>
          <w:rFonts w:ascii="Arial" w:hAnsi="Arial" w:cs="Arial"/>
        </w:rPr>
        <w:t>1.</w:t>
      </w:r>
      <w:r w:rsidR="001C03E6" w:rsidRPr="00175D4A">
        <w:rPr>
          <w:rFonts w:ascii="Arial" w:hAnsi="Arial" w:cs="Arial"/>
        </w:rPr>
        <w:t>9</w:t>
      </w:r>
      <w:r w:rsidR="002D38CF" w:rsidRPr="00175D4A">
        <w:rPr>
          <w:rFonts w:ascii="Arial" w:hAnsi="Arial" w:cs="Arial"/>
        </w:rPr>
        <w:t>%</w:t>
      </w:r>
      <w:r w:rsidR="00F914C5" w:rsidRPr="00175D4A">
        <w:rPr>
          <w:rFonts w:ascii="Arial" w:hAnsi="Arial" w:cs="Arial"/>
        </w:rPr>
        <w:t xml:space="preserve"> next year</w:t>
      </w:r>
      <w:r w:rsidR="006638DF" w:rsidRPr="00175D4A">
        <w:rPr>
          <w:rFonts w:ascii="Arial" w:hAnsi="Arial" w:cs="Arial"/>
        </w:rPr>
        <w:t xml:space="preserve"> </w:t>
      </w:r>
      <w:r w:rsidR="00175D4A" w:rsidRPr="00175D4A">
        <w:rPr>
          <w:rFonts w:ascii="Arial" w:hAnsi="Arial" w:cs="Arial"/>
        </w:rPr>
        <w:t>in line</w:t>
      </w:r>
      <w:r w:rsidR="006638DF" w:rsidRPr="00175D4A">
        <w:rPr>
          <w:rFonts w:ascii="Arial" w:hAnsi="Arial" w:cs="Arial"/>
        </w:rPr>
        <w:t xml:space="preserve"> with the NFF increase to mainstream provisions</w:t>
      </w:r>
      <w:r w:rsidR="00F914C5" w:rsidRPr="00175D4A">
        <w:rPr>
          <w:rFonts w:ascii="Arial" w:hAnsi="Arial" w:cs="Arial"/>
        </w:rPr>
        <w:t>.</w:t>
      </w:r>
      <w:r w:rsidR="003927DF" w:rsidRPr="00175D4A">
        <w:rPr>
          <w:rFonts w:ascii="Arial" w:hAnsi="Arial" w:cs="Arial"/>
        </w:rPr>
        <w:t xml:space="preserve"> </w:t>
      </w:r>
      <w:r w:rsidR="0017488A" w:rsidRPr="00175D4A">
        <w:rPr>
          <w:rFonts w:ascii="Arial" w:hAnsi="Arial" w:cs="Arial"/>
        </w:rPr>
        <w:t xml:space="preserve">This increase </w:t>
      </w:r>
      <w:r w:rsidR="000B6C13" w:rsidRPr="00175D4A">
        <w:rPr>
          <w:rFonts w:ascii="Arial" w:hAnsi="Arial" w:cs="Arial"/>
        </w:rPr>
        <w:t xml:space="preserve">will be </w:t>
      </w:r>
      <w:r w:rsidR="008E4D1D" w:rsidRPr="00175D4A">
        <w:rPr>
          <w:rFonts w:ascii="Arial" w:hAnsi="Arial" w:cs="Arial"/>
        </w:rPr>
        <w:t xml:space="preserve">added to the top-up funding unit values but is calculated based on </w:t>
      </w:r>
      <w:r w:rsidR="0017488A" w:rsidRPr="00175D4A">
        <w:rPr>
          <w:rFonts w:ascii="Arial" w:hAnsi="Arial" w:cs="Arial"/>
        </w:rPr>
        <w:t xml:space="preserve">place and </w:t>
      </w:r>
      <w:r w:rsidR="00AD7380" w:rsidRPr="00175D4A">
        <w:rPr>
          <w:rFonts w:ascii="Arial" w:hAnsi="Arial" w:cs="Arial"/>
        </w:rPr>
        <w:t>top-up funding unit values</w:t>
      </w:r>
      <w:bookmarkStart w:id="23" w:name="_Int_RfmhDFu6"/>
      <w:r w:rsidR="005D6A35" w:rsidRPr="00175D4A">
        <w:rPr>
          <w:rFonts w:ascii="Arial" w:hAnsi="Arial" w:cs="Arial"/>
        </w:rPr>
        <w:t xml:space="preserve">.  </w:t>
      </w:r>
      <w:bookmarkEnd w:id="23"/>
      <w:r w:rsidR="005D6A35" w:rsidRPr="00175D4A">
        <w:rPr>
          <w:rFonts w:ascii="Arial" w:hAnsi="Arial" w:cs="Arial"/>
        </w:rPr>
        <w:t xml:space="preserve">For special </w:t>
      </w:r>
      <w:r w:rsidR="005D6A35" w:rsidRPr="00175D4A">
        <w:rPr>
          <w:rFonts w:ascii="Arial" w:hAnsi="Arial" w:cs="Arial"/>
        </w:rPr>
        <w:lastRenderedPageBreak/>
        <w:t xml:space="preserve">schools, this increase is </w:t>
      </w:r>
      <w:r w:rsidR="00766C36" w:rsidRPr="00175D4A">
        <w:rPr>
          <w:rFonts w:ascii="Arial" w:hAnsi="Arial" w:cs="Arial"/>
        </w:rPr>
        <w:t>calculated based on the place and step top-up unit values.</w:t>
      </w:r>
    </w:p>
    <w:p w14:paraId="589D1DD0" w14:textId="139FD90C" w:rsidR="00123673" w:rsidRPr="00EC6498" w:rsidRDefault="004A2BCD" w:rsidP="00A828AC">
      <w:pPr>
        <w:pStyle w:val="Heading2"/>
        <w:keepNext w:val="0"/>
        <w:tabs>
          <w:tab w:val="clear" w:pos="576"/>
          <w:tab w:val="num" w:pos="0"/>
        </w:tabs>
        <w:ind w:left="0" w:hanging="567"/>
        <w:jc w:val="left"/>
        <w:rPr>
          <w:rFonts w:ascii="Arial" w:hAnsi="Arial" w:cs="Arial"/>
          <w:color w:val="FF0000"/>
        </w:rPr>
      </w:pPr>
      <w:r w:rsidRPr="00175D4A">
        <w:rPr>
          <w:rFonts w:ascii="Arial" w:hAnsi="Arial" w:cs="Arial"/>
        </w:rPr>
        <w:t>The remaining balance of additional funding will be allocated across the High Needs Block</w:t>
      </w:r>
      <w:r w:rsidR="006B6B28" w:rsidRPr="00175D4A">
        <w:rPr>
          <w:rFonts w:ascii="Arial" w:hAnsi="Arial" w:cs="Arial"/>
        </w:rPr>
        <w:t xml:space="preserve"> according to need. Despite</w:t>
      </w:r>
      <w:r w:rsidR="007B5CDC" w:rsidRPr="00175D4A">
        <w:rPr>
          <w:rFonts w:ascii="Arial" w:hAnsi="Arial" w:cs="Arial"/>
        </w:rPr>
        <w:t xml:space="preserve"> the increase in funding, pressures are still expected to continue in future years</w:t>
      </w:r>
      <w:r w:rsidR="00E60278" w:rsidRPr="00EC6498">
        <w:rPr>
          <w:rFonts w:ascii="Arial" w:hAnsi="Arial" w:cs="Arial"/>
          <w:color w:val="FF0000"/>
        </w:rPr>
        <w:t>.</w:t>
      </w:r>
    </w:p>
    <w:p w14:paraId="7A77AA7E" w14:textId="35795008" w:rsidR="00B152C6" w:rsidRDefault="003B6084" w:rsidP="00E60278">
      <w:pPr>
        <w:pStyle w:val="Heading1"/>
        <w:keepNext w:val="0"/>
        <w:tabs>
          <w:tab w:val="clear" w:pos="432"/>
          <w:tab w:val="num" w:pos="0"/>
        </w:tabs>
        <w:spacing w:after="120"/>
        <w:ind w:hanging="858"/>
        <w:jc w:val="left"/>
        <w:rPr>
          <w:rFonts w:ascii="Arial" w:hAnsi="Arial" w:cs="Arial"/>
        </w:rPr>
      </w:pPr>
      <w:r>
        <w:rPr>
          <w:rFonts w:ascii="Arial" w:hAnsi="Arial" w:cs="Arial"/>
        </w:rPr>
        <w:t>Central School Services Block</w:t>
      </w:r>
      <w:r w:rsidR="00640907">
        <w:rPr>
          <w:rFonts w:ascii="Arial" w:hAnsi="Arial" w:cs="Arial"/>
        </w:rPr>
        <w:t xml:space="preserve"> - Overview</w:t>
      </w:r>
    </w:p>
    <w:p w14:paraId="3E0E8315" w14:textId="09EA47D2" w:rsidR="00640907" w:rsidRPr="00CC53F3" w:rsidRDefault="00E0775E" w:rsidP="00E60278">
      <w:pPr>
        <w:pStyle w:val="Heading2"/>
        <w:keepNext w:val="0"/>
        <w:tabs>
          <w:tab w:val="clear" w:pos="576"/>
          <w:tab w:val="num" w:pos="0"/>
        </w:tabs>
        <w:ind w:left="0" w:hanging="567"/>
        <w:jc w:val="left"/>
        <w:rPr>
          <w:rFonts w:ascii="Arial" w:hAnsi="Arial" w:cs="Arial"/>
        </w:rPr>
      </w:pPr>
      <w:r w:rsidRPr="00CC53F3">
        <w:rPr>
          <w:rFonts w:ascii="Arial" w:hAnsi="Arial" w:cs="Arial"/>
        </w:rPr>
        <w:t xml:space="preserve">The funding within this block </w:t>
      </w:r>
      <w:r w:rsidR="00F26FD9" w:rsidRPr="00CC53F3">
        <w:rPr>
          <w:rFonts w:ascii="Arial" w:hAnsi="Arial" w:cs="Arial"/>
        </w:rPr>
        <w:t>comprise</w:t>
      </w:r>
      <w:r w:rsidR="00A15554" w:rsidRPr="00CC53F3">
        <w:rPr>
          <w:rFonts w:ascii="Arial" w:hAnsi="Arial" w:cs="Arial"/>
        </w:rPr>
        <w:t>s</w:t>
      </w:r>
      <w:r w:rsidR="00F26FD9" w:rsidRPr="00CC53F3">
        <w:rPr>
          <w:rFonts w:ascii="Arial" w:hAnsi="Arial" w:cs="Arial"/>
        </w:rPr>
        <w:t xml:space="preserve"> of two distinct elements: funding for historic commitments and funding for on-going responsibilities.</w:t>
      </w:r>
    </w:p>
    <w:p w14:paraId="7BD1F6C3" w14:textId="6A49FA03" w:rsidR="005B716F" w:rsidRPr="001E7E0D" w:rsidRDefault="000D2870" w:rsidP="00E60278">
      <w:pPr>
        <w:pStyle w:val="Heading2"/>
        <w:keepNext w:val="0"/>
        <w:tabs>
          <w:tab w:val="clear" w:pos="576"/>
          <w:tab w:val="num" w:pos="0"/>
        </w:tabs>
        <w:ind w:left="0" w:hanging="567"/>
        <w:jc w:val="left"/>
        <w:rPr>
          <w:rFonts w:ascii="Arial" w:hAnsi="Arial" w:cs="Arial"/>
        </w:rPr>
      </w:pPr>
      <w:r w:rsidRPr="001E7E0D">
        <w:rPr>
          <w:rFonts w:ascii="Arial" w:hAnsi="Arial" w:cs="Arial"/>
        </w:rPr>
        <w:t xml:space="preserve">The formula for allocating </w:t>
      </w:r>
      <w:r w:rsidR="006E3EAD" w:rsidRPr="001E7E0D">
        <w:rPr>
          <w:rFonts w:ascii="Arial" w:hAnsi="Arial" w:cs="Arial"/>
        </w:rPr>
        <w:t>funding for on-going responsibilities</w:t>
      </w:r>
      <w:r w:rsidR="00C108AE" w:rsidRPr="001E7E0D">
        <w:rPr>
          <w:rFonts w:ascii="Arial" w:hAnsi="Arial" w:cs="Arial"/>
        </w:rPr>
        <w:t xml:space="preserve"> sees t</w:t>
      </w:r>
      <w:r w:rsidR="00056F5C" w:rsidRPr="001E7E0D">
        <w:rPr>
          <w:rFonts w:ascii="Arial" w:hAnsi="Arial" w:cs="Arial"/>
        </w:rPr>
        <w:t>he maximum year on year reduction remain at 2.5%</w:t>
      </w:r>
      <w:r w:rsidR="000765CF" w:rsidRPr="001E7E0D">
        <w:rPr>
          <w:rFonts w:ascii="Arial" w:hAnsi="Arial" w:cs="Arial"/>
        </w:rPr>
        <w:t xml:space="preserve"> </w:t>
      </w:r>
      <w:r w:rsidR="00C108AE" w:rsidRPr="001E7E0D">
        <w:rPr>
          <w:rFonts w:ascii="Arial" w:hAnsi="Arial" w:cs="Arial"/>
        </w:rPr>
        <w:t>but</w:t>
      </w:r>
      <w:r w:rsidR="008F753A" w:rsidRPr="001E7E0D">
        <w:rPr>
          <w:rFonts w:ascii="Arial" w:hAnsi="Arial" w:cs="Arial"/>
        </w:rPr>
        <w:t xml:space="preserve"> the gains cap has been set at 5.</w:t>
      </w:r>
      <w:r w:rsidR="005259B5" w:rsidRPr="001E7E0D">
        <w:rPr>
          <w:rFonts w:ascii="Arial" w:hAnsi="Arial" w:cs="Arial"/>
        </w:rPr>
        <w:t>8</w:t>
      </w:r>
      <w:r w:rsidR="008F753A" w:rsidRPr="001E7E0D">
        <w:rPr>
          <w:rFonts w:ascii="Arial" w:hAnsi="Arial" w:cs="Arial"/>
        </w:rPr>
        <w:t>6%.</w:t>
      </w:r>
    </w:p>
    <w:p w14:paraId="10A73D15" w14:textId="54876242" w:rsidR="00F90D13" w:rsidRPr="00801D15" w:rsidRDefault="00F90D13" w:rsidP="00E60278">
      <w:pPr>
        <w:pStyle w:val="Heading2"/>
        <w:keepNext w:val="0"/>
        <w:tabs>
          <w:tab w:val="clear" w:pos="576"/>
          <w:tab w:val="num" w:pos="0"/>
        </w:tabs>
        <w:ind w:left="0" w:hanging="567"/>
        <w:jc w:val="left"/>
        <w:rPr>
          <w:rFonts w:ascii="Arial" w:hAnsi="Arial" w:cs="Arial"/>
        </w:rPr>
      </w:pPr>
      <w:r w:rsidRPr="00801D15">
        <w:rPr>
          <w:rFonts w:ascii="Arial" w:hAnsi="Arial" w:cs="Arial"/>
        </w:rPr>
        <w:t xml:space="preserve">The funding for historic commitments </w:t>
      </w:r>
      <w:r w:rsidR="0026091F" w:rsidRPr="00801D15">
        <w:rPr>
          <w:rFonts w:ascii="Arial" w:hAnsi="Arial" w:cs="Arial"/>
        </w:rPr>
        <w:t>continues to</w:t>
      </w:r>
      <w:r w:rsidRPr="00801D15">
        <w:rPr>
          <w:rFonts w:ascii="Arial" w:hAnsi="Arial" w:cs="Arial"/>
        </w:rPr>
        <w:t xml:space="preserve"> reduc</w:t>
      </w:r>
      <w:r w:rsidR="0026091F" w:rsidRPr="00801D15">
        <w:rPr>
          <w:rFonts w:ascii="Arial" w:hAnsi="Arial" w:cs="Arial"/>
        </w:rPr>
        <w:t>e</w:t>
      </w:r>
      <w:r w:rsidRPr="00801D15">
        <w:rPr>
          <w:rFonts w:ascii="Arial" w:hAnsi="Arial" w:cs="Arial"/>
        </w:rPr>
        <w:t xml:space="preserve"> by a further 20%, on 202</w:t>
      </w:r>
      <w:r w:rsidR="0026091F" w:rsidRPr="00801D15">
        <w:rPr>
          <w:rFonts w:ascii="Arial" w:hAnsi="Arial" w:cs="Arial"/>
        </w:rPr>
        <w:t>2</w:t>
      </w:r>
      <w:r w:rsidRPr="00801D15">
        <w:rPr>
          <w:rFonts w:ascii="Arial" w:hAnsi="Arial" w:cs="Arial"/>
        </w:rPr>
        <w:t>/2</w:t>
      </w:r>
      <w:r w:rsidR="0026091F" w:rsidRPr="00801D15">
        <w:rPr>
          <w:rFonts w:ascii="Arial" w:hAnsi="Arial" w:cs="Arial"/>
        </w:rPr>
        <w:t>3</w:t>
      </w:r>
      <w:r w:rsidRPr="00801D15">
        <w:rPr>
          <w:rFonts w:ascii="Arial" w:hAnsi="Arial" w:cs="Arial"/>
        </w:rPr>
        <w:t xml:space="preserve"> baselines.</w:t>
      </w:r>
      <w:r w:rsidR="007833C4" w:rsidRPr="00801D15">
        <w:rPr>
          <w:rFonts w:ascii="Arial" w:hAnsi="Arial" w:cs="Arial"/>
        </w:rPr>
        <w:t xml:space="preserve"> Protection is being provided to those local authorities whose reduction in funding would </w:t>
      </w:r>
      <w:r w:rsidR="00263A2B" w:rsidRPr="00801D15">
        <w:rPr>
          <w:rFonts w:ascii="Arial" w:hAnsi="Arial" w:cs="Arial"/>
        </w:rPr>
        <w:t xml:space="preserve">cause their total historic commitment funding to fall below the cost of funding </w:t>
      </w:r>
      <w:r w:rsidR="00093072" w:rsidRPr="00801D15">
        <w:rPr>
          <w:rFonts w:ascii="Arial" w:hAnsi="Arial" w:cs="Arial"/>
        </w:rPr>
        <w:t>on-going prudential borrowing and termination of employment costs</w:t>
      </w:r>
      <w:r w:rsidR="004D008B" w:rsidRPr="00801D15">
        <w:rPr>
          <w:rFonts w:ascii="Arial" w:hAnsi="Arial" w:cs="Arial"/>
        </w:rPr>
        <w:t>, due to the long lead</w:t>
      </w:r>
      <w:r w:rsidR="004F2C1D" w:rsidRPr="00801D15">
        <w:rPr>
          <w:rFonts w:ascii="Arial" w:hAnsi="Arial" w:cs="Arial"/>
        </w:rPr>
        <w:t>-in times for these costs to unwind.</w:t>
      </w:r>
    </w:p>
    <w:p w14:paraId="4BF7A4F1" w14:textId="1EC00803" w:rsidR="00E0137E" w:rsidRPr="00197106" w:rsidRDefault="006B039A" w:rsidP="00E60278">
      <w:pPr>
        <w:pStyle w:val="Heading2"/>
        <w:keepNext w:val="0"/>
        <w:tabs>
          <w:tab w:val="clear" w:pos="576"/>
          <w:tab w:val="num" w:pos="0"/>
        </w:tabs>
        <w:ind w:left="0" w:hanging="567"/>
        <w:jc w:val="left"/>
        <w:rPr>
          <w:rFonts w:ascii="Arial" w:hAnsi="Arial" w:cs="Arial"/>
        </w:rPr>
      </w:pPr>
      <w:r w:rsidRPr="00197106">
        <w:rPr>
          <w:rFonts w:ascii="Arial" w:hAnsi="Arial" w:cs="Arial"/>
        </w:rPr>
        <w:t>T</w:t>
      </w:r>
      <w:r w:rsidR="00A85764" w:rsidRPr="00197106">
        <w:rPr>
          <w:rFonts w:ascii="Arial" w:hAnsi="Arial" w:cs="Arial"/>
        </w:rPr>
        <w:t xml:space="preserve">he </w:t>
      </w:r>
      <w:r w:rsidRPr="00197106">
        <w:rPr>
          <w:rFonts w:ascii="Arial" w:hAnsi="Arial" w:cs="Arial"/>
        </w:rPr>
        <w:t>DfE</w:t>
      </w:r>
      <w:r w:rsidR="00A85764" w:rsidRPr="00197106">
        <w:rPr>
          <w:rFonts w:ascii="Arial" w:hAnsi="Arial" w:cs="Arial"/>
        </w:rPr>
        <w:t xml:space="preserve"> </w:t>
      </w:r>
      <w:r w:rsidR="00197106" w:rsidRPr="00197106">
        <w:rPr>
          <w:rFonts w:ascii="Arial" w:hAnsi="Arial" w:cs="Arial"/>
        </w:rPr>
        <w:t xml:space="preserve">still </w:t>
      </w:r>
      <w:r w:rsidR="00A85764" w:rsidRPr="00197106">
        <w:rPr>
          <w:rFonts w:ascii="Arial" w:hAnsi="Arial" w:cs="Arial"/>
        </w:rPr>
        <w:t xml:space="preserve">intends to review how central services are funded in future, as set out in the response to </w:t>
      </w:r>
      <w:r w:rsidRPr="00197106">
        <w:rPr>
          <w:rFonts w:ascii="Arial" w:hAnsi="Arial" w:cs="Arial"/>
        </w:rPr>
        <w:t xml:space="preserve">the </w:t>
      </w:r>
      <w:r w:rsidR="00A85764" w:rsidRPr="00197106">
        <w:rPr>
          <w:rFonts w:ascii="Arial" w:hAnsi="Arial" w:cs="Arial"/>
        </w:rPr>
        <w:t xml:space="preserve">consultation on Reforms to the National Funding Formula, </w:t>
      </w:r>
      <w:r w:rsidR="00197106" w:rsidRPr="00197106">
        <w:rPr>
          <w:rFonts w:ascii="Arial" w:hAnsi="Arial" w:cs="Arial"/>
        </w:rPr>
        <w:t xml:space="preserve">but </w:t>
      </w:r>
      <w:r w:rsidR="00A85764" w:rsidRPr="00197106">
        <w:rPr>
          <w:rFonts w:ascii="Arial" w:hAnsi="Arial" w:cs="Arial"/>
        </w:rPr>
        <w:t>any changes will be for future years.</w:t>
      </w:r>
    </w:p>
    <w:p w14:paraId="0084CFB1" w14:textId="6F9979E3" w:rsidR="00870C78" w:rsidRPr="00BA5766" w:rsidRDefault="008D44EB" w:rsidP="00D2559E">
      <w:pPr>
        <w:pStyle w:val="Heading1"/>
        <w:keepNext w:val="0"/>
        <w:tabs>
          <w:tab w:val="clear" w:pos="432"/>
        </w:tabs>
        <w:spacing w:after="120"/>
        <w:ind w:left="0" w:hanging="426"/>
        <w:jc w:val="left"/>
        <w:rPr>
          <w:rFonts w:ascii="Arial" w:hAnsi="Arial" w:cs="Arial"/>
        </w:rPr>
      </w:pPr>
      <w:r w:rsidRPr="00BA5766">
        <w:rPr>
          <w:rFonts w:ascii="Arial" w:hAnsi="Arial" w:cs="Arial"/>
        </w:rPr>
        <w:t>Central School Services Block – local impact</w:t>
      </w:r>
    </w:p>
    <w:p w14:paraId="0F11A62F" w14:textId="06090580" w:rsidR="00426F66" w:rsidRPr="00410298" w:rsidRDefault="00426F66" w:rsidP="00D2559E">
      <w:pPr>
        <w:pStyle w:val="Heading2"/>
        <w:keepNext w:val="0"/>
        <w:tabs>
          <w:tab w:val="clear" w:pos="576"/>
          <w:tab w:val="num" w:pos="0"/>
        </w:tabs>
        <w:ind w:left="0" w:hanging="567"/>
        <w:jc w:val="left"/>
        <w:rPr>
          <w:rFonts w:ascii="Arial" w:hAnsi="Arial" w:cs="Arial"/>
        </w:rPr>
      </w:pPr>
      <w:r w:rsidRPr="00410298">
        <w:rPr>
          <w:rFonts w:ascii="Arial" w:hAnsi="Arial" w:cs="Arial"/>
        </w:rPr>
        <w:t>The provisional allocations show a reduction of £1</w:t>
      </w:r>
      <w:r w:rsidR="0068069D" w:rsidRPr="00410298">
        <w:rPr>
          <w:rFonts w:ascii="Arial" w:hAnsi="Arial" w:cs="Arial"/>
        </w:rPr>
        <w:t>5</w:t>
      </w:r>
      <w:r w:rsidR="00552F03" w:rsidRPr="00410298">
        <w:rPr>
          <w:rFonts w:ascii="Arial" w:hAnsi="Arial" w:cs="Arial"/>
        </w:rPr>
        <w:t>7</w:t>
      </w:r>
      <w:r w:rsidRPr="00410298">
        <w:rPr>
          <w:rFonts w:ascii="Arial" w:hAnsi="Arial" w:cs="Arial"/>
        </w:rPr>
        <w:t>,000</w:t>
      </w:r>
      <w:r w:rsidR="001406EB" w:rsidRPr="00410298">
        <w:rPr>
          <w:rFonts w:ascii="Arial" w:hAnsi="Arial" w:cs="Arial"/>
        </w:rPr>
        <w:t xml:space="preserve"> for 202</w:t>
      </w:r>
      <w:r w:rsidR="0068069D" w:rsidRPr="00410298">
        <w:rPr>
          <w:rFonts w:ascii="Arial" w:hAnsi="Arial" w:cs="Arial"/>
        </w:rPr>
        <w:t>3</w:t>
      </w:r>
      <w:r w:rsidR="001406EB" w:rsidRPr="00410298">
        <w:rPr>
          <w:rFonts w:ascii="Arial" w:hAnsi="Arial" w:cs="Arial"/>
        </w:rPr>
        <w:t>/2</w:t>
      </w:r>
      <w:r w:rsidR="0068069D" w:rsidRPr="00410298">
        <w:rPr>
          <w:rFonts w:ascii="Arial" w:hAnsi="Arial" w:cs="Arial"/>
        </w:rPr>
        <w:t>4</w:t>
      </w:r>
      <w:r w:rsidR="001406EB" w:rsidRPr="00410298">
        <w:rPr>
          <w:rFonts w:ascii="Arial" w:hAnsi="Arial" w:cs="Arial"/>
        </w:rPr>
        <w:t>. This is made up of an increase to the funding for on-going functions</w:t>
      </w:r>
      <w:r w:rsidR="00994583" w:rsidRPr="00410298">
        <w:rPr>
          <w:rFonts w:ascii="Arial" w:hAnsi="Arial" w:cs="Arial"/>
        </w:rPr>
        <w:t xml:space="preserve"> of £</w:t>
      </w:r>
      <w:r w:rsidR="0068069D" w:rsidRPr="00410298">
        <w:rPr>
          <w:rFonts w:ascii="Arial" w:hAnsi="Arial" w:cs="Arial"/>
        </w:rPr>
        <w:t>151</w:t>
      </w:r>
      <w:r w:rsidR="00994583" w:rsidRPr="00410298">
        <w:rPr>
          <w:rFonts w:ascii="Arial" w:hAnsi="Arial" w:cs="Arial"/>
        </w:rPr>
        <w:t>,000</w:t>
      </w:r>
      <w:r w:rsidR="00F066DB">
        <w:rPr>
          <w:rFonts w:ascii="Arial" w:hAnsi="Arial" w:cs="Arial"/>
        </w:rPr>
        <w:t xml:space="preserve"> (2.3%)</w:t>
      </w:r>
      <w:r w:rsidR="003474AC" w:rsidRPr="00410298">
        <w:rPr>
          <w:rFonts w:ascii="Arial" w:hAnsi="Arial" w:cs="Arial"/>
        </w:rPr>
        <w:t xml:space="preserve"> offset by a reduction of £3</w:t>
      </w:r>
      <w:r w:rsidR="009D0534" w:rsidRPr="00410298">
        <w:rPr>
          <w:rFonts w:ascii="Arial" w:hAnsi="Arial" w:cs="Arial"/>
        </w:rPr>
        <w:t>0</w:t>
      </w:r>
      <w:r w:rsidR="00552F03" w:rsidRPr="00410298">
        <w:rPr>
          <w:rFonts w:ascii="Arial" w:hAnsi="Arial" w:cs="Arial"/>
        </w:rPr>
        <w:t>8</w:t>
      </w:r>
      <w:r w:rsidR="003474AC" w:rsidRPr="00410298">
        <w:rPr>
          <w:rFonts w:ascii="Arial" w:hAnsi="Arial" w:cs="Arial"/>
        </w:rPr>
        <w:t>,000</w:t>
      </w:r>
      <w:r w:rsidR="00902C78" w:rsidRPr="00410298">
        <w:rPr>
          <w:rFonts w:ascii="Arial" w:hAnsi="Arial" w:cs="Arial"/>
        </w:rPr>
        <w:t xml:space="preserve"> (-20%)</w:t>
      </w:r>
      <w:r w:rsidR="003474AC" w:rsidRPr="00410298">
        <w:rPr>
          <w:rFonts w:ascii="Arial" w:hAnsi="Arial" w:cs="Arial"/>
        </w:rPr>
        <w:t xml:space="preserve"> to the historic commitments.</w:t>
      </w:r>
    </w:p>
    <w:p w14:paraId="2B0B4903" w14:textId="5173D18E" w:rsidR="008B1CDD" w:rsidRPr="00410298" w:rsidRDefault="008B1CDD" w:rsidP="00D2559E">
      <w:pPr>
        <w:pStyle w:val="Heading2"/>
        <w:keepNext w:val="0"/>
        <w:tabs>
          <w:tab w:val="clear" w:pos="576"/>
          <w:tab w:val="num" w:pos="0"/>
        </w:tabs>
        <w:ind w:left="0" w:hanging="567"/>
        <w:jc w:val="left"/>
        <w:rPr>
          <w:rFonts w:ascii="Arial" w:hAnsi="Arial" w:cs="Arial"/>
        </w:rPr>
      </w:pPr>
      <w:r w:rsidRPr="00410298">
        <w:rPr>
          <w:rFonts w:ascii="Arial" w:hAnsi="Arial" w:cs="Arial"/>
        </w:rPr>
        <w:t>The allocation will be updated in December based on the October 202</w:t>
      </w:r>
      <w:r w:rsidR="00A11CF3" w:rsidRPr="00410298">
        <w:rPr>
          <w:rFonts w:ascii="Arial" w:hAnsi="Arial" w:cs="Arial"/>
        </w:rPr>
        <w:t>2</w:t>
      </w:r>
      <w:r w:rsidR="00C80DF7" w:rsidRPr="00410298">
        <w:rPr>
          <w:rFonts w:ascii="Arial" w:hAnsi="Arial" w:cs="Arial"/>
        </w:rPr>
        <w:t xml:space="preserve"> </w:t>
      </w:r>
      <w:r w:rsidRPr="00410298">
        <w:rPr>
          <w:rFonts w:ascii="Arial" w:hAnsi="Arial" w:cs="Arial"/>
        </w:rPr>
        <w:t xml:space="preserve">pupil census numbers, so </w:t>
      </w:r>
      <w:r w:rsidR="0075075F">
        <w:rPr>
          <w:rFonts w:ascii="Arial" w:hAnsi="Arial" w:cs="Arial"/>
        </w:rPr>
        <w:t>Hampshire’s</w:t>
      </w:r>
      <w:r w:rsidRPr="00410298">
        <w:rPr>
          <w:rFonts w:ascii="Arial" w:hAnsi="Arial" w:cs="Arial"/>
        </w:rPr>
        <w:t xml:space="preserve"> allocation will increase or decrease</w:t>
      </w:r>
      <w:r w:rsidR="00E534D3" w:rsidRPr="00410298">
        <w:rPr>
          <w:rFonts w:ascii="Arial" w:hAnsi="Arial" w:cs="Arial"/>
        </w:rPr>
        <w:t xml:space="preserve"> depending on the change in pupil numbers from 20</w:t>
      </w:r>
      <w:r w:rsidR="00C80DF7" w:rsidRPr="00410298">
        <w:rPr>
          <w:rFonts w:ascii="Arial" w:hAnsi="Arial" w:cs="Arial"/>
        </w:rPr>
        <w:t>2</w:t>
      </w:r>
      <w:r w:rsidR="004634F4" w:rsidRPr="00410298">
        <w:rPr>
          <w:rFonts w:ascii="Arial" w:hAnsi="Arial" w:cs="Arial"/>
        </w:rPr>
        <w:t>1</w:t>
      </w:r>
      <w:r w:rsidR="00E534D3" w:rsidRPr="00410298">
        <w:rPr>
          <w:rFonts w:ascii="Arial" w:hAnsi="Arial" w:cs="Arial"/>
        </w:rPr>
        <w:t>.</w:t>
      </w:r>
    </w:p>
    <w:p w14:paraId="0A28D214" w14:textId="41087C79" w:rsidR="00812E1F" w:rsidRPr="00410298" w:rsidRDefault="00812E1F" w:rsidP="752E4E0C">
      <w:pPr>
        <w:pStyle w:val="Heading2"/>
        <w:keepNext w:val="0"/>
        <w:tabs>
          <w:tab w:val="clear" w:pos="576"/>
        </w:tabs>
        <w:ind w:left="0" w:hanging="567"/>
        <w:jc w:val="left"/>
        <w:rPr>
          <w:rFonts w:ascii="Arial" w:hAnsi="Arial" w:cs="Arial"/>
        </w:rPr>
      </w:pPr>
      <w:r w:rsidRPr="00410298">
        <w:rPr>
          <w:rFonts w:ascii="Arial" w:hAnsi="Arial" w:cs="Arial"/>
        </w:rPr>
        <w:t>The budget for the block will continue to be set in line with the allocation. Due to the reduction in funding</w:t>
      </w:r>
      <w:r w:rsidR="00D36C08" w:rsidRPr="00410298">
        <w:rPr>
          <w:rFonts w:ascii="Arial" w:hAnsi="Arial" w:cs="Arial"/>
        </w:rPr>
        <w:t>,</w:t>
      </w:r>
      <w:r w:rsidR="0069330D" w:rsidRPr="00410298">
        <w:rPr>
          <w:rFonts w:ascii="Arial" w:hAnsi="Arial" w:cs="Arial"/>
        </w:rPr>
        <w:t xml:space="preserve"> </w:t>
      </w:r>
      <w:r w:rsidR="00F146DF" w:rsidRPr="00410298">
        <w:rPr>
          <w:rFonts w:ascii="Arial" w:hAnsi="Arial" w:cs="Arial"/>
        </w:rPr>
        <w:t xml:space="preserve">NEET and </w:t>
      </w:r>
      <w:bookmarkStart w:id="24" w:name="_Int_oAXnsBYh"/>
      <w:r w:rsidR="00F146DF" w:rsidRPr="00410298">
        <w:rPr>
          <w:rFonts w:ascii="Arial" w:hAnsi="Arial" w:cs="Arial"/>
        </w:rPr>
        <w:t>FSS</w:t>
      </w:r>
      <w:bookmarkEnd w:id="24"/>
      <w:r w:rsidR="00F146DF" w:rsidRPr="00410298">
        <w:rPr>
          <w:rFonts w:ascii="Arial" w:hAnsi="Arial" w:cs="Arial"/>
        </w:rPr>
        <w:t xml:space="preserve"> services previously funded from this element have been allocated local authority budget where other savings have been identified</w:t>
      </w:r>
      <w:r w:rsidR="00410298" w:rsidRPr="00410298">
        <w:rPr>
          <w:rFonts w:ascii="Arial" w:hAnsi="Arial" w:cs="Arial"/>
        </w:rPr>
        <w:t>.</w:t>
      </w:r>
    </w:p>
    <w:p w14:paraId="49185568" w14:textId="5A5CD1DA" w:rsidR="00F83CEE" w:rsidRPr="00F83CEE" w:rsidRDefault="001209FC" w:rsidP="00F83CEE">
      <w:pPr>
        <w:pStyle w:val="Heading1"/>
        <w:keepNext w:val="0"/>
        <w:tabs>
          <w:tab w:val="clear" w:pos="432"/>
        </w:tabs>
        <w:spacing w:after="120"/>
        <w:ind w:left="0" w:hanging="426"/>
        <w:jc w:val="left"/>
        <w:rPr>
          <w:rFonts w:ascii="Arial" w:hAnsi="Arial" w:cs="Arial"/>
        </w:rPr>
      </w:pPr>
      <w:r>
        <w:rPr>
          <w:rFonts w:ascii="Arial" w:hAnsi="Arial" w:cs="Arial"/>
        </w:rPr>
        <w:t>Services for maintained schools</w:t>
      </w:r>
    </w:p>
    <w:p w14:paraId="3545C589" w14:textId="77777777" w:rsidR="003B31FF" w:rsidRDefault="00D86247" w:rsidP="001209FC">
      <w:pPr>
        <w:pStyle w:val="Heading2"/>
        <w:keepNext w:val="0"/>
        <w:tabs>
          <w:tab w:val="clear" w:pos="576"/>
          <w:tab w:val="num" w:pos="0"/>
        </w:tabs>
        <w:ind w:left="0" w:hanging="567"/>
        <w:jc w:val="left"/>
        <w:rPr>
          <w:rFonts w:ascii="Arial" w:hAnsi="Arial" w:cs="Arial"/>
        </w:rPr>
      </w:pPr>
      <w:r>
        <w:rPr>
          <w:rFonts w:ascii="Arial" w:hAnsi="Arial" w:cs="Arial"/>
        </w:rPr>
        <w:t xml:space="preserve">Following </w:t>
      </w:r>
      <w:r w:rsidR="00FB015B">
        <w:rPr>
          <w:rFonts w:ascii="Arial" w:hAnsi="Arial" w:cs="Arial"/>
        </w:rPr>
        <w:t xml:space="preserve">the DfE consultation, </w:t>
      </w:r>
      <w:r>
        <w:rPr>
          <w:rFonts w:ascii="Arial" w:hAnsi="Arial" w:cs="Arial"/>
        </w:rPr>
        <w:t>the</w:t>
      </w:r>
      <w:r w:rsidR="00FB015B">
        <w:rPr>
          <w:rFonts w:ascii="Arial" w:hAnsi="Arial" w:cs="Arial"/>
        </w:rPr>
        <w:t xml:space="preserve"> new approach to </w:t>
      </w:r>
      <w:r w:rsidR="004471F5">
        <w:rPr>
          <w:rFonts w:ascii="Arial" w:hAnsi="Arial" w:cs="Arial"/>
        </w:rPr>
        <w:t xml:space="preserve">the funding of school improvement activities was implemented with </w:t>
      </w:r>
      <w:r w:rsidR="00804DBA">
        <w:rPr>
          <w:rFonts w:ascii="Arial" w:hAnsi="Arial" w:cs="Arial"/>
        </w:rPr>
        <w:t xml:space="preserve">a 50% reduction in the </w:t>
      </w:r>
      <w:r w:rsidR="00C13A6A">
        <w:rPr>
          <w:rFonts w:ascii="Arial" w:hAnsi="Arial" w:cs="Arial"/>
        </w:rPr>
        <w:t>School</w:t>
      </w:r>
      <w:r w:rsidR="000A289F">
        <w:rPr>
          <w:rFonts w:ascii="Arial" w:hAnsi="Arial" w:cs="Arial"/>
        </w:rPr>
        <w:t xml:space="preserve"> Improvement Grant. </w:t>
      </w:r>
      <w:r w:rsidR="00500FE7">
        <w:rPr>
          <w:rFonts w:ascii="Arial" w:hAnsi="Arial" w:cs="Arial"/>
        </w:rPr>
        <w:t xml:space="preserve">Schools Forum agreed </w:t>
      </w:r>
      <w:r w:rsidR="00BB61AB">
        <w:rPr>
          <w:rFonts w:ascii="Arial" w:hAnsi="Arial" w:cs="Arial"/>
        </w:rPr>
        <w:t>in line with the DfE approach to</w:t>
      </w:r>
      <w:r w:rsidR="00A2699B">
        <w:rPr>
          <w:rFonts w:ascii="Arial" w:hAnsi="Arial" w:cs="Arial"/>
        </w:rPr>
        <w:t xml:space="preserve"> top-slice </w:t>
      </w:r>
      <w:r w:rsidR="003D23B2">
        <w:rPr>
          <w:rFonts w:ascii="Arial" w:hAnsi="Arial" w:cs="Arial"/>
        </w:rPr>
        <w:t>budgets to ensure funding levels were maintained along with some additional su</w:t>
      </w:r>
      <w:r w:rsidR="00871B4C">
        <w:rPr>
          <w:rFonts w:ascii="Arial" w:hAnsi="Arial" w:cs="Arial"/>
        </w:rPr>
        <w:t xml:space="preserve">pport focussed on </w:t>
      </w:r>
      <w:r w:rsidR="003B31FF">
        <w:rPr>
          <w:rFonts w:ascii="Arial" w:hAnsi="Arial" w:cs="Arial"/>
          <w:szCs w:val="24"/>
        </w:rPr>
        <w:t>activity relating to vulnerable children, including those with SEND, those from economically disadvantaged backgrounds and those open to social care</w:t>
      </w:r>
      <w:r w:rsidR="003B31FF">
        <w:rPr>
          <w:rFonts w:ascii="Arial" w:hAnsi="Arial" w:cs="Arial"/>
        </w:rPr>
        <w:t>.</w:t>
      </w:r>
    </w:p>
    <w:p w14:paraId="2B93D3B7" w14:textId="71C50DFA" w:rsidR="001209FC" w:rsidRPr="00197106" w:rsidRDefault="000A289F" w:rsidP="001209FC">
      <w:pPr>
        <w:pStyle w:val="Heading2"/>
        <w:keepNext w:val="0"/>
        <w:tabs>
          <w:tab w:val="clear" w:pos="576"/>
          <w:tab w:val="num" w:pos="0"/>
        </w:tabs>
        <w:ind w:left="0" w:hanging="567"/>
        <w:jc w:val="left"/>
        <w:rPr>
          <w:rFonts w:ascii="Arial" w:hAnsi="Arial" w:cs="Arial"/>
        </w:rPr>
      </w:pPr>
      <w:r>
        <w:rPr>
          <w:rFonts w:ascii="Arial" w:hAnsi="Arial" w:cs="Arial"/>
        </w:rPr>
        <w:lastRenderedPageBreak/>
        <w:t>From 2023-24,</w:t>
      </w:r>
      <w:r w:rsidR="00C064C1">
        <w:rPr>
          <w:rFonts w:ascii="Arial" w:hAnsi="Arial" w:cs="Arial"/>
        </w:rPr>
        <w:t xml:space="preserve"> </w:t>
      </w:r>
      <w:r>
        <w:rPr>
          <w:rFonts w:ascii="Arial" w:hAnsi="Arial" w:cs="Arial"/>
        </w:rPr>
        <w:t>th</w:t>
      </w:r>
      <w:r w:rsidR="001209FC" w:rsidRPr="004643E6">
        <w:rPr>
          <w:rFonts w:ascii="Arial" w:hAnsi="Arial" w:cs="Arial"/>
        </w:rPr>
        <w:t>e DfE will be fully removing the School Improvement grant for 23/24</w:t>
      </w:r>
      <w:r w:rsidR="00C064C1">
        <w:rPr>
          <w:rFonts w:ascii="Arial" w:hAnsi="Arial" w:cs="Arial"/>
        </w:rPr>
        <w:t xml:space="preserve"> therefore the </w:t>
      </w:r>
      <w:r w:rsidR="00827349">
        <w:rPr>
          <w:rFonts w:ascii="Arial" w:hAnsi="Arial" w:cs="Arial"/>
        </w:rPr>
        <w:t xml:space="preserve">top-slice will need to be adjusted </w:t>
      </w:r>
      <w:r w:rsidR="00680B43">
        <w:rPr>
          <w:rFonts w:ascii="Arial" w:hAnsi="Arial" w:cs="Arial"/>
        </w:rPr>
        <w:t>to</w:t>
      </w:r>
      <w:r w:rsidR="00DB67E4">
        <w:rPr>
          <w:rFonts w:ascii="Arial" w:hAnsi="Arial" w:cs="Arial"/>
        </w:rPr>
        <w:t xml:space="preserve"> reflect the shortfall</w:t>
      </w:r>
      <w:r w:rsidR="005002A3">
        <w:rPr>
          <w:rFonts w:ascii="Arial" w:hAnsi="Arial" w:cs="Arial"/>
        </w:rPr>
        <w:t xml:space="preserve"> and </w:t>
      </w:r>
      <w:r w:rsidR="00241ED5">
        <w:rPr>
          <w:rFonts w:ascii="Arial" w:hAnsi="Arial" w:cs="Arial"/>
        </w:rPr>
        <w:t xml:space="preserve">the </w:t>
      </w:r>
      <w:r w:rsidR="00991869">
        <w:rPr>
          <w:rFonts w:ascii="Arial" w:hAnsi="Arial" w:cs="Arial"/>
        </w:rPr>
        <w:t>grow</w:t>
      </w:r>
      <w:r w:rsidR="005002A3">
        <w:rPr>
          <w:rFonts w:ascii="Arial" w:hAnsi="Arial" w:cs="Arial"/>
        </w:rPr>
        <w:t>ing need</w:t>
      </w:r>
      <w:r w:rsidR="00241ED5">
        <w:rPr>
          <w:rFonts w:ascii="Arial" w:hAnsi="Arial" w:cs="Arial"/>
        </w:rPr>
        <w:t xml:space="preserve"> to support vulnerable children</w:t>
      </w:r>
      <w:r w:rsidR="001209FC" w:rsidRPr="004643E6">
        <w:rPr>
          <w:rFonts w:ascii="Arial" w:hAnsi="Arial" w:cs="Arial"/>
        </w:rPr>
        <w:t>.</w:t>
      </w:r>
    </w:p>
    <w:p w14:paraId="197587D2" w14:textId="17E0D68B" w:rsidR="004139AB" w:rsidRPr="002A4C7D" w:rsidRDefault="004139AB" w:rsidP="004139AB">
      <w:pPr>
        <w:pStyle w:val="Heading1"/>
        <w:keepNext w:val="0"/>
        <w:tabs>
          <w:tab w:val="clear" w:pos="432"/>
        </w:tabs>
        <w:spacing w:after="120"/>
        <w:ind w:left="0" w:hanging="426"/>
        <w:jc w:val="left"/>
        <w:rPr>
          <w:rFonts w:ascii="Arial" w:hAnsi="Arial" w:cs="Arial"/>
          <w:b w:val="0"/>
          <w:bCs/>
        </w:rPr>
      </w:pPr>
      <w:r w:rsidRPr="00836AC9">
        <w:rPr>
          <w:rFonts w:ascii="Arial" w:hAnsi="Arial" w:cs="Arial"/>
        </w:rPr>
        <w:t xml:space="preserve">Early </w:t>
      </w:r>
      <w:r w:rsidRPr="00B07FB8">
        <w:rPr>
          <w:rFonts w:ascii="Arial" w:hAnsi="Arial" w:cs="Arial"/>
        </w:rPr>
        <w:t>Years Block</w:t>
      </w:r>
      <w:r w:rsidR="00A56222" w:rsidRPr="00B07FB8">
        <w:rPr>
          <w:rFonts w:ascii="Arial" w:hAnsi="Arial" w:cs="Arial"/>
        </w:rPr>
        <w:t xml:space="preserve"> </w:t>
      </w:r>
    </w:p>
    <w:p w14:paraId="5427C193" w14:textId="4F6B4197" w:rsidR="00DA3B4E" w:rsidRPr="00642585" w:rsidRDefault="00E0063D" w:rsidP="752E4E0C">
      <w:pPr>
        <w:pStyle w:val="Heading2"/>
        <w:keepNext w:val="0"/>
        <w:tabs>
          <w:tab w:val="clear" w:pos="576"/>
        </w:tabs>
        <w:ind w:left="0" w:hanging="567"/>
        <w:jc w:val="left"/>
        <w:rPr>
          <w:rFonts w:ascii="Arial" w:hAnsi="Arial" w:cs="Arial"/>
        </w:rPr>
      </w:pPr>
      <w:r>
        <w:rPr>
          <w:rFonts w:ascii="Arial" w:hAnsi="Arial" w:cs="Arial"/>
        </w:rPr>
        <w:t>Final f</w:t>
      </w:r>
      <w:r w:rsidR="004139AB" w:rsidRPr="00874659">
        <w:rPr>
          <w:rFonts w:ascii="Arial" w:hAnsi="Arial" w:cs="Arial"/>
        </w:rPr>
        <w:t xml:space="preserve">unding </w:t>
      </w:r>
      <w:r>
        <w:rPr>
          <w:rFonts w:ascii="Arial" w:hAnsi="Arial" w:cs="Arial"/>
        </w:rPr>
        <w:t xml:space="preserve">rates </w:t>
      </w:r>
      <w:r w:rsidR="004139AB" w:rsidRPr="00874659">
        <w:rPr>
          <w:rFonts w:ascii="Arial" w:hAnsi="Arial" w:cs="Arial"/>
        </w:rPr>
        <w:t xml:space="preserve">for the Early Years Block </w:t>
      </w:r>
      <w:bookmarkStart w:id="25" w:name="_Int_SIu0vjO0"/>
      <w:r w:rsidR="68C7BB8E" w:rsidRPr="752E4E0C">
        <w:rPr>
          <w:rFonts w:ascii="Arial" w:hAnsi="Arial" w:cs="Arial"/>
        </w:rPr>
        <w:t>are not</w:t>
      </w:r>
      <w:bookmarkEnd w:id="25"/>
      <w:r w:rsidR="009804F5" w:rsidRPr="00874659">
        <w:rPr>
          <w:rFonts w:ascii="Arial" w:hAnsi="Arial" w:cs="Arial"/>
        </w:rPr>
        <w:t xml:space="preserve"> expected</w:t>
      </w:r>
      <w:r w:rsidR="002B2843" w:rsidRPr="00874659">
        <w:rPr>
          <w:rFonts w:ascii="Arial" w:hAnsi="Arial" w:cs="Arial"/>
        </w:rPr>
        <w:t xml:space="preserve"> until later in the autumn </w:t>
      </w:r>
      <w:r w:rsidR="002B2843" w:rsidRPr="00642585">
        <w:rPr>
          <w:rFonts w:ascii="Arial" w:hAnsi="Arial" w:cs="Arial"/>
        </w:rPr>
        <w:t>term.</w:t>
      </w:r>
    </w:p>
    <w:p w14:paraId="4D9C5C22" w14:textId="3788B22A" w:rsidR="002B2843" w:rsidRPr="00642585" w:rsidRDefault="002B2843" w:rsidP="00D2559E">
      <w:pPr>
        <w:pStyle w:val="Heading2"/>
        <w:keepNext w:val="0"/>
        <w:tabs>
          <w:tab w:val="clear" w:pos="576"/>
          <w:tab w:val="num" w:pos="0"/>
        </w:tabs>
        <w:ind w:left="0" w:hanging="567"/>
        <w:jc w:val="left"/>
        <w:rPr>
          <w:rFonts w:ascii="Arial" w:hAnsi="Arial" w:cs="Arial"/>
        </w:rPr>
      </w:pPr>
      <w:r w:rsidRPr="00642585">
        <w:rPr>
          <w:rFonts w:ascii="Arial" w:hAnsi="Arial" w:cs="Arial"/>
        </w:rPr>
        <w:t xml:space="preserve">In preparation for </w:t>
      </w:r>
      <w:r w:rsidR="003235B0" w:rsidRPr="00642585">
        <w:rPr>
          <w:rFonts w:ascii="Arial" w:hAnsi="Arial" w:cs="Arial"/>
        </w:rPr>
        <w:t>202</w:t>
      </w:r>
      <w:r w:rsidR="002F204B" w:rsidRPr="00642585">
        <w:rPr>
          <w:rFonts w:ascii="Arial" w:hAnsi="Arial" w:cs="Arial"/>
        </w:rPr>
        <w:t>3</w:t>
      </w:r>
      <w:r w:rsidR="003235B0" w:rsidRPr="00642585">
        <w:rPr>
          <w:rFonts w:ascii="Arial" w:hAnsi="Arial" w:cs="Arial"/>
        </w:rPr>
        <w:t>/2</w:t>
      </w:r>
      <w:r w:rsidR="002F204B" w:rsidRPr="00642585">
        <w:rPr>
          <w:rFonts w:ascii="Arial" w:hAnsi="Arial" w:cs="Arial"/>
        </w:rPr>
        <w:t>4</w:t>
      </w:r>
      <w:r w:rsidR="003235B0" w:rsidRPr="00642585">
        <w:rPr>
          <w:rFonts w:ascii="Arial" w:hAnsi="Arial" w:cs="Arial"/>
        </w:rPr>
        <w:t xml:space="preserve"> budget setting, a consultation</w:t>
      </w:r>
      <w:r w:rsidR="0006318B" w:rsidRPr="00642585">
        <w:rPr>
          <w:rFonts w:ascii="Arial" w:hAnsi="Arial" w:cs="Arial"/>
        </w:rPr>
        <w:t xml:space="preserve"> was launched in July </w:t>
      </w:r>
      <w:r w:rsidR="003235B0" w:rsidRPr="00642585">
        <w:rPr>
          <w:rFonts w:ascii="Arial" w:hAnsi="Arial" w:cs="Arial"/>
        </w:rPr>
        <w:t xml:space="preserve">on the </w:t>
      </w:r>
      <w:r w:rsidR="00743A87" w:rsidRPr="00642585">
        <w:rPr>
          <w:rFonts w:ascii="Arial" w:hAnsi="Arial" w:cs="Arial"/>
        </w:rPr>
        <w:t xml:space="preserve">early years </w:t>
      </w:r>
      <w:r w:rsidR="003235B0" w:rsidRPr="00642585">
        <w:rPr>
          <w:rFonts w:ascii="Arial" w:hAnsi="Arial" w:cs="Arial"/>
        </w:rPr>
        <w:t>funding formula</w:t>
      </w:r>
      <w:r w:rsidR="00DE71E2">
        <w:rPr>
          <w:rFonts w:ascii="Arial" w:hAnsi="Arial" w:cs="Arial"/>
        </w:rPr>
        <w:t xml:space="preserve"> with</w:t>
      </w:r>
      <w:r w:rsidR="00417914" w:rsidRPr="00642585">
        <w:rPr>
          <w:rFonts w:ascii="Arial" w:hAnsi="Arial" w:cs="Arial"/>
        </w:rPr>
        <w:t xml:space="preserve"> responses due by </w:t>
      </w:r>
      <w:r w:rsidR="005041E7" w:rsidRPr="00642585">
        <w:rPr>
          <w:rFonts w:ascii="Arial" w:hAnsi="Arial" w:cs="Arial"/>
        </w:rPr>
        <w:t>mid-September</w:t>
      </w:r>
      <w:r w:rsidR="00757D8E">
        <w:rPr>
          <w:rFonts w:ascii="Arial" w:hAnsi="Arial" w:cs="Arial"/>
        </w:rPr>
        <w:t>. The</w:t>
      </w:r>
      <w:r w:rsidR="00417914" w:rsidRPr="00642585">
        <w:rPr>
          <w:rFonts w:ascii="Arial" w:hAnsi="Arial" w:cs="Arial"/>
        </w:rPr>
        <w:t xml:space="preserve"> DfE are due to publish results and their response in</w:t>
      </w:r>
      <w:r w:rsidR="005041E7" w:rsidRPr="00642585">
        <w:rPr>
          <w:rFonts w:ascii="Arial" w:hAnsi="Arial" w:cs="Arial"/>
        </w:rPr>
        <w:t xml:space="preserve"> </w:t>
      </w:r>
      <w:r w:rsidR="00417914" w:rsidRPr="00642585">
        <w:rPr>
          <w:rFonts w:ascii="Arial" w:hAnsi="Arial" w:cs="Arial"/>
        </w:rPr>
        <w:t>Autum</w:t>
      </w:r>
      <w:r w:rsidR="005041E7" w:rsidRPr="00642585">
        <w:rPr>
          <w:rFonts w:ascii="Arial" w:hAnsi="Arial" w:cs="Arial"/>
        </w:rPr>
        <w:t>n</w:t>
      </w:r>
      <w:r w:rsidR="00417914" w:rsidRPr="00642585">
        <w:rPr>
          <w:rFonts w:ascii="Arial" w:hAnsi="Arial" w:cs="Arial"/>
        </w:rPr>
        <w:t xml:space="preserve"> 2022.</w:t>
      </w:r>
    </w:p>
    <w:p w14:paraId="111CF3BD" w14:textId="46A4B11D" w:rsidR="0070301B" w:rsidRPr="002818B2" w:rsidRDefault="0070301B" w:rsidP="00D2559E">
      <w:pPr>
        <w:pStyle w:val="Heading2"/>
        <w:keepNext w:val="0"/>
        <w:tabs>
          <w:tab w:val="clear" w:pos="576"/>
          <w:tab w:val="num" w:pos="0"/>
        </w:tabs>
        <w:ind w:left="0" w:hanging="567"/>
        <w:jc w:val="left"/>
        <w:rPr>
          <w:rFonts w:ascii="Arial" w:hAnsi="Arial" w:cs="Arial"/>
        </w:rPr>
      </w:pPr>
      <w:r w:rsidRPr="002818B2">
        <w:rPr>
          <w:rFonts w:ascii="Arial" w:hAnsi="Arial" w:cs="Arial"/>
        </w:rPr>
        <w:t xml:space="preserve">The consultation </w:t>
      </w:r>
      <w:r w:rsidR="008A2FC2" w:rsidRPr="002818B2">
        <w:rPr>
          <w:rFonts w:ascii="Arial" w:hAnsi="Arial" w:cs="Arial"/>
        </w:rPr>
        <w:t>proposed the following changes for 23/24</w:t>
      </w:r>
      <w:r w:rsidR="008A78B3" w:rsidRPr="002818B2">
        <w:rPr>
          <w:rFonts w:ascii="Arial" w:hAnsi="Arial" w:cs="Arial"/>
        </w:rPr>
        <w:t>:</w:t>
      </w:r>
    </w:p>
    <w:p w14:paraId="166A824F" w14:textId="0EB94D9D" w:rsidR="00883B4A" w:rsidRPr="004A1126" w:rsidRDefault="004A1126" w:rsidP="00ED6DE4">
      <w:pPr>
        <w:pStyle w:val="Heading2"/>
        <w:keepNext w:val="0"/>
        <w:numPr>
          <w:ilvl w:val="0"/>
          <w:numId w:val="10"/>
        </w:numPr>
        <w:jc w:val="left"/>
        <w:rPr>
          <w:rFonts w:ascii="Arial" w:hAnsi="Arial" w:cs="Arial"/>
        </w:rPr>
      </w:pPr>
      <w:r w:rsidRPr="004A1126">
        <w:rPr>
          <w:rFonts w:ascii="Arial" w:hAnsi="Arial" w:cs="Arial"/>
        </w:rPr>
        <w:t xml:space="preserve">The starting point hourly rates for each </w:t>
      </w:r>
      <w:r w:rsidRPr="5F0502A1">
        <w:rPr>
          <w:rFonts w:ascii="Arial" w:hAnsi="Arial" w:cs="Arial"/>
        </w:rPr>
        <w:t>E</w:t>
      </w:r>
      <w:r w:rsidR="7C72F3F2" w:rsidRPr="5F0502A1">
        <w:rPr>
          <w:rFonts w:ascii="Arial" w:hAnsi="Arial" w:cs="Arial"/>
        </w:rPr>
        <w:t xml:space="preserve">arly </w:t>
      </w:r>
      <w:r w:rsidRPr="5F0502A1">
        <w:rPr>
          <w:rFonts w:ascii="Arial" w:hAnsi="Arial" w:cs="Arial"/>
        </w:rPr>
        <w:t>Y</w:t>
      </w:r>
      <w:r w:rsidR="421C9F73" w:rsidRPr="5F0502A1">
        <w:rPr>
          <w:rFonts w:ascii="Arial" w:hAnsi="Arial" w:cs="Arial"/>
        </w:rPr>
        <w:t xml:space="preserve">ears </w:t>
      </w:r>
      <w:r w:rsidRPr="5F0502A1">
        <w:rPr>
          <w:rFonts w:ascii="Arial" w:hAnsi="Arial" w:cs="Arial"/>
        </w:rPr>
        <w:t>N</w:t>
      </w:r>
      <w:r w:rsidR="0A0042FF" w:rsidRPr="5F0502A1">
        <w:rPr>
          <w:rFonts w:ascii="Arial" w:hAnsi="Arial" w:cs="Arial"/>
        </w:rPr>
        <w:t xml:space="preserve">ational </w:t>
      </w:r>
      <w:r w:rsidRPr="5F0502A1">
        <w:rPr>
          <w:rFonts w:ascii="Arial" w:hAnsi="Arial" w:cs="Arial"/>
        </w:rPr>
        <w:t>F</w:t>
      </w:r>
      <w:r w:rsidR="1860D693" w:rsidRPr="5F0502A1">
        <w:rPr>
          <w:rFonts w:ascii="Arial" w:hAnsi="Arial" w:cs="Arial"/>
        </w:rPr>
        <w:t xml:space="preserve">unding </w:t>
      </w:r>
      <w:r w:rsidR="00692D2F" w:rsidRPr="5F0502A1">
        <w:rPr>
          <w:rFonts w:ascii="Arial" w:hAnsi="Arial" w:cs="Arial"/>
        </w:rPr>
        <w:t>F</w:t>
      </w:r>
      <w:r w:rsidR="00692D2F">
        <w:rPr>
          <w:rFonts w:ascii="Arial" w:hAnsi="Arial" w:cs="Arial"/>
        </w:rPr>
        <w:t>ormula factor</w:t>
      </w:r>
      <w:r w:rsidRPr="004A1126">
        <w:rPr>
          <w:rFonts w:ascii="Arial" w:hAnsi="Arial" w:cs="Arial"/>
        </w:rPr>
        <w:t xml:space="preserve"> have been updated for the first time since 2017-18</w:t>
      </w:r>
      <w:r w:rsidR="002818B2">
        <w:rPr>
          <w:rFonts w:ascii="Arial" w:hAnsi="Arial" w:cs="Arial"/>
        </w:rPr>
        <w:t xml:space="preserve"> </w:t>
      </w:r>
      <w:r w:rsidR="002818B2" w:rsidRPr="002818B2">
        <w:rPr>
          <w:rFonts w:ascii="Arial" w:hAnsi="Arial" w:cs="Arial"/>
        </w:rPr>
        <w:t xml:space="preserve">based on the increased funding secured for 2023-24 in the Spending Review and </w:t>
      </w:r>
      <w:bookmarkStart w:id="26" w:name="_Int_Uufedg7Z"/>
      <w:r w:rsidR="002818B2" w:rsidRPr="002818B2">
        <w:rPr>
          <w:rFonts w:ascii="Arial" w:hAnsi="Arial" w:cs="Arial"/>
        </w:rPr>
        <w:t>the majority of</w:t>
      </w:r>
      <w:bookmarkEnd w:id="26"/>
      <w:r w:rsidR="002818B2" w:rsidRPr="002818B2">
        <w:rPr>
          <w:rFonts w:ascii="Arial" w:hAnsi="Arial" w:cs="Arial"/>
        </w:rPr>
        <w:t xml:space="preserve"> the money that has previously been paid through the early years element of the T</w:t>
      </w:r>
      <w:r w:rsidR="00107F58">
        <w:rPr>
          <w:rFonts w:ascii="Arial" w:hAnsi="Arial" w:cs="Arial"/>
        </w:rPr>
        <w:t xml:space="preserve">eachers </w:t>
      </w:r>
      <w:r w:rsidR="002818B2" w:rsidRPr="002818B2">
        <w:rPr>
          <w:rFonts w:ascii="Arial" w:hAnsi="Arial" w:cs="Arial"/>
        </w:rPr>
        <w:t>P</w:t>
      </w:r>
      <w:r w:rsidR="00107F58">
        <w:rPr>
          <w:rFonts w:ascii="Arial" w:hAnsi="Arial" w:cs="Arial"/>
        </w:rPr>
        <w:t xml:space="preserve">ay and </w:t>
      </w:r>
      <w:r w:rsidR="002818B2" w:rsidRPr="002818B2">
        <w:rPr>
          <w:rFonts w:ascii="Arial" w:hAnsi="Arial" w:cs="Arial"/>
        </w:rPr>
        <w:t>P</w:t>
      </w:r>
      <w:r w:rsidR="00107F58">
        <w:rPr>
          <w:rFonts w:ascii="Arial" w:hAnsi="Arial" w:cs="Arial"/>
        </w:rPr>
        <w:t xml:space="preserve">ensions </w:t>
      </w:r>
      <w:r w:rsidR="002818B2" w:rsidRPr="002818B2">
        <w:rPr>
          <w:rFonts w:ascii="Arial" w:hAnsi="Arial" w:cs="Arial"/>
        </w:rPr>
        <w:t>G</w:t>
      </w:r>
      <w:r w:rsidR="00107F58">
        <w:rPr>
          <w:rFonts w:ascii="Arial" w:hAnsi="Arial" w:cs="Arial"/>
        </w:rPr>
        <w:t>rant</w:t>
      </w:r>
      <w:r w:rsidR="00B75640">
        <w:rPr>
          <w:rFonts w:ascii="Arial" w:hAnsi="Arial" w:cs="Arial"/>
        </w:rPr>
        <w:t xml:space="preserve"> (TPPG)</w:t>
      </w:r>
      <w:r w:rsidR="002818B2" w:rsidRPr="002818B2">
        <w:rPr>
          <w:rFonts w:ascii="Arial" w:hAnsi="Arial" w:cs="Arial"/>
        </w:rPr>
        <w:t>.</w:t>
      </w:r>
    </w:p>
    <w:p w14:paraId="02B40052" w14:textId="01CC9826" w:rsidR="007457CC" w:rsidRPr="005361F9" w:rsidRDefault="0033299F" w:rsidP="00ED6DE4">
      <w:pPr>
        <w:pStyle w:val="Heading2"/>
        <w:keepNext w:val="0"/>
        <w:numPr>
          <w:ilvl w:val="0"/>
          <w:numId w:val="10"/>
        </w:numPr>
        <w:jc w:val="left"/>
        <w:rPr>
          <w:rFonts w:ascii="Arial" w:hAnsi="Arial" w:cs="Arial"/>
        </w:rPr>
      </w:pPr>
      <w:r w:rsidRPr="00A93D84">
        <w:rPr>
          <w:rFonts w:ascii="Arial" w:hAnsi="Arial" w:cs="Arial"/>
        </w:rPr>
        <w:t>The ESFA are</w:t>
      </w:r>
      <w:r w:rsidR="003D1CA7" w:rsidRPr="00A93D84">
        <w:rPr>
          <w:rFonts w:ascii="Arial" w:hAnsi="Arial" w:cs="Arial"/>
        </w:rPr>
        <w:t xml:space="preserve"> encourag</w:t>
      </w:r>
      <w:r w:rsidRPr="00A93D84">
        <w:rPr>
          <w:rFonts w:ascii="Arial" w:hAnsi="Arial" w:cs="Arial"/>
        </w:rPr>
        <w:t>ing</w:t>
      </w:r>
      <w:r w:rsidR="003D1CA7" w:rsidRPr="00A93D84">
        <w:rPr>
          <w:rFonts w:ascii="Arial" w:hAnsi="Arial" w:cs="Arial"/>
        </w:rPr>
        <w:t xml:space="preserve"> </w:t>
      </w:r>
      <w:r w:rsidR="007E662B" w:rsidRPr="00A93D84">
        <w:rPr>
          <w:rFonts w:ascii="Arial" w:hAnsi="Arial" w:cs="Arial"/>
        </w:rPr>
        <w:t xml:space="preserve">LA’s </w:t>
      </w:r>
      <w:r w:rsidR="00786E95" w:rsidRPr="00A93D84">
        <w:rPr>
          <w:rFonts w:ascii="Arial" w:hAnsi="Arial" w:cs="Arial"/>
        </w:rPr>
        <w:t>to us</w:t>
      </w:r>
      <w:r w:rsidR="00746EBC" w:rsidRPr="00A93D84">
        <w:rPr>
          <w:rFonts w:ascii="Arial" w:hAnsi="Arial" w:cs="Arial"/>
        </w:rPr>
        <w:t>e</w:t>
      </w:r>
      <w:r w:rsidR="00786E95" w:rsidRPr="00A93D84">
        <w:rPr>
          <w:rFonts w:ascii="Arial" w:hAnsi="Arial" w:cs="Arial"/>
        </w:rPr>
        <w:t xml:space="preserve"> </w:t>
      </w:r>
      <w:r w:rsidR="00025134" w:rsidRPr="00A93D84">
        <w:rPr>
          <w:rFonts w:ascii="Arial" w:hAnsi="Arial" w:cs="Arial"/>
        </w:rPr>
        <w:t>the T</w:t>
      </w:r>
      <w:r w:rsidR="002B4166" w:rsidRPr="00A93D84">
        <w:rPr>
          <w:rFonts w:ascii="Arial" w:hAnsi="Arial" w:cs="Arial"/>
        </w:rPr>
        <w:t>PPG</w:t>
      </w:r>
      <w:r w:rsidR="00025134" w:rsidRPr="00A93D84">
        <w:rPr>
          <w:rFonts w:ascii="Arial" w:hAnsi="Arial" w:cs="Arial"/>
        </w:rPr>
        <w:t xml:space="preserve"> </w:t>
      </w:r>
      <w:r w:rsidR="00503009" w:rsidRPr="00A93D84">
        <w:rPr>
          <w:rFonts w:ascii="Arial" w:hAnsi="Arial" w:cs="Arial"/>
        </w:rPr>
        <w:t xml:space="preserve">element rolled into the EYNFF </w:t>
      </w:r>
      <w:r w:rsidR="00EE4B92" w:rsidRPr="00A02534">
        <w:rPr>
          <w:rFonts w:ascii="Arial" w:hAnsi="Arial" w:cs="Arial"/>
        </w:rPr>
        <w:t xml:space="preserve">to </w:t>
      </w:r>
      <w:r w:rsidR="00321B0B" w:rsidRPr="00A93D84">
        <w:rPr>
          <w:rFonts w:ascii="Arial" w:hAnsi="Arial" w:cs="Arial"/>
        </w:rPr>
        <w:t xml:space="preserve">continue </w:t>
      </w:r>
      <w:r w:rsidR="00EE4B92" w:rsidRPr="00A02534">
        <w:rPr>
          <w:rFonts w:ascii="Arial" w:hAnsi="Arial" w:cs="Arial"/>
        </w:rPr>
        <w:t>support</w:t>
      </w:r>
      <w:r w:rsidR="00321B0B" w:rsidRPr="00A93D84">
        <w:rPr>
          <w:rFonts w:ascii="Arial" w:hAnsi="Arial" w:cs="Arial"/>
        </w:rPr>
        <w:t>ing</w:t>
      </w:r>
      <w:r w:rsidR="00EE4B92" w:rsidRPr="00A02534">
        <w:rPr>
          <w:rFonts w:ascii="Arial" w:hAnsi="Arial" w:cs="Arial"/>
        </w:rPr>
        <w:t xml:space="preserve"> some of the costs for which the grants were originally introduced</w:t>
      </w:r>
      <w:r w:rsidR="005B15CC" w:rsidRPr="00A93D84">
        <w:rPr>
          <w:rFonts w:ascii="Arial" w:hAnsi="Arial" w:cs="Arial"/>
        </w:rPr>
        <w:t xml:space="preserve">. </w:t>
      </w:r>
      <w:r w:rsidR="005875AA" w:rsidRPr="00A93D84">
        <w:rPr>
          <w:rFonts w:ascii="Arial" w:hAnsi="Arial" w:cs="Arial"/>
        </w:rPr>
        <w:t xml:space="preserve">The ESFA </w:t>
      </w:r>
      <w:r w:rsidR="005B15CC" w:rsidRPr="00A02534">
        <w:rPr>
          <w:rFonts w:ascii="Arial" w:hAnsi="Arial" w:cs="Arial"/>
        </w:rPr>
        <w:t>propose to change local (non</w:t>
      </w:r>
      <w:r w:rsidR="00D27BB1" w:rsidRPr="00A93D84">
        <w:rPr>
          <w:rFonts w:ascii="Arial" w:hAnsi="Arial" w:cs="Arial"/>
        </w:rPr>
        <w:t>-</w:t>
      </w:r>
      <w:r w:rsidR="005B15CC" w:rsidRPr="00A02534">
        <w:rPr>
          <w:rFonts w:ascii="Arial" w:hAnsi="Arial" w:cs="Arial"/>
        </w:rPr>
        <w:t>statutory) funding guidance by updating the language in the operational guide regarding the quality supplement, which is one of the existing discretionary supplements that local authorities can choose to include in their local funding formula</w:t>
      </w:r>
      <w:r w:rsidR="002A34D3" w:rsidRPr="00A93D84">
        <w:rPr>
          <w:rFonts w:ascii="Arial" w:hAnsi="Arial" w:cs="Arial"/>
        </w:rPr>
        <w:t>.</w:t>
      </w:r>
      <w:r w:rsidR="0045762E">
        <w:rPr>
          <w:rFonts w:ascii="Arial" w:hAnsi="Arial" w:cs="Arial"/>
        </w:rPr>
        <w:t xml:space="preserve"> </w:t>
      </w:r>
      <w:r w:rsidR="005361F9">
        <w:rPr>
          <w:rFonts w:ascii="Arial" w:hAnsi="Arial" w:cs="Arial"/>
        </w:rPr>
        <w:t>T</w:t>
      </w:r>
      <w:r w:rsidR="005361F9" w:rsidRPr="005361F9">
        <w:rPr>
          <w:rFonts w:ascii="Arial" w:hAnsi="Arial" w:cs="Arial"/>
        </w:rPr>
        <w:t>he additional needs formula factors have been calculated using more up</w:t>
      </w:r>
      <w:r w:rsidR="005361F9">
        <w:rPr>
          <w:rFonts w:ascii="Arial" w:hAnsi="Arial" w:cs="Arial"/>
        </w:rPr>
        <w:t xml:space="preserve"> </w:t>
      </w:r>
      <w:r w:rsidR="005361F9" w:rsidRPr="005361F9">
        <w:rPr>
          <w:rFonts w:ascii="Arial" w:hAnsi="Arial" w:cs="Arial"/>
        </w:rPr>
        <w:t>to-date part-time equivalent (PTE) volumes and pupil characteristic data, e.g., January 2021 censuses. The measure used for FSM and definition of the DLA factor have been changed to better align with other funding formulae.</w:t>
      </w:r>
    </w:p>
    <w:p w14:paraId="4A421C43" w14:textId="023EB7A8" w:rsidR="008A78B3" w:rsidRDefault="00F114A7" w:rsidP="00ED6DE4">
      <w:pPr>
        <w:pStyle w:val="Heading2"/>
        <w:keepNext w:val="0"/>
        <w:numPr>
          <w:ilvl w:val="0"/>
          <w:numId w:val="10"/>
        </w:numPr>
        <w:jc w:val="left"/>
        <w:rPr>
          <w:rFonts w:ascii="Arial" w:hAnsi="Arial" w:cs="Arial"/>
        </w:rPr>
      </w:pPr>
      <w:r w:rsidRPr="00F114A7">
        <w:rPr>
          <w:rFonts w:ascii="Arial" w:hAnsi="Arial" w:cs="Arial"/>
        </w:rPr>
        <w:t xml:space="preserve">The area cost adjustment (ACA) factors have been updated for new data, where possible, and improved, e.g., the methodology for calculating the proxy factor for premises costs has been extended to better reflect the provider composition differences between </w:t>
      </w:r>
      <w:bookmarkStart w:id="27" w:name="_Int_ASbMr5CJ"/>
      <w:r w:rsidRPr="00F114A7">
        <w:rPr>
          <w:rFonts w:ascii="Arial" w:hAnsi="Arial" w:cs="Arial"/>
        </w:rPr>
        <w:t>LAs</w:t>
      </w:r>
      <w:bookmarkEnd w:id="27"/>
      <w:r w:rsidRPr="00F114A7">
        <w:rPr>
          <w:rFonts w:ascii="Arial" w:hAnsi="Arial" w:cs="Arial"/>
        </w:rPr>
        <w:t>.</w:t>
      </w:r>
      <w:r w:rsidR="00071C9B">
        <w:rPr>
          <w:rFonts w:ascii="Arial" w:hAnsi="Arial" w:cs="Arial"/>
        </w:rPr>
        <w:t xml:space="preserve"> For Hampshire this has meant </w:t>
      </w:r>
      <w:bookmarkStart w:id="28" w:name="_Int_YIoVTjDt"/>
      <w:r w:rsidR="00071C9B">
        <w:rPr>
          <w:rFonts w:ascii="Arial" w:hAnsi="Arial" w:cs="Arial"/>
        </w:rPr>
        <w:t>little change</w:t>
      </w:r>
      <w:bookmarkEnd w:id="28"/>
      <w:r w:rsidR="00071C9B">
        <w:rPr>
          <w:rFonts w:ascii="Arial" w:hAnsi="Arial" w:cs="Arial"/>
        </w:rPr>
        <w:t>.</w:t>
      </w:r>
    </w:p>
    <w:p w14:paraId="2F9055F9" w14:textId="0CAB19F0" w:rsidR="00753875" w:rsidRDefault="00753875" w:rsidP="00ED6DE4">
      <w:pPr>
        <w:pStyle w:val="Heading2"/>
        <w:keepNext w:val="0"/>
        <w:numPr>
          <w:ilvl w:val="0"/>
          <w:numId w:val="10"/>
        </w:numPr>
        <w:jc w:val="left"/>
        <w:rPr>
          <w:rFonts w:ascii="Arial" w:hAnsi="Arial" w:cs="Arial"/>
        </w:rPr>
      </w:pPr>
      <w:r w:rsidRPr="00753875">
        <w:rPr>
          <w:rFonts w:ascii="Arial" w:hAnsi="Arial" w:cs="Arial"/>
        </w:rPr>
        <w:t>Year-to-year protections and funding floors have been revised, e.g., the loss cap protection has been removed, and a new +1% year-to-year protection and +4.5% gains cap has been introduced</w:t>
      </w:r>
      <w:r w:rsidR="00AE7A9A">
        <w:rPr>
          <w:rFonts w:ascii="Arial" w:hAnsi="Arial" w:cs="Arial"/>
        </w:rPr>
        <w:t xml:space="preserve"> for 3&amp;4</w:t>
      </w:r>
      <w:r w:rsidR="6F7B02DA" w:rsidRPr="752E4E0C">
        <w:rPr>
          <w:rFonts w:ascii="Arial" w:hAnsi="Arial" w:cs="Arial"/>
        </w:rPr>
        <w:t>-</w:t>
      </w:r>
      <w:r w:rsidR="00AE7A9A">
        <w:rPr>
          <w:rFonts w:ascii="Arial" w:hAnsi="Arial" w:cs="Arial"/>
        </w:rPr>
        <w:t>year</w:t>
      </w:r>
      <w:r w:rsidR="311FF222" w:rsidRPr="752E4E0C">
        <w:rPr>
          <w:rFonts w:ascii="Arial" w:hAnsi="Arial" w:cs="Arial"/>
        </w:rPr>
        <w:t>-</w:t>
      </w:r>
      <w:r w:rsidR="00AE7A9A">
        <w:rPr>
          <w:rFonts w:ascii="Arial" w:hAnsi="Arial" w:cs="Arial"/>
        </w:rPr>
        <w:t>olds. For the 2</w:t>
      </w:r>
      <w:r w:rsidR="306365A7" w:rsidRPr="752E4E0C">
        <w:rPr>
          <w:rFonts w:ascii="Arial" w:hAnsi="Arial" w:cs="Arial"/>
        </w:rPr>
        <w:t>-</w:t>
      </w:r>
      <w:r w:rsidR="00AE7A9A">
        <w:rPr>
          <w:rFonts w:ascii="Arial" w:hAnsi="Arial" w:cs="Arial"/>
        </w:rPr>
        <w:t>year</w:t>
      </w:r>
      <w:r w:rsidR="306365A7" w:rsidRPr="752E4E0C">
        <w:rPr>
          <w:rFonts w:ascii="Arial" w:hAnsi="Arial" w:cs="Arial"/>
        </w:rPr>
        <w:t>-</w:t>
      </w:r>
      <w:r w:rsidR="00AE7A9A">
        <w:rPr>
          <w:rFonts w:ascii="Arial" w:hAnsi="Arial" w:cs="Arial"/>
        </w:rPr>
        <w:t>old entitlement</w:t>
      </w:r>
      <w:r w:rsidR="00892A05">
        <w:rPr>
          <w:rFonts w:ascii="Arial" w:hAnsi="Arial" w:cs="Arial"/>
        </w:rPr>
        <w:t xml:space="preserve"> a</w:t>
      </w:r>
      <w:r w:rsidR="00892A05" w:rsidRPr="00892A05">
        <w:rPr>
          <w:rFonts w:ascii="Arial" w:hAnsi="Arial" w:cs="Arial"/>
        </w:rPr>
        <w:t xml:space="preserve"> new +1% year-to-year protection and +8.6% gains cap has been introduced.</w:t>
      </w:r>
    </w:p>
    <w:p w14:paraId="080BC3FC" w14:textId="77777777" w:rsidR="0013546A" w:rsidRDefault="0013546A" w:rsidP="00ED6DE4">
      <w:pPr>
        <w:pStyle w:val="Heading2"/>
        <w:keepNext w:val="0"/>
        <w:numPr>
          <w:ilvl w:val="0"/>
          <w:numId w:val="10"/>
        </w:numPr>
        <w:jc w:val="left"/>
        <w:rPr>
          <w:rFonts w:ascii="Arial" w:hAnsi="Arial" w:cs="Arial"/>
        </w:rPr>
      </w:pPr>
      <w:r w:rsidRPr="0013546A">
        <w:rPr>
          <w:rFonts w:ascii="Arial" w:hAnsi="Arial" w:cs="Arial"/>
        </w:rPr>
        <w:t xml:space="preserve">The 2023-24 calculations for supplementary funding for maintained nursery schools also includes some proposed changes that are included in the consultation: </w:t>
      </w:r>
    </w:p>
    <w:p w14:paraId="26424ED0" w14:textId="2E33417E" w:rsidR="0013546A" w:rsidRDefault="0013546A" w:rsidP="00ED6DE4">
      <w:pPr>
        <w:pStyle w:val="Heading2"/>
        <w:keepNext w:val="0"/>
        <w:numPr>
          <w:ilvl w:val="1"/>
          <w:numId w:val="10"/>
        </w:numPr>
        <w:jc w:val="left"/>
        <w:rPr>
          <w:rFonts w:ascii="Arial" w:hAnsi="Arial" w:cs="Arial"/>
        </w:rPr>
      </w:pPr>
      <w:r w:rsidRPr="0013546A">
        <w:rPr>
          <w:rFonts w:ascii="Arial" w:hAnsi="Arial" w:cs="Arial"/>
        </w:rPr>
        <w:t xml:space="preserve">All LAs hourly supplementary funding rates have been increased in line with funding secured in the Spending Review. </w:t>
      </w:r>
    </w:p>
    <w:p w14:paraId="455E20D7" w14:textId="016F0DA4" w:rsidR="0013546A" w:rsidRDefault="0013546A" w:rsidP="00ED6DE4">
      <w:pPr>
        <w:pStyle w:val="Heading2"/>
        <w:keepNext w:val="0"/>
        <w:numPr>
          <w:ilvl w:val="1"/>
          <w:numId w:val="10"/>
        </w:numPr>
        <w:jc w:val="left"/>
        <w:rPr>
          <w:rFonts w:ascii="Arial" w:hAnsi="Arial" w:cs="Arial"/>
        </w:rPr>
      </w:pPr>
      <w:r w:rsidRPr="0013546A">
        <w:rPr>
          <w:rFonts w:ascii="Arial" w:hAnsi="Arial" w:cs="Arial"/>
        </w:rPr>
        <w:lastRenderedPageBreak/>
        <w:t xml:space="preserve">TPPG funding has been rolled in. </w:t>
      </w:r>
    </w:p>
    <w:p w14:paraId="3F21C161" w14:textId="4A79FFFB" w:rsidR="00566C28" w:rsidRDefault="0013546A" w:rsidP="00ED6DE4">
      <w:pPr>
        <w:pStyle w:val="Heading2"/>
        <w:keepNext w:val="0"/>
        <w:numPr>
          <w:ilvl w:val="1"/>
          <w:numId w:val="10"/>
        </w:numPr>
        <w:jc w:val="left"/>
        <w:rPr>
          <w:rFonts w:ascii="Arial" w:hAnsi="Arial" w:cs="Arial"/>
        </w:rPr>
      </w:pPr>
      <w:r w:rsidRPr="0013546A">
        <w:rPr>
          <w:rFonts w:ascii="Arial" w:hAnsi="Arial" w:cs="Arial"/>
        </w:rPr>
        <w:t>A minimum funding floor and cap have been applied to create a fairer distribution of this funding.</w:t>
      </w:r>
    </w:p>
    <w:p w14:paraId="2E6D0372" w14:textId="5BCEEB30" w:rsidR="00C6583F" w:rsidRDefault="00174922" w:rsidP="752E4E0C">
      <w:pPr>
        <w:pStyle w:val="Heading2"/>
        <w:keepNext w:val="0"/>
        <w:tabs>
          <w:tab w:val="clear" w:pos="576"/>
        </w:tabs>
        <w:ind w:left="0" w:hanging="567"/>
        <w:jc w:val="left"/>
        <w:rPr>
          <w:rFonts w:ascii="Arial" w:hAnsi="Arial" w:cs="Arial"/>
        </w:rPr>
      </w:pPr>
      <w:r>
        <w:rPr>
          <w:rFonts w:ascii="Arial" w:hAnsi="Arial" w:cs="Arial"/>
        </w:rPr>
        <w:t xml:space="preserve">For </w:t>
      </w:r>
      <w:bookmarkStart w:id="29" w:name="_Int_ftgaIOvg"/>
      <w:r>
        <w:rPr>
          <w:rFonts w:ascii="Arial" w:hAnsi="Arial" w:cs="Arial"/>
        </w:rPr>
        <w:t>Hampshire</w:t>
      </w:r>
      <w:r w:rsidR="2787C71E" w:rsidRPr="752E4E0C">
        <w:rPr>
          <w:rFonts w:ascii="Arial" w:hAnsi="Arial" w:cs="Arial"/>
        </w:rPr>
        <w:t>,</w:t>
      </w:r>
      <w:bookmarkEnd w:id="29"/>
      <w:r>
        <w:rPr>
          <w:rFonts w:ascii="Arial" w:hAnsi="Arial" w:cs="Arial"/>
        </w:rPr>
        <w:t xml:space="preserve"> these proposals would </w:t>
      </w:r>
      <w:r w:rsidR="00BD6DAB">
        <w:rPr>
          <w:rFonts w:ascii="Arial" w:hAnsi="Arial" w:cs="Arial"/>
        </w:rPr>
        <w:t xml:space="preserve">result in </w:t>
      </w:r>
      <w:r w:rsidR="0002281E">
        <w:rPr>
          <w:rFonts w:ascii="Arial" w:hAnsi="Arial" w:cs="Arial"/>
        </w:rPr>
        <w:t>a £0.2</w:t>
      </w:r>
      <w:r w:rsidR="00573BC5">
        <w:rPr>
          <w:rFonts w:ascii="Arial" w:hAnsi="Arial" w:cs="Arial"/>
        </w:rPr>
        <w:t>2</w:t>
      </w:r>
      <w:r w:rsidR="0002281E">
        <w:rPr>
          <w:rFonts w:ascii="Arial" w:hAnsi="Arial" w:cs="Arial"/>
        </w:rPr>
        <w:t xml:space="preserve">p increase to the </w:t>
      </w:r>
      <w:bookmarkStart w:id="30" w:name="_Int_B6cR8N3H"/>
      <w:r w:rsidR="0002281E">
        <w:rPr>
          <w:rFonts w:ascii="Arial" w:hAnsi="Arial" w:cs="Arial"/>
        </w:rPr>
        <w:t>3&amp;4 year old</w:t>
      </w:r>
      <w:bookmarkEnd w:id="30"/>
      <w:r w:rsidR="0002281E">
        <w:rPr>
          <w:rFonts w:ascii="Arial" w:hAnsi="Arial" w:cs="Arial"/>
        </w:rPr>
        <w:t xml:space="preserve"> Universal and Extended entitlements (from £4</w:t>
      </w:r>
      <w:r w:rsidR="00D457BE">
        <w:rPr>
          <w:rFonts w:ascii="Arial" w:hAnsi="Arial" w:cs="Arial"/>
        </w:rPr>
        <w:t>.92 to £5.1</w:t>
      </w:r>
      <w:r w:rsidR="00573BC5">
        <w:rPr>
          <w:rFonts w:ascii="Arial" w:hAnsi="Arial" w:cs="Arial"/>
        </w:rPr>
        <w:t>4</w:t>
      </w:r>
      <w:r w:rsidR="00D457BE" w:rsidRPr="752E4E0C">
        <w:rPr>
          <w:rFonts w:ascii="Arial" w:hAnsi="Arial" w:cs="Arial"/>
        </w:rPr>
        <w:t>)</w:t>
      </w:r>
      <w:r w:rsidR="00BE4DB2" w:rsidRPr="752E4E0C">
        <w:rPr>
          <w:rFonts w:ascii="Arial" w:hAnsi="Arial" w:cs="Arial"/>
        </w:rPr>
        <w:t xml:space="preserve"> resulting in an additional £3.</w:t>
      </w:r>
      <w:r w:rsidR="007D6764" w:rsidRPr="752E4E0C">
        <w:rPr>
          <w:rFonts w:ascii="Arial" w:hAnsi="Arial" w:cs="Arial"/>
        </w:rPr>
        <w:t xml:space="preserve">4m </w:t>
      </w:r>
      <w:r w:rsidR="0037442F" w:rsidRPr="752E4E0C">
        <w:rPr>
          <w:rFonts w:ascii="Arial" w:hAnsi="Arial" w:cs="Arial"/>
        </w:rPr>
        <w:t>funding</w:t>
      </w:r>
      <w:r w:rsidR="007C42E2" w:rsidRPr="752E4E0C">
        <w:rPr>
          <w:rFonts w:ascii="Arial" w:hAnsi="Arial" w:cs="Arial"/>
        </w:rPr>
        <w:t xml:space="preserve"> (4.5%) in 2023/24</w:t>
      </w:r>
      <w:r w:rsidR="008A63C4" w:rsidRPr="752E4E0C">
        <w:rPr>
          <w:rFonts w:ascii="Arial" w:hAnsi="Arial" w:cs="Arial"/>
        </w:rPr>
        <w:t>.</w:t>
      </w:r>
      <w:r w:rsidR="001D45AF">
        <w:rPr>
          <w:rFonts w:ascii="Arial" w:hAnsi="Arial" w:cs="Arial"/>
        </w:rPr>
        <w:t xml:space="preserve"> The 2</w:t>
      </w:r>
      <w:r w:rsidR="04E91E4B" w:rsidRPr="752E4E0C">
        <w:rPr>
          <w:rFonts w:ascii="Arial" w:hAnsi="Arial" w:cs="Arial"/>
        </w:rPr>
        <w:t>-</w:t>
      </w:r>
      <w:r w:rsidR="001D45AF">
        <w:rPr>
          <w:rFonts w:ascii="Arial" w:hAnsi="Arial" w:cs="Arial"/>
        </w:rPr>
        <w:t>year</w:t>
      </w:r>
      <w:r w:rsidR="04E91E4B" w:rsidRPr="752E4E0C">
        <w:rPr>
          <w:rFonts w:ascii="Arial" w:hAnsi="Arial" w:cs="Arial"/>
        </w:rPr>
        <w:t>-</w:t>
      </w:r>
      <w:r w:rsidR="001D45AF">
        <w:rPr>
          <w:rFonts w:ascii="Arial" w:hAnsi="Arial" w:cs="Arial"/>
        </w:rPr>
        <w:t xml:space="preserve">old entitlement would see a £0.50p increase </w:t>
      </w:r>
      <w:r w:rsidR="009B7736">
        <w:rPr>
          <w:rFonts w:ascii="Arial" w:hAnsi="Arial" w:cs="Arial"/>
        </w:rPr>
        <w:t>(from £</w:t>
      </w:r>
      <w:r w:rsidR="00600536">
        <w:rPr>
          <w:rFonts w:ascii="Arial" w:hAnsi="Arial" w:cs="Arial"/>
        </w:rPr>
        <w:t>5.80 to £6.30</w:t>
      </w:r>
      <w:r w:rsidR="00600536" w:rsidRPr="752E4E0C">
        <w:rPr>
          <w:rFonts w:ascii="Arial" w:hAnsi="Arial" w:cs="Arial"/>
        </w:rPr>
        <w:t>)</w:t>
      </w:r>
      <w:r w:rsidR="00AC0890" w:rsidRPr="752E4E0C">
        <w:rPr>
          <w:rFonts w:ascii="Arial" w:hAnsi="Arial" w:cs="Arial"/>
        </w:rPr>
        <w:t xml:space="preserve"> resulting in a</w:t>
      </w:r>
      <w:r w:rsidR="007C3D32" w:rsidRPr="752E4E0C">
        <w:rPr>
          <w:rFonts w:ascii="Arial" w:hAnsi="Arial" w:cs="Arial"/>
        </w:rPr>
        <w:t xml:space="preserve">n additional </w:t>
      </w:r>
      <w:r w:rsidR="00AC0890" w:rsidRPr="752E4E0C">
        <w:rPr>
          <w:rFonts w:ascii="Arial" w:hAnsi="Arial" w:cs="Arial"/>
        </w:rPr>
        <w:t>£510</w:t>
      </w:r>
      <w:r w:rsidR="001962D8" w:rsidRPr="752E4E0C">
        <w:rPr>
          <w:rFonts w:ascii="Arial" w:hAnsi="Arial" w:cs="Arial"/>
        </w:rPr>
        <w:t xml:space="preserve">,000 (8.6%) </w:t>
      </w:r>
      <w:r w:rsidR="00814403" w:rsidRPr="752E4E0C">
        <w:rPr>
          <w:rFonts w:ascii="Arial" w:hAnsi="Arial" w:cs="Arial"/>
        </w:rPr>
        <w:t>funding in 2023/24</w:t>
      </w:r>
      <w:r w:rsidR="00A80AAC" w:rsidRPr="752E4E0C">
        <w:rPr>
          <w:rFonts w:ascii="Arial" w:hAnsi="Arial" w:cs="Arial"/>
        </w:rPr>
        <w:t>.</w:t>
      </w:r>
      <w:r w:rsidR="00A80AAC">
        <w:rPr>
          <w:rFonts w:ascii="Arial" w:hAnsi="Arial" w:cs="Arial"/>
        </w:rPr>
        <w:t xml:space="preserve"> These </w:t>
      </w:r>
      <w:r w:rsidR="002A5B75">
        <w:rPr>
          <w:rFonts w:ascii="Arial" w:hAnsi="Arial" w:cs="Arial"/>
        </w:rPr>
        <w:t>rates</w:t>
      </w:r>
      <w:r w:rsidR="00A80AAC">
        <w:rPr>
          <w:rFonts w:ascii="Arial" w:hAnsi="Arial" w:cs="Arial"/>
        </w:rPr>
        <w:t xml:space="preserve"> are </w:t>
      </w:r>
      <w:r w:rsidR="00686980">
        <w:rPr>
          <w:rFonts w:ascii="Arial" w:hAnsi="Arial" w:cs="Arial"/>
        </w:rPr>
        <w:t>calculated from</w:t>
      </w:r>
      <w:r w:rsidR="00A80AAC">
        <w:rPr>
          <w:rFonts w:ascii="Arial" w:hAnsi="Arial" w:cs="Arial"/>
        </w:rPr>
        <w:t xml:space="preserve"> </w:t>
      </w:r>
      <w:r w:rsidR="00F3008C">
        <w:rPr>
          <w:rFonts w:ascii="Arial" w:hAnsi="Arial" w:cs="Arial"/>
        </w:rPr>
        <w:t>the January 2021 census</w:t>
      </w:r>
      <w:r w:rsidR="008B233B">
        <w:rPr>
          <w:rFonts w:ascii="Arial" w:hAnsi="Arial" w:cs="Arial"/>
        </w:rPr>
        <w:t xml:space="preserve"> data</w:t>
      </w:r>
      <w:r w:rsidR="4173D871" w:rsidRPr="752E4E0C">
        <w:rPr>
          <w:rFonts w:ascii="Arial" w:hAnsi="Arial" w:cs="Arial"/>
        </w:rPr>
        <w:t>;</w:t>
      </w:r>
      <w:r w:rsidR="00F3008C">
        <w:rPr>
          <w:rFonts w:ascii="Arial" w:hAnsi="Arial" w:cs="Arial"/>
        </w:rPr>
        <w:t xml:space="preserve"> </w:t>
      </w:r>
      <w:r w:rsidR="008B233B">
        <w:rPr>
          <w:rFonts w:ascii="Arial" w:hAnsi="Arial" w:cs="Arial"/>
        </w:rPr>
        <w:t xml:space="preserve">therefore </w:t>
      </w:r>
      <w:r w:rsidR="00686980">
        <w:rPr>
          <w:rFonts w:ascii="Arial" w:hAnsi="Arial" w:cs="Arial"/>
        </w:rPr>
        <w:t>2023/24</w:t>
      </w:r>
      <w:r w:rsidR="008B233B">
        <w:rPr>
          <w:rFonts w:ascii="Arial" w:hAnsi="Arial" w:cs="Arial"/>
        </w:rPr>
        <w:t xml:space="preserve"> rates </w:t>
      </w:r>
      <w:r w:rsidR="001C4E26">
        <w:rPr>
          <w:rFonts w:ascii="Arial" w:hAnsi="Arial" w:cs="Arial"/>
        </w:rPr>
        <w:t>will</w:t>
      </w:r>
      <w:r w:rsidR="008B233B">
        <w:rPr>
          <w:rFonts w:ascii="Arial" w:hAnsi="Arial" w:cs="Arial"/>
        </w:rPr>
        <w:t xml:space="preserve"> be subject to change following the updated January 2022 census.</w:t>
      </w:r>
    </w:p>
    <w:p w14:paraId="1EEF1D44" w14:textId="154442C6" w:rsidR="00C0329C" w:rsidRDefault="00C0329C" w:rsidP="752E4E0C">
      <w:pPr>
        <w:pStyle w:val="Heading2"/>
        <w:keepNext w:val="0"/>
        <w:tabs>
          <w:tab w:val="clear" w:pos="576"/>
        </w:tabs>
        <w:ind w:left="0" w:hanging="567"/>
        <w:jc w:val="left"/>
        <w:rPr>
          <w:rFonts w:ascii="Arial" w:hAnsi="Arial" w:cs="Arial"/>
        </w:rPr>
      </w:pPr>
      <w:r>
        <w:rPr>
          <w:rFonts w:ascii="Arial" w:hAnsi="Arial" w:cs="Arial"/>
        </w:rPr>
        <w:t>As a result of the mainstreaming of the Teachers Pay and Pensions grant, the 3&amp;4 year old</w:t>
      </w:r>
      <w:r w:rsidR="007601FA">
        <w:rPr>
          <w:rFonts w:ascii="Arial" w:hAnsi="Arial" w:cs="Arial"/>
        </w:rPr>
        <w:t xml:space="preserve"> Universal and Extended entitlements will increase by a further £0.01p (to £5.15 per hour overall). </w:t>
      </w:r>
      <w:r w:rsidR="00CC4F0B">
        <w:rPr>
          <w:rFonts w:ascii="Arial" w:hAnsi="Arial" w:cs="Arial"/>
        </w:rPr>
        <w:t xml:space="preserve">This is </w:t>
      </w:r>
      <w:r w:rsidR="0071514D">
        <w:rPr>
          <w:rFonts w:ascii="Arial" w:hAnsi="Arial" w:cs="Arial"/>
        </w:rPr>
        <w:t>the equivalent of £153,000</w:t>
      </w:r>
      <w:r w:rsidR="00DC048A">
        <w:rPr>
          <w:rFonts w:ascii="Arial" w:hAnsi="Arial" w:cs="Arial"/>
        </w:rPr>
        <w:t xml:space="preserve"> added to the 2023/24 early years formula</w:t>
      </w:r>
      <w:r w:rsidR="009B23C2">
        <w:rPr>
          <w:rFonts w:ascii="Arial" w:hAnsi="Arial" w:cs="Arial"/>
        </w:rPr>
        <w:t>. The early years elements of this funding amounted to £16</w:t>
      </w:r>
      <w:r w:rsidR="00A35564">
        <w:rPr>
          <w:rFonts w:ascii="Arial" w:hAnsi="Arial" w:cs="Arial"/>
        </w:rPr>
        <w:t>1,000 in 202</w:t>
      </w:r>
      <w:r w:rsidR="009032E2">
        <w:rPr>
          <w:rFonts w:ascii="Arial" w:hAnsi="Arial" w:cs="Arial"/>
        </w:rPr>
        <w:t>1</w:t>
      </w:r>
      <w:r w:rsidR="00A35564">
        <w:rPr>
          <w:rFonts w:ascii="Arial" w:hAnsi="Arial" w:cs="Arial"/>
        </w:rPr>
        <w:t>/2</w:t>
      </w:r>
      <w:r w:rsidR="009032E2">
        <w:rPr>
          <w:rFonts w:ascii="Arial" w:hAnsi="Arial" w:cs="Arial"/>
        </w:rPr>
        <w:t>2</w:t>
      </w:r>
      <w:r w:rsidR="00DC048A">
        <w:rPr>
          <w:rFonts w:ascii="Arial" w:hAnsi="Arial" w:cs="Arial"/>
        </w:rPr>
        <w:t xml:space="preserve"> </w:t>
      </w:r>
      <w:r w:rsidR="00D9628D">
        <w:rPr>
          <w:rFonts w:ascii="Arial" w:hAnsi="Arial" w:cs="Arial"/>
        </w:rPr>
        <w:t xml:space="preserve">which will </w:t>
      </w:r>
      <w:r w:rsidR="00DC048A">
        <w:rPr>
          <w:rFonts w:ascii="Arial" w:hAnsi="Arial" w:cs="Arial"/>
        </w:rPr>
        <w:t>result in a loss to Hampshire of £8,000.</w:t>
      </w:r>
      <w:r w:rsidR="00530CFF">
        <w:rPr>
          <w:rFonts w:ascii="Arial" w:hAnsi="Arial" w:cs="Arial"/>
        </w:rPr>
        <w:t xml:space="preserve"> </w:t>
      </w:r>
      <w:r w:rsidR="004F105C">
        <w:rPr>
          <w:rFonts w:ascii="Arial" w:hAnsi="Arial" w:cs="Arial"/>
        </w:rPr>
        <w:t>When updat</w:t>
      </w:r>
      <w:r w:rsidR="007F0A02">
        <w:rPr>
          <w:rFonts w:ascii="Arial" w:hAnsi="Arial" w:cs="Arial"/>
        </w:rPr>
        <w:t>ed</w:t>
      </w:r>
      <w:r w:rsidR="004F105C">
        <w:rPr>
          <w:rFonts w:ascii="Arial" w:hAnsi="Arial" w:cs="Arial"/>
        </w:rPr>
        <w:t xml:space="preserve"> early years operational guidance for 2023/24 has been published following the </w:t>
      </w:r>
      <w:r w:rsidR="007E0865">
        <w:rPr>
          <w:rFonts w:ascii="Arial" w:hAnsi="Arial" w:cs="Arial"/>
        </w:rPr>
        <w:t>consultation</w:t>
      </w:r>
      <w:r w:rsidR="007F0A02">
        <w:rPr>
          <w:rFonts w:ascii="Arial" w:hAnsi="Arial" w:cs="Arial"/>
        </w:rPr>
        <w:t xml:space="preserve">, modelling will be completed to </w:t>
      </w:r>
      <w:r w:rsidR="00ED6EDE">
        <w:rPr>
          <w:rFonts w:ascii="Arial" w:hAnsi="Arial" w:cs="Arial"/>
        </w:rPr>
        <w:t xml:space="preserve">consider distribution </w:t>
      </w:r>
      <w:r w:rsidR="007919D4">
        <w:rPr>
          <w:rFonts w:ascii="Arial" w:hAnsi="Arial" w:cs="Arial"/>
        </w:rPr>
        <w:t>methods in-line with the EFSA suggested approach</w:t>
      </w:r>
      <w:r w:rsidR="009C4B32">
        <w:rPr>
          <w:rFonts w:ascii="Arial" w:hAnsi="Arial" w:cs="Arial"/>
        </w:rPr>
        <w:t>.</w:t>
      </w:r>
      <w:r w:rsidR="004153D1">
        <w:rPr>
          <w:rFonts w:ascii="Arial" w:hAnsi="Arial" w:cs="Arial"/>
        </w:rPr>
        <w:t xml:space="preserve"> </w:t>
      </w:r>
    </w:p>
    <w:p w14:paraId="5E022B02" w14:textId="3EC5DF85" w:rsidR="00CC6D75" w:rsidRDefault="005779EE" w:rsidP="00174922">
      <w:pPr>
        <w:pStyle w:val="Heading2"/>
        <w:keepNext w:val="0"/>
        <w:tabs>
          <w:tab w:val="clear" w:pos="576"/>
          <w:tab w:val="num" w:pos="0"/>
        </w:tabs>
        <w:ind w:left="0" w:hanging="567"/>
        <w:jc w:val="left"/>
        <w:rPr>
          <w:rFonts w:ascii="Arial" w:hAnsi="Arial" w:cs="Arial"/>
        </w:rPr>
      </w:pPr>
      <w:r>
        <w:rPr>
          <w:rFonts w:ascii="Arial" w:hAnsi="Arial" w:cs="Arial"/>
        </w:rPr>
        <w:t xml:space="preserve">The supplementary funding </w:t>
      </w:r>
      <w:r w:rsidR="00ED5341">
        <w:rPr>
          <w:rFonts w:ascii="Arial" w:hAnsi="Arial" w:cs="Arial"/>
        </w:rPr>
        <w:t xml:space="preserve">Hampshire receives for the Maintained Nursery Schools </w:t>
      </w:r>
      <w:r w:rsidR="00802994">
        <w:rPr>
          <w:rFonts w:ascii="Arial" w:hAnsi="Arial" w:cs="Arial"/>
        </w:rPr>
        <w:t>will be capped at £10 per hour</w:t>
      </w:r>
      <w:r w:rsidR="00F00764">
        <w:rPr>
          <w:rFonts w:ascii="Arial" w:hAnsi="Arial" w:cs="Arial"/>
        </w:rPr>
        <w:t xml:space="preserve"> </w:t>
      </w:r>
      <w:r w:rsidR="00A20FF2">
        <w:rPr>
          <w:rFonts w:ascii="Arial" w:hAnsi="Arial" w:cs="Arial"/>
        </w:rPr>
        <w:t>under proposals. Hampshire currently receives £10</w:t>
      </w:r>
      <w:r w:rsidR="0007215C">
        <w:rPr>
          <w:rFonts w:ascii="Arial" w:hAnsi="Arial" w:cs="Arial"/>
        </w:rPr>
        <w:t>.</w:t>
      </w:r>
      <w:r w:rsidR="00872030">
        <w:rPr>
          <w:rFonts w:ascii="Arial" w:hAnsi="Arial" w:cs="Arial"/>
        </w:rPr>
        <w:t>27</w:t>
      </w:r>
      <w:r w:rsidR="000E1C50">
        <w:rPr>
          <w:rFonts w:ascii="Arial" w:hAnsi="Arial" w:cs="Arial"/>
        </w:rPr>
        <w:t xml:space="preserve"> per hour </w:t>
      </w:r>
      <w:r w:rsidR="005E2397">
        <w:rPr>
          <w:rFonts w:ascii="Arial" w:hAnsi="Arial" w:cs="Arial"/>
        </w:rPr>
        <w:t xml:space="preserve">plus the equivalent of an additional £0.41p </w:t>
      </w:r>
      <w:r w:rsidR="00AF0BA8">
        <w:rPr>
          <w:rFonts w:ascii="Arial" w:hAnsi="Arial" w:cs="Arial"/>
        </w:rPr>
        <w:t xml:space="preserve">per hour for the pay and pensions grant </w:t>
      </w:r>
      <w:r w:rsidR="00F062C3">
        <w:rPr>
          <w:rFonts w:ascii="Arial" w:hAnsi="Arial" w:cs="Arial"/>
        </w:rPr>
        <w:t>funded outside of the EYNFF</w:t>
      </w:r>
      <w:r w:rsidR="001750D7">
        <w:rPr>
          <w:rFonts w:ascii="Arial" w:hAnsi="Arial" w:cs="Arial"/>
        </w:rPr>
        <w:t xml:space="preserve"> in 2022/23. </w:t>
      </w:r>
      <w:r w:rsidR="00364FF1">
        <w:rPr>
          <w:rFonts w:ascii="Arial" w:hAnsi="Arial" w:cs="Arial"/>
        </w:rPr>
        <w:t>This would result in a reduction in supplementary funding of around £</w:t>
      </w:r>
      <w:r w:rsidR="002E6557">
        <w:rPr>
          <w:rFonts w:ascii="Arial" w:hAnsi="Arial" w:cs="Arial"/>
        </w:rPr>
        <w:t>104,000</w:t>
      </w:r>
      <w:r w:rsidR="0082078E">
        <w:rPr>
          <w:rFonts w:ascii="Arial" w:hAnsi="Arial" w:cs="Arial"/>
        </w:rPr>
        <w:t xml:space="preserve"> for 2023/24</w:t>
      </w:r>
      <w:r w:rsidR="00730C8F">
        <w:rPr>
          <w:rFonts w:ascii="Arial" w:hAnsi="Arial" w:cs="Arial"/>
        </w:rPr>
        <w:t xml:space="preserve"> (from £1.63</w:t>
      </w:r>
      <w:r w:rsidR="00EB3D11">
        <w:rPr>
          <w:rFonts w:ascii="Arial" w:hAnsi="Arial" w:cs="Arial"/>
        </w:rPr>
        <w:t>1</w:t>
      </w:r>
      <w:r w:rsidR="00730C8F">
        <w:rPr>
          <w:rFonts w:ascii="Arial" w:hAnsi="Arial" w:cs="Arial"/>
        </w:rPr>
        <w:t>m to £</w:t>
      </w:r>
      <w:r w:rsidR="0035451E">
        <w:rPr>
          <w:rFonts w:ascii="Arial" w:hAnsi="Arial" w:cs="Arial"/>
        </w:rPr>
        <w:t>1,527</w:t>
      </w:r>
      <w:r w:rsidR="00EB3D11">
        <w:rPr>
          <w:rFonts w:ascii="Arial" w:hAnsi="Arial" w:cs="Arial"/>
        </w:rPr>
        <w:t>m).</w:t>
      </w:r>
      <w:r w:rsidR="001103FF">
        <w:rPr>
          <w:rFonts w:ascii="Arial" w:hAnsi="Arial" w:cs="Arial"/>
        </w:rPr>
        <w:t xml:space="preserve"> Th</w:t>
      </w:r>
      <w:r w:rsidR="00E453F4">
        <w:rPr>
          <w:rFonts w:ascii="Arial" w:hAnsi="Arial" w:cs="Arial"/>
        </w:rPr>
        <w:t>e</w:t>
      </w:r>
      <w:r w:rsidR="001103FF">
        <w:rPr>
          <w:rFonts w:ascii="Arial" w:hAnsi="Arial" w:cs="Arial"/>
        </w:rPr>
        <w:t xml:space="preserve"> reduction </w:t>
      </w:r>
      <w:r w:rsidR="006B4EC2">
        <w:rPr>
          <w:rFonts w:ascii="Arial" w:hAnsi="Arial" w:cs="Arial"/>
        </w:rPr>
        <w:t xml:space="preserve">will be managed as part of the overall early years </w:t>
      </w:r>
      <w:r w:rsidR="009540B4">
        <w:rPr>
          <w:rFonts w:ascii="Arial" w:hAnsi="Arial" w:cs="Arial"/>
        </w:rPr>
        <w:t xml:space="preserve">DSG block therefore </w:t>
      </w:r>
      <w:r w:rsidR="004033FC">
        <w:rPr>
          <w:rFonts w:ascii="Arial" w:hAnsi="Arial" w:cs="Arial"/>
        </w:rPr>
        <w:t xml:space="preserve">is not expected to impact allocations </w:t>
      </w:r>
      <w:r w:rsidR="009540B4">
        <w:rPr>
          <w:rFonts w:ascii="Arial" w:hAnsi="Arial" w:cs="Arial"/>
        </w:rPr>
        <w:t>made to the maintained nursery schools.</w:t>
      </w:r>
    </w:p>
    <w:p w14:paraId="308DDF0A" w14:textId="01D51DA8" w:rsidR="00377ADE" w:rsidRPr="00270495" w:rsidRDefault="00036EA6" w:rsidP="001B27B1">
      <w:pPr>
        <w:pStyle w:val="Heading1"/>
        <w:keepNext w:val="0"/>
        <w:tabs>
          <w:tab w:val="clear" w:pos="432"/>
        </w:tabs>
        <w:spacing w:after="120"/>
        <w:ind w:left="0" w:hanging="426"/>
        <w:jc w:val="left"/>
        <w:rPr>
          <w:rFonts w:ascii="Arial" w:hAnsi="Arial" w:cs="Arial"/>
          <w:bCs/>
          <w:color w:val="000000"/>
        </w:rPr>
      </w:pPr>
      <w:r w:rsidRPr="001B27B1">
        <w:rPr>
          <w:rFonts w:ascii="Arial" w:hAnsi="Arial" w:cs="Arial"/>
        </w:rPr>
        <w:t>Recommendation</w:t>
      </w:r>
      <w:r w:rsidR="00DB4DF8" w:rsidRPr="001B27B1">
        <w:rPr>
          <w:rFonts w:ascii="Arial" w:hAnsi="Arial" w:cs="Arial"/>
        </w:rPr>
        <w:t>s</w:t>
      </w:r>
    </w:p>
    <w:p w14:paraId="5B9337D3" w14:textId="0B5C2C46" w:rsidR="007F0793" w:rsidRPr="007632C5" w:rsidRDefault="00375966" w:rsidP="001B1D44">
      <w:pPr>
        <w:pStyle w:val="Heading2"/>
        <w:keepNext w:val="0"/>
        <w:tabs>
          <w:tab w:val="clear" w:pos="576"/>
          <w:tab w:val="num" w:pos="0"/>
        </w:tabs>
        <w:ind w:left="0" w:hanging="567"/>
        <w:jc w:val="left"/>
        <w:rPr>
          <w:rFonts w:ascii="Arial" w:hAnsi="Arial" w:cs="Arial"/>
        </w:rPr>
      </w:pPr>
      <w:r w:rsidRPr="007632C5">
        <w:rPr>
          <w:rFonts w:ascii="Arial" w:hAnsi="Arial" w:cs="Arial"/>
        </w:rPr>
        <w:t xml:space="preserve">It is recommended that </w:t>
      </w:r>
      <w:r w:rsidR="005E536A" w:rsidRPr="007632C5">
        <w:rPr>
          <w:rFonts w:ascii="Arial" w:hAnsi="Arial" w:cs="Arial"/>
        </w:rPr>
        <w:t>S</w:t>
      </w:r>
      <w:r w:rsidRPr="007632C5">
        <w:rPr>
          <w:rFonts w:ascii="Arial" w:hAnsi="Arial" w:cs="Arial"/>
        </w:rPr>
        <w:t xml:space="preserve">chools Forum </w:t>
      </w:r>
      <w:r w:rsidR="001802D7" w:rsidRPr="007632C5">
        <w:rPr>
          <w:rFonts w:ascii="Arial" w:hAnsi="Arial" w:cs="Arial"/>
        </w:rPr>
        <w:t>notes the recent government funding announcements outlined in this report and the potential local impact</w:t>
      </w:r>
      <w:r w:rsidR="0018171A" w:rsidRPr="007632C5">
        <w:rPr>
          <w:rFonts w:ascii="Arial" w:hAnsi="Arial" w:cs="Arial"/>
        </w:rPr>
        <w:t>.</w:t>
      </w:r>
      <w:bookmarkEnd w:id="4"/>
      <w:bookmarkEnd w:id="5"/>
    </w:p>
    <w:p w14:paraId="6A1B300D" w14:textId="0AD407C6" w:rsidR="00E8507D" w:rsidRPr="00E60DAE" w:rsidRDefault="00E8507D" w:rsidP="001B1D44">
      <w:pPr>
        <w:pStyle w:val="Heading2"/>
        <w:keepNext w:val="0"/>
        <w:tabs>
          <w:tab w:val="clear" w:pos="576"/>
          <w:tab w:val="num" w:pos="0"/>
        </w:tabs>
        <w:ind w:left="0" w:hanging="567"/>
        <w:jc w:val="left"/>
        <w:rPr>
          <w:rFonts w:ascii="Arial" w:hAnsi="Arial" w:cs="Arial"/>
        </w:rPr>
      </w:pPr>
      <w:r w:rsidRPr="00324B2D">
        <w:rPr>
          <w:rFonts w:ascii="Arial" w:hAnsi="Arial" w:cs="Arial"/>
        </w:rPr>
        <w:t>It is recommended that Schools Forum support the</w:t>
      </w:r>
      <w:r w:rsidR="00F74F73" w:rsidRPr="00324B2D">
        <w:rPr>
          <w:rFonts w:ascii="Arial" w:hAnsi="Arial" w:cs="Arial"/>
        </w:rPr>
        <w:t xml:space="preserve"> proposed</w:t>
      </w:r>
      <w:r w:rsidRPr="00324B2D">
        <w:rPr>
          <w:rFonts w:ascii="Arial" w:hAnsi="Arial" w:cs="Arial"/>
        </w:rPr>
        <w:t xml:space="preserve"> approach to </w:t>
      </w:r>
      <w:r w:rsidR="00324B2D" w:rsidRPr="00E60DAE">
        <w:rPr>
          <w:rFonts w:ascii="Arial" w:hAnsi="Arial" w:cs="Arial"/>
        </w:rPr>
        <w:t>seek feedback</w:t>
      </w:r>
      <w:r w:rsidR="00D3536D" w:rsidRPr="00E60DAE">
        <w:rPr>
          <w:rFonts w:ascii="Arial" w:hAnsi="Arial" w:cs="Arial"/>
        </w:rPr>
        <w:t xml:space="preserve"> on the local school funding formula for 202</w:t>
      </w:r>
      <w:r w:rsidR="00324B2D" w:rsidRPr="00E60DAE">
        <w:rPr>
          <w:rFonts w:ascii="Arial" w:hAnsi="Arial" w:cs="Arial"/>
        </w:rPr>
        <w:t>3</w:t>
      </w:r>
      <w:r w:rsidR="00D3536D" w:rsidRPr="00E60DAE">
        <w:rPr>
          <w:rFonts w:ascii="Arial" w:hAnsi="Arial" w:cs="Arial"/>
        </w:rPr>
        <w:t>/2</w:t>
      </w:r>
      <w:r w:rsidR="00324B2D" w:rsidRPr="00E60DAE">
        <w:rPr>
          <w:rFonts w:ascii="Arial" w:hAnsi="Arial" w:cs="Arial"/>
        </w:rPr>
        <w:t>4</w:t>
      </w:r>
      <w:r w:rsidR="00D3536D" w:rsidRPr="00E60DAE">
        <w:rPr>
          <w:rFonts w:ascii="Arial" w:hAnsi="Arial" w:cs="Arial"/>
        </w:rPr>
        <w:t>.</w:t>
      </w:r>
    </w:p>
    <w:p w14:paraId="7B926BEC" w14:textId="72B73603" w:rsidR="00CB22B0" w:rsidRPr="00E60DAE" w:rsidRDefault="00CB22B0" w:rsidP="001B1D44">
      <w:pPr>
        <w:pStyle w:val="Heading2"/>
        <w:keepNext w:val="0"/>
        <w:tabs>
          <w:tab w:val="clear" w:pos="576"/>
          <w:tab w:val="num" w:pos="0"/>
        </w:tabs>
        <w:ind w:left="0" w:hanging="567"/>
        <w:jc w:val="left"/>
        <w:rPr>
          <w:rFonts w:ascii="Arial" w:hAnsi="Arial" w:cs="Arial"/>
        </w:rPr>
      </w:pPr>
      <w:r w:rsidRPr="00E60DAE">
        <w:rPr>
          <w:rFonts w:ascii="Arial" w:hAnsi="Arial" w:cs="Arial"/>
        </w:rPr>
        <w:t xml:space="preserve">It is recommended that Schools Forum support the </w:t>
      </w:r>
      <w:r w:rsidR="00064637" w:rsidRPr="00E60DAE">
        <w:rPr>
          <w:rFonts w:ascii="Arial" w:hAnsi="Arial" w:cs="Arial"/>
        </w:rPr>
        <w:t>applications to the ESFA to disapply the regulations as outlined in paragraph 5.1</w:t>
      </w:r>
      <w:r w:rsidR="00E60DAE" w:rsidRPr="00E60DAE">
        <w:rPr>
          <w:rFonts w:ascii="Arial" w:hAnsi="Arial" w:cs="Arial"/>
        </w:rPr>
        <w:t>3</w:t>
      </w:r>
      <w:r w:rsidR="00064637" w:rsidRPr="00E60DAE">
        <w:rPr>
          <w:rFonts w:ascii="Arial" w:hAnsi="Arial" w:cs="Arial"/>
        </w:rPr>
        <w:t>.</w:t>
      </w:r>
    </w:p>
    <w:p w14:paraId="270A3965" w14:textId="6D754C49" w:rsidR="001B1D44" w:rsidRPr="00175D4A" w:rsidRDefault="001B1D44" w:rsidP="000C531D">
      <w:pPr>
        <w:pStyle w:val="Heading2"/>
        <w:keepNext w:val="0"/>
        <w:tabs>
          <w:tab w:val="clear" w:pos="576"/>
          <w:tab w:val="num" w:pos="0"/>
        </w:tabs>
        <w:ind w:left="0" w:hanging="567"/>
        <w:jc w:val="left"/>
        <w:rPr>
          <w:rFonts w:ascii="Arial" w:hAnsi="Arial" w:cs="Arial"/>
        </w:rPr>
      </w:pPr>
      <w:r w:rsidRPr="00175D4A">
        <w:rPr>
          <w:rFonts w:ascii="Arial" w:hAnsi="Arial" w:cs="Arial"/>
        </w:rPr>
        <w:t xml:space="preserve">It is recommended that Schools Forum support the uplift to top-up values for special schools, resourced provisions and education centres as outlined in paragraph </w:t>
      </w:r>
      <w:r w:rsidR="008A41E0" w:rsidRPr="00175D4A">
        <w:rPr>
          <w:rFonts w:ascii="Arial" w:hAnsi="Arial" w:cs="Arial"/>
        </w:rPr>
        <w:t>7.3</w:t>
      </w:r>
      <w:r w:rsidRPr="00175D4A">
        <w:rPr>
          <w:rFonts w:ascii="Arial" w:hAnsi="Arial" w:cs="Arial"/>
        </w:rPr>
        <w:t>.</w:t>
      </w:r>
    </w:p>
    <w:p w14:paraId="63A9D867" w14:textId="7F9F3ACE" w:rsidR="00AF2F51" w:rsidRPr="00E60DAE" w:rsidRDefault="00AF2F51" w:rsidP="00AF2F51">
      <w:pPr>
        <w:pStyle w:val="Heading2"/>
        <w:keepNext w:val="0"/>
        <w:tabs>
          <w:tab w:val="clear" w:pos="576"/>
          <w:tab w:val="num" w:pos="0"/>
        </w:tabs>
        <w:ind w:left="0" w:hanging="567"/>
        <w:jc w:val="left"/>
        <w:rPr>
          <w:rFonts w:ascii="Arial" w:hAnsi="Arial" w:cs="Arial"/>
        </w:rPr>
      </w:pPr>
      <w:r w:rsidRPr="00324B2D">
        <w:rPr>
          <w:rFonts w:ascii="Arial" w:hAnsi="Arial" w:cs="Arial"/>
        </w:rPr>
        <w:t xml:space="preserve">It is recommended that Schools Forum support the proposed approach to </w:t>
      </w:r>
      <w:r>
        <w:rPr>
          <w:rFonts w:ascii="Arial" w:hAnsi="Arial" w:cs="Arial"/>
        </w:rPr>
        <w:t>ongoing support for essential school improvement ac</w:t>
      </w:r>
      <w:r w:rsidR="00A448C4">
        <w:rPr>
          <w:rFonts w:ascii="Arial" w:hAnsi="Arial" w:cs="Arial"/>
        </w:rPr>
        <w:t>tivity</w:t>
      </w:r>
      <w:r w:rsidR="00CE53C6">
        <w:rPr>
          <w:rFonts w:ascii="Arial" w:hAnsi="Arial" w:cs="Arial"/>
        </w:rPr>
        <w:t xml:space="preserve"> as outlined in </w:t>
      </w:r>
      <w:r w:rsidR="009C04FC">
        <w:rPr>
          <w:rFonts w:ascii="Arial" w:hAnsi="Arial" w:cs="Arial"/>
        </w:rPr>
        <w:t>section 10</w:t>
      </w:r>
      <w:r w:rsidRPr="00E60DAE">
        <w:rPr>
          <w:rFonts w:ascii="Arial" w:hAnsi="Arial" w:cs="Arial"/>
        </w:rPr>
        <w:t>.</w:t>
      </w:r>
    </w:p>
    <w:p w14:paraId="55A2A739" w14:textId="1BF2BD65" w:rsidR="00FA5447" w:rsidRDefault="00253903" w:rsidP="003E0347">
      <w:pPr>
        <w:pStyle w:val="Heading2"/>
        <w:keepNext w:val="0"/>
        <w:tabs>
          <w:tab w:val="clear" w:pos="576"/>
          <w:tab w:val="num" w:pos="0"/>
        </w:tabs>
        <w:ind w:left="0" w:hanging="567"/>
        <w:jc w:val="left"/>
      </w:pPr>
      <w:r w:rsidRPr="0017373C">
        <w:rPr>
          <w:rFonts w:ascii="Arial" w:hAnsi="Arial" w:cs="Arial"/>
        </w:rPr>
        <w:t xml:space="preserve">It is recommended that Schools Forum notes the </w:t>
      </w:r>
      <w:r w:rsidR="0017373C" w:rsidRPr="0017373C">
        <w:rPr>
          <w:rFonts w:ascii="Arial" w:hAnsi="Arial" w:cs="Arial"/>
        </w:rPr>
        <w:t>recent</w:t>
      </w:r>
      <w:r w:rsidRPr="0017373C">
        <w:rPr>
          <w:rFonts w:ascii="Arial" w:hAnsi="Arial" w:cs="Arial"/>
        </w:rPr>
        <w:t xml:space="preserve"> consultation on the early years funding formula</w:t>
      </w:r>
      <w:r w:rsidR="00184D5C" w:rsidRPr="0017373C">
        <w:rPr>
          <w:rFonts w:ascii="Arial" w:hAnsi="Arial" w:cs="Arial"/>
        </w:rPr>
        <w:t>.</w:t>
      </w:r>
    </w:p>
    <w:p w14:paraId="018E2281" w14:textId="77777777" w:rsidR="003336F4" w:rsidRDefault="003336F4" w:rsidP="00FA5447">
      <w:pPr>
        <w:pStyle w:val="BodyText"/>
        <w:ind w:left="0"/>
        <w:sectPr w:rsidR="003336F4" w:rsidSect="000957C2">
          <w:headerReference w:type="even" r:id="rId16"/>
          <w:headerReference w:type="default" r:id="rId17"/>
          <w:footerReference w:type="even" r:id="rId18"/>
          <w:footerReference w:type="default" r:id="rId19"/>
          <w:headerReference w:type="first" r:id="rId20"/>
          <w:footerReference w:type="first" r:id="rId21"/>
          <w:pgSz w:w="11906" w:h="16838" w:code="9"/>
          <w:pgMar w:top="1276" w:right="1797" w:bottom="1440" w:left="1797" w:header="720" w:footer="720" w:gutter="0"/>
          <w:cols w:space="720"/>
          <w:formProt w:val="0"/>
          <w:docGrid w:linePitch="326"/>
        </w:sectPr>
      </w:pPr>
    </w:p>
    <w:p w14:paraId="4FA2B241" w14:textId="3CE20E3E" w:rsidR="00FA5447" w:rsidRPr="009D50D7" w:rsidRDefault="003336F4" w:rsidP="00FA5447">
      <w:pPr>
        <w:pStyle w:val="BodyText"/>
        <w:ind w:left="0"/>
        <w:rPr>
          <w:rFonts w:ascii="Arial" w:hAnsi="Arial" w:cs="Arial"/>
          <w:b/>
          <w:bCs/>
        </w:rPr>
      </w:pPr>
      <w:r w:rsidRPr="009D50D7">
        <w:rPr>
          <w:rFonts w:ascii="Arial" w:hAnsi="Arial" w:cs="Arial"/>
          <w:b/>
          <w:bCs/>
        </w:rPr>
        <w:lastRenderedPageBreak/>
        <w:t xml:space="preserve">Appendix 1 – </w:t>
      </w:r>
      <w:r w:rsidR="00C2487D" w:rsidRPr="009D50D7">
        <w:rPr>
          <w:rFonts w:ascii="Arial" w:hAnsi="Arial" w:cs="Arial"/>
          <w:b/>
          <w:bCs/>
        </w:rPr>
        <w:t>Schools</w:t>
      </w:r>
      <w:r w:rsidR="000E41D7" w:rsidRPr="009D50D7">
        <w:rPr>
          <w:rFonts w:ascii="Arial" w:hAnsi="Arial" w:cs="Arial"/>
          <w:b/>
          <w:bCs/>
        </w:rPr>
        <w:t xml:space="preserve"> Funding Allocations 202</w:t>
      </w:r>
      <w:r w:rsidR="00EC6498">
        <w:rPr>
          <w:rFonts w:ascii="Arial" w:hAnsi="Arial" w:cs="Arial"/>
          <w:b/>
          <w:bCs/>
        </w:rPr>
        <w:t>3</w:t>
      </w:r>
      <w:r w:rsidR="000E41D7" w:rsidRPr="009D50D7">
        <w:rPr>
          <w:rFonts w:ascii="Arial" w:hAnsi="Arial" w:cs="Arial"/>
          <w:b/>
          <w:bCs/>
        </w:rPr>
        <w:t>/2</w:t>
      </w:r>
      <w:r w:rsidR="00EC6498">
        <w:rPr>
          <w:rFonts w:ascii="Arial" w:hAnsi="Arial" w:cs="Arial"/>
          <w:b/>
          <w:bCs/>
        </w:rPr>
        <w:t>4</w:t>
      </w:r>
    </w:p>
    <w:p w14:paraId="5B93B275" w14:textId="154D76E1" w:rsidR="009D50D7" w:rsidRPr="003F41A1" w:rsidRDefault="009D50D7" w:rsidP="00FA5447">
      <w:pPr>
        <w:pStyle w:val="BodyText"/>
        <w:ind w:left="0"/>
        <w:rPr>
          <w:rFonts w:ascii="Arial" w:hAnsi="Arial" w:cs="Arial"/>
          <w:b/>
          <w:bCs/>
        </w:rPr>
      </w:pPr>
      <w:r w:rsidRPr="003F41A1">
        <w:rPr>
          <w:rFonts w:ascii="Arial" w:hAnsi="Arial" w:cs="Arial"/>
          <w:b/>
          <w:bCs/>
        </w:rPr>
        <w:t>Increase in mainstream schools funding by number on roll:</w:t>
      </w:r>
    </w:p>
    <w:tbl>
      <w:tblPr>
        <w:tblW w:w="6394" w:type="pct"/>
        <w:tblInd w:w="-1459" w:type="dxa"/>
        <w:tblLook w:val="04A0" w:firstRow="1" w:lastRow="0" w:firstColumn="1" w:lastColumn="0" w:noHBand="0" w:noVBand="1"/>
      </w:tblPr>
      <w:tblGrid>
        <w:gridCol w:w="3627"/>
        <w:gridCol w:w="3028"/>
        <w:gridCol w:w="1684"/>
        <w:gridCol w:w="1867"/>
        <w:gridCol w:w="1023"/>
      </w:tblGrid>
      <w:tr w:rsidR="007E70D5" w:rsidRPr="007E70D5" w14:paraId="3448E8E6" w14:textId="77777777" w:rsidTr="00F247C8">
        <w:trPr>
          <w:trHeight w:val="931"/>
        </w:trPr>
        <w:tc>
          <w:tcPr>
            <w:tcW w:w="16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6CB04E" w14:textId="77777777" w:rsidR="007E70D5" w:rsidRPr="00F247C8" w:rsidRDefault="007E70D5" w:rsidP="007E70D5">
            <w:pPr>
              <w:spacing w:after="0"/>
              <w:jc w:val="left"/>
              <w:outlineLvl w:val="0"/>
              <w:rPr>
                <w:rFonts w:ascii="Arial" w:hAnsi="Arial" w:cs="Arial"/>
                <w:b/>
                <w:bCs/>
                <w:sz w:val="22"/>
                <w:szCs w:val="22"/>
                <w:lang w:val="en-US"/>
              </w:rPr>
            </w:pPr>
            <w:r w:rsidRPr="00F247C8">
              <w:rPr>
                <w:rFonts w:ascii="Arial" w:hAnsi="Arial" w:cs="Arial"/>
                <w:b/>
                <w:bCs/>
                <w:sz w:val="22"/>
                <w:szCs w:val="22"/>
                <w:lang w:val="en-US"/>
              </w:rPr>
              <w:t>Number on roll</w:t>
            </w:r>
          </w:p>
        </w:tc>
        <w:tc>
          <w:tcPr>
            <w:tcW w:w="1348" w:type="pct"/>
            <w:tcBorders>
              <w:top w:val="single" w:sz="4" w:space="0" w:color="auto"/>
              <w:left w:val="nil"/>
              <w:bottom w:val="single" w:sz="4" w:space="0" w:color="auto"/>
              <w:right w:val="single" w:sz="4" w:space="0" w:color="auto"/>
            </w:tcBorders>
            <w:shd w:val="clear" w:color="auto" w:fill="auto"/>
            <w:vAlign w:val="bottom"/>
            <w:hideMark/>
          </w:tcPr>
          <w:p w14:paraId="06B448BA" w14:textId="77777777" w:rsidR="007E70D5" w:rsidRPr="00F247C8" w:rsidRDefault="007E70D5" w:rsidP="007E70D5">
            <w:pPr>
              <w:spacing w:after="0"/>
              <w:jc w:val="left"/>
              <w:outlineLvl w:val="0"/>
              <w:rPr>
                <w:rFonts w:ascii="Arial" w:hAnsi="Arial" w:cs="Arial"/>
                <w:b/>
                <w:bCs/>
                <w:sz w:val="22"/>
                <w:szCs w:val="22"/>
                <w:lang w:val="en-US"/>
              </w:rPr>
            </w:pPr>
            <w:r w:rsidRPr="00F247C8">
              <w:rPr>
                <w:rFonts w:ascii="Arial" w:hAnsi="Arial" w:cs="Arial"/>
                <w:b/>
                <w:bCs/>
                <w:sz w:val="22"/>
                <w:szCs w:val="22"/>
                <w:lang w:val="en-US"/>
              </w:rPr>
              <w:t>No. of schools</w:t>
            </w:r>
          </w:p>
        </w:tc>
        <w:tc>
          <w:tcPr>
            <w:tcW w:w="750" w:type="pct"/>
            <w:tcBorders>
              <w:top w:val="single" w:sz="4" w:space="0" w:color="auto"/>
              <w:left w:val="nil"/>
              <w:bottom w:val="single" w:sz="4" w:space="0" w:color="auto"/>
              <w:right w:val="single" w:sz="4" w:space="0" w:color="auto"/>
            </w:tcBorders>
            <w:shd w:val="clear" w:color="auto" w:fill="auto"/>
            <w:vAlign w:val="bottom"/>
            <w:hideMark/>
          </w:tcPr>
          <w:p w14:paraId="4D56B760" w14:textId="77777777" w:rsidR="007E70D5" w:rsidRPr="00F247C8" w:rsidRDefault="007E70D5" w:rsidP="007E70D5">
            <w:pPr>
              <w:spacing w:after="0"/>
              <w:jc w:val="left"/>
              <w:outlineLvl w:val="0"/>
              <w:rPr>
                <w:rFonts w:ascii="Arial" w:hAnsi="Arial" w:cs="Arial"/>
                <w:b/>
                <w:bCs/>
                <w:sz w:val="22"/>
                <w:szCs w:val="22"/>
                <w:lang w:val="en-US"/>
              </w:rPr>
            </w:pPr>
            <w:r w:rsidRPr="00F247C8">
              <w:rPr>
                <w:rFonts w:ascii="Arial" w:hAnsi="Arial" w:cs="Arial"/>
                <w:b/>
                <w:bCs/>
                <w:sz w:val="22"/>
                <w:szCs w:val="22"/>
                <w:lang w:val="en-US"/>
              </w:rPr>
              <w:t>2023/24 funding (£'000')</w:t>
            </w:r>
          </w:p>
        </w:tc>
        <w:tc>
          <w:tcPr>
            <w:tcW w:w="831" w:type="pct"/>
            <w:tcBorders>
              <w:top w:val="single" w:sz="4" w:space="0" w:color="auto"/>
              <w:left w:val="nil"/>
              <w:bottom w:val="single" w:sz="4" w:space="0" w:color="auto"/>
              <w:right w:val="single" w:sz="4" w:space="0" w:color="auto"/>
            </w:tcBorders>
            <w:shd w:val="clear" w:color="auto" w:fill="auto"/>
            <w:vAlign w:val="bottom"/>
            <w:hideMark/>
          </w:tcPr>
          <w:p w14:paraId="12C5B35F" w14:textId="77777777" w:rsidR="007E70D5" w:rsidRPr="00F247C8" w:rsidRDefault="007E70D5" w:rsidP="007E70D5">
            <w:pPr>
              <w:spacing w:after="0"/>
              <w:jc w:val="left"/>
              <w:outlineLvl w:val="0"/>
              <w:rPr>
                <w:rFonts w:ascii="Arial" w:hAnsi="Arial" w:cs="Arial"/>
                <w:b/>
                <w:bCs/>
                <w:sz w:val="22"/>
                <w:szCs w:val="22"/>
                <w:lang w:val="en-US"/>
              </w:rPr>
            </w:pPr>
            <w:r w:rsidRPr="00F247C8">
              <w:rPr>
                <w:rFonts w:ascii="Arial" w:hAnsi="Arial" w:cs="Arial"/>
                <w:b/>
                <w:bCs/>
                <w:sz w:val="22"/>
                <w:szCs w:val="22"/>
                <w:lang w:val="en-US"/>
              </w:rPr>
              <w:t>Change from 2022/23 (£'000')</w:t>
            </w:r>
          </w:p>
        </w:tc>
        <w:tc>
          <w:tcPr>
            <w:tcW w:w="455" w:type="pct"/>
            <w:tcBorders>
              <w:top w:val="single" w:sz="4" w:space="0" w:color="auto"/>
              <w:left w:val="nil"/>
              <w:bottom w:val="single" w:sz="4" w:space="0" w:color="auto"/>
              <w:right w:val="single" w:sz="4" w:space="0" w:color="auto"/>
            </w:tcBorders>
            <w:shd w:val="clear" w:color="auto" w:fill="auto"/>
            <w:vAlign w:val="bottom"/>
            <w:hideMark/>
          </w:tcPr>
          <w:p w14:paraId="457F00A7" w14:textId="77777777" w:rsidR="007E70D5" w:rsidRPr="00F247C8" w:rsidRDefault="007E70D5" w:rsidP="007E70D5">
            <w:pPr>
              <w:spacing w:after="0"/>
              <w:jc w:val="left"/>
              <w:outlineLvl w:val="0"/>
              <w:rPr>
                <w:rFonts w:ascii="Arial" w:hAnsi="Arial" w:cs="Arial"/>
                <w:b/>
                <w:bCs/>
                <w:sz w:val="22"/>
                <w:szCs w:val="22"/>
                <w:lang w:val="en-US"/>
              </w:rPr>
            </w:pPr>
            <w:r w:rsidRPr="00F247C8">
              <w:rPr>
                <w:rFonts w:ascii="Arial" w:hAnsi="Arial" w:cs="Arial"/>
                <w:b/>
                <w:bCs/>
                <w:sz w:val="22"/>
                <w:szCs w:val="22"/>
                <w:lang w:val="en-US"/>
              </w:rPr>
              <w:t>Change from 2022/23 (%)</w:t>
            </w:r>
          </w:p>
        </w:tc>
      </w:tr>
      <w:tr w:rsidR="007E70D5" w:rsidRPr="007E70D5" w14:paraId="038B6056"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6C1B9E69"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99 or less </w:t>
            </w:r>
          </w:p>
        </w:tc>
        <w:tc>
          <w:tcPr>
            <w:tcW w:w="1348" w:type="pct"/>
            <w:tcBorders>
              <w:top w:val="nil"/>
              <w:left w:val="nil"/>
              <w:bottom w:val="single" w:sz="4" w:space="0" w:color="auto"/>
              <w:right w:val="single" w:sz="4" w:space="0" w:color="auto"/>
            </w:tcBorders>
            <w:shd w:val="clear" w:color="auto" w:fill="auto"/>
            <w:noWrap/>
            <w:vAlign w:val="bottom"/>
            <w:hideMark/>
          </w:tcPr>
          <w:p w14:paraId="7A9920B2"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43 </w:t>
            </w:r>
          </w:p>
        </w:tc>
        <w:tc>
          <w:tcPr>
            <w:tcW w:w="750" w:type="pct"/>
            <w:tcBorders>
              <w:top w:val="nil"/>
              <w:left w:val="nil"/>
              <w:bottom w:val="single" w:sz="4" w:space="0" w:color="auto"/>
              <w:right w:val="single" w:sz="4" w:space="0" w:color="auto"/>
            </w:tcBorders>
            <w:shd w:val="clear" w:color="auto" w:fill="auto"/>
            <w:noWrap/>
            <w:vAlign w:val="bottom"/>
            <w:hideMark/>
          </w:tcPr>
          <w:p w14:paraId="5F8844EC"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20,683 </w:t>
            </w:r>
          </w:p>
        </w:tc>
        <w:tc>
          <w:tcPr>
            <w:tcW w:w="831" w:type="pct"/>
            <w:tcBorders>
              <w:top w:val="nil"/>
              <w:left w:val="nil"/>
              <w:bottom w:val="single" w:sz="4" w:space="0" w:color="auto"/>
              <w:right w:val="single" w:sz="4" w:space="0" w:color="auto"/>
            </w:tcBorders>
            <w:shd w:val="clear" w:color="auto" w:fill="auto"/>
            <w:noWrap/>
            <w:vAlign w:val="bottom"/>
            <w:hideMark/>
          </w:tcPr>
          <w:p w14:paraId="09C9001B"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423 </w:t>
            </w:r>
          </w:p>
        </w:tc>
        <w:tc>
          <w:tcPr>
            <w:tcW w:w="455" w:type="pct"/>
            <w:tcBorders>
              <w:top w:val="nil"/>
              <w:left w:val="nil"/>
              <w:bottom w:val="single" w:sz="4" w:space="0" w:color="auto"/>
              <w:right w:val="single" w:sz="4" w:space="0" w:color="auto"/>
            </w:tcBorders>
            <w:shd w:val="clear" w:color="auto" w:fill="auto"/>
            <w:noWrap/>
            <w:vAlign w:val="bottom"/>
            <w:hideMark/>
          </w:tcPr>
          <w:p w14:paraId="7F15D4A3"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2.1%</w:t>
            </w:r>
          </w:p>
        </w:tc>
      </w:tr>
      <w:tr w:rsidR="007E70D5" w:rsidRPr="007E70D5" w14:paraId="2B1A2B63"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14FB851B"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100 - 199 </w:t>
            </w:r>
          </w:p>
        </w:tc>
        <w:tc>
          <w:tcPr>
            <w:tcW w:w="1348" w:type="pct"/>
            <w:tcBorders>
              <w:top w:val="nil"/>
              <w:left w:val="nil"/>
              <w:bottom w:val="single" w:sz="4" w:space="0" w:color="auto"/>
              <w:right w:val="single" w:sz="4" w:space="0" w:color="auto"/>
            </w:tcBorders>
            <w:shd w:val="clear" w:color="auto" w:fill="auto"/>
            <w:noWrap/>
            <w:vAlign w:val="bottom"/>
            <w:hideMark/>
          </w:tcPr>
          <w:p w14:paraId="102E29B0"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128 </w:t>
            </w:r>
          </w:p>
        </w:tc>
        <w:tc>
          <w:tcPr>
            <w:tcW w:w="750" w:type="pct"/>
            <w:tcBorders>
              <w:top w:val="nil"/>
              <w:left w:val="nil"/>
              <w:bottom w:val="single" w:sz="4" w:space="0" w:color="auto"/>
              <w:right w:val="single" w:sz="4" w:space="0" w:color="auto"/>
            </w:tcBorders>
            <w:shd w:val="clear" w:color="auto" w:fill="auto"/>
            <w:noWrap/>
            <w:vAlign w:val="bottom"/>
            <w:hideMark/>
          </w:tcPr>
          <w:p w14:paraId="56020659"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98,733 </w:t>
            </w:r>
          </w:p>
        </w:tc>
        <w:tc>
          <w:tcPr>
            <w:tcW w:w="831" w:type="pct"/>
            <w:tcBorders>
              <w:top w:val="nil"/>
              <w:left w:val="nil"/>
              <w:bottom w:val="single" w:sz="4" w:space="0" w:color="auto"/>
              <w:right w:val="single" w:sz="4" w:space="0" w:color="auto"/>
            </w:tcBorders>
            <w:shd w:val="clear" w:color="auto" w:fill="auto"/>
            <w:noWrap/>
            <w:vAlign w:val="bottom"/>
            <w:hideMark/>
          </w:tcPr>
          <w:p w14:paraId="26BA7420"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2,178 </w:t>
            </w:r>
          </w:p>
        </w:tc>
        <w:tc>
          <w:tcPr>
            <w:tcW w:w="455" w:type="pct"/>
            <w:tcBorders>
              <w:top w:val="nil"/>
              <w:left w:val="nil"/>
              <w:bottom w:val="single" w:sz="4" w:space="0" w:color="auto"/>
              <w:right w:val="single" w:sz="4" w:space="0" w:color="auto"/>
            </w:tcBorders>
            <w:shd w:val="clear" w:color="auto" w:fill="auto"/>
            <w:noWrap/>
            <w:vAlign w:val="bottom"/>
            <w:hideMark/>
          </w:tcPr>
          <w:p w14:paraId="5A05C9C3"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2.3%</w:t>
            </w:r>
          </w:p>
        </w:tc>
      </w:tr>
      <w:tr w:rsidR="007E70D5" w:rsidRPr="007E70D5" w14:paraId="7C5420DB"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25FF3DDF"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200 - 299 </w:t>
            </w:r>
          </w:p>
        </w:tc>
        <w:tc>
          <w:tcPr>
            <w:tcW w:w="1348" w:type="pct"/>
            <w:tcBorders>
              <w:top w:val="nil"/>
              <w:left w:val="nil"/>
              <w:bottom w:val="single" w:sz="4" w:space="0" w:color="auto"/>
              <w:right w:val="single" w:sz="4" w:space="0" w:color="auto"/>
            </w:tcBorders>
            <w:shd w:val="clear" w:color="auto" w:fill="auto"/>
            <w:noWrap/>
            <w:vAlign w:val="bottom"/>
            <w:hideMark/>
          </w:tcPr>
          <w:p w14:paraId="4BF563BC"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127 </w:t>
            </w:r>
          </w:p>
        </w:tc>
        <w:tc>
          <w:tcPr>
            <w:tcW w:w="750" w:type="pct"/>
            <w:tcBorders>
              <w:top w:val="nil"/>
              <w:left w:val="nil"/>
              <w:bottom w:val="single" w:sz="4" w:space="0" w:color="auto"/>
              <w:right w:val="single" w:sz="4" w:space="0" w:color="auto"/>
            </w:tcBorders>
            <w:shd w:val="clear" w:color="auto" w:fill="auto"/>
            <w:noWrap/>
            <w:vAlign w:val="bottom"/>
            <w:hideMark/>
          </w:tcPr>
          <w:p w14:paraId="20000754"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141,018 </w:t>
            </w:r>
          </w:p>
        </w:tc>
        <w:tc>
          <w:tcPr>
            <w:tcW w:w="831" w:type="pct"/>
            <w:tcBorders>
              <w:top w:val="nil"/>
              <w:left w:val="nil"/>
              <w:bottom w:val="single" w:sz="4" w:space="0" w:color="auto"/>
              <w:right w:val="single" w:sz="4" w:space="0" w:color="auto"/>
            </w:tcBorders>
            <w:shd w:val="clear" w:color="auto" w:fill="auto"/>
            <w:noWrap/>
            <w:vAlign w:val="bottom"/>
            <w:hideMark/>
          </w:tcPr>
          <w:p w14:paraId="3C25E7CD"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2,170 </w:t>
            </w:r>
          </w:p>
        </w:tc>
        <w:tc>
          <w:tcPr>
            <w:tcW w:w="455" w:type="pct"/>
            <w:tcBorders>
              <w:top w:val="nil"/>
              <w:left w:val="nil"/>
              <w:bottom w:val="single" w:sz="4" w:space="0" w:color="auto"/>
              <w:right w:val="single" w:sz="4" w:space="0" w:color="auto"/>
            </w:tcBorders>
            <w:shd w:val="clear" w:color="auto" w:fill="auto"/>
            <w:noWrap/>
            <w:vAlign w:val="bottom"/>
            <w:hideMark/>
          </w:tcPr>
          <w:p w14:paraId="153A657D"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1.6%</w:t>
            </w:r>
          </w:p>
        </w:tc>
      </w:tr>
      <w:tr w:rsidR="007E70D5" w:rsidRPr="007E70D5" w14:paraId="65902ECA"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427D7775"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300 - 399 </w:t>
            </w:r>
          </w:p>
        </w:tc>
        <w:tc>
          <w:tcPr>
            <w:tcW w:w="1348" w:type="pct"/>
            <w:tcBorders>
              <w:top w:val="nil"/>
              <w:left w:val="nil"/>
              <w:bottom w:val="single" w:sz="4" w:space="0" w:color="auto"/>
              <w:right w:val="single" w:sz="4" w:space="0" w:color="auto"/>
            </w:tcBorders>
            <w:shd w:val="clear" w:color="auto" w:fill="auto"/>
            <w:noWrap/>
            <w:vAlign w:val="bottom"/>
            <w:hideMark/>
          </w:tcPr>
          <w:p w14:paraId="625C8DC2"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71 </w:t>
            </w:r>
          </w:p>
        </w:tc>
        <w:tc>
          <w:tcPr>
            <w:tcW w:w="750" w:type="pct"/>
            <w:tcBorders>
              <w:top w:val="nil"/>
              <w:left w:val="nil"/>
              <w:bottom w:val="single" w:sz="4" w:space="0" w:color="auto"/>
              <w:right w:val="single" w:sz="4" w:space="0" w:color="auto"/>
            </w:tcBorders>
            <w:shd w:val="clear" w:color="auto" w:fill="auto"/>
            <w:noWrap/>
            <w:vAlign w:val="bottom"/>
            <w:hideMark/>
          </w:tcPr>
          <w:p w14:paraId="13B7258B"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111,912 </w:t>
            </w:r>
          </w:p>
        </w:tc>
        <w:tc>
          <w:tcPr>
            <w:tcW w:w="831" w:type="pct"/>
            <w:tcBorders>
              <w:top w:val="nil"/>
              <w:left w:val="nil"/>
              <w:bottom w:val="single" w:sz="4" w:space="0" w:color="auto"/>
              <w:right w:val="single" w:sz="4" w:space="0" w:color="auto"/>
            </w:tcBorders>
            <w:shd w:val="clear" w:color="auto" w:fill="auto"/>
            <w:noWrap/>
            <w:vAlign w:val="bottom"/>
            <w:hideMark/>
          </w:tcPr>
          <w:p w14:paraId="742805B5"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1,023 </w:t>
            </w:r>
          </w:p>
        </w:tc>
        <w:tc>
          <w:tcPr>
            <w:tcW w:w="455" w:type="pct"/>
            <w:tcBorders>
              <w:top w:val="nil"/>
              <w:left w:val="nil"/>
              <w:bottom w:val="single" w:sz="4" w:space="0" w:color="auto"/>
              <w:right w:val="single" w:sz="4" w:space="0" w:color="auto"/>
            </w:tcBorders>
            <w:shd w:val="clear" w:color="auto" w:fill="auto"/>
            <w:noWrap/>
            <w:vAlign w:val="bottom"/>
            <w:hideMark/>
          </w:tcPr>
          <w:p w14:paraId="3E6FE425"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0.9%</w:t>
            </w:r>
          </w:p>
        </w:tc>
      </w:tr>
      <w:tr w:rsidR="007E70D5" w:rsidRPr="007E70D5" w14:paraId="18820ACE"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675FE2EE"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400 - 499 </w:t>
            </w:r>
          </w:p>
        </w:tc>
        <w:tc>
          <w:tcPr>
            <w:tcW w:w="1348" w:type="pct"/>
            <w:tcBorders>
              <w:top w:val="nil"/>
              <w:left w:val="nil"/>
              <w:bottom w:val="single" w:sz="4" w:space="0" w:color="auto"/>
              <w:right w:val="single" w:sz="4" w:space="0" w:color="auto"/>
            </w:tcBorders>
            <w:shd w:val="clear" w:color="auto" w:fill="auto"/>
            <w:noWrap/>
            <w:vAlign w:val="bottom"/>
            <w:hideMark/>
          </w:tcPr>
          <w:p w14:paraId="6491C5B6"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41 </w:t>
            </w:r>
          </w:p>
        </w:tc>
        <w:tc>
          <w:tcPr>
            <w:tcW w:w="750" w:type="pct"/>
            <w:tcBorders>
              <w:top w:val="nil"/>
              <w:left w:val="nil"/>
              <w:bottom w:val="single" w:sz="4" w:space="0" w:color="auto"/>
              <w:right w:val="single" w:sz="4" w:space="0" w:color="auto"/>
            </w:tcBorders>
            <w:shd w:val="clear" w:color="auto" w:fill="auto"/>
            <w:noWrap/>
            <w:vAlign w:val="bottom"/>
            <w:hideMark/>
          </w:tcPr>
          <w:p w14:paraId="475ABD9E"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78,455 </w:t>
            </w:r>
          </w:p>
        </w:tc>
        <w:tc>
          <w:tcPr>
            <w:tcW w:w="831" w:type="pct"/>
            <w:tcBorders>
              <w:top w:val="nil"/>
              <w:left w:val="nil"/>
              <w:bottom w:val="single" w:sz="4" w:space="0" w:color="auto"/>
              <w:right w:val="single" w:sz="4" w:space="0" w:color="auto"/>
            </w:tcBorders>
            <w:shd w:val="clear" w:color="auto" w:fill="auto"/>
            <w:noWrap/>
            <w:vAlign w:val="bottom"/>
            <w:hideMark/>
          </w:tcPr>
          <w:p w14:paraId="7F2942D1"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610 </w:t>
            </w:r>
          </w:p>
        </w:tc>
        <w:tc>
          <w:tcPr>
            <w:tcW w:w="455" w:type="pct"/>
            <w:tcBorders>
              <w:top w:val="nil"/>
              <w:left w:val="nil"/>
              <w:bottom w:val="single" w:sz="4" w:space="0" w:color="auto"/>
              <w:right w:val="single" w:sz="4" w:space="0" w:color="auto"/>
            </w:tcBorders>
            <w:shd w:val="clear" w:color="auto" w:fill="auto"/>
            <w:noWrap/>
            <w:vAlign w:val="bottom"/>
            <w:hideMark/>
          </w:tcPr>
          <w:p w14:paraId="6CF545C2"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0.8%</w:t>
            </w:r>
          </w:p>
        </w:tc>
      </w:tr>
      <w:tr w:rsidR="007E70D5" w:rsidRPr="007E70D5" w14:paraId="2868F3DE"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4FE546E5"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500 - 599 </w:t>
            </w:r>
          </w:p>
        </w:tc>
        <w:tc>
          <w:tcPr>
            <w:tcW w:w="1348" w:type="pct"/>
            <w:tcBorders>
              <w:top w:val="nil"/>
              <w:left w:val="nil"/>
              <w:bottom w:val="single" w:sz="4" w:space="0" w:color="auto"/>
              <w:right w:val="single" w:sz="4" w:space="0" w:color="auto"/>
            </w:tcBorders>
            <w:shd w:val="clear" w:color="auto" w:fill="auto"/>
            <w:noWrap/>
            <w:vAlign w:val="bottom"/>
            <w:hideMark/>
          </w:tcPr>
          <w:p w14:paraId="29DD92AA"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8 </w:t>
            </w:r>
          </w:p>
        </w:tc>
        <w:tc>
          <w:tcPr>
            <w:tcW w:w="750" w:type="pct"/>
            <w:tcBorders>
              <w:top w:val="nil"/>
              <w:left w:val="nil"/>
              <w:bottom w:val="single" w:sz="4" w:space="0" w:color="auto"/>
              <w:right w:val="single" w:sz="4" w:space="0" w:color="auto"/>
            </w:tcBorders>
            <w:shd w:val="clear" w:color="auto" w:fill="auto"/>
            <w:noWrap/>
            <w:vAlign w:val="bottom"/>
            <w:hideMark/>
          </w:tcPr>
          <w:p w14:paraId="34504492"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20,100 </w:t>
            </w:r>
          </w:p>
        </w:tc>
        <w:tc>
          <w:tcPr>
            <w:tcW w:w="831" w:type="pct"/>
            <w:tcBorders>
              <w:top w:val="nil"/>
              <w:left w:val="nil"/>
              <w:bottom w:val="single" w:sz="4" w:space="0" w:color="auto"/>
              <w:right w:val="single" w:sz="4" w:space="0" w:color="auto"/>
            </w:tcBorders>
            <w:shd w:val="clear" w:color="auto" w:fill="auto"/>
            <w:noWrap/>
            <w:vAlign w:val="bottom"/>
            <w:hideMark/>
          </w:tcPr>
          <w:p w14:paraId="06637374"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157 </w:t>
            </w:r>
          </w:p>
        </w:tc>
        <w:tc>
          <w:tcPr>
            <w:tcW w:w="455" w:type="pct"/>
            <w:tcBorders>
              <w:top w:val="nil"/>
              <w:left w:val="nil"/>
              <w:bottom w:val="single" w:sz="4" w:space="0" w:color="auto"/>
              <w:right w:val="single" w:sz="4" w:space="0" w:color="auto"/>
            </w:tcBorders>
            <w:shd w:val="clear" w:color="auto" w:fill="auto"/>
            <w:noWrap/>
            <w:vAlign w:val="bottom"/>
            <w:hideMark/>
          </w:tcPr>
          <w:p w14:paraId="3050D786"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0.8%</w:t>
            </w:r>
          </w:p>
        </w:tc>
      </w:tr>
      <w:tr w:rsidR="007E70D5" w:rsidRPr="007E70D5" w14:paraId="717D1998"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5D604A5D"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600 or more </w:t>
            </w:r>
          </w:p>
        </w:tc>
        <w:tc>
          <w:tcPr>
            <w:tcW w:w="1348" w:type="pct"/>
            <w:tcBorders>
              <w:top w:val="nil"/>
              <w:left w:val="nil"/>
              <w:bottom w:val="single" w:sz="4" w:space="0" w:color="auto"/>
              <w:right w:val="single" w:sz="4" w:space="0" w:color="auto"/>
            </w:tcBorders>
            <w:shd w:val="clear" w:color="auto" w:fill="auto"/>
            <w:noWrap/>
            <w:vAlign w:val="bottom"/>
            <w:hideMark/>
          </w:tcPr>
          <w:p w14:paraId="5211ACE6"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7 </w:t>
            </w:r>
          </w:p>
        </w:tc>
        <w:tc>
          <w:tcPr>
            <w:tcW w:w="750" w:type="pct"/>
            <w:tcBorders>
              <w:top w:val="nil"/>
              <w:left w:val="nil"/>
              <w:bottom w:val="single" w:sz="4" w:space="0" w:color="auto"/>
              <w:right w:val="single" w:sz="4" w:space="0" w:color="auto"/>
            </w:tcBorders>
            <w:shd w:val="clear" w:color="auto" w:fill="auto"/>
            <w:noWrap/>
            <w:vAlign w:val="bottom"/>
            <w:hideMark/>
          </w:tcPr>
          <w:p w14:paraId="0B22C89A"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20,046 </w:t>
            </w:r>
          </w:p>
        </w:tc>
        <w:tc>
          <w:tcPr>
            <w:tcW w:w="831" w:type="pct"/>
            <w:tcBorders>
              <w:top w:val="nil"/>
              <w:left w:val="nil"/>
              <w:bottom w:val="single" w:sz="4" w:space="0" w:color="auto"/>
              <w:right w:val="single" w:sz="4" w:space="0" w:color="auto"/>
            </w:tcBorders>
            <w:shd w:val="clear" w:color="auto" w:fill="auto"/>
            <w:noWrap/>
            <w:vAlign w:val="bottom"/>
            <w:hideMark/>
          </w:tcPr>
          <w:p w14:paraId="507675A4"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116 </w:t>
            </w:r>
          </w:p>
        </w:tc>
        <w:tc>
          <w:tcPr>
            <w:tcW w:w="455" w:type="pct"/>
            <w:tcBorders>
              <w:top w:val="nil"/>
              <w:left w:val="nil"/>
              <w:bottom w:val="single" w:sz="4" w:space="0" w:color="auto"/>
              <w:right w:val="single" w:sz="4" w:space="0" w:color="auto"/>
            </w:tcBorders>
            <w:shd w:val="clear" w:color="auto" w:fill="auto"/>
            <w:noWrap/>
            <w:vAlign w:val="bottom"/>
            <w:hideMark/>
          </w:tcPr>
          <w:p w14:paraId="6B8BE92B"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0.6%</w:t>
            </w:r>
          </w:p>
        </w:tc>
      </w:tr>
      <w:tr w:rsidR="007E70D5" w:rsidRPr="007E70D5" w14:paraId="33D82FCF"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674BC989"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Total primary </w:t>
            </w:r>
          </w:p>
        </w:tc>
        <w:tc>
          <w:tcPr>
            <w:tcW w:w="1348" w:type="pct"/>
            <w:tcBorders>
              <w:top w:val="nil"/>
              <w:left w:val="nil"/>
              <w:bottom w:val="single" w:sz="4" w:space="0" w:color="auto"/>
              <w:right w:val="single" w:sz="4" w:space="0" w:color="auto"/>
            </w:tcBorders>
            <w:shd w:val="clear" w:color="auto" w:fill="auto"/>
            <w:noWrap/>
            <w:vAlign w:val="bottom"/>
            <w:hideMark/>
          </w:tcPr>
          <w:p w14:paraId="617F8D92"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425 </w:t>
            </w:r>
          </w:p>
        </w:tc>
        <w:tc>
          <w:tcPr>
            <w:tcW w:w="750" w:type="pct"/>
            <w:tcBorders>
              <w:top w:val="nil"/>
              <w:left w:val="nil"/>
              <w:bottom w:val="single" w:sz="4" w:space="0" w:color="auto"/>
              <w:right w:val="single" w:sz="4" w:space="0" w:color="auto"/>
            </w:tcBorders>
            <w:shd w:val="clear" w:color="auto" w:fill="auto"/>
            <w:noWrap/>
            <w:vAlign w:val="bottom"/>
            <w:hideMark/>
          </w:tcPr>
          <w:p w14:paraId="7566FD17"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490,948 </w:t>
            </w:r>
          </w:p>
        </w:tc>
        <w:tc>
          <w:tcPr>
            <w:tcW w:w="831" w:type="pct"/>
            <w:tcBorders>
              <w:top w:val="nil"/>
              <w:left w:val="nil"/>
              <w:bottom w:val="single" w:sz="4" w:space="0" w:color="auto"/>
              <w:right w:val="single" w:sz="4" w:space="0" w:color="auto"/>
            </w:tcBorders>
            <w:shd w:val="clear" w:color="auto" w:fill="auto"/>
            <w:noWrap/>
            <w:vAlign w:val="bottom"/>
            <w:hideMark/>
          </w:tcPr>
          <w:p w14:paraId="0B086082" w14:textId="77777777" w:rsidR="007E70D5" w:rsidRPr="00F247C8" w:rsidRDefault="007E70D5" w:rsidP="007E70D5">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6,678 </w:t>
            </w:r>
          </w:p>
        </w:tc>
        <w:tc>
          <w:tcPr>
            <w:tcW w:w="455" w:type="pct"/>
            <w:tcBorders>
              <w:top w:val="nil"/>
              <w:left w:val="nil"/>
              <w:bottom w:val="single" w:sz="4" w:space="0" w:color="auto"/>
              <w:right w:val="single" w:sz="4" w:space="0" w:color="auto"/>
            </w:tcBorders>
            <w:shd w:val="clear" w:color="auto" w:fill="auto"/>
            <w:noWrap/>
            <w:vAlign w:val="bottom"/>
            <w:hideMark/>
          </w:tcPr>
          <w:p w14:paraId="5B6B0629" w14:textId="77777777" w:rsidR="007E70D5" w:rsidRPr="00F247C8" w:rsidRDefault="007E70D5" w:rsidP="007E70D5">
            <w:pPr>
              <w:spacing w:after="0"/>
              <w:jc w:val="right"/>
              <w:outlineLvl w:val="0"/>
              <w:rPr>
                <w:rFonts w:ascii="Arial" w:hAnsi="Arial" w:cs="Arial"/>
                <w:b/>
                <w:bCs/>
                <w:sz w:val="22"/>
                <w:szCs w:val="22"/>
                <w:lang w:val="en-US"/>
              </w:rPr>
            </w:pPr>
            <w:r w:rsidRPr="00F247C8">
              <w:rPr>
                <w:rFonts w:ascii="Arial" w:hAnsi="Arial" w:cs="Arial"/>
                <w:b/>
                <w:bCs/>
                <w:sz w:val="22"/>
                <w:szCs w:val="22"/>
                <w:lang w:val="en-US"/>
              </w:rPr>
              <w:t>1.4%</w:t>
            </w:r>
          </w:p>
        </w:tc>
      </w:tr>
      <w:tr w:rsidR="007E70D5" w:rsidRPr="007E70D5" w14:paraId="2446ECF1"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07AED4AC"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599 or less </w:t>
            </w:r>
          </w:p>
        </w:tc>
        <w:tc>
          <w:tcPr>
            <w:tcW w:w="1348" w:type="pct"/>
            <w:tcBorders>
              <w:top w:val="nil"/>
              <w:left w:val="nil"/>
              <w:bottom w:val="single" w:sz="4" w:space="0" w:color="auto"/>
              <w:right w:val="single" w:sz="4" w:space="0" w:color="auto"/>
            </w:tcBorders>
            <w:shd w:val="clear" w:color="auto" w:fill="auto"/>
            <w:noWrap/>
            <w:vAlign w:val="bottom"/>
            <w:hideMark/>
          </w:tcPr>
          <w:p w14:paraId="59216E00"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8 </w:t>
            </w:r>
          </w:p>
        </w:tc>
        <w:tc>
          <w:tcPr>
            <w:tcW w:w="750" w:type="pct"/>
            <w:tcBorders>
              <w:top w:val="nil"/>
              <w:left w:val="nil"/>
              <w:bottom w:val="single" w:sz="4" w:space="0" w:color="auto"/>
              <w:right w:val="single" w:sz="4" w:space="0" w:color="auto"/>
            </w:tcBorders>
            <w:shd w:val="clear" w:color="auto" w:fill="auto"/>
            <w:noWrap/>
            <w:vAlign w:val="bottom"/>
            <w:hideMark/>
          </w:tcPr>
          <w:p w14:paraId="7285D395"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25,481 </w:t>
            </w:r>
          </w:p>
        </w:tc>
        <w:tc>
          <w:tcPr>
            <w:tcW w:w="831" w:type="pct"/>
            <w:tcBorders>
              <w:top w:val="nil"/>
              <w:left w:val="nil"/>
              <w:bottom w:val="single" w:sz="4" w:space="0" w:color="auto"/>
              <w:right w:val="single" w:sz="4" w:space="0" w:color="auto"/>
            </w:tcBorders>
            <w:shd w:val="clear" w:color="auto" w:fill="auto"/>
            <w:noWrap/>
            <w:vAlign w:val="bottom"/>
            <w:hideMark/>
          </w:tcPr>
          <w:p w14:paraId="1312F650"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617 </w:t>
            </w:r>
          </w:p>
        </w:tc>
        <w:tc>
          <w:tcPr>
            <w:tcW w:w="455" w:type="pct"/>
            <w:tcBorders>
              <w:top w:val="nil"/>
              <w:left w:val="nil"/>
              <w:bottom w:val="single" w:sz="4" w:space="0" w:color="auto"/>
              <w:right w:val="single" w:sz="4" w:space="0" w:color="auto"/>
            </w:tcBorders>
            <w:shd w:val="clear" w:color="auto" w:fill="auto"/>
            <w:noWrap/>
            <w:vAlign w:val="bottom"/>
            <w:hideMark/>
          </w:tcPr>
          <w:p w14:paraId="59802637"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2.5%</w:t>
            </w:r>
          </w:p>
        </w:tc>
      </w:tr>
      <w:tr w:rsidR="007E70D5" w:rsidRPr="007E70D5" w14:paraId="3C4D282B"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4FFC8EAD"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600 - 799 </w:t>
            </w:r>
          </w:p>
        </w:tc>
        <w:tc>
          <w:tcPr>
            <w:tcW w:w="1348" w:type="pct"/>
            <w:tcBorders>
              <w:top w:val="nil"/>
              <w:left w:val="nil"/>
              <w:bottom w:val="single" w:sz="4" w:space="0" w:color="auto"/>
              <w:right w:val="single" w:sz="4" w:space="0" w:color="auto"/>
            </w:tcBorders>
            <w:shd w:val="clear" w:color="auto" w:fill="auto"/>
            <w:noWrap/>
            <w:vAlign w:val="bottom"/>
            <w:hideMark/>
          </w:tcPr>
          <w:p w14:paraId="26FA545F"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8 </w:t>
            </w:r>
          </w:p>
        </w:tc>
        <w:tc>
          <w:tcPr>
            <w:tcW w:w="750" w:type="pct"/>
            <w:tcBorders>
              <w:top w:val="nil"/>
              <w:left w:val="nil"/>
              <w:bottom w:val="single" w:sz="4" w:space="0" w:color="auto"/>
              <w:right w:val="single" w:sz="4" w:space="0" w:color="auto"/>
            </w:tcBorders>
            <w:shd w:val="clear" w:color="auto" w:fill="auto"/>
            <w:noWrap/>
            <w:vAlign w:val="bottom"/>
            <w:hideMark/>
          </w:tcPr>
          <w:p w14:paraId="6C838BF6"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34,961 </w:t>
            </w:r>
          </w:p>
        </w:tc>
        <w:tc>
          <w:tcPr>
            <w:tcW w:w="831" w:type="pct"/>
            <w:tcBorders>
              <w:top w:val="nil"/>
              <w:left w:val="nil"/>
              <w:bottom w:val="single" w:sz="4" w:space="0" w:color="auto"/>
              <w:right w:val="single" w:sz="4" w:space="0" w:color="auto"/>
            </w:tcBorders>
            <w:shd w:val="clear" w:color="auto" w:fill="auto"/>
            <w:noWrap/>
            <w:vAlign w:val="bottom"/>
            <w:hideMark/>
          </w:tcPr>
          <w:p w14:paraId="0D9D5933"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875 </w:t>
            </w:r>
          </w:p>
        </w:tc>
        <w:tc>
          <w:tcPr>
            <w:tcW w:w="455" w:type="pct"/>
            <w:tcBorders>
              <w:top w:val="nil"/>
              <w:left w:val="nil"/>
              <w:bottom w:val="single" w:sz="4" w:space="0" w:color="auto"/>
              <w:right w:val="single" w:sz="4" w:space="0" w:color="auto"/>
            </w:tcBorders>
            <w:shd w:val="clear" w:color="auto" w:fill="auto"/>
            <w:noWrap/>
            <w:vAlign w:val="bottom"/>
            <w:hideMark/>
          </w:tcPr>
          <w:p w14:paraId="6873C4AE"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2.6%</w:t>
            </w:r>
          </w:p>
        </w:tc>
      </w:tr>
      <w:tr w:rsidR="007E70D5" w:rsidRPr="007E70D5" w14:paraId="5CF08B14"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770AD51B"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800 - 999 </w:t>
            </w:r>
          </w:p>
        </w:tc>
        <w:tc>
          <w:tcPr>
            <w:tcW w:w="1348" w:type="pct"/>
            <w:tcBorders>
              <w:top w:val="nil"/>
              <w:left w:val="nil"/>
              <w:bottom w:val="single" w:sz="4" w:space="0" w:color="auto"/>
              <w:right w:val="single" w:sz="4" w:space="0" w:color="auto"/>
            </w:tcBorders>
            <w:shd w:val="clear" w:color="auto" w:fill="auto"/>
            <w:noWrap/>
            <w:vAlign w:val="bottom"/>
            <w:hideMark/>
          </w:tcPr>
          <w:p w14:paraId="759E64B1"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21 </w:t>
            </w:r>
          </w:p>
        </w:tc>
        <w:tc>
          <w:tcPr>
            <w:tcW w:w="750" w:type="pct"/>
            <w:tcBorders>
              <w:top w:val="nil"/>
              <w:left w:val="nil"/>
              <w:bottom w:val="single" w:sz="4" w:space="0" w:color="auto"/>
              <w:right w:val="single" w:sz="4" w:space="0" w:color="auto"/>
            </w:tcBorders>
            <w:shd w:val="clear" w:color="auto" w:fill="auto"/>
            <w:noWrap/>
            <w:vAlign w:val="bottom"/>
            <w:hideMark/>
          </w:tcPr>
          <w:p w14:paraId="5889CC1E"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114,787 </w:t>
            </w:r>
          </w:p>
        </w:tc>
        <w:tc>
          <w:tcPr>
            <w:tcW w:w="831" w:type="pct"/>
            <w:tcBorders>
              <w:top w:val="nil"/>
              <w:left w:val="nil"/>
              <w:bottom w:val="single" w:sz="4" w:space="0" w:color="auto"/>
              <w:right w:val="single" w:sz="4" w:space="0" w:color="auto"/>
            </w:tcBorders>
            <w:shd w:val="clear" w:color="auto" w:fill="auto"/>
            <w:noWrap/>
            <w:vAlign w:val="bottom"/>
            <w:hideMark/>
          </w:tcPr>
          <w:p w14:paraId="39687171"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2,422 </w:t>
            </w:r>
          </w:p>
        </w:tc>
        <w:tc>
          <w:tcPr>
            <w:tcW w:w="455" w:type="pct"/>
            <w:tcBorders>
              <w:top w:val="nil"/>
              <w:left w:val="nil"/>
              <w:bottom w:val="single" w:sz="4" w:space="0" w:color="auto"/>
              <w:right w:val="single" w:sz="4" w:space="0" w:color="auto"/>
            </w:tcBorders>
            <w:shd w:val="clear" w:color="auto" w:fill="auto"/>
            <w:noWrap/>
            <w:vAlign w:val="bottom"/>
            <w:hideMark/>
          </w:tcPr>
          <w:p w14:paraId="76D4CE05"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2.2%</w:t>
            </w:r>
          </w:p>
        </w:tc>
      </w:tr>
      <w:tr w:rsidR="007E70D5" w:rsidRPr="007E70D5" w14:paraId="3C5F6B17"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13146273"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1,000 - 1,199 </w:t>
            </w:r>
          </w:p>
        </w:tc>
        <w:tc>
          <w:tcPr>
            <w:tcW w:w="1348" w:type="pct"/>
            <w:tcBorders>
              <w:top w:val="nil"/>
              <w:left w:val="nil"/>
              <w:bottom w:val="single" w:sz="4" w:space="0" w:color="auto"/>
              <w:right w:val="single" w:sz="4" w:space="0" w:color="auto"/>
            </w:tcBorders>
            <w:shd w:val="clear" w:color="auto" w:fill="auto"/>
            <w:noWrap/>
            <w:vAlign w:val="bottom"/>
            <w:hideMark/>
          </w:tcPr>
          <w:p w14:paraId="101183A3"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11 </w:t>
            </w:r>
          </w:p>
        </w:tc>
        <w:tc>
          <w:tcPr>
            <w:tcW w:w="750" w:type="pct"/>
            <w:tcBorders>
              <w:top w:val="nil"/>
              <w:left w:val="nil"/>
              <w:bottom w:val="single" w:sz="4" w:space="0" w:color="auto"/>
              <w:right w:val="single" w:sz="4" w:space="0" w:color="auto"/>
            </w:tcBorders>
            <w:shd w:val="clear" w:color="auto" w:fill="auto"/>
            <w:noWrap/>
            <w:vAlign w:val="bottom"/>
            <w:hideMark/>
          </w:tcPr>
          <w:p w14:paraId="0AF3BDFD"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71,621 </w:t>
            </w:r>
          </w:p>
        </w:tc>
        <w:tc>
          <w:tcPr>
            <w:tcW w:w="831" w:type="pct"/>
            <w:tcBorders>
              <w:top w:val="nil"/>
              <w:left w:val="nil"/>
              <w:bottom w:val="single" w:sz="4" w:space="0" w:color="auto"/>
              <w:right w:val="single" w:sz="4" w:space="0" w:color="auto"/>
            </w:tcBorders>
            <w:shd w:val="clear" w:color="auto" w:fill="auto"/>
            <w:noWrap/>
            <w:vAlign w:val="bottom"/>
            <w:hideMark/>
          </w:tcPr>
          <w:p w14:paraId="43CC481C"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1,470 </w:t>
            </w:r>
          </w:p>
        </w:tc>
        <w:tc>
          <w:tcPr>
            <w:tcW w:w="455" w:type="pct"/>
            <w:tcBorders>
              <w:top w:val="nil"/>
              <w:left w:val="nil"/>
              <w:bottom w:val="single" w:sz="4" w:space="0" w:color="auto"/>
              <w:right w:val="single" w:sz="4" w:space="0" w:color="auto"/>
            </w:tcBorders>
            <w:shd w:val="clear" w:color="auto" w:fill="auto"/>
            <w:noWrap/>
            <w:vAlign w:val="bottom"/>
            <w:hideMark/>
          </w:tcPr>
          <w:p w14:paraId="0EF732AA"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2.1%</w:t>
            </w:r>
          </w:p>
        </w:tc>
      </w:tr>
      <w:tr w:rsidR="007E70D5" w:rsidRPr="007E70D5" w14:paraId="12AA360A"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339C2833"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1,200 - 1,399 </w:t>
            </w:r>
          </w:p>
        </w:tc>
        <w:tc>
          <w:tcPr>
            <w:tcW w:w="1348" w:type="pct"/>
            <w:tcBorders>
              <w:top w:val="nil"/>
              <w:left w:val="nil"/>
              <w:bottom w:val="single" w:sz="4" w:space="0" w:color="auto"/>
              <w:right w:val="single" w:sz="4" w:space="0" w:color="auto"/>
            </w:tcBorders>
            <w:shd w:val="clear" w:color="auto" w:fill="auto"/>
            <w:noWrap/>
            <w:vAlign w:val="bottom"/>
            <w:hideMark/>
          </w:tcPr>
          <w:p w14:paraId="08BEF403"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10 </w:t>
            </w:r>
          </w:p>
        </w:tc>
        <w:tc>
          <w:tcPr>
            <w:tcW w:w="750" w:type="pct"/>
            <w:tcBorders>
              <w:top w:val="nil"/>
              <w:left w:val="nil"/>
              <w:bottom w:val="single" w:sz="4" w:space="0" w:color="auto"/>
              <w:right w:val="single" w:sz="4" w:space="0" w:color="auto"/>
            </w:tcBorders>
            <w:shd w:val="clear" w:color="auto" w:fill="auto"/>
            <w:noWrap/>
            <w:vAlign w:val="bottom"/>
            <w:hideMark/>
          </w:tcPr>
          <w:p w14:paraId="20A3D582"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76,131 </w:t>
            </w:r>
          </w:p>
        </w:tc>
        <w:tc>
          <w:tcPr>
            <w:tcW w:w="831" w:type="pct"/>
            <w:tcBorders>
              <w:top w:val="nil"/>
              <w:left w:val="nil"/>
              <w:bottom w:val="single" w:sz="4" w:space="0" w:color="auto"/>
              <w:right w:val="single" w:sz="4" w:space="0" w:color="auto"/>
            </w:tcBorders>
            <w:shd w:val="clear" w:color="auto" w:fill="auto"/>
            <w:noWrap/>
            <w:vAlign w:val="bottom"/>
            <w:hideMark/>
          </w:tcPr>
          <w:p w14:paraId="48429B77"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1,213 </w:t>
            </w:r>
          </w:p>
        </w:tc>
        <w:tc>
          <w:tcPr>
            <w:tcW w:w="455" w:type="pct"/>
            <w:tcBorders>
              <w:top w:val="nil"/>
              <w:left w:val="nil"/>
              <w:bottom w:val="single" w:sz="4" w:space="0" w:color="auto"/>
              <w:right w:val="single" w:sz="4" w:space="0" w:color="auto"/>
            </w:tcBorders>
            <w:shd w:val="clear" w:color="auto" w:fill="auto"/>
            <w:noWrap/>
            <w:vAlign w:val="bottom"/>
            <w:hideMark/>
          </w:tcPr>
          <w:p w14:paraId="3E5309C2"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1.6%</w:t>
            </w:r>
          </w:p>
        </w:tc>
      </w:tr>
      <w:tr w:rsidR="007E70D5" w:rsidRPr="007E70D5" w14:paraId="3BB9B2A1"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26E7D9F4"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1,400 - 1,599 </w:t>
            </w:r>
          </w:p>
        </w:tc>
        <w:tc>
          <w:tcPr>
            <w:tcW w:w="1348" w:type="pct"/>
            <w:tcBorders>
              <w:top w:val="nil"/>
              <w:left w:val="nil"/>
              <w:bottom w:val="single" w:sz="4" w:space="0" w:color="auto"/>
              <w:right w:val="single" w:sz="4" w:space="0" w:color="auto"/>
            </w:tcBorders>
            <w:shd w:val="clear" w:color="auto" w:fill="auto"/>
            <w:noWrap/>
            <w:vAlign w:val="bottom"/>
            <w:hideMark/>
          </w:tcPr>
          <w:p w14:paraId="27A12196"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5 </w:t>
            </w:r>
          </w:p>
        </w:tc>
        <w:tc>
          <w:tcPr>
            <w:tcW w:w="750" w:type="pct"/>
            <w:tcBorders>
              <w:top w:val="nil"/>
              <w:left w:val="nil"/>
              <w:bottom w:val="single" w:sz="4" w:space="0" w:color="auto"/>
              <w:right w:val="single" w:sz="4" w:space="0" w:color="auto"/>
            </w:tcBorders>
            <w:shd w:val="clear" w:color="auto" w:fill="auto"/>
            <w:noWrap/>
            <w:vAlign w:val="bottom"/>
            <w:hideMark/>
          </w:tcPr>
          <w:p w14:paraId="6B9236F4"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40,850 </w:t>
            </w:r>
          </w:p>
        </w:tc>
        <w:tc>
          <w:tcPr>
            <w:tcW w:w="831" w:type="pct"/>
            <w:tcBorders>
              <w:top w:val="nil"/>
              <w:left w:val="nil"/>
              <w:bottom w:val="single" w:sz="4" w:space="0" w:color="auto"/>
              <w:right w:val="single" w:sz="4" w:space="0" w:color="auto"/>
            </w:tcBorders>
            <w:shd w:val="clear" w:color="auto" w:fill="auto"/>
            <w:noWrap/>
            <w:vAlign w:val="bottom"/>
            <w:hideMark/>
          </w:tcPr>
          <w:p w14:paraId="63532912"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455 </w:t>
            </w:r>
          </w:p>
        </w:tc>
        <w:tc>
          <w:tcPr>
            <w:tcW w:w="455" w:type="pct"/>
            <w:tcBorders>
              <w:top w:val="nil"/>
              <w:left w:val="nil"/>
              <w:bottom w:val="single" w:sz="4" w:space="0" w:color="auto"/>
              <w:right w:val="single" w:sz="4" w:space="0" w:color="auto"/>
            </w:tcBorders>
            <w:shd w:val="clear" w:color="auto" w:fill="auto"/>
            <w:noWrap/>
            <w:vAlign w:val="bottom"/>
            <w:hideMark/>
          </w:tcPr>
          <w:p w14:paraId="085B9041"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1.1%</w:t>
            </w:r>
          </w:p>
        </w:tc>
      </w:tr>
      <w:tr w:rsidR="007E70D5" w:rsidRPr="007E70D5" w14:paraId="4827B5C2"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5E0699FC"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1,600 or more </w:t>
            </w:r>
          </w:p>
        </w:tc>
        <w:tc>
          <w:tcPr>
            <w:tcW w:w="1348" w:type="pct"/>
            <w:tcBorders>
              <w:top w:val="nil"/>
              <w:left w:val="nil"/>
              <w:bottom w:val="single" w:sz="4" w:space="0" w:color="auto"/>
              <w:right w:val="single" w:sz="4" w:space="0" w:color="auto"/>
            </w:tcBorders>
            <w:shd w:val="clear" w:color="auto" w:fill="auto"/>
            <w:noWrap/>
            <w:vAlign w:val="bottom"/>
            <w:hideMark/>
          </w:tcPr>
          <w:p w14:paraId="3E4E4E09" w14:textId="77777777" w:rsidR="007E70D5" w:rsidRPr="00F247C8" w:rsidRDefault="007E70D5" w:rsidP="007E70D5">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6 </w:t>
            </w:r>
          </w:p>
        </w:tc>
        <w:tc>
          <w:tcPr>
            <w:tcW w:w="750" w:type="pct"/>
            <w:tcBorders>
              <w:top w:val="nil"/>
              <w:left w:val="nil"/>
              <w:bottom w:val="single" w:sz="4" w:space="0" w:color="auto"/>
              <w:right w:val="single" w:sz="4" w:space="0" w:color="auto"/>
            </w:tcBorders>
            <w:shd w:val="clear" w:color="auto" w:fill="auto"/>
            <w:noWrap/>
            <w:vAlign w:val="bottom"/>
            <w:hideMark/>
          </w:tcPr>
          <w:p w14:paraId="5D1481EA"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59,748 </w:t>
            </w:r>
          </w:p>
        </w:tc>
        <w:tc>
          <w:tcPr>
            <w:tcW w:w="831" w:type="pct"/>
            <w:tcBorders>
              <w:top w:val="nil"/>
              <w:left w:val="nil"/>
              <w:bottom w:val="single" w:sz="4" w:space="0" w:color="auto"/>
              <w:right w:val="single" w:sz="4" w:space="0" w:color="auto"/>
            </w:tcBorders>
            <w:shd w:val="clear" w:color="auto" w:fill="auto"/>
            <w:noWrap/>
            <w:vAlign w:val="bottom"/>
            <w:hideMark/>
          </w:tcPr>
          <w:p w14:paraId="76C8D542" w14:textId="77777777" w:rsidR="007E70D5" w:rsidRPr="00F247C8" w:rsidRDefault="007E70D5" w:rsidP="007E70D5">
            <w:pPr>
              <w:spacing w:after="0"/>
              <w:jc w:val="left"/>
              <w:outlineLvl w:val="0"/>
              <w:rPr>
                <w:rFonts w:ascii="Arial" w:hAnsi="Arial" w:cs="Arial"/>
                <w:sz w:val="22"/>
                <w:szCs w:val="22"/>
                <w:lang w:val="en-US"/>
              </w:rPr>
            </w:pPr>
            <w:r w:rsidRPr="00F247C8">
              <w:rPr>
                <w:rFonts w:ascii="Arial" w:hAnsi="Arial" w:cs="Arial"/>
                <w:sz w:val="22"/>
                <w:szCs w:val="22"/>
                <w:lang w:val="en-US"/>
              </w:rPr>
              <w:t xml:space="preserve">                558 </w:t>
            </w:r>
          </w:p>
        </w:tc>
        <w:tc>
          <w:tcPr>
            <w:tcW w:w="455" w:type="pct"/>
            <w:tcBorders>
              <w:top w:val="nil"/>
              <w:left w:val="nil"/>
              <w:bottom w:val="single" w:sz="4" w:space="0" w:color="auto"/>
              <w:right w:val="single" w:sz="4" w:space="0" w:color="auto"/>
            </w:tcBorders>
            <w:shd w:val="clear" w:color="auto" w:fill="auto"/>
            <w:noWrap/>
            <w:vAlign w:val="bottom"/>
            <w:hideMark/>
          </w:tcPr>
          <w:p w14:paraId="11AA2A5C" w14:textId="77777777" w:rsidR="007E70D5" w:rsidRPr="00F247C8" w:rsidRDefault="007E70D5" w:rsidP="007E70D5">
            <w:pPr>
              <w:spacing w:after="0"/>
              <w:jc w:val="right"/>
              <w:outlineLvl w:val="0"/>
              <w:rPr>
                <w:rFonts w:ascii="Arial" w:hAnsi="Arial" w:cs="Arial"/>
                <w:sz w:val="22"/>
                <w:szCs w:val="22"/>
                <w:lang w:val="en-US"/>
              </w:rPr>
            </w:pPr>
            <w:r w:rsidRPr="00F247C8">
              <w:rPr>
                <w:rFonts w:ascii="Arial" w:hAnsi="Arial" w:cs="Arial"/>
                <w:sz w:val="22"/>
                <w:szCs w:val="22"/>
                <w:lang w:val="en-US"/>
              </w:rPr>
              <w:t>0.9%</w:t>
            </w:r>
          </w:p>
        </w:tc>
      </w:tr>
      <w:tr w:rsidR="007E70D5" w:rsidRPr="007E70D5" w14:paraId="5069F9DD"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36749F01"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Total secondary and all-through </w:t>
            </w:r>
          </w:p>
        </w:tc>
        <w:tc>
          <w:tcPr>
            <w:tcW w:w="1348" w:type="pct"/>
            <w:tcBorders>
              <w:top w:val="nil"/>
              <w:left w:val="nil"/>
              <w:bottom w:val="single" w:sz="4" w:space="0" w:color="auto"/>
              <w:right w:val="single" w:sz="4" w:space="0" w:color="auto"/>
            </w:tcBorders>
            <w:shd w:val="clear" w:color="auto" w:fill="auto"/>
            <w:noWrap/>
            <w:vAlign w:val="bottom"/>
            <w:hideMark/>
          </w:tcPr>
          <w:p w14:paraId="3304C6CD"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69 </w:t>
            </w:r>
          </w:p>
        </w:tc>
        <w:tc>
          <w:tcPr>
            <w:tcW w:w="750" w:type="pct"/>
            <w:tcBorders>
              <w:top w:val="nil"/>
              <w:left w:val="nil"/>
              <w:bottom w:val="single" w:sz="4" w:space="0" w:color="auto"/>
              <w:right w:val="single" w:sz="4" w:space="0" w:color="auto"/>
            </w:tcBorders>
            <w:shd w:val="clear" w:color="auto" w:fill="auto"/>
            <w:noWrap/>
            <w:vAlign w:val="bottom"/>
            <w:hideMark/>
          </w:tcPr>
          <w:p w14:paraId="594B6D5B"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423,579 </w:t>
            </w:r>
          </w:p>
        </w:tc>
        <w:tc>
          <w:tcPr>
            <w:tcW w:w="831" w:type="pct"/>
            <w:tcBorders>
              <w:top w:val="nil"/>
              <w:left w:val="nil"/>
              <w:bottom w:val="single" w:sz="4" w:space="0" w:color="auto"/>
              <w:right w:val="single" w:sz="4" w:space="0" w:color="auto"/>
            </w:tcBorders>
            <w:shd w:val="clear" w:color="auto" w:fill="auto"/>
            <w:noWrap/>
            <w:vAlign w:val="bottom"/>
            <w:hideMark/>
          </w:tcPr>
          <w:p w14:paraId="3DAF0F74" w14:textId="77777777" w:rsidR="007E70D5" w:rsidRPr="00F247C8" w:rsidRDefault="007E70D5" w:rsidP="007E70D5">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7,610 </w:t>
            </w:r>
          </w:p>
        </w:tc>
        <w:tc>
          <w:tcPr>
            <w:tcW w:w="455" w:type="pct"/>
            <w:tcBorders>
              <w:top w:val="nil"/>
              <w:left w:val="nil"/>
              <w:bottom w:val="single" w:sz="4" w:space="0" w:color="auto"/>
              <w:right w:val="single" w:sz="4" w:space="0" w:color="auto"/>
            </w:tcBorders>
            <w:shd w:val="clear" w:color="auto" w:fill="auto"/>
            <w:noWrap/>
            <w:vAlign w:val="bottom"/>
            <w:hideMark/>
          </w:tcPr>
          <w:p w14:paraId="7FF0B558" w14:textId="77777777" w:rsidR="007E70D5" w:rsidRPr="00F247C8" w:rsidRDefault="007E70D5" w:rsidP="007E70D5">
            <w:pPr>
              <w:spacing w:after="0"/>
              <w:jc w:val="right"/>
              <w:outlineLvl w:val="0"/>
              <w:rPr>
                <w:rFonts w:ascii="Arial" w:hAnsi="Arial" w:cs="Arial"/>
                <w:b/>
                <w:bCs/>
                <w:sz w:val="22"/>
                <w:szCs w:val="22"/>
                <w:lang w:val="en-US"/>
              </w:rPr>
            </w:pPr>
            <w:r w:rsidRPr="00F247C8">
              <w:rPr>
                <w:rFonts w:ascii="Arial" w:hAnsi="Arial" w:cs="Arial"/>
                <w:b/>
                <w:bCs/>
                <w:sz w:val="22"/>
                <w:szCs w:val="22"/>
                <w:lang w:val="en-US"/>
              </w:rPr>
              <w:t>1.8%</w:t>
            </w:r>
          </w:p>
        </w:tc>
      </w:tr>
      <w:tr w:rsidR="007E70D5" w:rsidRPr="007E70D5" w14:paraId="7211F420" w14:textId="77777777" w:rsidTr="00F247C8">
        <w:trPr>
          <w:trHeight w:val="273"/>
        </w:trPr>
        <w:tc>
          <w:tcPr>
            <w:tcW w:w="1615" w:type="pct"/>
            <w:tcBorders>
              <w:top w:val="nil"/>
              <w:left w:val="single" w:sz="4" w:space="0" w:color="auto"/>
              <w:bottom w:val="single" w:sz="4" w:space="0" w:color="auto"/>
              <w:right w:val="single" w:sz="4" w:space="0" w:color="auto"/>
            </w:tcBorders>
            <w:shd w:val="clear" w:color="auto" w:fill="auto"/>
            <w:noWrap/>
            <w:vAlign w:val="bottom"/>
            <w:hideMark/>
          </w:tcPr>
          <w:p w14:paraId="0CA367BC"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Grand Total </w:t>
            </w:r>
          </w:p>
        </w:tc>
        <w:tc>
          <w:tcPr>
            <w:tcW w:w="1348" w:type="pct"/>
            <w:tcBorders>
              <w:top w:val="nil"/>
              <w:left w:val="nil"/>
              <w:bottom w:val="single" w:sz="4" w:space="0" w:color="auto"/>
              <w:right w:val="single" w:sz="4" w:space="0" w:color="auto"/>
            </w:tcBorders>
            <w:shd w:val="clear" w:color="auto" w:fill="auto"/>
            <w:noWrap/>
            <w:vAlign w:val="bottom"/>
            <w:hideMark/>
          </w:tcPr>
          <w:p w14:paraId="73CF3F9B"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494 </w:t>
            </w:r>
          </w:p>
        </w:tc>
        <w:tc>
          <w:tcPr>
            <w:tcW w:w="750" w:type="pct"/>
            <w:tcBorders>
              <w:top w:val="nil"/>
              <w:left w:val="nil"/>
              <w:bottom w:val="single" w:sz="4" w:space="0" w:color="auto"/>
              <w:right w:val="single" w:sz="4" w:space="0" w:color="auto"/>
            </w:tcBorders>
            <w:shd w:val="clear" w:color="auto" w:fill="auto"/>
            <w:noWrap/>
            <w:vAlign w:val="bottom"/>
            <w:hideMark/>
          </w:tcPr>
          <w:p w14:paraId="70C812DE"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914,527 </w:t>
            </w:r>
          </w:p>
        </w:tc>
        <w:tc>
          <w:tcPr>
            <w:tcW w:w="831" w:type="pct"/>
            <w:tcBorders>
              <w:top w:val="nil"/>
              <w:left w:val="nil"/>
              <w:bottom w:val="single" w:sz="4" w:space="0" w:color="auto"/>
              <w:right w:val="single" w:sz="4" w:space="0" w:color="auto"/>
            </w:tcBorders>
            <w:shd w:val="clear" w:color="auto" w:fill="auto"/>
            <w:noWrap/>
            <w:vAlign w:val="bottom"/>
            <w:hideMark/>
          </w:tcPr>
          <w:p w14:paraId="4688CEB3" w14:textId="77777777" w:rsidR="007E70D5" w:rsidRPr="00F247C8" w:rsidRDefault="007E70D5" w:rsidP="007E70D5">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14,288 </w:t>
            </w:r>
          </w:p>
        </w:tc>
        <w:tc>
          <w:tcPr>
            <w:tcW w:w="455" w:type="pct"/>
            <w:tcBorders>
              <w:top w:val="nil"/>
              <w:left w:val="nil"/>
              <w:bottom w:val="single" w:sz="4" w:space="0" w:color="auto"/>
              <w:right w:val="single" w:sz="4" w:space="0" w:color="auto"/>
            </w:tcBorders>
            <w:shd w:val="clear" w:color="auto" w:fill="auto"/>
            <w:noWrap/>
            <w:vAlign w:val="bottom"/>
            <w:hideMark/>
          </w:tcPr>
          <w:p w14:paraId="096E9334" w14:textId="77777777" w:rsidR="007E70D5" w:rsidRPr="00F247C8" w:rsidRDefault="007E70D5" w:rsidP="007E70D5">
            <w:pPr>
              <w:spacing w:after="0"/>
              <w:jc w:val="right"/>
              <w:outlineLvl w:val="0"/>
              <w:rPr>
                <w:rFonts w:ascii="Arial" w:hAnsi="Arial" w:cs="Arial"/>
                <w:b/>
                <w:bCs/>
                <w:sz w:val="22"/>
                <w:szCs w:val="22"/>
                <w:lang w:val="en-US"/>
              </w:rPr>
            </w:pPr>
            <w:r w:rsidRPr="00F247C8">
              <w:rPr>
                <w:rFonts w:ascii="Arial" w:hAnsi="Arial" w:cs="Arial"/>
                <w:b/>
                <w:bCs/>
                <w:sz w:val="22"/>
                <w:szCs w:val="22"/>
                <w:lang w:val="en-US"/>
              </w:rPr>
              <w:t>1.6%</w:t>
            </w:r>
          </w:p>
        </w:tc>
      </w:tr>
    </w:tbl>
    <w:p w14:paraId="32C7FE7A" w14:textId="77777777" w:rsidR="0077196E" w:rsidRPr="00EC6498" w:rsidRDefault="0077196E" w:rsidP="0077196E">
      <w:pPr>
        <w:pStyle w:val="BodyText"/>
        <w:spacing w:after="0"/>
        <w:ind w:left="0"/>
        <w:rPr>
          <w:rFonts w:ascii="Arial" w:hAnsi="Arial" w:cs="Arial"/>
          <w:b/>
          <w:bCs/>
          <w:color w:val="FF0000"/>
        </w:rPr>
      </w:pPr>
    </w:p>
    <w:p w14:paraId="72E0C8F6" w14:textId="105BF4B8" w:rsidR="009D50D7" w:rsidRPr="00A83446" w:rsidRDefault="009D50D7" w:rsidP="00FA5447">
      <w:pPr>
        <w:pStyle w:val="BodyText"/>
        <w:ind w:left="0"/>
        <w:rPr>
          <w:rFonts w:ascii="Arial" w:hAnsi="Arial" w:cs="Arial"/>
          <w:b/>
          <w:bCs/>
        </w:rPr>
      </w:pPr>
      <w:r w:rsidRPr="00A83446">
        <w:rPr>
          <w:rFonts w:ascii="Arial" w:hAnsi="Arial" w:cs="Arial"/>
          <w:b/>
          <w:bCs/>
        </w:rPr>
        <w:t>Increase in mainstream schools funding by district:</w:t>
      </w:r>
    </w:p>
    <w:tbl>
      <w:tblPr>
        <w:tblW w:w="5260" w:type="pct"/>
        <w:tblLook w:val="04A0" w:firstRow="1" w:lastRow="0" w:firstColumn="1" w:lastColumn="0" w:noHBand="0" w:noVBand="1"/>
      </w:tblPr>
      <w:tblGrid>
        <w:gridCol w:w="2553"/>
        <w:gridCol w:w="2967"/>
        <w:gridCol w:w="1684"/>
        <w:gridCol w:w="1562"/>
        <w:gridCol w:w="1023"/>
      </w:tblGrid>
      <w:tr w:rsidR="00BA51FB" w:rsidRPr="00BA51FB" w14:paraId="6813C26A" w14:textId="77777777" w:rsidTr="00BA51FB">
        <w:trPr>
          <w:trHeight w:val="982"/>
        </w:trPr>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88F0E" w14:textId="77777777" w:rsidR="00BA51FB" w:rsidRPr="00F247C8" w:rsidRDefault="00BA51FB" w:rsidP="00BA51FB">
            <w:pPr>
              <w:spacing w:after="0"/>
              <w:jc w:val="left"/>
              <w:outlineLvl w:val="0"/>
              <w:rPr>
                <w:rFonts w:ascii="Arial" w:hAnsi="Arial" w:cs="Arial"/>
                <w:b/>
                <w:bCs/>
                <w:sz w:val="22"/>
                <w:szCs w:val="22"/>
                <w:lang w:val="en-US"/>
              </w:rPr>
            </w:pPr>
            <w:r w:rsidRPr="00F247C8">
              <w:rPr>
                <w:rFonts w:ascii="Arial" w:hAnsi="Arial" w:cs="Arial"/>
                <w:b/>
                <w:bCs/>
                <w:sz w:val="22"/>
                <w:szCs w:val="22"/>
                <w:lang w:val="en-US"/>
              </w:rPr>
              <w:t>District</w:t>
            </w:r>
          </w:p>
        </w:tc>
        <w:tc>
          <w:tcPr>
            <w:tcW w:w="1428" w:type="pct"/>
            <w:tcBorders>
              <w:top w:val="single" w:sz="4" w:space="0" w:color="auto"/>
              <w:left w:val="nil"/>
              <w:bottom w:val="single" w:sz="4" w:space="0" w:color="auto"/>
              <w:right w:val="single" w:sz="4" w:space="0" w:color="auto"/>
            </w:tcBorders>
            <w:shd w:val="clear" w:color="auto" w:fill="auto"/>
            <w:vAlign w:val="bottom"/>
            <w:hideMark/>
          </w:tcPr>
          <w:p w14:paraId="51C4B692" w14:textId="77777777" w:rsidR="00BA51FB" w:rsidRPr="00F247C8" w:rsidRDefault="00BA51FB" w:rsidP="00BA51FB">
            <w:pPr>
              <w:spacing w:after="0"/>
              <w:jc w:val="left"/>
              <w:outlineLvl w:val="0"/>
              <w:rPr>
                <w:rFonts w:ascii="Arial" w:hAnsi="Arial" w:cs="Arial"/>
                <w:b/>
                <w:bCs/>
                <w:sz w:val="22"/>
                <w:szCs w:val="22"/>
                <w:lang w:val="en-US"/>
              </w:rPr>
            </w:pPr>
            <w:r w:rsidRPr="00F247C8">
              <w:rPr>
                <w:rFonts w:ascii="Arial" w:hAnsi="Arial" w:cs="Arial"/>
                <w:b/>
                <w:bCs/>
                <w:sz w:val="22"/>
                <w:szCs w:val="22"/>
                <w:lang w:val="en-US"/>
              </w:rPr>
              <w:t>No. of schools</w:t>
            </w:r>
          </w:p>
        </w:tc>
        <w:tc>
          <w:tcPr>
            <w:tcW w:w="856" w:type="pct"/>
            <w:tcBorders>
              <w:top w:val="single" w:sz="4" w:space="0" w:color="auto"/>
              <w:left w:val="nil"/>
              <w:bottom w:val="single" w:sz="4" w:space="0" w:color="auto"/>
              <w:right w:val="single" w:sz="4" w:space="0" w:color="auto"/>
            </w:tcBorders>
            <w:shd w:val="clear" w:color="auto" w:fill="auto"/>
            <w:vAlign w:val="bottom"/>
            <w:hideMark/>
          </w:tcPr>
          <w:p w14:paraId="029CD883" w14:textId="77777777" w:rsidR="00BA51FB" w:rsidRPr="00F247C8" w:rsidRDefault="00BA51FB" w:rsidP="00BA51FB">
            <w:pPr>
              <w:spacing w:after="0"/>
              <w:jc w:val="left"/>
              <w:outlineLvl w:val="0"/>
              <w:rPr>
                <w:rFonts w:ascii="Arial" w:hAnsi="Arial" w:cs="Arial"/>
                <w:b/>
                <w:bCs/>
                <w:sz w:val="22"/>
                <w:szCs w:val="22"/>
                <w:lang w:val="en-US"/>
              </w:rPr>
            </w:pPr>
            <w:r w:rsidRPr="00F247C8">
              <w:rPr>
                <w:rFonts w:ascii="Arial" w:hAnsi="Arial" w:cs="Arial"/>
                <w:b/>
                <w:bCs/>
                <w:sz w:val="22"/>
                <w:szCs w:val="22"/>
                <w:lang w:val="en-US"/>
              </w:rPr>
              <w:t>2023/24 funding (£'000')</w:t>
            </w:r>
          </w:p>
        </w:tc>
        <w:tc>
          <w:tcPr>
            <w:tcW w:w="827" w:type="pct"/>
            <w:tcBorders>
              <w:top w:val="single" w:sz="4" w:space="0" w:color="auto"/>
              <w:left w:val="nil"/>
              <w:bottom w:val="single" w:sz="4" w:space="0" w:color="auto"/>
              <w:right w:val="single" w:sz="4" w:space="0" w:color="auto"/>
            </w:tcBorders>
            <w:shd w:val="clear" w:color="auto" w:fill="auto"/>
            <w:vAlign w:val="bottom"/>
            <w:hideMark/>
          </w:tcPr>
          <w:p w14:paraId="562AB90F" w14:textId="77777777" w:rsidR="00BA51FB" w:rsidRPr="00F247C8" w:rsidRDefault="00BA51FB" w:rsidP="00BA51FB">
            <w:pPr>
              <w:spacing w:after="0"/>
              <w:jc w:val="left"/>
              <w:outlineLvl w:val="0"/>
              <w:rPr>
                <w:rFonts w:ascii="Arial" w:hAnsi="Arial" w:cs="Arial"/>
                <w:b/>
                <w:bCs/>
                <w:sz w:val="22"/>
                <w:szCs w:val="22"/>
                <w:lang w:val="en-US"/>
              </w:rPr>
            </w:pPr>
            <w:r w:rsidRPr="00F247C8">
              <w:rPr>
                <w:rFonts w:ascii="Arial" w:hAnsi="Arial" w:cs="Arial"/>
                <w:b/>
                <w:bCs/>
                <w:sz w:val="22"/>
                <w:szCs w:val="22"/>
                <w:lang w:val="en-US"/>
              </w:rPr>
              <w:t>Change from 2022/23 (£'000')</w:t>
            </w:r>
          </w:p>
        </w:tc>
        <w:tc>
          <w:tcPr>
            <w:tcW w:w="548" w:type="pct"/>
            <w:tcBorders>
              <w:top w:val="single" w:sz="4" w:space="0" w:color="auto"/>
              <w:left w:val="nil"/>
              <w:bottom w:val="single" w:sz="4" w:space="0" w:color="auto"/>
              <w:right w:val="single" w:sz="4" w:space="0" w:color="auto"/>
            </w:tcBorders>
            <w:shd w:val="clear" w:color="auto" w:fill="auto"/>
            <w:vAlign w:val="bottom"/>
            <w:hideMark/>
          </w:tcPr>
          <w:p w14:paraId="400A5961" w14:textId="77777777" w:rsidR="00BA51FB" w:rsidRPr="00F247C8" w:rsidRDefault="00BA51FB" w:rsidP="00BA51FB">
            <w:pPr>
              <w:spacing w:after="0"/>
              <w:jc w:val="left"/>
              <w:outlineLvl w:val="0"/>
              <w:rPr>
                <w:rFonts w:ascii="Arial" w:hAnsi="Arial" w:cs="Arial"/>
                <w:b/>
                <w:bCs/>
                <w:sz w:val="22"/>
                <w:szCs w:val="22"/>
                <w:lang w:val="en-US"/>
              </w:rPr>
            </w:pPr>
            <w:r w:rsidRPr="00F247C8">
              <w:rPr>
                <w:rFonts w:ascii="Arial" w:hAnsi="Arial" w:cs="Arial"/>
                <w:b/>
                <w:bCs/>
                <w:sz w:val="22"/>
                <w:szCs w:val="22"/>
                <w:lang w:val="en-US"/>
              </w:rPr>
              <w:t>Change from 2022/23 (%)</w:t>
            </w:r>
          </w:p>
        </w:tc>
      </w:tr>
      <w:tr w:rsidR="00BA51FB" w:rsidRPr="00BA51FB" w14:paraId="46E3D784"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59165717"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East Hampshire</w:t>
            </w:r>
          </w:p>
        </w:tc>
        <w:tc>
          <w:tcPr>
            <w:tcW w:w="1428" w:type="pct"/>
            <w:tcBorders>
              <w:top w:val="nil"/>
              <w:left w:val="nil"/>
              <w:bottom w:val="single" w:sz="4" w:space="0" w:color="auto"/>
              <w:right w:val="single" w:sz="4" w:space="0" w:color="auto"/>
            </w:tcBorders>
            <w:shd w:val="clear" w:color="auto" w:fill="auto"/>
            <w:noWrap/>
            <w:vAlign w:val="bottom"/>
            <w:hideMark/>
          </w:tcPr>
          <w:p w14:paraId="4917ED7D"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48 </w:t>
            </w:r>
          </w:p>
        </w:tc>
        <w:tc>
          <w:tcPr>
            <w:tcW w:w="856" w:type="pct"/>
            <w:tcBorders>
              <w:top w:val="nil"/>
              <w:left w:val="nil"/>
              <w:bottom w:val="single" w:sz="4" w:space="0" w:color="auto"/>
              <w:right w:val="single" w:sz="4" w:space="0" w:color="auto"/>
            </w:tcBorders>
            <w:shd w:val="clear" w:color="auto" w:fill="auto"/>
            <w:noWrap/>
            <w:vAlign w:val="bottom"/>
            <w:hideMark/>
          </w:tcPr>
          <w:p w14:paraId="35FEAFF9"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80,972 </w:t>
            </w:r>
          </w:p>
        </w:tc>
        <w:tc>
          <w:tcPr>
            <w:tcW w:w="827" w:type="pct"/>
            <w:tcBorders>
              <w:top w:val="nil"/>
              <w:left w:val="nil"/>
              <w:bottom w:val="single" w:sz="4" w:space="0" w:color="auto"/>
              <w:right w:val="single" w:sz="4" w:space="0" w:color="auto"/>
            </w:tcBorders>
            <w:shd w:val="clear" w:color="auto" w:fill="auto"/>
            <w:noWrap/>
            <w:vAlign w:val="bottom"/>
            <w:hideMark/>
          </w:tcPr>
          <w:p w14:paraId="06B1BBF3"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1,324 </w:t>
            </w:r>
          </w:p>
        </w:tc>
        <w:tc>
          <w:tcPr>
            <w:tcW w:w="548" w:type="pct"/>
            <w:tcBorders>
              <w:top w:val="nil"/>
              <w:left w:val="nil"/>
              <w:bottom w:val="single" w:sz="4" w:space="0" w:color="auto"/>
              <w:right w:val="single" w:sz="4" w:space="0" w:color="auto"/>
            </w:tcBorders>
            <w:shd w:val="clear" w:color="auto" w:fill="auto"/>
            <w:noWrap/>
            <w:vAlign w:val="bottom"/>
            <w:hideMark/>
          </w:tcPr>
          <w:p w14:paraId="6B84209B"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1.7%</w:t>
            </w:r>
          </w:p>
        </w:tc>
      </w:tr>
      <w:tr w:rsidR="00BA51FB" w:rsidRPr="00BA51FB" w14:paraId="30D50BC5"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2DCFAA83"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Test Valley</w:t>
            </w:r>
          </w:p>
        </w:tc>
        <w:tc>
          <w:tcPr>
            <w:tcW w:w="1428" w:type="pct"/>
            <w:tcBorders>
              <w:top w:val="nil"/>
              <w:left w:val="nil"/>
              <w:bottom w:val="single" w:sz="4" w:space="0" w:color="auto"/>
              <w:right w:val="single" w:sz="4" w:space="0" w:color="auto"/>
            </w:tcBorders>
            <w:shd w:val="clear" w:color="auto" w:fill="auto"/>
            <w:noWrap/>
            <w:vAlign w:val="bottom"/>
            <w:hideMark/>
          </w:tcPr>
          <w:p w14:paraId="12CD28FA"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55 </w:t>
            </w:r>
          </w:p>
        </w:tc>
        <w:tc>
          <w:tcPr>
            <w:tcW w:w="856" w:type="pct"/>
            <w:tcBorders>
              <w:top w:val="nil"/>
              <w:left w:val="nil"/>
              <w:bottom w:val="single" w:sz="4" w:space="0" w:color="auto"/>
              <w:right w:val="single" w:sz="4" w:space="0" w:color="auto"/>
            </w:tcBorders>
            <w:shd w:val="clear" w:color="auto" w:fill="auto"/>
            <w:noWrap/>
            <w:vAlign w:val="bottom"/>
            <w:hideMark/>
          </w:tcPr>
          <w:p w14:paraId="63A9B9F0"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84,884 </w:t>
            </w:r>
          </w:p>
        </w:tc>
        <w:tc>
          <w:tcPr>
            <w:tcW w:w="827" w:type="pct"/>
            <w:tcBorders>
              <w:top w:val="nil"/>
              <w:left w:val="nil"/>
              <w:bottom w:val="single" w:sz="4" w:space="0" w:color="auto"/>
              <w:right w:val="single" w:sz="4" w:space="0" w:color="auto"/>
            </w:tcBorders>
            <w:shd w:val="clear" w:color="auto" w:fill="auto"/>
            <w:noWrap/>
            <w:vAlign w:val="bottom"/>
            <w:hideMark/>
          </w:tcPr>
          <w:p w14:paraId="014F1218"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1,372 </w:t>
            </w:r>
          </w:p>
        </w:tc>
        <w:tc>
          <w:tcPr>
            <w:tcW w:w="548" w:type="pct"/>
            <w:tcBorders>
              <w:top w:val="nil"/>
              <w:left w:val="nil"/>
              <w:bottom w:val="single" w:sz="4" w:space="0" w:color="auto"/>
              <w:right w:val="single" w:sz="4" w:space="0" w:color="auto"/>
            </w:tcBorders>
            <w:shd w:val="clear" w:color="auto" w:fill="auto"/>
            <w:noWrap/>
            <w:vAlign w:val="bottom"/>
            <w:hideMark/>
          </w:tcPr>
          <w:p w14:paraId="5175D765"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1.6%</w:t>
            </w:r>
          </w:p>
        </w:tc>
      </w:tr>
      <w:tr w:rsidR="00BA51FB" w:rsidRPr="00BA51FB" w14:paraId="7A194929"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78314DD8"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New Forest</w:t>
            </w:r>
          </w:p>
        </w:tc>
        <w:tc>
          <w:tcPr>
            <w:tcW w:w="1428" w:type="pct"/>
            <w:tcBorders>
              <w:top w:val="nil"/>
              <w:left w:val="nil"/>
              <w:bottom w:val="single" w:sz="4" w:space="0" w:color="auto"/>
              <w:right w:val="single" w:sz="4" w:space="0" w:color="auto"/>
            </w:tcBorders>
            <w:shd w:val="clear" w:color="auto" w:fill="auto"/>
            <w:noWrap/>
            <w:vAlign w:val="bottom"/>
            <w:hideMark/>
          </w:tcPr>
          <w:p w14:paraId="16844A09"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64 </w:t>
            </w:r>
          </w:p>
        </w:tc>
        <w:tc>
          <w:tcPr>
            <w:tcW w:w="856" w:type="pct"/>
            <w:tcBorders>
              <w:top w:val="nil"/>
              <w:left w:val="nil"/>
              <w:bottom w:val="single" w:sz="4" w:space="0" w:color="auto"/>
              <w:right w:val="single" w:sz="4" w:space="0" w:color="auto"/>
            </w:tcBorders>
            <w:shd w:val="clear" w:color="auto" w:fill="auto"/>
            <w:noWrap/>
            <w:vAlign w:val="bottom"/>
            <w:hideMark/>
          </w:tcPr>
          <w:p w14:paraId="6C190AC4"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104,734 </w:t>
            </w:r>
          </w:p>
        </w:tc>
        <w:tc>
          <w:tcPr>
            <w:tcW w:w="827" w:type="pct"/>
            <w:tcBorders>
              <w:top w:val="nil"/>
              <w:left w:val="nil"/>
              <w:bottom w:val="single" w:sz="4" w:space="0" w:color="auto"/>
              <w:right w:val="single" w:sz="4" w:space="0" w:color="auto"/>
            </w:tcBorders>
            <w:shd w:val="clear" w:color="auto" w:fill="auto"/>
            <w:noWrap/>
            <w:vAlign w:val="bottom"/>
            <w:hideMark/>
          </w:tcPr>
          <w:p w14:paraId="17BEF6B2"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1,891 </w:t>
            </w:r>
          </w:p>
        </w:tc>
        <w:tc>
          <w:tcPr>
            <w:tcW w:w="548" w:type="pct"/>
            <w:tcBorders>
              <w:top w:val="nil"/>
              <w:left w:val="nil"/>
              <w:bottom w:val="single" w:sz="4" w:space="0" w:color="auto"/>
              <w:right w:val="single" w:sz="4" w:space="0" w:color="auto"/>
            </w:tcBorders>
            <w:shd w:val="clear" w:color="auto" w:fill="auto"/>
            <w:noWrap/>
            <w:vAlign w:val="bottom"/>
            <w:hideMark/>
          </w:tcPr>
          <w:p w14:paraId="140AB6F3"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1.8%</w:t>
            </w:r>
          </w:p>
        </w:tc>
      </w:tr>
      <w:tr w:rsidR="00BA51FB" w:rsidRPr="00BA51FB" w14:paraId="063EE144"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3718B5A3"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Basingstoke and Deane</w:t>
            </w:r>
          </w:p>
        </w:tc>
        <w:tc>
          <w:tcPr>
            <w:tcW w:w="1428" w:type="pct"/>
            <w:tcBorders>
              <w:top w:val="nil"/>
              <w:left w:val="nil"/>
              <w:bottom w:val="single" w:sz="4" w:space="0" w:color="auto"/>
              <w:right w:val="single" w:sz="4" w:space="0" w:color="auto"/>
            </w:tcBorders>
            <w:shd w:val="clear" w:color="auto" w:fill="auto"/>
            <w:noWrap/>
            <w:vAlign w:val="bottom"/>
            <w:hideMark/>
          </w:tcPr>
          <w:p w14:paraId="49FCFEEA"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67 </w:t>
            </w:r>
          </w:p>
        </w:tc>
        <w:tc>
          <w:tcPr>
            <w:tcW w:w="856" w:type="pct"/>
            <w:tcBorders>
              <w:top w:val="nil"/>
              <w:left w:val="nil"/>
              <w:bottom w:val="single" w:sz="4" w:space="0" w:color="auto"/>
              <w:right w:val="single" w:sz="4" w:space="0" w:color="auto"/>
            </w:tcBorders>
            <w:shd w:val="clear" w:color="auto" w:fill="auto"/>
            <w:noWrap/>
            <w:vAlign w:val="bottom"/>
            <w:hideMark/>
          </w:tcPr>
          <w:p w14:paraId="09CC228A"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119,610 </w:t>
            </w:r>
          </w:p>
        </w:tc>
        <w:tc>
          <w:tcPr>
            <w:tcW w:w="827" w:type="pct"/>
            <w:tcBorders>
              <w:top w:val="nil"/>
              <w:left w:val="nil"/>
              <w:bottom w:val="single" w:sz="4" w:space="0" w:color="auto"/>
              <w:right w:val="single" w:sz="4" w:space="0" w:color="auto"/>
            </w:tcBorders>
            <w:shd w:val="clear" w:color="auto" w:fill="auto"/>
            <w:noWrap/>
            <w:vAlign w:val="bottom"/>
            <w:hideMark/>
          </w:tcPr>
          <w:p w14:paraId="7755BF34"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2,034 </w:t>
            </w:r>
          </w:p>
        </w:tc>
        <w:tc>
          <w:tcPr>
            <w:tcW w:w="548" w:type="pct"/>
            <w:tcBorders>
              <w:top w:val="nil"/>
              <w:left w:val="nil"/>
              <w:bottom w:val="single" w:sz="4" w:space="0" w:color="auto"/>
              <w:right w:val="single" w:sz="4" w:space="0" w:color="auto"/>
            </w:tcBorders>
            <w:shd w:val="clear" w:color="auto" w:fill="auto"/>
            <w:noWrap/>
            <w:vAlign w:val="bottom"/>
            <w:hideMark/>
          </w:tcPr>
          <w:p w14:paraId="2F951B23"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1.7%</w:t>
            </w:r>
          </w:p>
        </w:tc>
      </w:tr>
      <w:tr w:rsidR="00BA51FB" w:rsidRPr="00BA51FB" w14:paraId="7611F823"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35548F1F" w14:textId="77777777" w:rsidR="00BA51FB" w:rsidRPr="00F247C8" w:rsidRDefault="00BA51FB" w:rsidP="00BA51FB">
            <w:pPr>
              <w:spacing w:after="0"/>
              <w:jc w:val="left"/>
              <w:outlineLvl w:val="0"/>
              <w:rPr>
                <w:rFonts w:ascii="Arial" w:hAnsi="Arial" w:cs="Arial"/>
                <w:sz w:val="22"/>
                <w:szCs w:val="22"/>
                <w:lang w:val="en-US"/>
              </w:rPr>
            </w:pPr>
            <w:proofErr w:type="spellStart"/>
            <w:r w:rsidRPr="00F247C8">
              <w:rPr>
                <w:rFonts w:ascii="Arial" w:hAnsi="Arial" w:cs="Arial"/>
                <w:sz w:val="22"/>
                <w:szCs w:val="22"/>
                <w:lang w:val="en-US"/>
              </w:rPr>
              <w:t>Rushmoor</w:t>
            </w:r>
            <w:proofErr w:type="spellEnd"/>
          </w:p>
        </w:tc>
        <w:tc>
          <w:tcPr>
            <w:tcW w:w="1428" w:type="pct"/>
            <w:tcBorders>
              <w:top w:val="nil"/>
              <w:left w:val="nil"/>
              <w:bottom w:val="single" w:sz="4" w:space="0" w:color="auto"/>
              <w:right w:val="single" w:sz="4" w:space="0" w:color="auto"/>
            </w:tcBorders>
            <w:shd w:val="clear" w:color="auto" w:fill="auto"/>
            <w:noWrap/>
            <w:vAlign w:val="bottom"/>
            <w:hideMark/>
          </w:tcPr>
          <w:p w14:paraId="0803728E"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33 </w:t>
            </w:r>
          </w:p>
        </w:tc>
        <w:tc>
          <w:tcPr>
            <w:tcW w:w="856" w:type="pct"/>
            <w:tcBorders>
              <w:top w:val="nil"/>
              <w:left w:val="nil"/>
              <w:bottom w:val="single" w:sz="4" w:space="0" w:color="auto"/>
              <w:right w:val="single" w:sz="4" w:space="0" w:color="auto"/>
            </w:tcBorders>
            <w:shd w:val="clear" w:color="auto" w:fill="auto"/>
            <w:noWrap/>
            <w:vAlign w:val="bottom"/>
            <w:hideMark/>
          </w:tcPr>
          <w:p w14:paraId="074E6058"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56,598 </w:t>
            </w:r>
          </w:p>
        </w:tc>
        <w:tc>
          <w:tcPr>
            <w:tcW w:w="827" w:type="pct"/>
            <w:tcBorders>
              <w:top w:val="nil"/>
              <w:left w:val="nil"/>
              <w:bottom w:val="single" w:sz="4" w:space="0" w:color="auto"/>
              <w:right w:val="single" w:sz="4" w:space="0" w:color="auto"/>
            </w:tcBorders>
            <w:shd w:val="clear" w:color="auto" w:fill="auto"/>
            <w:noWrap/>
            <w:vAlign w:val="bottom"/>
            <w:hideMark/>
          </w:tcPr>
          <w:p w14:paraId="64D2D0A1"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1,155 </w:t>
            </w:r>
          </w:p>
        </w:tc>
        <w:tc>
          <w:tcPr>
            <w:tcW w:w="548" w:type="pct"/>
            <w:tcBorders>
              <w:top w:val="nil"/>
              <w:left w:val="nil"/>
              <w:bottom w:val="single" w:sz="4" w:space="0" w:color="auto"/>
              <w:right w:val="single" w:sz="4" w:space="0" w:color="auto"/>
            </w:tcBorders>
            <w:shd w:val="clear" w:color="auto" w:fill="auto"/>
            <w:noWrap/>
            <w:vAlign w:val="bottom"/>
            <w:hideMark/>
          </w:tcPr>
          <w:p w14:paraId="069AA754"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2.1%</w:t>
            </w:r>
          </w:p>
        </w:tc>
      </w:tr>
      <w:tr w:rsidR="00BA51FB" w:rsidRPr="00BA51FB" w14:paraId="2BFFDB8A"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2A694084"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Hart</w:t>
            </w:r>
          </w:p>
        </w:tc>
        <w:tc>
          <w:tcPr>
            <w:tcW w:w="1428" w:type="pct"/>
            <w:tcBorders>
              <w:top w:val="nil"/>
              <w:left w:val="nil"/>
              <w:bottom w:val="single" w:sz="4" w:space="0" w:color="auto"/>
              <w:right w:val="single" w:sz="4" w:space="0" w:color="auto"/>
            </w:tcBorders>
            <w:shd w:val="clear" w:color="auto" w:fill="auto"/>
            <w:noWrap/>
            <w:vAlign w:val="bottom"/>
            <w:hideMark/>
          </w:tcPr>
          <w:p w14:paraId="22DCCDB7"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34 </w:t>
            </w:r>
          </w:p>
        </w:tc>
        <w:tc>
          <w:tcPr>
            <w:tcW w:w="856" w:type="pct"/>
            <w:tcBorders>
              <w:top w:val="nil"/>
              <w:left w:val="nil"/>
              <w:bottom w:val="single" w:sz="4" w:space="0" w:color="auto"/>
              <w:right w:val="single" w:sz="4" w:space="0" w:color="auto"/>
            </w:tcBorders>
            <w:shd w:val="clear" w:color="auto" w:fill="auto"/>
            <w:noWrap/>
            <w:vAlign w:val="bottom"/>
            <w:hideMark/>
          </w:tcPr>
          <w:p w14:paraId="0BCC9D15"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68,575 </w:t>
            </w:r>
          </w:p>
        </w:tc>
        <w:tc>
          <w:tcPr>
            <w:tcW w:w="827" w:type="pct"/>
            <w:tcBorders>
              <w:top w:val="nil"/>
              <w:left w:val="nil"/>
              <w:bottom w:val="single" w:sz="4" w:space="0" w:color="auto"/>
              <w:right w:val="single" w:sz="4" w:space="0" w:color="auto"/>
            </w:tcBorders>
            <w:shd w:val="clear" w:color="auto" w:fill="auto"/>
            <w:noWrap/>
            <w:vAlign w:val="bottom"/>
            <w:hideMark/>
          </w:tcPr>
          <w:p w14:paraId="43B2D990"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686 </w:t>
            </w:r>
          </w:p>
        </w:tc>
        <w:tc>
          <w:tcPr>
            <w:tcW w:w="548" w:type="pct"/>
            <w:tcBorders>
              <w:top w:val="nil"/>
              <w:left w:val="nil"/>
              <w:bottom w:val="single" w:sz="4" w:space="0" w:color="auto"/>
              <w:right w:val="single" w:sz="4" w:space="0" w:color="auto"/>
            </w:tcBorders>
            <w:shd w:val="clear" w:color="auto" w:fill="auto"/>
            <w:noWrap/>
            <w:vAlign w:val="bottom"/>
            <w:hideMark/>
          </w:tcPr>
          <w:p w14:paraId="3F514639"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1.0%</w:t>
            </w:r>
          </w:p>
        </w:tc>
      </w:tr>
      <w:tr w:rsidR="00BA51FB" w:rsidRPr="00BA51FB" w14:paraId="77566A73"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11960704"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Winchester</w:t>
            </w:r>
          </w:p>
        </w:tc>
        <w:tc>
          <w:tcPr>
            <w:tcW w:w="1428" w:type="pct"/>
            <w:tcBorders>
              <w:top w:val="nil"/>
              <w:left w:val="nil"/>
              <w:bottom w:val="single" w:sz="4" w:space="0" w:color="auto"/>
              <w:right w:val="single" w:sz="4" w:space="0" w:color="auto"/>
            </w:tcBorders>
            <w:shd w:val="clear" w:color="auto" w:fill="auto"/>
            <w:noWrap/>
            <w:vAlign w:val="bottom"/>
            <w:hideMark/>
          </w:tcPr>
          <w:p w14:paraId="4397DBAD"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47 </w:t>
            </w:r>
          </w:p>
        </w:tc>
        <w:tc>
          <w:tcPr>
            <w:tcW w:w="856" w:type="pct"/>
            <w:tcBorders>
              <w:top w:val="nil"/>
              <w:left w:val="nil"/>
              <w:bottom w:val="single" w:sz="4" w:space="0" w:color="auto"/>
              <w:right w:val="single" w:sz="4" w:space="0" w:color="auto"/>
            </w:tcBorders>
            <w:shd w:val="clear" w:color="auto" w:fill="auto"/>
            <w:noWrap/>
            <w:vAlign w:val="bottom"/>
            <w:hideMark/>
          </w:tcPr>
          <w:p w14:paraId="33D350AB"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80,808 </w:t>
            </w:r>
          </w:p>
        </w:tc>
        <w:tc>
          <w:tcPr>
            <w:tcW w:w="827" w:type="pct"/>
            <w:tcBorders>
              <w:top w:val="nil"/>
              <w:left w:val="nil"/>
              <w:bottom w:val="single" w:sz="4" w:space="0" w:color="auto"/>
              <w:right w:val="single" w:sz="4" w:space="0" w:color="auto"/>
            </w:tcBorders>
            <w:shd w:val="clear" w:color="auto" w:fill="auto"/>
            <w:noWrap/>
            <w:vAlign w:val="bottom"/>
            <w:hideMark/>
          </w:tcPr>
          <w:p w14:paraId="4CCA7B46"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873 </w:t>
            </w:r>
          </w:p>
        </w:tc>
        <w:tc>
          <w:tcPr>
            <w:tcW w:w="548" w:type="pct"/>
            <w:tcBorders>
              <w:top w:val="nil"/>
              <w:left w:val="nil"/>
              <w:bottom w:val="single" w:sz="4" w:space="0" w:color="auto"/>
              <w:right w:val="single" w:sz="4" w:space="0" w:color="auto"/>
            </w:tcBorders>
            <w:shd w:val="clear" w:color="auto" w:fill="auto"/>
            <w:noWrap/>
            <w:vAlign w:val="bottom"/>
            <w:hideMark/>
          </w:tcPr>
          <w:p w14:paraId="0EE80D64"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1.1%</w:t>
            </w:r>
          </w:p>
        </w:tc>
      </w:tr>
      <w:tr w:rsidR="00BA51FB" w:rsidRPr="00BA51FB" w14:paraId="373C07A2"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493EB5AA"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Eastleigh</w:t>
            </w:r>
          </w:p>
        </w:tc>
        <w:tc>
          <w:tcPr>
            <w:tcW w:w="1428" w:type="pct"/>
            <w:tcBorders>
              <w:top w:val="nil"/>
              <w:left w:val="nil"/>
              <w:bottom w:val="single" w:sz="4" w:space="0" w:color="auto"/>
              <w:right w:val="single" w:sz="4" w:space="0" w:color="auto"/>
            </w:tcBorders>
            <w:shd w:val="clear" w:color="auto" w:fill="auto"/>
            <w:noWrap/>
            <w:vAlign w:val="bottom"/>
            <w:hideMark/>
          </w:tcPr>
          <w:p w14:paraId="05CC0637"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40 </w:t>
            </w:r>
          </w:p>
        </w:tc>
        <w:tc>
          <w:tcPr>
            <w:tcW w:w="856" w:type="pct"/>
            <w:tcBorders>
              <w:top w:val="nil"/>
              <w:left w:val="nil"/>
              <w:bottom w:val="single" w:sz="4" w:space="0" w:color="auto"/>
              <w:right w:val="single" w:sz="4" w:space="0" w:color="auto"/>
            </w:tcBorders>
            <w:shd w:val="clear" w:color="auto" w:fill="auto"/>
            <w:noWrap/>
            <w:vAlign w:val="bottom"/>
            <w:hideMark/>
          </w:tcPr>
          <w:p w14:paraId="7F171C15"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100,258 </w:t>
            </w:r>
          </w:p>
        </w:tc>
        <w:tc>
          <w:tcPr>
            <w:tcW w:w="827" w:type="pct"/>
            <w:tcBorders>
              <w:top w:val="nil"/>
              <w:left w:val="nil"/>
              <w:bottom w:val="single" w:sz="4" w:space="0" w:color="auto"/>
              <w:right w:val="single" w:sz="4" w:space="0" w:color="auto"/>
            </w:tcBorders>
            <w:shd w:val="clear" w:color="auto" w:fill="auto"/>
            <w:noWrap/>
            <w:vAlign w:val="bottom"/>
            <w:hideMark/>
          </w:tcPr>
          <w:p w14:paraId="349D42FF"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1,466 </w:t>
            </w:r>
          </w:p>
        </w:tc>
        <w:tc>
          <w:tcPr>
            <w:tcW w:w="548" w:type="pct"/>
            <w:tcBorders>
              <w:top w:val="nil"/>
              <w:left w:val="nil"/>
              <w:bottom w:val="single" w:sz="4" w:space="0" w:color="auto"/>
              <w:right w:val="single" w:sz="4" w:space="0" w:color="auto"/>
            </w:tcBorders>
            <w:shd w:val="clear" w:color="auto" w:fill="auto"/>
            <w:noWrap/>
            <w:vAlign w:val="bottom"/>
            <w:hideMark/>
          </w:tcPr>
          <w:p w14:paraId="102003BC"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1.5%</w:t>
            </w:r>
          </w:p>
        </w:tc>
      </w:tr>
      <w:tr w:rsidR="00BA51FB" w:rsidRPr="00BA51FB" w14:paraId="7349E468"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14FD9E82"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Havant</w:t>
            </w:r>
          </w:p>
        </w:tc>
        <w:tc>
          <w:tcPr>
            <w:tcW w:w="1428" w:type="pct"/>
            <w:tcBorders>
              <w:top w:val="nil"/>
              <w:left w:val="nil"/>
              <w:bottom w:val="single" w:sz="4" w:space="0" w:color="auto"/>
              <w:right w:val="single" w:sz="4" w:space="0" w:color="auto"/>
            </w:tcBorders>
            <w:shd w:val="clear" w:color="auto" w:fill="auto"/>
            <w:noWrap/>
            <w:vAlign w:val="bottom"/>
            <w:hideMark/>
          </w:tcPr>
          <w:p w14:paraId="60B68DBB"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41 </w:t>
            </w:r>
          </w:p>
        </w:tc>
        <w:tc>
          <w:tcPr>
            <w:tcW w:w="856" w:type="pct"/>
            <w:tcBorders>
              <w:top w:val="nil"/>
              <w:left w:val="nil"/>
              <w:bottom w:val="single" w:sz="4" w:space="0" w:color="auto"/>
              <w:right w:val="single" w:sz="4" w:space="0" w:color="auto"/>
            </w:tcBorders>
            <w:shd w:val="clear" w:color="auto" w:fill="auto"/>
            <w:noWrap/>
            <w:vAlign w:val="bottom"/>
            <w:hideMark/>
          </w:tcPr>
          <w:p w14:paraId="56683B17"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86,247 </w:t>
            </w:r>
          </w:p>
        </w:tc>
        <w:tc>
          <w:tcPr>
            <w:tcW w:w="827" w:type="pct"/>
            <w:tcBorders>
              <w:top w:val="nil"/>
              <w:left w:val="nil"/>
              <w:bottom w:val="single" w:sz="4" w:space="0" w:color="auto"/>
              <w:right w:val="single" w:sz="4" w:space="0" w:color="auto"/>
            </w:tcBorders>
            <w:shd w:val="clear" w:color="auto" w:fill="auto"/>
            <w:noWrap/>
            <w:vAlign w:val="bottom"/>
            <w:hideMark/>
          </w:tcPr>
          <w:p w14:paraId="77AFBA5E"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1,446 </w:t>
            </w:r>
          </w:p>
        </w:tc>
        <w:tc>
          <w:tcPr>
            <w:tcW w:w="548" w:type="pct"/>
            <w:tcBorders>
              <w:top w:val="nil"/>
              <w:left w:val="nil"/>
              <w:bottom w:val="single" w:sz="4" w:space="0" w:color="auto"/>
              <w:right w:val="single" w:sz="4" w:space="0" w:color="auto"/>
            </w:tcBorders>
            <w:shd w:val="clear" w:color="auto" w:fill="auto"/>
            <w:noWrap/>
            <w:vAlign w:val="bottom"/>
            <w:hideMark/>
          </w:tcPr>
          <w:p w14:paraId="2B8DA043"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1.7%</w:t>
            </w:r>
          </w:p>
        </w:tc>
      </w:tr>
      <w:tr w:rsidR="00BA51FB" w:rsidRPr="00BA51FB" w14:paraId="1B888E31"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74CC6137" w14:textId="77777777" w:rsidR="00BA51FB" w:rsidRPr="00F247C8" w:rsidRDefault="00BA51FB" w:rsidP="00BA51FB">
            <w:pPr>
              <w:spacing w:after="0"/>
              <w:jc w:val="left"/>
              <w:outlineLvl w:val="0"/>
              <w:rPr>
                <w:rFonts w:ascii="Arial" w:hAnsi="Arial" w:cs="Arial"/>
                <w:sz w:val="22"/>
                <w:szCs w:val="22"/>
                <w:lang w:val="en-US"/>
              </w:rPr>
            </w:pPr>
            <w:proofErr w:type="spellStart"/>
            <w:r w:rsidRPr="00F247C8">
              <w:rPr>
                <w:rFonts w:ascii="Arial" w:hAnsi="Arial" w:cs="Arial"/>
                <w:sz w:val="22"/>
                <w:szCs w:val="22"/>
                <w:lang w:val="en-US"/>
              </w:rPr>
              <w:t>Fareham</w:t>
            </w:r>
            <w:proofErr w:type="spellEnd"/>
          </w:p>
        </w:tc>
        <w:tc>
          <w:tcPr>
            <w:tcW w:w="1428" w:type="pct"/>
            <w:tcBorders>
              <w:top w:val="nil"/>
              <w:left w:val="nil"/>
              <w:bottom w:val="single" w:sz="4" w:space="0" w:color="auto"/>
              <w:right w:val="single" w:sz="4" w:space="0" w:color="auto"/>
            </w:tcBorders>
            <w:shd w:val="clear" w:color="auto" w:fill="auto"/>
            <w:noWrap/>
            <w:vAlign w:val="bottom"/>
            <w:hideMark/>
          </w:tcPr>
          <w:p w14:paraId="5FBA6980"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36 </w:t>
            </w:r>
          </w:p>
        </w:tc>
        <w:tc>
          <w:tcPr>
            <w:tcW w:w="856" w:type="pct"/>
            <w:tcBorders>
              <w:top w:val="nil"/>
              <w:left w:val="nil"/>
              <w:bottom w:val="single" w:sz="4" w:space="0" w:color="auto"/>
              <w:right w:val="single" w:sz="4" w:space="0" w:color="auto"/>
            </w:tcBorders>
            <w:shd w:val="clear" w:color="auto" w:fill="auto"/>
            <w:noWrap/>
            <w:vAlign w:val="bottom"/>
            <w:hideMark/>
          </w:tcPr>
          <w:p w14:paraId="0D6E2A58"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78,206 </w:t>
            </w:r>
          </w:p>
        </w:tc>
        <w:tc>
          <w:tcPr>
            <w:tcW w:w="827" w:type="pct"/>
            <w:tcBorders>
              <w:top w:val="nil"/>
              <w:left w:val="nil"/>
              <w:bottom w:val="single" w:sz="4" w:space="0" w:color="auto"/>
              <w:right w:val="single" w:sz="4" w:space="0" w:color="auto"/>
            </w:tcBorders>
            <w:shd w:val="clear" w:color="auto" w:fill="auto"/>
            <w:noWrap/>
            <w:vAlign w:val="bottom"/>
            <w:hideMark/>
          </w:tcPr>
          <w:p w14:paraId="565B3973"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972 </w:t>
            </w:r>
          </w:p>
        </w:tc>
        <w:tc>
          <w:tcPr>
            <w:tcW w:w="548" w:type="pct"/>
            <w:tcBorders>
              <w:top w:val="nil"/>
              <w:left w:val="nil"/>
              <w:bottom w:val="single" w:sz="4" w:space="0" w:color="auto"/>
              <w:right w:val="single" w:sz="4" w:space="0" w:color="auto"/>
            </w:tcBorders>
            <w:shd w:val="clear" w:color="auto" w:fill="auto"/>
            <w:noWrap/>
            <w:vAlign w:val="bottom"/>
            <w:hideMark/>
          </w:tcPr>
          <w:p w14:paraId="04B7D58F"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1.3%</w:t>
            </w:r>
          </w:p>
        </w:tc>
      </w:tr>
      <w:tr w:rsidR="00BA51FB" w:rsidRPr="00BA51FB" w14:paraId="607B2D23"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60C3ACF7" w14:textId="77777777" w:rsidR="00BA51FB" w:rsidRPr="00F247C8" w:rsidRDefault="00BA51FB" w:rsidP="00BA51FB">
            <w:pPr>
              <w:spacing w:after="0"/>
              <w:jc w:val="left"/>
              <w:outlineLvl w:val="0"/>
              <w:rPr>
                <w:rFonts w:ascii="Arial" w:hAnsi="Arial" w:cs="Arial"/>
                <w:sz w:val="22"/>
                <w:szCs w:val="22"/>
                <w:lang w:val="en-US"/>
              </w:rPr>
            </w:pPr>
            <w:proofErr w:type="spellStart"/>
            <w:r w:rsidRPr="00F247C8">
              <w:rPr>
                <w:rFonts w:ascii="Arial" w:hAnsi="Arial" w:cs="Arial"/>
                <w:sz w:val="22"/>
                <w:szCs w:val="22"/>
                <w:lang w:val="en-US"/>
              </w:rPr>
              <w:t>Gosport</w:t>
            </w:r>
            <w:proofErr w:type="spellEnd"/>
          </w:p>
        </w:tc>
        <w:tc>
          <w:tcPr>
            <w:tcW w:w="1428" w:type="pct"/>
            <w:tcBorders>
              <w:top w:val="nil"/>
              <w:left w:val="nil"/>
              <w:bottom w:val="single" w:sz="4" w:space="0" w:color="auto"/>
              <w:right w:val="single" w:sz="4" w:space="0" w:color="auto"/>
            </w:tcBorders>
            <w:shd w:val="clear" w:color="auto" w:fill="auto"/>
            <w:noWrap/>
            <w:vAlign w:val="bottom"/>
            <w:hideMark/>
          </w:tcPr>
          <w:p w14:paraId="4DCF5E4A" w14:textId="77777777" w:rsidR="00BA51FB" w:rsidRPr="00F247C8" w:rsidRDefault="00BA51FB" w:rsidP="00BA51FB">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 xml:space="preserve">                                         29 </w:t>
            </w:r>
          </w:p>
        </w:tc>
        <w:tc>
          <w:tcPr>
            <w:tcW w:w="856" w:type="pct"/>
            <w:tcBorders>
              <w:top w:val="nil"/>
              <w:left w:val="nil"/>
              <w:bottom w:val="single" w:sz="4" w:space="0" w:color="auto"/>
              <w:right w:val="single" w:sz="4" w:space="0" w:color="auto"/>
            </w:tcBorders>
            <w:shd w:val="clear" w:color="auto" w:fill="auto"/>
            <w:noWrap/>
            <w:vAlign w:val="bottom"/>
            <w:hideMark/>
          </w:tcPr>
          <w:p w14:paraId="27611F91"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53,634 </w:t>
            </w:r>
          </w:p>
        </w:tc>
        <w:tc>
          <w:tcPr>
            <w:tcW w:w="827" w:type="pct"/>
            <w:tcBorders>
              <w:top w:val="nil"/>
              <w:left w:val="nil"/>
              <w:bottom w:val="single" w:sz="4" w:space="0" w:color="auto"/>
              <w:right w:val="single" w:sz="4" w:space="0" w:color="auto"/>
            </w:tcBorders>
            <w:shd w:val="clear" w:color="auto" w:fill="auto"/>
            <w:noWrap/>
            <w:vAlign w:val="bottom"/>
            <w:hideMark/>
          </w:tcPr>
          <w:p w14:paraId="5404B99E" w14:textId="77777777" w:rsidR="00BA51FB" w:rsidRPr="00F247C8" w:rsidRDefault="00BA51FB" w:rsidP="00BA51FB">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1,067 </w:t>
            </w:r>
          </w:p>
        </w:tc>
        <w:tc>
          <w:tcPr>
            <w:tcW w:w="548" w:type="pct"/>
            <w:tcBorders>
              <w:top w:val="nil"/>
              <w:left w:val="nil"/>
              <w:bottom w:val="single" w:sz="4" w:space="0" w:color="auto"/>
              <w:right w:val="single" w:sz="4" w:space="0" w:color="auto"/>
            </w:tcBorders>
            <w:shd w:val="clear" w:color="auto" w:fill="auto"/>
            <w:noWrap/>
            <w:vAlign w:val="bottom"/>
            <w:hideMark/>
          </w:tcPr>
          <w:p w14:paraId="5451C83A" w14:textId="77777777" w:rsidR="00BA51FB" w:rsidRPr="00F247C8" w:rsidRDefault="00BA51FB" w:rsidP="00BA51FB">
            <w:pPr>
              <w:spacing w:after="0"/>
              <w:jc w:val="right"/>
              <w:outlineLvl w:val="0"/>
              <w:rPr>
                <w:rFonts w:ascii="Arial" w:hAnsi="Arial" w:cs="Arial"/>
                <w:sz w:val="22"/>
                <w:szCs w:val="22"/>
                <w:lang w:val="en-US"/>
              </w:rPr>
            </w:pPr>
            <w:r w:rsidRPr="00F247C8">
              <w:rPr>
                <w:rFonts w:ascii="Arial" w:hAnsi="Arial" w:cs="Arial"/>
                <w:sz w:val="22"/>
                <w:szCs w:val="22"/>
                <w:lang w:val="en-US"/>
              </w:rPr>
              <w:t>2.0%</w:t>
            </w:r>
          </w:p>
        </w:tc>
      </w:tr>
      <w:tr w:rsidR="00BA51FB" w:rsidRPr="00BA51FB" w14:paraId="4B07851B" w14:textId="77777777" w:rsidTr="00BA51FB">
        <w:trPr>
          <w:trHeight w:val="289"/>
        </w:trPr>
        <w:tc>
          <w:tcPr>
            <w:tcW w:w="1341" w:type="pct"/>
            <w:tcBorders>
              <w:top w:val="nil"/>
              <w:left w:val="single" w:sz="4" w:space="0" w:color="auto"/>
              <w:bottom w:val="single" w:sz="4" w:space="0" w:color="auto"/>
              <w:right w:val="single" w:sz="4" w:space="0" w:color="auto"/>
            </w:tcBorders>
            <w:shd w:val="clear" w:color="auto" w:fill="auto"/>
            <w:noWrap/>
            <w:vAlign w:val="bottom"/>
            <w:hideMark/>
          </w:tcPr>
          <w:p w14:paraId="707F9046" w14:textId="77777777" w:rsidR="00BA51FB" w:rsidRPr="00F247C8" w:rsidRDefault="00BA51FB" w:rsidP="00BA51FB">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Total </w:t>
            </w:r>
          </w:p>
        </w:tc>
        <w:tc>
          <w:tcPr>
            <w:tcW w:w="1428" w:type="pct"/>
            <w:tcBorders>
              <w:top w:val="nil"/>
              <w:left w:val="nil"/>
              <w:bottom w:val="single" w:sz="4" w:space="0" w:color="auto"/>
              <w:right w:val="single" w:sz="4" w:space="0" w:color="auto"/>
            </w:tcBorders>
            <w:shd w:val="clear" w:color="auto" w:fill="auto"/>
            <w:noWrap/>
            <w:vAlign w:val="bottom"/>
            <w:hideMark/>
          </w:tcPr>
          <w:p w14:paraId="68CEB13B" w14:textId="77777777" w:rsidR="00BA51FB" w:rsidRPr="00F247C8" w:rsidRDefault="00BA51FB" w:rsidP="00BA51FB">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494 </w:t>
            </w:r>
          </w:p>
        </w:tc>
        <w:tc>
          <w:tcPr>
            <w:tcW w:w="856" w:type="pct"/>
            <w:tcBorders>
              <w:top w:val="nil"/>
              <w:left w:val="nil"/>
              <w:bottom w:val="single" w:sz="4" w:space="0" w:color="auto"/>
              <w:right w:val="single" w:sz="4" w:space="0" w:color="auto"/>
            </w:tcBorders>
            <w:shd w:val="clear" w:color="auto" w:fill="auto"/>
            <w:noWrap/>
            <w:vAlign w:val="bottom"/>
            <w:hideMark/>
          </w:tcPr>
          <w:p w14:paraId="5C722289" w14:textId="77777777" w:rsidR="00BA51FB" w:rsidRPr="00F247C8" w:rsidRDefault="00BA51FB" w:rsidP="00BA51FB">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914,527 </w:t>
            </w:r>
          </w:p>
        </w:tc>
        <w:tc>
          <w:tcPr>
            <w:tcW w:w="827" w:type="pct"/>
            <w:tcBorders>
              <w:top w:val="nil"/>
              <w:left w:val="nil"/>
              <w:bottom w:val="single" w:sz="4" w:space="0" w:color="auto"/>
              <w:right w:val="single" w:sz="4" w:space="0" w:color="auto"/>
            </w:tcBorders>
            <w:shd w:val="clear" w:color="auto" w:fill="auto"/>
            <w:noWrap/>
            <w:vAlign w:val="bottom"/>
            <w:hideMark/>
          </w:tcPr>
          <w:p w14:paraId="21A3D683" w14:textId="77777777" w:rsidR="00BA51FB" w:rsidRPr="00F247C8" w:rsidRDefault="00BA51FB" w:rsidP="00BA51FB">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14,288 </w:t>
            </w:r>
          </w:p>
        </w:tc>
        <w:tc>
          <w:tcPr>
            <w:tcW w:w="548" w:type="pct"/>
            <w:tcBorders>
              <w:top w:val="nil"/>
              <w:left w:val="nil"/>
              <w:bottom w:val="single" w:sz="4" w:space="0" w:color="auto"/>
              <w:right w:val="single" w:sz="4" w:space="0" w:color="auto"/>
            </w:tcBorders>
            <w:shd w:val="clear" w:color="auto" w:fill="auto"/>
            <w:noWrap/>
            <w:vAlign w:val="bottom"/>
            <w:hideMark/>
          </w:tcPr>
          <w:p w14:paraId="256912EB" w14:textId="77777777" w:rsidR="00BA51FB" w:rsidRPr="00F247C8" w:rsidRDefault="00BA51FB" w:rsidP="00BA51FB">
            <w:pPr>
              <w:spacing w:after="0"/>
              <w:jc w:val="right"/>
              <w:outlineLvl w:val="0"/>
              <w:rPr>
                <w:rFonts w:ascii="Arial" w:hAnsi="Arial" w:cs="Arial"/>
                <w:b/>
                <w:bCs/>
                <w:sz w:val="22"/>
                <w:szCs w:val="22"/>
                <w:lang w:val="en-US"/>
              </w:rPr>
            </w:pPr>
            <w:r w:rsidRPr="00F247C8">
              <w:rPr>
                <w:rFonts w:ascii="Arial" w:hAnsi="Arial" w:cs="Arial"/>
                <w:b/>
                <w:bCs/>
                <w:sz w:val="22"/>
                <w:szCs w:val="22"/>
                <w:lang w:val="en-US"/>
              </w:rPr>
              <w:t>1.6%</w:t>
            </w:r>
          </w:p>
        </w:tc>
      </w:tr>
    </w:tbl>
    <w:p w14:paraId="14A05888" w14:textId="687AEE5B" w:rsidR="000E41D7" w:rsidRPr="00EC6498" w:rsidRDefault="000E41D7" w:rsidP="00FA5447">
      <w:pPr>
        <w:pStyle w:val="BodyText"/>
        <w:ind w:left="0"/>
        <w:rPr>
          <w:rFonts w:ascii="Arial" w:hAnsi="Arial" w:cs="Arial"/>
          <w:color w:val="FF0000"/>
        </w:rPr>
      </w:pPr>
    </w:p>
    <w:p w14:paraId="4F16FC1D" w14:textId="77777777" w:rsidR="00696D70" w:rsidRPr="00EC6498" w:rsidRDefault="00696D70" w:rsidP="00FA5447">
      <w:pPr>
        <w:pStyle w:val="BodyText"/>
        <w:ind w:left="0"/>
        <w:rPr>
          <w:rFonts w:ascii="Arial" w:hAnsi="Arial" w:cs="Arial"/>
          <w:color w:val="FF0000"/>
        </w:rPr>
      </w:pPr>
    </w:p>
    <w:p w14:paraId="3DCAA1EB" w14:textId="77777777" w:rsidR="00F247C8" w:rsidRDefault="00F247C8" w:rsidP="002D3462">
      <w:pPr>
        <w:pStyle w:val="BodyText"/>
        <w:ind w:left="0"/>
        <w:jc w:val="left"/>
        <w:rPr>
          <w:rFonts w:ascii="Arial" w:hAnsi="Arial" w:cs="Arial"/>
          <w:b/>
          <w:bCs/>
        </w:rPr>
      </w:pPr>
    </w:p>
    <w:p w14:paraId="6BDEF868" w14:textId="493628DE" w:rsidR="00004F4D" w:rsidRPr="00F8514D" w:rsidRDefault="00164720" w:rsidP="002D3462">
      <w:pPr>
        <w:pStyle w:val="BodyText"/>
        <w:ind w:left="0"/>
        <w:jc w:val="left"/>
        <w:rPr>
          <w:rFonts w:ascii="Arial" w:hAnsi="Arial" w:cs="Arial"/>
          <w:b/>
          <w:bCs/>
        </w:rPr>
      </w:pPr>
      <w:r w:rsidRPr="00F8514D">
        <w:rPr>
          <w:rFonts w:ascii="Arial" w:hAnsi="Arial" w:cs="Arial"/>
          <w:b/>
          <w:bCs/>
        </w:rPr>
        <w:lastRenderedPageBreak/>
        <w:t>Table showing the number and percentage of schools with different percentage gains in funding:</w:t>
      </w:r>
    </w:p>
    <w:tbl>
      <w:tblPr>
        <w:tblW w:w="5260" w:type="pct"/>
        <w:tblLook w:val="04A0" w:firstRow="1" w:lastRow="0" w:firstColumn="1" w:lastColumn="0" w:noHBand="0" w:noVBand="1"/>
      </w:tblPr>
      <w:tblGrid>
        <w:gridCol w:w="2442"/>
        <w:gridCol w:w="1439"/>
        <w:gridCol w:w="1048"/>
        <w:gridCol w:w="1562"/>
        <w:gridCol w:w="1048"/>
        <w:gridCol w:w="1317"/>
        <w:gridCol w:w="1048"/>
      </w:tblGrid>
      <w:tr w:rsidR="00BB0177" w:rsidRPr="00F247C8" w14:paraId="3FE9185A" w14:textId="77777777" w:rsidTr="00BB0177">
        <w:trPr>
          <w:trHeight w:val="747"/>
        </w:trPr>
        <w:tc>
          <w:tcPr>
            <w:tcW w:w="12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2AED1E"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Percentage gain in funding</w:t>
            </w:r>
          </w:p>
        </w:tc>
        <w:tc>
          <w:tcPr>
            <w:tcW w:w="729" w:type="pct"/>
            <w:tcBorders>
              <w:top w:val="single" w:sz="4" w:space="0" w:color="auto"/>
              <w:left w:val="nil"/>
              <w:bottom w:val="single" w:sz="4" w:space="0" w:color="auto"/>
              <w:right w:val="single" w:sz="4" w:space="0" w:color="auto"/>
            </w:tcBorders>
            <w:shd w:val="clear" w:color="auto" w:fill="auto"/>
            <w:vAlign w:val="bottom"/>
            <w:hideMark/>
          </w:tcPr>
          <w:p w14:paraId="20D73A84"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No. of schools</w:t>
            </w:r>
          </w:p>
        </w:tc>
        <w:tc>
          <w:tcPr>
            <w:tcW w:w="537" w:type="pct"/>
            <w:tcBorders>
              <w:top w:val="single" w:sz="4" w:space="0" w:color="auto"/>
              <w:left w:val="nil"/>
              <w:bottom w:val="single" w:sz="4" w:space="0" w:color="auto"/>
              <w:right w:val="single" w:sz="4" w:space="0" w:color="auto"/>
            </w:tcBorders>
            <w:shd w:val="clear" w:color="auto" w:fill="auto"/>
            <w:vAlign w:val="bottom"/>
            <w:hideMark/>
          </w:tcPr>
          <w:p w14:paraId="7BECB0A5"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w:t>
            </w:r>
            <w:bookmarkStart w:id="31" w:name="_Int_dCfKgIJt"/>
            <w:r w:rsidRPr="00F247C8">
              <w:rPr>
                <w:rFonts w:ascii="Arial" w:hAnsi="Arial" w:cs="Arial"/>
                <w:b/>
                <w:bCs/>
                <w:sz w:val="22"/>
                <w:szCs w:val="22"/>
                <w:lang w:val="en-US"/>
              </w:rPr>
              <w:t>of</w:t>
            </w:r>
            <w:bookmarkEnd w:id="31"/>
            <w:r w:rsidRPr="00F247C8">
              <w:rPr>
                <w:rFonts w:ascii="Arial" w:hAnsi="Arial" w:cs="Arial"/>
                <w:b/>
                <w:bCs/>
                <w:sz w:val="22"/>
                <w:szCs w:val="22"/>
                <w:lang w:val="en-US"/>
              </w:rPr>
              <w:t xml:space="preserve"> schools</w:t>
            </w:r>
          </w:p>
        </w:tc>
        <w:tc>
          <w:tcPr>
            <w:tcW w:w="789" w:type="pct"/>
            <w:tcBorders>
              <w:top w:val="single" w:sz="4" w:space="0" w:color="auto"/>
              <w:left w:val="nil"/>
              <w:bottom w:val="single" w:sz="4" w:space="0" w:color="auto"/>
              <w:right w:val="single" w:sz="4" w:space="0" w:color="auto"/>
            </w:tcBorders>
            <w:shd w:val="clear" w:color="auto" w:fill="auto"/>
            <w:vAlign w:val="bottom"/>
            <w:hideMark/>
          </w:tcPr>
          <w:p w14:paraId="4241A0DA"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No. of primary schools</w:t>
            </w:r>
          </w:p>
        </w:tc>
        <w:tc>
          <w:tcPr>
            <w:tcW w:w="537" w:type="pct"/>
            <w:tcBorders>
              <w:top w:val="single" w:sz="4" w:space="0" w:color="auto"/>
              <w:left w:val="nil"/>
              <w:bottom w:val="single" w:sz="4" w:space="0" w:color="auto"/>
              <w:right w:val="single" w:sz="4" w:space="0" w:color="auto"/>
            </w:tcBorders>
            <w:shd w:val="clear" w:color="auto" w:fill="auto"/>
            <w:vAlign w:val="bottom"/>
            <w:hideMark/>
          </w:tcPr>
          <w:p w14:paraId="6AC4AF39"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w:t>
            </w:r>
            <w:bookmarkStart w:id="32" w:name="_Int_zfE6kDeJ"/>
            <w:r w:rsidRPr="00F247C8">
              <w:rPr>
                <w:rFonts w:ascii="Arial" w:hAnsi="Arial" w:cs="Arial"/>
                <w:b/>
                <w:bCs/>
                <w:sz w:val="22"/>
                <w:szCs w:val="22"/>
                <w:lang w:val="en-US"/>
              </w:rPr>
              <w:t>of</w:t>
            </w:r>
            <w:bookmarkEnd w:id="32"/>
            <w:r w:rsidRPr="00F247C8">
              <w:rPr>
                <w:rFonts w:ascii="Arial" w:hAnsi="Arial" w:cs="Arial"/>
                <w:b/>
                <w:bCs/>
                <w:sz w:val="22"/>
                <w:szCs w:val="22"/>
                <w:lang w:val="en-US"/>
              </w:rPr>
              <w:t xml:space="preserve"> schools</w:t>
            </w:r>
          </w:p>
        </w:tc>
        <w:tc>
          <w:tcPr>
            <w:tcW w:w="670" w:type="pct"/>
            <w:tcBorders>
              <w:top w:val="single" w:sz="4" w:space="0" w:color="auto"/>
              <w:left w:val="nil"/>
              <w:bottom w:val="single" w:sz="4" w:space="0" w:color="auto"/>
              <w:right w:val="single" w:sz="4" w:space="0" w:color="auto"/>
            </w:tcBorders>
            <w:shd w:val="clear" w:color="auto" w:fill="auto"/>
            <w:vAlign w:val="bottom"/>
            <w:hideMark/>
          </w:tcPr>
          <w:p w14:paraId="16830A5B"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No. of secondary schools</w:t>
            </w:r>
          </w:p>
        </w:tc>
        <w:tc>
          <w:tcPr>
            <w:tcW w:w="537" w:type="pct"/>
            <w:tcBorders>
              <w:top w:val="single" w:sz="4" w:space="0" w:color="auto"/>
              <w:left w:val="nil"/>
              <w:bottom w:val="single" w:sz="4" w:space="0" w:color="auto"/>
              <w:right w:val="single" w:sz="4" w:space="0" w:color="auto"/>
            </w:tcBorders>
            <w:shd w:val="clear" w:color="auto" w:fill="auto"/>
            <w:vAlign w:val="bottom"/>
            <w:hideMark/>
          </w:tcPr>
          <w:p w14:paraId="3C310712"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w:t>
            </w:r>
            <w:bookmarkStart w:id="33" w:name="_Int_FpFEL7SO"/>
            <w:r w:rsidRPr="00F247C8">
              <w:rPr>
                <w:rFonts w:ascii="Arial" w:hAnsi="Arial" w:cs="Arial"/>
                <w:b/>
                <w:bCs/>
                <w:sz w:val="22"/>
                <w:szCs w:val="22"/>
                <w:lang w:val="en-US"/>
              </w:rPr>
              <w:t>of</w:t>
            </w:r>
            <w:bookmarkEnd w:id="33"/>
            <w:r w:rsidRPr="00F247C8">
              <w:rPr>
                <w:rFonts w:ascii="Arial" w:hAnsi="Arial" w:cs="Arial"/>
                <w:b/>
                <w:bCs/>
                <w:sz w:val="22"/>
                <w:szCs w:val="22"/>
                <w:lang w:val="en-US"/>
              </w:rPr>
              <w:t xml:space="preserve"> schools</w:t>
            </w:r>
          </w:p>
        </w:tc>
      </w:tr>
      <w:tr w:rsidR="00BB0177" w:rsidRPr="00F247C8" w14:paraId="7899819C"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6C58143A" w14:textId="77777777" w:rsidR="00BB0177" w:rsidRPr="00F247C8" w:rsidRDefault="00BB0177" w:rsidP="00BB0177">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Between 0% and 0.5%</w:t>
            </w:r>
          </w:p>
        </w:tc>
        <w:tc>
          <w:tcPr>
            <w:tcW w:w="729" w:type="pct"/>
            <w:tcBorders>
              <w:top w:val="nil"/>
              <w:left w:val="nil"/>
              <w:bottom w:val="single" w:sz="4" w:space="0" w:color="auto"/>
              <w:right w:val="single" w:sz="4" w:space="0" w:color="auto"/>
            </w:tcBorders>
            <w:shd w:val="clear" w:color="auto" w:fill="auto"/>
            <w:noWrap/>
            <w:vAlign w:val="bottom"/>
            <w:hideMark/>
          </w:tcPr>
          <w:p w14:paraId="0A0CE59E"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142 </w:t>
            </w:r>
          </w:p>
        </w:tc>
        <w:tc>
          <w:tcPr>
            <w:tcW w:w="537" w:type="pct"/>
            <w:tcBorders>
              <w:top w:val="nil"/>
              <w:left w:val="nil"/>
              <w:bottom w:val="single" w:sz="4" w:space="0" w:color="auto"/>
              <w:right w:val="single" w:sz="4" w:space="0" w:color="auto"/>
            </w:tcBorders>
            <w:shd w:val="clear" w:color="auto" w:fill="auto"/>
            <w:noWrap/>
            <w:vAlign w:val="bottom"/>
            <w:hideMark/>
          </w:tcPr>
          <w:p w14:paraId="2BD18B48"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29%</w:t>
            </w:r>
          </w:p>
        </w:tc>
        <w:tc>
          <w:tcPr>
            <w:tcW w:w="789" w:type="pct"/>
            <w:tcBorders>
              <w:top w:val="nil"/>
              <w:left w:val="nil"/>
              <w:bottom w:val="single" w:sz="4" w:space="0" w:color="auto"/>
              <w:right w:val="single" w:sz="4" w:space="0" w:color="auto"/>
            </w:tcBorders>
            <w:shd w:val="clear" w:color="auto" w:fill="auto"/>
            <w:noWrap/>
            <w:vAlign w:val="bottom"/>
            <w:hideMark/>
          </w:tcPr>
          <w:p w14:paraId="20D91B6E"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130 </w:t>
            </w:r>
          </w:p>
        </w:tc>
        <w:tc>
          <w:tcPr>
            <w:tcW w:w="537" w:type="pct"/>
            <w:tcBorders>
              <w:top w:val="nil"/>
              <w:left w:val="nil"/>
              <w:bottom w:val="single" w:sz="4" w:space="0" w:color="auto"/>
              <w:right w:val="single" w:sz="4" w:space="0" w:color="auto"/>
            </w:tcBorders>
            <w:shd w:val="clear" w:color="auto" w:fill="auto"/>
            <w:noWrap/>
            <w:vAlign w:val="bottom"/>
            <w:hideMark/>
          </w:tcPr>
          <w:p w14:paraId="43FE0F5F"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31%</w:t>
            </w:r>
          </w:p>
        </w:tc>
        <w:tc>
          <w:tcPr>
            <w:tcW w:w="670" w:type="pct"/>
            <w:tcBorders>
              <w:top w:val="nil"/>
              <w:left w:val="nil"/>
              <w:bottom w:val="single" w:sz="4" w:space="0" w:color="auto"/>
              <w:right w:val="single" w:sz="4" w:space="0" w:color="auto"/>
            </w:tcBorders>
            <w:shd w:val="clear" w:color="auto" w:fill="auto"/>
            <w:noWrap/>
            <w:vAlign w:val="bottom"/>
            <w:hideMark/>
          </w:tcPr>
          <w:p w14:paraId="04A08323"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12 </w:t>
            </w:r>
          </w:p>
        </w:tc>
        <w:tc>
          <w:tcPr>
            <w:tcW w:w="537" w:type="pct"/>
            <w:tcBorders>
              <w:top w:val="nil"/>
              <w:left w:val="nil"/>
              <w:bottom w:val="single" w:sz="4" w:space="0" w:color="auto"/>
              <w:right w:val="single" w:sz="4" w:space="0" w:color="auto"/>
            </w:tcBorders>
            <w:shd w:val="clear" w:color="auto" w:fill="auto"/>
            <w:noWrap/>
            <w:vAlign w:val="bottom"/>
            <w:hideMark/>
          </w:tcPr>
          <w:p w14:paraId="1CD37E1B"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17%</w:t>
            </w:r>
          </w:p>
        </w:tc>
      </w:tr>
      <w:tr w:rsidR="00BB0177" w:rsidRPr="00F247C8" w14:paraId="4DBAF365"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340E3988" w14:textId="77777777" w:rsidR="00BB0177" w:rsidRPr="00F247C8" w:rsidRDefault="00BB0177" w:rsidP="00BB0177">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Between 0.5% and 1%</w:t>
            </w:r>
          </w:p>
        </w:tc>
        <w:tc>
          <w:tcPr>
            <w:tcW w:w="729" w:type="pct"/>
            <w:tcBorders>
              <w:top w:val="nil"/>
              <w:left w:val="nil"/>
              <w:bottom w:val="single" w:sz="4" w:space="0" w:color="auto"/>
              <w:right w:val="single" w:sz="4" w:space="0" w:color="auto"/>
            </w:tcBorders>
            <w:shd w:val="clear" w:color="auto" w:fill="auto"/>
            <w:noWrap/>
            <w:vAlign w:val="bottom"/>
            <w:hideMark/>
          </w:tcPr>
          <w:p w14:paraId="20C1D3A0"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69 </w:t>
            </w:r>
          </w:p>
        </w:tc>
        <w:tc>
          <w:tcPr>
            <w:tcW w:w="537" w:type="pct"/>
            <w:tcBorders>
              <w:top w:val="nil"/>
              <w:left w:val="nil"/>
              <w:bottom w:val="single" w:sz="4" w:space="0" w:color="auto"/>
              <w:right w:val="single" w:sz="4" w:space="0" w:color="auto"/>
            </w:tcBorders>
            <w:shd w:val="clear" w:color="auto" w:fill="auto"/>
            <w:noWrap/>
            <w:vAlign w:val="bottom"/>
            <w:hideMark/>
          </w:tcPr>
          <w:p w14:paraId="46E063F6"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14%</w:t>
            </w:r>
          </w:p>
        </w:tc>
        <w:tc>
          <w:tcPr>
            <w:tcW w:w="789" w:type="pct"/>
            <w:tcBorders>
              <w:top w:val="nil"/>
              <w:left w:val="nil"/>
              <w:bottom w:val="single" w:sz="4" w:space="0" w:color="auto"/>
              <w:right w:val="single" w:sz="4" w:space="0" w:color="auto"/>
            </w:tcBorders>
            <w:shd w:val="clear" w:color="auto" w:fill="auto"/>
            <w:noWrap/>
            <w:vAlign w:val="bottom"/>
            <w:hideMark/>
          </w:tcPr>
          <w:p w14:paraId="2967AF1B"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62 </w:t>
            </w:r>
          </w:p>
        </w:tc>
        <w:tc>
          <w:tcPr>
            <w:tcW w:w="537" w:type="pct"/>
            <w:tcBorders>
              <w:top w:val="nil"/>
              <w:left w:val="nil"/>
              <w:bottom w:val="single" w:sz="4" w:space="0" w:color="auto"/>
              <w:right w:val="single" w:sz="4" w:space="0" w:color="auto"/>
            </w:tcBorders>
            <w:shd w:val="clear" w:color="auto" w:fill="auto"/>
            <w:noWrap/>
            <w:vAlign w:val="bottom"/>
            <w:hideMark/>
          </w:tcPr>
          <w:p w14:paraId="09B57761"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15%</w:t>
            </w:r>
          </w:p>
        </w:tc>
        <w:tc>
          <w:tcPr>
            <w:tcW w:w="670" w:type="pct"/>
            <w:tcBorders>
              <w:top w:val="nil"/>
              <w:left w:val="nil"/>
              <w:bottom w:val="single" w:sz="4" w:space="0" w:color="auto"/>
              <w:right w:val="single" w:sz="4" w:space="0" w:color="auto"/>
            </w:tcBorders>
            <w:shd w:val="clear" w:color="auto" w:fill="auto"/>
            <w:noWrap/>
            <w:vAlign w:val="bottom"/>
            <w:hideMark/>
          </w:tcPr>
          <w:p w14:paraId="11B16C2E"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7 </w:t>
            </w:r>
          </w:p>
        </w:tc>
        <w:tc>
          <w:tcPr>
            <w:tcW w:w="537" w:type="pct"/>
            <w:tcBorders>
              <w:top w:val="nil"/>
              <w:left w:val="nil"/>
              <w:bottom w:val="single" w:sz="4" w:space="0" w:color="auto"/>
              <w:right w:val="single" w:sz="4" w:space="0" w:color="auto"/>
            </w:tcBorders>
            <w:shd w:val="clear" w:color="auto" w:fill="auto"/>
            <w:noWrap/>
            <w:vAlign w:val="bottom"/>
            <w:hideMark/>
          </w:tcPr>
          <w:p w14:paraId="5E8FCD11"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10%</w:t>
            </w:r>
          </w:p>
        </w:tc>
      </w:tr>
      <w:tr w:rsidR="00BB0177" w:rsidRPr="00F247C8" w14:paraId="63D48EF3"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18184AF3" w14:textId="77777777" w:rsidR="00BB0177" w:rsidRPr="00F247C8" w:rsidRDefault="00BB0177" w:rsidP="00BB0177">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Between 1% and 1.5%</w:t>
            </w:r>
          </w:p>
        </w:tc>
        <w:tc>
          <w:tcPr>
            <w:tcW w:w="729" w:type="pct"/>
            <w:tcBorders>
              <w:top w:val="nil"/>
              <w:left w:val="nil"/>
              <w:bottom w:val="single" w:sz="4" w:space="0" w:color="auto"/>
              <w:right w:val="single" w:sz="4" w:space="0" w:color="auto"/>
            </w:tcBorders>
            <w:shd w:val="clear" w:color="auto" w:fill="auto"/>
            <w:noWrap/>
            <w:vAlign w:val="bottom"/>
            <w:hideMark/>
          </w:tcPr>
          <w:p w14:paraId="77001D46"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21 </w:t>
            </w:r>
          </w:p>
        </w:tc>
        <w:tc>
          <w:tcPr>
            <w:tcW w:w="537" w:type="pct"/>
            <w:tcBorders>
              <w:top w:val="nil"/>
              <w:left w:val="nil"/>
              <w:bottom w:val="single" w:sz="4" w:space="0" w:color="auto"/>
              <w:right w:val="single" w:sz="4" w:space="0" w:color="auto"/>
            </w:tcBorders>
            <w:shd w:val="clear" w:color="auto" w:fill="auto"/>
            <w:noWrap/>
            <w:vAlign w:val="bottom"/>
            <w:hideMark/>
          </w:tcPr>
          <w:p w14:paraId="5A6FEDD4"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4%</w:t>
            </w:r>
          </w:p>
        </w:tc>
        <w:tc>
          <w:tcPr>
            <w:tcW w:w="789" w:type="pct"/>
            <w:tcBorders>
              <w:top w:val="nil"/>
              <w:left w:val="nil"/>
              <w:bottom w:val="single" w:sz="4" w:space="0" w:color="auto"/>
              <w:right w:val="single" w:sz="4" w:space="0" w:color="auto"/>
            </w:tcBorders>
            <w:shd w:val="clear" w:color="auto" w:fill="auto"/>
            <w:noWrap/>
            <w:vAlign w:val="bottom"/>
            <w:hideMark/>
          </w:tcPr>
          <w:p w14:paraId="1303D155"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16 </w:t>
            </w:r>
          </w:p>
        </w:tc>
        <w:tc>
          <w:tcPr>
            <w:tcW w:w="537" w:type="pct"/>
            <w:tcBorders>
              <w:top w:val="nil"/>
              <w:left w:val="nil"/>
              <w:bottom w:val="single" w:sz="4" w:space="0" w:color="auto"/>
              <w:right w:val="single" w:sz="4" w:space="0" w:color="auto"/>
            </w:tcBorders>
            <w:shd w:val="clear" w:color="auto" w:fill="auto"/>
            <w:noWrap/>
            <w:vAlign w:val="bottom"/>
            <w:hideMark/>
          </w:tcPr>
          <w:p w14:paraId="14827243"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4%</w:t>
            </w:r>
          </w:p>
        </w:tc>
        <w:tc>
          <w:tcPr>
            <w:tcW w:w="670" w:type="pct"/>
            <w:tcBorders>
              <w:top w:val="nil"/>
              <w:left w:val="nil"/>
              <w:bottom w:val="single" w:sz="4" w:space="0" w:color="auto"/>
              <w:right w:val="single" w:sz="4" w:space="0" w:color="auto"/>
            </w:tcBorders>
            <w:shd w:val="clear" w:color="auto" w:fill="auto"/>
            <w:noWrap/>
            <w:vAlign w:val="bottom"/>
            <w:hideMark/>
          </w:tcPr>
          <w:p w14:paraId="6B6639A5"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5 </w:t>
            </w:r>
          </w:p>
        </w:tc>
        <w:tc>
          <w:tcPr>
            <w:tcW w:w="537" w:type="pct"/>
            <w:tcBorders>
              <w:top w:val="nil"/>
              <w:left w:val="nil"/>
              <w:bottom w:val="single" w:sz="4" w:space="0" w:color="auto"/>
              <w:right w:val="single" w:sz="4" w:space="0" w:color="auto"/>
            </w:tcBorders>
            <w:shd w:val="clear" w:color="auto" w:fill="auto"/>
            <w:noWrap/>
            <w:vAlign w:val="bottom"/>
            <w:hideMark/>
          </w:tcPr>
          <w:p w14:paraId="4BBE6FD1"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7%</w:t>
            </w:r>
          </w:p>
        </w:tc>
      </w:tr>
      <w:tr w:rsidR="00BB0177" w:rsidRPr="00F247C8" w14:paraId="26900501"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6C7CDAF0" w14:textId="77777777" w:rsidR="00BB0177" w:rsidRPr="00F247C8" w:rsidRDefault="00BB0177" w:rsidP="00BB0177">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Between 1.5% and 2%</w:t>
            </w:r>
          </w:p>
        </w:tc>
        <w:tc>
          <w:tcPr>
            <w:tcW w:w="729" w:type="pct"/>
            <w:tcBorders>
              <w:top w:val="nil"/>
              <w:left w:val="nil"/>
              <w:bottom w:val="single" w:sz="4" w:space="0" w:color="auto"/>
              <w:right w:val="single" w:sz="4" w:space="0" w:color="auto"/>
            </w:tcBorders>
            <w:shd w:val="clear" w:color="auto" w:fill="auto"/>
            <w:noWrap/>
            <w:vAlign w:val="bottom"/>
            <w:hideMark/>
          </w:tcPr>
          <w:p w14:paraId="0CE82127"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16 </w:t>
            </w:r>
          </w:p>
        </w:tc>
        <w:tc>
          <w:tcPr>
            <w:tcW w:w="537" w:type="pct"/>
            <w:tcBorders>
              <w:top w:val="nil"/>
              <w:left w:val="nil"/>
              <w:bottom w:val="single" w:sz="4" w:space="0" w:color="auto"/>
              <w:right w:val="single" w:sz="4" w:space="0" w:color="auto"/>
            </w:tcBorders>
            <w:shd w:val="clear" w:color="auto" w:fill="auto"/>
            <w:noWrap/>
            <w:vAlign w:val="bottom"/>
            <w:hideMark/>
          </w:tcPr>
          <w:p w14:paraId="404C814D"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3%</w:t>
            </w:r>
          </w:p>
        </w:tc>
        <w:tc>
          <w:tcPr>
            <w:tcW w:w="789" w:type="pct"/>
            <w:tcBorders>
              <w:top w:val="nil"/>
              <w:left w:val="nil"/>
              <w:bottom w:val="single" w:sz="4" w:space="0" w:color="auto"/>
              <w:right w:val="single" w:sz="4" w:space="0" w:color="auto"/>
            </w:tcBorders>
            <w:shd w:val="clear" w:color="auto" w:fill="auto"/>
            <w:noWrap/>
            <w:vAlign w:val="bottom"/>
            <w:hideMark/>
          </w:tcPr>
          <w:p w14:paraId="52094049"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13 </w:t>
            </w:r>
          </w:p>
        </w:tc>
        <w:tc>
          <w:tcPr>
            <w:tcW w:w="537" w:type="pct"/>
            <w:tcBorders>
              <w:top w:val="nil"/>
              <w:left w:val="nil"/>
              <w:bottom w:val="single" w:sz="4" w:space="0" w:color="auto"/>
              <w:right w:val="single" w:sz="4" w:space="0" w:color="auto"/>
            </w:tcBorders>
            <w:shd w:val="clear" w:color="auto" w:fill="auto"/>
            <w:noWrap/>
            <w:vAlign w:val="bottom"/>
            <w:hideMark/>
          </w:tcPr>
          <w:p w14:paraId="47F41E24"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3%</w:t>
            </w:r>
          </w:p>
        </w:tc>
        <w:tc>
          <w:tcPr>
            <w:tcW w:w="670" w:type="pct"/>
            <w:tcBorders>
              <w:top w:val="nil"/>
              <w:left w:val="nil"/>
              <w:bottom w:val="single" w:sz="4" w:space="0" w:color="auto"/>
              <w:right w:val="single" w:sz="4" w:space="0" w:color="auto"/>
            </w:tcBorders>
            <w:shd w:val="clear" w:color="auto" w:fill="auto"/>
            <w:noWrap/>
            <w:vAlign w:val="bottom"/>
            <w:hideMark/>
          </w:tcPr>
          <w:p w14:paraId="7B351AF3"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3 </w:t>
            </w:r>
          </w:p>
        </w:tc>
        <w:tc>
          <w:tcPr>
            <w:tcW w:w="537" w:type="pct"/>
            <w:tcBorders>
              <w:top w:val="nil"/>
              <w:left w:val="nil"/>
              <w:bottom w:val="single" w:sz="4" w:space="0" w:color="auto"/>
              <w:right w:val="single" w:sz="4" w:space="0" w:color="auto"/>
            </w:tcBorders>
            <w:shd w:val="clear" w:color="auto" w:fill="auto"/>
            <w:noWrap/>
            <w:vAlign w:val="bottom"/>
            <w:hideMark/>
          </w:tcPr>
          <w:p w14:paraId="3F57CE3E"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4%</w:t>
            </w:r>
          </w:p>
        </w:tc>
      </w:tr>
      <w:tr w:rsidR="00BB0177" w:rsidRPr="00F247C8" w14:paraId="43186B1C"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7E1CC117" w14:textId="77777777" w:rsidR="00BB0177" w:rsidRPr="00F247C8" w:rsidRDefault="00BB0177" w:rsidP="00BB0177">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Between 2% and 3%</w:t>
            </w:r>
          </w:p>
        </w:tc>
        <w:tc>
          <w:tcPr>
            <w:tcW w:w="729" w:type="pct"/>
            <w:tcBorders>
              <w:top w:val="nil"/>
              <w:left w:val="nil"/>
              <w:bottom w:val="single" w:sz="4" w:space="0" w:color="auto"/>
              <w:right w:val="single" w:sz="4" w:space="0" w:color="auto"/>
            </w:tcBorders>
            <w:shd w:val="clear" w:color="auto" w:fill="auto"/>
            <w:noWrap/>
            <w:vAlign w:val="bottom"/>
            <w:hideMark/>
          </w:tcPr>
          <w:p w14:paraId="3028855E"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245 </w:t>
            </w:r>
          </w:p>
        </w:tc>
        <w:tc>
          <w:tcPr>
            <w:tcW w:w="537" w:type="pct"/>
            <w:tcBorders>
              <w:top w:val="nil"/>
              <w:left w:val="nil"/>
              <w:bottom w:val="single" w:sz="4" w:space="0" w:color="auto"/>
              <w:right w:val="single" w:sz="4" w:space="0" w:color="auto"/>
            </w:tcBorders>
            <w:shd w:val="clear" w:color="auto" w:fill="auto"/>
            <w:noWrap/>
            <w:vAlign w:val="bottom"/>
            <w:hideMark/>
          </w:tcPr>
          <w:p w14:paraId="1D914449"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50%</w:t>
            </w:r>
          </w:p>
        </w:tc>
        <w:tc>
          <w:tcPr>
            <w:tcW w:w="789" w:type="pct"/>
            <w:tcBorders>
              <w:top w:val="nil"/>
              <w:left w:val="nil"/>
              <w:bottom w:val="single" w:sz="4" w:space="0" w:color="auto"/>
              <w:right w:val="single" w:sz="4" w:space="0" w:color="auto"/>
            </w:tcBorders>
            <w:shd w:val="clear" w:color="auto" w:fill="auto"/>
            <w:noWrap/>
            <w:vAlign w:val="bottom"/>
            <w:hideMark/>
          </w:tcPr>
          <w:p w14:paraId="68F575E4"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204 </w:t>
            </w:r>
          </w:p>
        </w:tc>
        <w:tc>
          <w:tcPr>
            <w:tcW w:w="537" w:type="pct"/>
            <w:tcBorders>
              <w:top w:val="nil"/>
              <w:left w:val="nil"/>
              <w:bottom w:val="single" w:sz="4" w:space="0" w:color="auto"/>
              <w:right w:val="single" w:sz="4" w:space="0" w:color="auto"/>
            </w:tcBorders>
            <w:shd w:val="clear" w:color="auto" w:fill="auto"/>
            <w:noWrap/>
            <w:vAlign w:val="bottom"/>
            <w:hideMark/>
          </w:tcPr>
          <w:p w14:paraId="2BB88FB6"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48%</w:t>
            </w:r>
          </w:p>
        </w:tc>
        <w:tc>
          <w:tcPr>
            <w:tcW w:w="670" w:type="pct"/>
            <w:tcBorders>
              <w:top w:val="nil"/>
              <w:left w:val="nil"/>
              <w:bottom w:val="single" w:sz="4" w:space="0" w:color="auto"/>
              <w:right w:val="single" w:sz="4" w:space="0" w:color="auto"/>
            </w:tcBorders>
            <w:shd w:val="clear" w:color="auto" w:fill="auto"/>
            <w:noWrap/>
            <w:vAlign w:val="bottom"/>
            <w:hideMark/>
          </w:tcPr>
          <w:p w14:paraId="626DF176"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41 </w:t>
            </w:r>
          </w:p>
        </w:tc>
        <w:tc>
          <w:tcPr>
            <w:tcW w:w="537" w:type="pct"/>
            <w:tcBorders>
              <w:top w:val="nil"/>
              <w:left w:val="nil"/>
              <w:bottom w:val="single" w:sz="4" w:space="0" w:color="auto"/>
              <w:right w:val="single" w:sz="4" w:space="0" w:color="auto"/>
            </w:tcBorders>
            <w:shd w:val="clear" w:color="auto" w:fill="auto"/>
            <w:noWrap/>
            <w:vAlign w:val="bottom"/>
            <w:hideMark/>
          </w:tcPr>
          <w:p w14:paraId="2ED52C7C"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59%</w:t>
            </w:r>
          </w:p>
        </w:tc>
      </w:tr>
      <w:tr w:rsidR="00BB0177" w:rsidRPr="00F247C8" w14:paraId="5E66A1A9"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1AD1F7C0" w14:textId="77777777" w:rsidR="00BB0177" w:rsidRPr="00F247C8" w:rsidRDefault="00BB0177" w:rsidP="00BB0177">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Between 3% and 4%</w:t>
            </w:r>
          </w:p>
        </w:tc>
        <w:tc>
          <w:tcPr>
            <w:tcW w:w="729" w:type="pct"/>
            <w:tcBorders>
              <w:top w:val="nil"/>
              <w:left w:val="nil"/>
              <w:bottom w:val="single" w:sz="4" w:space="0" w:color="auto"/>
              <w:right w:val="single" w:sz="4" w:space="0" w:color="auto"/>
            </w:tcBorders>
            <w:shd w:val="clear" w:color="auto" w:fill="auto"/>
            <w:noWrap/>
            <w:vAlign w:val="bottom"/>
            <w:hideMark/>
          </w:tcPr>
          <w:p w14:paraId="041A4DC8"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   </w:t>
            </w:r>
          </w:p>
        </w:tc>
        <w:tc>
          <w:tcPr>
            <w:tcW w:w="537" w:type="pct"/>
            <w:tcBorders>
              <w:top w:val="nil"/>
              <w:left w:val="nil"/>
              <w:bottom w:val="single" w:sz="4" w:space="0" w:color="auto"/>
              <w:right w:val="single" w:sz="4" w:space="0" w:color="auto"/>
            </w:tcBorders>
            <w:shd w:val="clear" w:color="auto" w:fill="auto"/>
            <w:noWrap/>
            <w:vAlign w:val="bottom"/>
            <w:hideMark/>
          </w:tcPr>
          <w:p w14:paraId="00269AA5"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0%</w:t>
            </w:r>
          </w:p>
        </w:tc>
        <w:tc>
          <w:tcPr>
            <w:tcW w:w="789" w:type="pct"/>
            <w:tcBorders>
              <w:top w:val="nil"/>
              <w:left w:val="nil"/>
              <w:bottom w:val="single" w:sz="4" w:space="0" w:color="auto"/>
              <w:right w:val="single" w:sz="4" w:space="0" w:color="auto"/>
            </w:tcBorders>
            <w:shd w:val="clear" w:color="auto" w:fill="auto"/>
            <w:noWrap/>
            <w:vAlign w:val="bottom"/>
            <w:hideMark/>
          </w:tcPr>
          <w:p w14:paraId="64076D21"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   </w:t>
            </w:r>
          </w:p>
        </w:tc>
        <w:tc>
          <w:tcPr>
            <w:tcW w:w="537" w:type="pct"/>
            <w:tcBorders>
              <w:top w:val="nil"/>
              <w:left w:val="nil"/>
              <w:bottom w:val="single" w:sz="4" w:space="0" w:color="auto"/>
              <w:right w:val="single" w:sz="4" w:space="0" w:color="auto"/>
            </w:tcBorders>
            <w:shd w:val="clear" w:color="auto" w:fill="auto"/>
            <w:noWrap/>
            <w:vAlign w:val="bottom"/>
            <w:hideMark/>
          </w:tcPr>
          <w:p w14:paraId="0BF265E2"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0%</w:t>
            </w:r>
          </w:p>
        </w:tc>
        <w:tc>
          <w:tcPr>
            <w:tcW w:w="670" w:type="pct"/>
            <w:tcBorders>
              <w:top w:val="nil"/>
              <w:left w:val="nil"/>
              <w:bottom w:val="single" w:sz="4" w:space="0" w:color="auto"/>
              <w:right w:val="single" w:sz="4" w:space="0" w:color="auto"/>
            </w:tcBorders>
            <w:shd w:val="clear" w:color="auto" w:fill="auto"/>
            <w:noWrap/>
            <w:vAlign w:val="bottom"/>
            <w:hideMark/>
          </w:tcPr>
          <w:p w14:paraId="6D3B3743"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   </w:t>
            </w:r>
          </w:p>
        </w:tc>
        <w:tc>
          <w:tcPr>
            <w:tcW w:w="537" w:type="pct"/>
            <w:tcBorders>
              <w:top w:val="nil"/>
              <w:left w:val="nil"/>
              <w:bottom w:val="single" w:sz="4" w:space="0" w:color="auto"/>
              <w:right w:val="single" w:sz="4" w:space="0" w:color="auto"/>
            </w:tcBorders>
            <w:shd w:val="clear" w:color="auto" w:fill="auto"/>
            <w:noWrap/>
            <w:vAlign w:val="bottom"/>
            <w:hideMark/>
          </w:tcPr>
          <w:p w14:paraId="13C3ECF8"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0%</w:t>
            </w:r>
          </w:p>
        </w:tc>
      </w:tr>
      <w:tr w:rsidR="00BB0177" w:rsidRPr="00F247C8" w14:paraId="13A44F32"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2254B9BF" w14:textId="77777777" w:rsidR="00BB0177" w:rsidRPr="00F247C8" w:rsidRDefault="00BB0177" w:rsidP="00BB0177">
            <w:pPr>
              <w:spacing w:after="0"/>
              <w:jc w:val="left"/>
              <w:outlineLvl w:val="0"/>
              <w:rPr>
                <w:rFonts w:ascii="Arial" w:hAnsi="Arial" w:cs="Arial"/>
                <w:color w:val="000000"/>
                <w:sz w:val="22"/>
                <w:szCs w:val="22"/>
                <w:lang w:val="en-US"/>
              </w:rPr>
            </w:pPr>
            <w:r w:rsidRPr="00F247C8">
              <w:rPr>
                <w:rFonts w:ascii="Arial" w:hAnsi="Arial" w:cs="Arial"/>
                <w:color w:val="000000"/>
                <w:sz w:val="22"/>
                <w:szCs w:val="22"/>
                <w:lang w:val="en-US"/>
              </w:rPr>
              <w:t>Between 4% and 5%</w:t>
            </w:r>
          </w:p>
        </w:tc>
        <w:tc>
          <w:tcPr>
            <w:tcW w:w="729" w:type="pct"/>
            <w:tcBorders>
              <w:top w:val="nil"/>
              <w:left w:val="nil"/>
              <w:bottom w:val="single" w:sz="4" w:space="0" w:color="auto"/>
              <w:right w:val="single" w:sz="4" w:space="0" w:color="auto"/>
            </w:tcBorders>
            <w:shd w:val="clear" w:color="auto" w:fill="auto"/>
            <w:noWrap/>
            <w:vAlign w:val="bottom"/>
            <w:hideMark/>
          </w:tcPr>
          <w:p w14:paraId="276696B3"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 </w:t>
            </w:r>
          </w:p>
        </w:tc>
        <w:tc>
          <w:tcPr>
            <w:tcW w:w="537" w:type="pct"/>
            <w:tcBorders>
              <w:top w:val="nil"/>
              <w:left w:val="nil"/>
              <w:bottom w:val="single" w:sz="4" w:space="0" w:color="auto"/>
              <w:right w:val="single" w:sz="4" w:space="0" w:color="auto"/>
            </w:tcBorders>
            <w:shd w:val="clear" w:color="auto" w:fill="auto"/>
            <w:noWrap/>
            <w:vAlign w:val="bottom"/>
            <w:hideMark/>
          </w:tcPr>
          <w:p w14:paraId="25B0215A"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0%</w:t>
            </w:r>
          </w:p>
        </w:tc>
        <w:tc>
          <w:tcPr>
            <w:tcW w:w="789" w:type="pct"/>
            <w:tcBorders>
              <w:top w:val="nil"/>
              <w:left w:val="nil"/>
              <w:bottom w:val="single" w:sz="4" w:space="0" w:color="auto"/>
              <w:right w:val="single" w:sz="4" w:space="0" w:color="auto"/>
            </w:tcBorders>
            <w:shd w:val="clear" w:color="auto" w:fill="auto"/>
            <w:noWrap/>
            <w:vAlign w:val="bottom"/>
            <w:hideMark/>
          </w:tcPr>
          <w:p w14:paraId="70FC48BE"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   </w:t>
            </w:r>
          </w:p>
        </w:tc>
        <w:tc>
          <w:tcPr>
            <w:tcW w:w="537" w:type="pct"/>
            <w:tcBorders>
              <w:top w:val="nil"/>
              <w:left w:val="nil"/>
              <w:bottom w:val="single" w:sz="4" w:space="0" w:color="auto"/>
              <w:right w:val="single" w:sz="4" w:space="0" w:color="auto"/>
            </w:tcBorders>
            <w:shd w:val="clear" w:color="auto" w:fill="auto"/>
            <w:noWrap/>
            <w:vAlign w:val="bottom"/>
            <w:hideMark/>
          </w:tcPr>
          <w:p w14:paraId="197F9311"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0%</w:t>
            </w:r>
          </w:p>
        </w:tc>
        <w:tc>
          <w:tcPr>
            <w:tcW w:w="670" w:type="pct"/>
            <w:tcBorders>
              <w:top w:val="nil"/>
              <w:left w:val="nil"/>
              <w:bottom w:val="single" w:sz="4" w:space="0" w:color="auto"/>
              <w:right w:val="single" w:sz="4" w:space="0" w:color="auto"/>
            </w:tcBorders>
            <w:shd w:val="clear" w:color="auto" w:fill="auto"/>
            <w:noWrap/>
            <w:vAlign w:val="bottom"/>
            <w:hideMark/>
          </w:tcPr>
          <w:p w14:paraId="4E39B856" w14:textId="77777777" w:rsidR="00BB0177" w:rsidRPr="00F247C8" w:rsidRDefault="00BB0177" w:rsidP="00BB0177">
            <w:pPr>
              <w:spacing w:after="0"/>
              <w:jc w:val="left"/>
              <w:outlineLvl w:val="0"/>
              <w:rPr>
                <w:rFonts w:ascii="Arial" w:hAnsi="Arial" w:cs="Arial"/>
                <w:sz w:val="22"/>
                <w:szCs w:val="22"/>
                <w:lang w:val="en-US"/>
              </w:rPr>
            </w:pPr>
            <w:r w:rsidRPr="00F247C8">
              <w:rPr>
                <w:rFonts w:ascii="Arial" w:hAnsi="Arial" w:cs="Arial"/>
                <w:sz w:val="22"/>
                <w:szCs w:val="22"/>
                <w:lang w:val="en-US"/>
              </w:rPr>
              <w:t xml:space="preserve">              1 </w:t>
            </w:r>
          </w:p>
        </w:tc>
        <w:tc>
          <w:tcPr>
            <w:tcW w:w="537" w:type="pct"/>
            <w:tcBorders>
              <w:top w:val="nil"/>
              <w:left w:val="nil"/>
              <w:bottom w:val="single" w:sz="4" w:space="0" w:color="auto"/>
              <w:right w:val="single" w:sz="4" w:space="0" w:color="auto"/>
            </w:tcBorders>
            <w:shd w:val="clear" w:color="auto" w:fill="auto"/>
            <w:noWrap/>
            <w:vAlign w:val="bottom"/>
            <w:hideMark/>
          </w:tcPr>
          <w:p w14:paraId="176187D2" w14:textId="77777777" w:rsidR="00BB0177" w:rsidRPr="00F247C8" w:rsidRDefault="00BB0177" w:rsidP="00BB0177">
            <w:pPr>
              <w:spacing w:after="0"/>
              <w:jc w:val="right"/>
              <w:outlineLvl w:val="0"/>
              <w:rPr>
                <w:rFonts w:ascii="Arial" w:hAnsi="Arial" w:cs="Arial"/>
                <w:sz w:val="22"/>
                <w:szCs w:val="22"/>
                <w:lang w:val="en-US"/>
              </w:rPr>
            </w:pPr>
            <w:r w:rsidRPr="00F247C8">
              <w:rPr>
                <w:rFonts w:ascii="Arial" w:hAnsi="Arial" w:cs="Arial"/>
                <w:sz w:val="22"/>
                <w:szCs w:val="22"/>
                <w:lang w:val="en-US"/>
              </w:rPr>
              <w:t>1%</w:t>
            </w:r>
          </w:p>
        </w:tc>
      </w:tr>
      <w:tr w:rsidR="00BB0177" w:rsidRPr="00F247C8" w14:paraId="22F737C9" w14:textId="77777777" w:rsidTr="00BB0177">
        <w:trPr>
          <w:trHeight w:val="293"/>
        </w:trPr>
        <w:tc>
          <w:tcPr>
            <w:tcW w:w="1201" w:type="pct"/>
            <w:tcBorders>
              <w:top w:val="nil"/>
              <w:left w:val="single" w:sz="4" w:space="0" w:color="auto"/>
              <w:bottom w:val="single" w:sz="4" w:space="0" w:color="auto"/>
              <w:right w:val="single" w:sz="4" w:space="0" w:color="auto"/>
            </w:tcBorders>
            <w:shd w:val="clear" w:color="auto" w:fill="auto"/>
            <w:noWrap/>
            <w:vAlign w:val="bottom"/>
            <w:hideMark/>
          </w:tcPr>
          <w:p w14:paraId="217EE4B8" w14:textId="77777777" w:rsidR="00BB0177" w:rsidRPr="00F247C8" w:rsidRDefault="00BB0177" w:rsidP="00BB0177">
            <w:pPr>
              <w:spacing w:after="0"/>
              <w:jc w:val="left"/>
              <w:outlineLvl w:val="0"/>
              <w:rPr>
                <w:rFonts w:ascii="Arial" w:hAnsi="Arial" w:cs="Arial"/>
                <w:b/>
                <w:bCs/>
                <w:color w:val="000000"/>
                <w:sz w:val="22"/>
                <w:szCs w:val="22"/>
                <w:lang w:val="en-US"/>
              </w:rPr>
            </w:pPr>
            <w:r w:rsidRPr="00F247C8">
              <w:rPr>
                <w:rFonts w:ascii="Arial" w:hAnsi="Arial" w:cs="Arial"/>
                <w:b/>
                <w:bCs/>
                <w:color w:val="000000"/>
                <w:sz w:val="22"/>
                <w:szCs w:val="22"/>
                <w:lang w:val="en-US"/>
              </w:rPr>
              <w:t xml:space="preserve"> Total </w:t>
            </w:r>
          </w:p>
        </w:tc>
        <w:tc>
          <w:tcPr>
            <w:tcW w:w="729" w:type="pct"/>
            <w:tcBorders>
              <w:top w:val="nil"/>
              <w:left w:val="nil"/>
              <w:bottom w:val="single" w:sz="4" w:space="0" w:color="auto"/>
              <w:right w:val="single" w:sz="4" w:space="0" w:color="auto"/>
            </w:tcBorders>
            <w:shd w:val="clear" w:color="auto" w:fill="auto"/>
            <w:noWrap/>
            <w:vAlign w:val="bottom"/>
            <w:hideMark/>
          </w:tcPr>
          <w:p w14:paraId="1C191920"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494 </w:t>
            </w:r>
          </w:p>
        </w:tc>
        <w:tc>
          <w:tcPr>
            <w:tcW w:w="537" w:type="pct"/>
            <w:tcBorders>
              <w:top w:val="nil"/>
              <w:left w:val="nil"/>
              <w:bottom w:val="single" w:sz="4" w:space="0" w:color="auto"/>
              <w:right w:val="single" w:sz="4" w:space="0" w:color="auto"/>
            </w:tcBorders>
            <w:shd w:val="clear" w:color="auto" w:fill="auto"/>
            <w:noWrap/>
            <w:vAlign w:val="bottom"/>
            <w:hideMark/>
          </w:tcPr>
          <w:p w14:paraId="09E58F89" w14:textId="77777777" w:rsidR="00BB0177" w:rsidRPr="00F247C8" w:rsidRDefault="00BB0177" w:rsidP="00BB0177">
            <w:pPr>
              <w:spacing w:after="0"/>
              <w:jc w:val="right"/>
              <w:outlineLvl w:val="0"/>
              <w:rPr>
                <w:rFonts w:ascii="Arial" w:hAnsi="Arial" w:cs="Arial"/>
                <w:b/>
                <w:bCs/>
                <w:sz w:val="22"/>
                <w:szCs w:val="22"/>
                <w:lang w:val="en-US"/>
              </w:rPr>
            </w:pPr>
            <w:r w:rsidRPr="00F247C8">
              <w:rPr>
                <w:rFonts w:ascii="Arial" w:hAnsi="Arial" w:cs="Arial"/>
                <w:b/>
                <w:bCs/>
                <w:sz w:val="22"/>
                <w:szCs w:val="22"/>
                <w:lang w:val="en-US"/>
              </w:rPr>
              <w:t>100%</w:t>
            </w:r>
          </w:p>
        </w:tc>
        <w:tc>
          <w:tcPr>
            <w:tcW w:w="789" w:type="pct"/>
            <w:tcBorders>
              <w:top w:val="nil"/>
              <w:left w:val="nil"/>
              <w:bottom w:val="single" w:sz="4" w:space="0" w:color="auto"/>
              <w:right w:val="single" w:sz="4" w:space="0" w:color="auto"/>
            </w:tcBorders>
            <w:shd w:val="clear" w:color="auto" w:fill="auto"/>
            <w:noWrap/>
            <w:vAlign w:val="bottom"/>
            <w:hideMark/>
          </w:tcPr>
          <w:p w14:paraId="46C02302"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425 </w:t>
            </w:r>
          </w:p>
        </w:tc>
        <w:tc>
          <w:tcPr>
            <w:tcW w:w="537" w:type="pct"/>
            <w:tcBorders>
              <w:top w:val="nil"/>
              <w:left w:val="nil"/>
              <w:bottom w:val="single" w:sz="4" w:space="0" w:color="auto"/>
              <w:right w:val="single" w:sz="4" w:space="0" w:color="auto"/>
            </w:tcBorders>
            <w:shd w:val="clear" w:color="auto" w:fill="auto"/>
            <w:noWrap/>
            <w:vAlign w:val="bottom"/>
            <w:hideMark/>
          </w:tcPr>
          <w:p w14:paraId="540BCBF5" w14:textId="77777777" w:rsidR="00BB0177" w:rsidRPr="00F247C8" w:rsidRDefault="00BB0177" w:rsidP="00BB0177">
            <w:pPr>
              <w:spacing w:after="0"/>
              <w:jc w:val="right"/>
              <w:outlineLvl w:val="0"/>
              <w:rPr>
                <w:rFonts w:ascii="Arial" w:hAnsi="Arial" w:cs="Arial"/>
                <w:b/>
                <w:bCs/>
                <w:sz w:val="22"/>
                <w:szCs w:val="22"/>
                <w:lang w:val="en-US"/>
              </w:rPr>
            </w:pPr>
            <w:r w:rsidRPr="00F247C8">
              <w:rPr>
                <w:rFonts w:ascii="Arial" w:hAnsi="Arial" w:cs="Arial"/>
                <w:b/>
                <w:bCs/>
                <w:sz w:val="22"/>
                <w:szCs w:val="22"/>
                <w:lang w:val="en-US"/>
              </w:rPr>
              <w:t>100%</w:t>
            </w:r>
          </w:p>
        </w:tc>
        <w:tc>
          <w:tcPr>
            <w:tcW w:w="670" w:type="pct"/>
            <w:tcBorders>
              <w:top w:val="nil"/>
              <w:left w:val="nil"/>
              <w:bottom w:val="single" w:sz="4" w:space="0" w:color="auto"/>
              <w:right w:val="single" w:sz="4" w:space="0" w:color="auto"/>
            </w:tcBorders>
            <w:shd w:val="clear" w:color="auto" w:fill="auto"/>
            <w:noWrap/>
            <w:vAlign w:val="bottom"/>
            <w:hideMark/>
          </w:tcPr>
          <w:p w14:paraId="639C53BD" w14:textId="77777777" w:rsidR="00BB0177" w:rsidRPr="00F247C8" w:rsidRDefault="00BB0177" w:rsidP="00BB0177">
            <w:pPr>
              <w:spacing w:after="0"/>
              <w:jc w:val="left"/>
              <w:outlineLvl w:val="0"/>
              <w:rPr>
                <w:rFonts w:ascii="Arial" w:hAnsi="Arial" w:cs="Arial"/>
                <w:b/>
                <w:bCs/>
                <w:sz w:val="22"/>
                <w:szCs w:val="22"/>
                <w:lang w:val="en-US"/>
              </w:rPr>
            </w:pPr>
            <w:r w:rsidRPr="00F247C8">
              <w:rPr>
                <w:rFonts w:ascii="Arial" w:hAnsi="Arial" w:cs="Arial"/>
                <w:b/>
                <w:bCs/>
                <w:sz w:val="22"/>
                <w:szCs w:val="22"/>
                <w:lang w:val="en-US"/>
              </w:rPr>
              <w:t xml:space="preserve">            69 </w:t>
            </w:r>
          </w:p>
        </w:tc>
        <w:tc>
          <w:tcPr>
            <w:tcW w:w="537" w:type="pct"/>
            <w:tcBorders>
              <w:top w:val="nil"/>
              <w:left w:val="nil"/>
              <w:bottom w:val="single" w:sz="4" w:space="0" w:color="auto"/>
              <w:right w:val="single" w:sz="4" w:space="0" w:color="auto"/>
            </w:tcBorders>
            <w:shd w:val="clear" w:color="auto" w:fill="auto"/>
            <w:noWrap/>
            <w:vAlign w:val="bottom"/>
            <w:hideMark/>
          </w:tcPr>
          <w:p w14:paraId="7F455C69" w14:textId="77777777" w:rsidR="00BB0177" w:rsidRPr="00F247C8" w:rsidRDefault="00BB0177" w:rsidP="00BB0177">
            <w:pPr>
              <w:spacing w:after="0"/>
              <w:jc w:val="right"/>
              <w:outlineLvl w:val="0"/>
              <w:rPr>
                <w:rFonts w:ascii="Arial" w:hAnsi="Arial" w:cs="Arial"/>
                <w:b/>
                <w:bCs/>
                <w:sz w:val="22"/>
                <w:szCs w:val="22"/>
                <w:lang w:val="en-US"/>
              </w:rPr>
            </w:pPr>
            <w:r w:rsidRPr="00F247C8">
              <w:rPr>
                <w:rFonts w:ascii="Arial" w:hAnsi="Arial" w:cs="Arial"/>
                <w:b/>
                <w:bCs/>
                <w:sz w:val="22"/>
                <w:szCs w:val="22"/>
                <w:lang w:val="en-US"/>
              </w:rPr>
              <w:t>100%</w:t>
            </w:r>
          </w:p>
        </w:tc>
      </w:tr>
    </w:tbl>
    <w:p w14:paraId="19F555D9" w14:textId="77777777" w:rsidR="0077196E" w:rsidRPr="00EC6498" w:rsidRDefault="0077196E" w:rsidP="00FA5447">
      <w:pPr>
        <w:pStyle w:val="BodyText"/>
        <w:ind w:left="0"/>
        <w:rPr>
          <w:rFonts w:ascii="Arial" w:hAnsi="Arial" w:cs="Arial"/>
          <w:color w:val="FF0000"/>
          <w:szCs w:val="24"/>
        </w:rPr>
      </w:pPr>
    </w:p>
    <w:sectPr w:rsidR="0077196E" w:rsidRPr="00EC6498" w:rsidSect="000957C2">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623F" w14:textId="77777777" w:rsidR="00B35853" w:rsidRDefault="00B35853">
      <w:r>
        <w:separator/>
      </w:r>
    </w:p>
  </w:endnote>
  <w:endnote w:type="continuationSeparator" w:id="0">
    <w:p w14:paraId="00ABA34E" w14:textId="77777777" w:rsidR="00B35853" w:rsidRDefault="00B35853">
      <w:r>
        <w:continuationSeparator/>
      </w:r>
    </w:p>
  </w:endnote>
  <w:endnote w:type="continuationNotice" w:id="1">
    <w:p w14:paraId="6EFEB646" w14:textId="77777777" w:rsidR="00B35853" w:rsidRDefault="00B358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11A0" w14:textId="77777777" w:rsidR="00AB347B" w:rsidRDefault="00AB3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1DD4" w14:textId="77777777" w:rsidR="00AB347B" w:rsidRDefault="00AB347B" w:rsidP="002044CB">
    <w:pPr>
      <w:pStyle w:val="Footer"/>
      <w:jc w:val="center"/>
    </w:pPr>
    <w:r>
      <w:fldChar w:fldCharType="begin"/>
    </w:r>
    <w:r>
      <w:instrText xml:space="preserve"> PAGE   \* MERGEFORMAT </w:instrText>
    </w:r>
    <w:r>
      <w:fldChar w:fldCharType="separate"/>
    </w:r>
    <w:r>
      <w:rPr>
        <w:noProof/>
      </w:rPr>
      <w:t>1</w:t>
    </w:r>
    <w:r>
      <w:rPr>
        <w:noProof/>
      </w:rPr>
      <w:fldChar w:fldCharType="end"/>
    </w:r>
  </w:p>
  <w:p w14:paraId="50C00709" w14:textId="77777777" w:rsidR="00AB347B" w:rsidRDefault="00AB3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59D0" w14:textId="77777777" w:rsidR="00AB347B" w:rsidRDefault="00AB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4D8B" w14:textId="77777777" w:rsidR="00B35853" w:rsidRDefault="00B35853">
      <w:r>
        <w:separator/>
      </w:r>
    </w:p>
  </w:footnote>
  <w:footnote w:type="continuationSeparator" w:id="0">
    <w:p w14:paraId="4E245583" w14:textId="77777777" w:rsidR="00B35853" w:rsidRDefault="00B35853">
      <w:r>
        <w:continuationSeparator/>
      </w:r>
    </w:p>
  </w:footnote>
  <w:footnote w:type="continuationNotice" w:id="1">
    <w:p w14:paraId="60095E6B" w14:textId="77777777" w:rsidR="00B35853" w:rsidRDefault="00B358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989E" w14:textId="77777777" w:rsidR="00AB347B" w:rsidRDefault="00AB3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CFDE" w14:textId="77777777" w:rsidR="00AB347B" w:rsidRPr="000957C2" w:rsidRDefault="00AB347B" w:rsidP="00095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5AB6" w14:textId="77777777" w:rsidR="00AB347B" w:rsidRPr="00FE5CB0" w:rsidRDefault="00AB347B" w:rsidP="00FE5CB0">
    <w:pPr>
      <w:pStyle w:val="Header"/>
      <w:jc w:val="right"/>
      <w:rPr>
        <w:rFonts w:ascii="Arial" w:hAnsi="Arial" w:cs="Arial"/>
      </w:rPr>
    </w:pPr>
    <w:r>
      <w:rPr>
        <w:rFonts w:ascii="Arial" w:hAnsi="Arial" w:cs="Arial"/>
      </w:rPr>
      <w:t>Appendix 1</w:t>
    </w:r>
  </w:p>
</w:hdr>
</file>

<file path=word/intelligence2.xml><?xml version="1.0" encoding="utf-8"?>
<int2:intelligence xmlns:int2="http://schemas.microsoft.com/office/intelligence/2020/intelligence" xmlns:oel="http://schemas.microsoft.com/office/2019/extlst">
  <int2:observations>
    <int2:textHash int2:hashCode="6B67tUxWNlWPJv" int2:id="nOaOUtNN">
      <int2:state int2:value="Rejected" int2:type="LegacyProofing"/>
    </int2:textHash>
    <int2:bookmark int2:bookmarkName="_Int_SIu0vjO0" int2:invalidationBookmarkName="" int2:hashCode="vHHNl2eQ5oponG" int2:id="2IqiXi1s"/>
    <int2:bookmark int2:bookmarkName="_Int_1Q7nJ95Z" int2:invalidationBookmarkName="" int2:hashCode="3i4/duTJ0R+q/h" int2:id="4rnXVixM">
      <int2:state int2:value="Rejected" int2:type="AugLoop_Text_Critique"/>
    </int2:bookmark>
    <int2:bookmark int2:bookmarkName="_Int_HLYk0aOD" int2:invalidationBookmarkName="" int2:hashCode="go6CBamZ2R+mhn" int2:id="6WsPGSrc"/>
    <int2:bookmark int2:bookmarkName="_Int_OGbuRDl0" int2:invalidationBookmarkName="" int2:hashCode="6S8lKbb2v/Q4Wz" int2:id="6xvjfKRK">
      <int2:state int2:value="Rejected" int2:type="AugLoop_Text_Critique"/>
    </int2:bookmark>
    <int2:bookmark int2:bookmarkName="_Int_B6cR8N3H" int2:invalidationBookmarkName="" int2:hashCode="CSAM1IJdMEcE3t" int2:id="74Rx2pXH">
      <int2:state int2:value="Rejected" int2:type="LegacyProofing"/>
    </int2:bookmark>
    <int2:bookmark int2:bookmarkName="_Int_Uufedg7Z" int2:invalidationBookmarkName="" int2:hashCode="ZD4DPyxyvbq3AT" int2:id="8mUVX42r">
      <int2:state int2:value="Rejected" int2:type="AugLoop_Text_Critique"/>
    </int2:bookmark>
    <int2:bookmark int2:bookmarkName="_Int_ftgaIOvg" int2:invalidationBookmarkName="" int2:hashCode="WBbJsYIxNTxlIm" int2:id="9RrGpfAK"/>
    <int2:bookmark int2:bookmarkName="_Int_YKoOWdh2" int2:invalidationBookmarkName="" int2:hashCode="YXVEu3Deeavy9p" int2:id="CPgOMNeC">
      <int2:state int2:value="Rejected" int2:type="AugLoop_Acronyms_AcronymsCritique"/>
    </int2:bookmark>
    <int2:bookmark int2:bookmarkName="_Int_oAXnsBYh" int2:invalidationBookmarkName="" int2:hashCode="7Bv5g6kj6+YLC+" int2:id="ELc4G0H8">
      <int2:state int2:value="Rejected" int2:type="AugLoop_Acronyms_AcronymsCritique"/>
    </int2:bookmark>
    <int2:bookmark int2:bookmarkName="_Int_oYFCXlRh" int2:invalidationBookmarkName="" int2:hashCode="bgucIb7gZAcKhV" int2:id="GhjyWcuP">
      <int2:state int2:value="Rejected" int2:type="LegacyProofing"/>
    </int2:bookmark>
    <int2:bookmark int2:bookmarkName="_Int_mc8tuPsC" int2:invalidationBookmarkName="" int2:hashCode="AYQ7xIMIDY6sFO" int2:id="Hh5JaSky">
      <int2:state int2:value="Rejected" int2:type="AugLoop_Text_Critique"/>
    </int2:bookmark>
    <int2:bookmark int2:bookmarkName="_Int_CWJnGTM7" int2:invalidationBookmarkName="" int2:hashCode="iO1QAFJEdi4V0h" int2:id="IvvexUsS">
      <int2:state int2:value="Rejected" int2:type="LegacyProofing"/>
    </int2:bookmark>
    <int2:bookmark int2:bookmarkName="_Int_FTIhu7vL" int2:invalidationBookmarkName="" int2:hashCode="Y84tlZGEucsCRf" int2:id="MugWaGJi">
      <int2:state int2:value="Rejected" int2:type="AugLoop_Acronyms_AcronymsCritique"/>
    </int2:bookmark>
    <int2:bookmark int2:bookmarkName="_Int_5zSki0iq" int2:invalidationBookmarkName="" int2:hashCode="IasVQGr33vDY0o" int2:id="NJ4n92mO">
      <int2:state int2:value="Rejected" int2:type="AugLoop_Acronyms_AcronymsCritique"/>
    </int2:bookmark>
    <int2:bookmark int2:bookmarkName="_Int_WB0hkMx6" int2:invalidationBookmarkName="" int2:hashCode="okacR4JFYPgFSr" int2:id="QvjXG5VS">
      <int2:state int2:value="Rejected" int2:type="AugLoop_Acronyms_AcronymsCritique"/>
    </int2:bookmark>
    <int2:bookmark int2:bookmarkName="_Int_3vc53byB" int2:invalidationBookmarkName="" int2:hashCode="ZD4DPyxyvbq3AT" int2:id="REwYkaDE">
      <int2:state int2:value="Rejected" int2:type="AugLoop_Text_Critique"/>
    </int2:bookmark>
    <int2:bookmark int2:bookmarkName="_Int_Y71D3bdF" int2:invalidationBookmarkName="" int2:hashCode="49m8ouyvEYJYcn" int2:id="TSHqJqtP">
      <int2:state int2:value="Rejected" int2:type="AugLoop_Text_Critique"/>
    </int2:bookmark>
    <int2:bookmark int2:bookmarkName="_Int_WhuY02io" int2:invalidationBookmarkName="" int2:hashCode="ivB4Ad1dgjlQbh" int2:id="WOQ8fDQI">
      <int2:state int2:value="Rejected" int2:type="LegacyProofing"/>
    </int2:bookmark>
    <int2:bookmark int2:bookmarkName="_Int_P5wYyN1R" int2:invalidationBookmarkName="" int2:hashCode="1HXF82/HAPHDJ/" int2:id="Y8QBkThe">
      <int2:state int2:value="Rejected" int2:type="AugLoop_Acronyms_AcronymsCritique"/>
    </int2:bookmark>
    <int2:bookmark int2:bookmarkName="_Int_1VRFWzj6" int2:invalidationBookmarkName="" int2:hashCode="VRd/LyDcPFdCnc" int2:id="YFjww1IU">
      <int2:state int2:value="Rejected" int2:type="AugLoop_Text_Critique"/>
    </int2:bookmark>
    <int2:bookmark int2:bookmarkName="_Int_ARMhwUBa" int2:invalidationBookmarkName="" int2:hashCode="3i4/duTJ0R+q/h" int2:id="ZDi1zXRg">
      <int2:state int2:value="Rejected" int2:type="AugLoop_Text_Critique"/>
    </int2:bookmark>
    <int2:bookmark int2:bookmarkName="_Int_oUtMoAX1" int2:invalidationBookmarkName="" int2:hashCode="ivB4Ad1dgjlQbh" int2:id="ZnuPgQ5H">
      <int2:state int2:value="Rejected" int2:type="LegacyProofing"/>
    </int2:bookmark>
    <int2:bookmark int2:bookmarkName="_Int_HIaXUN4w" int2:invalidationBookmarkName="" int2:hashCode="rb52YH1TQegw4o" int2:id="amOqe2WM">
      <int2:state int2:value="Rejected" int2:type="AugLoop_Text_Critique"/>
    </int2:bookmark>
    <int2:bookmark int2:bookmarkName="_Int_FpFEL7SO" int2:invalidationBookmarkName="" int2:hashCode="3gT6Din5s14kkF" int2:id="ciPvM5Ko">
      <int2:state int2:value="Rejected" int2:type="LegacyProofing"/>
    </int2:bookmark>
    <int2:bookmark int2:bookmarkName="_Int_Z0LSFlrX" int2:invalidationBookmarkName="" int2:hashCode="bgucIb7gZAcKhV" int2:id="dOR4xVYJ">
      <int2:state int2:value="Rejected" int2:type="LegacyProofing"/>
    </int2:bookmark>
    <int2:bookmark int2:bookmarkName="_Int_ASbMr5CJ" int2:invalidationBookmarkName="" int2:hashCode="7Qx4FV7io4HNcf" int2:id="eZuWFeQ8">
      <int2:state int2:value="Rejected" int2:type="AugLoop_Acronyms_AcronymsCritique"/>
    </int2:bookmark>
    <int2:bookmark int2:bookmarkName="_Int_zfE6kDeJ" int2:invalidationBookmarkName="" int2:hashCode="3gT6Din5s14kkF" int2:id="fcFteHNJ">
      <int2:state int2:value="Rejected" int2:type="LegacyProofing"/>
    </int2:bookmark>
    <int2:bookmark int2:bookmarkName="_Int_FK2fiS8H" int2:invalidationBookmarkName="" int2:hashCode="WlN+IJFRrl/MzW" int2:id="gmkC8e1J">
      <int2:state int2:value="Rejected" int2:type="LegacyProofing"/>
    </int2:bookmark>
    <int2:bookmark int2:bookmarkName="_Int_RfmhDFu6" int2:invalidationBookmarkName="" int2:hashCode="RoHRJMxsS3O6q/" int2:id="jRNeXoHg">
      <int2:state int2:value="Rejected" int2:type="AugLoop_Text_Critique"/>
    </int2:bookmark>
    <int2:bookmark int2:bookmarkName="_Int_PwdvGt3P" int2:invalidationBookmarkName="" int2:hashCode="fzCxF7PVApwjdY" int2:id="jbNE0GEO">
      <int2:state int2:value="Rejected" int2:type="LegacyProofing"/>
    </int2:bookmark>
    <int2:bookmark int2:bookmarkName="_Int_msn7agYG" int2:invalidationBookmarkName="" int2:hashCode="CTnD/lwNXSv/QN" int2:id="ndRej2NB">
      <int2:state int2:value="Rejected" int2:type="AugLoop_Text_Critique"/>
    </int2:bookmark>
    <int2:bookmark int2:bookmarkName="_Int_CBXFbHl5" int2:invalidationBookmarkName="" int2:hashCode="DueQ2K+53aoU7+" int2:id="o5Udazo3">
      <int2:state int2:value="Rejected" int2:type="AugLoop_Acronyms_AcronymsCritique"/>
    </int2:bookmark>
    <int2:bookmark int2:bookmarkName="_Int_aLOOQuyj" int2:invalidationBookmarkName="" int2:hashCode="SyDlj8g609TV2I" int2:id="qrEK8cL2">
      <int2:state int2:value="Rejected" int2:type="AugLoop_Text_Critique"/>
    </int2:bookmark>
    <int2:bookmark int2:bookmarkName="_Int_nmMaM4Vi" int2:invalidationBookmarkName="" int2:hashCode="d95o2uzYI7q7tY" int2:id="rJvNOdzN">
      <int2:state int2:value="Rejected" int2:type="AugLoop_Text_Critique"/>
    </int2:bookmark>
    <int2:bookmark int2:bookmarkName="_Int_dCfKgIJt" int2:invalidationBookmarkName="" int2:hashCode="3gT6Din5s14kkF" int2:id="tgyYj87f">
      <int2:state int2:value="Rejected" int2:type="LegacyProofing"/>
    </int2:bookmark>
    <int2:bookmark int2:bookmarkName="_Int_YIoVTjDt" int2:invalidationBookmarkName="" int2:hashCode="8uQ8j0Tot8PcMD" int2:id="udqlyWG8">
      <int2:state int2:value="Rejected" int2:type="AugLoop_Text_Critique"/>
    </int2:bookmark>
    <int2:bookmark int2:bookmarkName="_Int_oCRxJExn" int2:invalidationBookmarkName="" int2:hashCode="PeUh02GRVekij4" int2:id="wNdM9yEV"/>
    <int2:bookmark int2:bookmarkName="_Int_PHiBTk0u" int2:invalidationBookmarkName="" int2:hashCode="VRd/LyDcPFdCnc" int2:id="xsb5NA0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7A1"/>
    <w:multiLevelType w:val="multilevel"/>
    <w:tmpl w:val="2544FDA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1077"/>
        </w:tabs>
        <w:ind w:left="1077" w:hanging="680"/>
      </w:pPr>
      <w:rPr>
        <w:rFonts w:hint="default"/>
        <w:b w:val="0"/>
      </w:rPr>
    </w:lvl>
    <w:lvl w:ilvl="2">
      <w:start w:val="1"/>
      <w:numFmt w:val="bullet"/>
      <w:pStyle w:val="Bullet"/>
      <w:lvlText w:val=""/>
      <w:lvlJc w:val="left"/>
      <w:pPr>
        <w:tabs>
          <w:tab w:val="num" w:pos="1775"/>
        </w:tabs>
        <w:ind w:left="1775" w:hanging="698"/>
      </w:pPr>
      <w:rPr>
        <w:rFonts w:ascii="Symbol" w:hAnsi="Symbol" w:hint="default"/>
      </w:rPr>
    </w:lvl>
    <w:lvl w:ilvl="3">
      <w:start w:val="1"/>
      <w:numFmt w:val="bullet"/>
      <w:lvlText w:val=""/>
      <w:lvlJc w:val="left"/>
      <w:pPr>
        <w:tabs>
          <w:tab w:val="num" w:pos="1588"/>
        </w:tabs>
        <w:ind w:left="1588" w:hanging="284"/>
      </w:pPr>
      <w:rPr>
        <w:rFonts w:ascii="Symbol" w:hAnsi="Symbol" w:hint="default"/>
        <w:color w:val="auto"/>
      </w:rPr>
    </w:lvl>
    <w:lvl w:ilvl="4">
      <w:start w:val="1"/>
      <w:numFmt w:val="bullet"/>
      <w:lvlText w:val=""/>
      <w:lvlJc w:val="left"/>
      <w:pPr>
        <w:tabs>
          <w:tab w:val="num" w:pos="1871"/>
        </w:tabs>
        <w:ind w:left="187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244CED"/>
    <w:multiLevelType w:val="hybridMultilevel"/>
    <w:tmpl w:val="EA705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36547D"/>
    <w:multiLevelType w:val="hybridMultilevel"/>
    <w:tmpl w:val="9594B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792149"/>
    <w:multiLevelType w:val="hybridMultilevel"/>
    <w:tmpl w:val="5C7C800C"/>
    <w:lvl w:ilvl="0" w:tplc="08090001">
      <w:start w:val="1"/>
      <w:numFmt w:val="bullet"/>
      <w:pStyle w:val="ListBullet"/>
      <w:lvlText w:val=""/>
      <w:lvlJc w:val="left"/>
      <w:pPr>
        <w:tabs>
          <w:tab w:val="num" w:pos="1538"/>
        </w:tabs>
        <w:ind w:left="1538" w:hanging="360"/>
      </w:pPr>
      <w:rPr>
        <w:rFonts w:ascii="Symbol" w:hAnsi="Symbol" w:hint="default"/>
        <w:sz w:val="24"/>
      </w:rPr>
    </w:lvl>
    <w:lvl w:ilvl="1" w:tplc="08090003">
      <w:start w:val="1"/>
      <w:numFmt w:val="bullet"/>
      <w:lvlText w:val="o"/>
      <w:lvlJc w:val="left"/>
      <w:pPr>
        <w:tabs>
          <w:tab w:val="num" w:pos="2258"/>
        </w:tabs>
        <w:ind w:left="2258" w:hanging="360"/>
      </w:pPr>
      <w:rPr>
        <w:rFonts w:ascii="Courier New" w:hAnsi="Courier New" w:hint="default"/>
      </w:rPr>
    </w:lvl>
    <w:lvl w:ilvl="2" w:tplc="08090005">
      <w:start w:val="1"/>
      <w:numFmt w:val="bullet"/>
      <w:lvlText w:val=""/>
      <w:lvlJc w:val="left"/>
      <w:pPr>
        <w:tabs>
          <w:tab w:val="num" w:pos="2978"/>
        </w:tabs>
        <w:ind w:left="2978" w:hanging="360"/>
      </w:pPr>
      <w:rPr>
        <w:rFonts w:ascii="Symbol" w:hAnsi="Symbol" w:hint="default"/>
        <w:sz w:val="24"/>
      </w:rPr>
    </w:lvl>
    <w:lvl w:ilvl="3" w:tplc="08090001" w:tentative="1">
      <w:start w:val="1"/>
      <w:numFmt w:val="bullet"/>
      <w:lvlText w:val=""/>
      <w:lvlJc w:val="left"/>
      <w:pPr>
        <w:tabs>
          <w:tab w:val="num" w:pos="3698"/>
        </w:tabs>
        <w:ind w:left="3698" w:hanging="360"/>
      </w:pPr>
      <w:rPr>
        <w:rFonts w:ascii="Symbol" w:hAnsi="Symbol" w:hint="default"/>
      </w:rPr>
    </w:lvl>
    <w:lvl w:ilvl="4" w:tplc="08090003" w:tentative="1">
      <w:start w:val="1"/>
      <w:numFmt w:val="bullet"/>
      <w:lvlText w:val="o"/>
      <w:lvlJc w:val="left"/>
      <w:pPr>
        <w:tabs>
          <w:tab w:val="num" w:pos="4418"/>
        </w:tabs>
        <w:ind w:left="4418" w:hanging="360"/>
      </w:pPr>
      <w:rPr>
        <w:rFonts w:ascii="Courier New" w:hAnsi="Courier New" w:hint="default"/>
      </w:rPr>
    </w:lvl>
    <w:lvl w:ilvl="5" w:tplc="08090005" w:tentative="1">
      <w:start w:val="1"/>
      <w:numFmt w:val="bullet"/>
      <w:lvlText w:val=""/>
      <w:lvlJc w:val="left"/>
      <w:pPr>
        <w:tabs>
          <w:tab w:val="num" w:pos="5138"/>
        </w:tabs>
        <w:ind w:left="5138" w:hanging="360"/>
      </w:pPr>
      <w:rPr>
        <w:rFonts w:ascii="Wingdings" w:hAnsi="Wingdings" w:hint="default"/>
      </w:rPr>
    </w:lvl>
    <w:lvl w:ilvl="6" w:tplc="08090001" w:tentative="1">
      <w:start w:val="1"/>
      <w:numFmt w:val="bullet"/>
      <w:lvlText w:val=""/>
      <w:lvlJc w:val="left"/>
      <w:pPr>
        <w:tabs>
          <w:tab w:val="num" w:pos="5858"/>
        </w:tabs>
        <w:ind w:left="5858" w:hanging="360"/>
      </w:pPr>
      <w:rPr>
        <w:rFonts w:ascii="Symbol" w:hAnsi="Symbol" w:hint="default"/>
      </w:rPr>
    </w:lvl>
    <w:lvl w:ilvl="7" w:tplc="08090003" w:tentative="1">
      <w:start w:val="1"/>
      <w:numFmt w:val="bullet"/>
      <w:lvlText w:val="o"/>
      <w:lvlJc w:val="left"/>
      <w:pPr>
        <w:tabs>
          <w:tab w:val="num" w:pos="6578"/>
        </w:tabs>
        <w:ind w:left="6578" w:hanging="360"/>
      </w:pPr>
      <w:rPr>
        <w:rFonts w:ascii="Courier New" w:hAnsi="Courier New" w:hint="default"/>
      </w:rPr>
    </w:lvl>
    <w:lvl w:ilvl="8" w:tplc="08090005" w:tentative="1">
      <w:start w:val="1"/>
      <w:numFmt w:val="bullet"/>
      <w:lvlText w:val=""/>
      <w:lvlJc w:val="left"/>
      <w:pPr>
        <w:tabs>
          <w:tab w:val="num" w:pos="7298"/>
        </w:tabs>
        <w:ind w:left="7298" w:hanging="360"/>
      </w:pPr>
      <w:rPr>
        <w:rFonts w:ascii="Wingdings" w:hAnsi="Wingdings" w:hint="default"/>
      </w:rPr>
    </w:lvl>
  </w:abstractNum>
  <w:abstractNum w:abstractNumId="4"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1194CB8"/>
    <w:multiLevelType w:val="hybridMultilevel"/>
    <w:tmpl w:val="3984FCBA"/>
    <w:lvl w:ilvl="0" w:tplc="1070D73E">
      <w:start w:val="1"/>
      <w:numFmt w:val="bullet"/>
      <w:lvlText w:val=""/>
      <w:lvlJc w:val="left"/>
      <w:pPr>
        <w:ind w:left="3479" w:hanging="360"/>
      </w:pPr>
      <w:rPr>
        <w:rFonts w:ascii="Symbol" w:hAnsi="Symbol" w:hint="default"/>
        <w:color w:val="auto"/>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15:restartNumberingAfterBreak="0">
    <w:nsid w:val="67EB694F"/>
    <w:multiLevelType w:val="hybridMultilevel"/>
    <w:tmpl w:val="A82C098E"/>
    <w:lvl w:ilvl="0" w:tplc="E8F6DCCA">
      <w:start w:val="1"/>
      <w:numFmt w:val="decimal"/>
      <w:pStyle w:val="ListNumber"/>
      <w:lvlText w:val="%1."/>
      <w:lvlJc w:val="left"/>
      <w:pPr>
        <w:tabs>
          <w:tab w:val="num" w:pos="720"/>
        </w:tabs>
        <w:ind w:left="720" w:hanging="360"/>
      </w:pPr>
      <w:rPr>
        <w:b w:val="0"/>
      </w:rPr>
    </w:lvl>
    <w:lvl w:ilvl="1" w:tplc="04090003" w:tentative="1">
      <w:start w:val="1"/>
      <w:numFmt w:val="lowerLetter"/>
      <w:lvlText w:val="%2."/>
      <w:lvlJc w:val="left"/>
      <w:pPr>
        <w:tabs>
          <w:tab w:val="num" w:pos="1800"/>
        </w:tabs>
        <w:ind w:left="1800" w:hanging="360"/>
      </w:pPr>
    </w:lvl>
    <w:lvl w:ilvl="2" w:tplc="08090001"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7" w15:restartNumberingAfterBreak="0">
    <w:nsid w:val="686950D9"/>
    <w:multiLevelType w:val="multilevel"/>
    <w:tmpl w:val="99A023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i w:val="0"/>
        <w:color w:val="auto"/>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741A6791"/>
    <w:multiLevelType w:val="singleLevel"/>
    <w:tmpl w:val="D6E23894"/>
    <w:lvl w:ilvl="0">
      <w:start w:val="1"/>
      <w:numFmt w:val="bullet"/>
      <w:pStyle w:val="Bullets"/>
      <w:lvlText w:val=""/>
      <w:lvlJc w:val="left"/>
      <w:pPr>
        <w:tabs>
          <w:tab w:val="num" w:pos="1440"/>
        </w:tabs>
        <w:ind w:left="1440" w:hanging="720"/>
      </w:pPr>
      <w:rPr>
        <w:rFonts w:ascii="Symbol" w:hAnsi="Symbol" w:hint="default"/>
        <w:sz w:val="20"/>
      </w:rPr>
    </w:lvl>
  </w:abstractNum>
  <w:abstractNum w:abstractNumId="9" w15:restartNumberingAfterBreak="0">
    <w:nsid w:val="7BBB141E"/>
    <w:multiLevelType w:val="singleLevel"/>
    <w:tmpl w:val="E6528D44"/>
    <w:lvl w:ilvl="0">
      <w:start w:val="1"/>
      <w:numFmt w:val="lowerRoman"/>
      <w:pStyle w:val="ListRoman"/>
      <w:lvlText w:val="%1)"/>
      <w:lvlJc w:val="left"/>
      <w:pPr>
        <w:tabs>
          <w:tab w:val="num" w:pos="1440"/>
        </w:tabs>
        <w:ind w:left="1440" w:hanging="720"/>
      </w:pPr>
    </w:lvl>
  </w:abstractNum>
  <w:num w:numId="1" w16cid:durableId="577251136">
    <w:abstractNumId w:val="4"/>
  </w:num>
  <w:num w:numId="2" w16cid:durableId="467673704">
    <w:abstractNumId w:val="8"/>
  </w:num>
  <w:num w:numId="3" w16cid:durableId="1200317734">
    <w:abstractNumId w:val="9"/>
  </w:num>
  <w:num w:numId="4" w16cid:durableId="365102332">
    <w:abstractNumId w:val="6"/>
  </w:num>
  <w:num w:numId="5" w16cid:durableId="1971473755">
    <w:abstractNumId w:val="3"/>
  </w:num>
  <w:num w:numId="6" w16cid:durableId="449250217">
    <w:abstractNumId w:val="7"/>
  </w:num>
  <w:num w:numId="7" w16cid:durableId="576671941">
    <w:abstractNumId w:val="0"/>
  </w:num>
  <w:num w:numId="8" w16cid:durableId="498886654">
    <w:abstractNumId w:val="5"/>
  </w:num>
  <w:num w:numId="9" w16cid:durableId="1375160489">
    <w:abstractNumId w:val="2"/>
  </w:num>
  <w:num w:numId="10" w16cid:durableId="276716079">
    <w:abstractNumId w:val="1"/>
  </w:num>
  <w:num w:numId="11" w16cid:durableId="1362628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E29"/>
    <w:rsid w:val="00001CB0"/>
    <w:rsid w:val="0000216B"/>
    <w:rsid w:val="00002371"/>
    <w:rsid w:val="0000249D"/>
    <w:rsid w:val="000038C3"/>
    <w:rsid w:val="00003EB0"/>
    <w:rsid w:val="000044F6"/>
    <w:rsid w:val="00004568"/>
    <w:rsid w:val="00004F4D"/>
    <w:rsid w:val="00005C6D"/>
    <w:rsid w:val="00006BCE"/>
    <w:rsid w:val="00006BE6"/>
    <w:rsid w:val="00007625"/>
    <w:rsid w:val="00007AA0"/>
    <w:rsid w:val="000114B2"/>
    <w:rsid w:val="0001282F"/>
    <w:rsid w:val="00013680"/>
    <w:rsid w:val="00013F6E"/>
    <w:rsid w:val="00014C3E"/>
    <w:rsid w:val="000174CC"/>
    <w:rsid w:val="000214A7"/>
    <w:rsid w:val="0002154A"/>
    <w:rsid w:val="00021CB9"/>
    <w:rsid w:val="00021F20"/>
    <w:rsid w:val="0002232F"/>
    <w:rsid w:val="00022364"/>
    <w:rsid w:val="000225EC"/>
    <w:rsid w:val="00022737"/>
    <w:rsid w:val="0002281E"/>
    <w:rsid w:val="00023DE2"/>
    <w:rsid w:val="00023FAC"/>
    <w:rsid w:val="00024124"/>
    <w:rsid w:val="00024565"/>
    <w:rsid w:val="00025134"/>
    <w:rsid w:val="000262B0"/>
    <w:rsid w:val="00027168"/>
    <w:rsid w:val="000272F6"/>
    <w:rsid w:val="0002732A"/>
    <w:rsid w:val="0002748A"/>
    <w:rsid w:val="0002798D"/>
    <w:rsid w:val="000302F2"/>
    <w:rsid w:val="000330A8"/>
    <w:rsid w:val="00033150"/>
    <w:rsid w:val="000356C7"/>
    <w:rsid w:val="000363BA"/>
    <w:rsid w:val="000365FF"/>
    <w:rsid w:val="0003690F"/>
    <w:rsid w:val="00036EA6"/>
    <w:rsid w:val="00037574"/>
    <w:rsid w:val="00040FF9"/>
    <w:rsid w:val="000417BD"/>
    <w:rsid w:val="0004231B"/>
    <w:rsid w:val="0004245C"/>
    <w:rsid w:val="000424CF"/>
    <w:rsid w:val="00042EAC"/>
    <w:rsid w:val="00043681"/>
    <w:rsid w:val="00043F03"/>
    <w:rsid w:val="00044C9E"/>
    <w:rsid w:val="0004562A"/>
    <w:rsid w:val="00045774"/>
    <w:rsid w:val="00045BEE"/>
    <w:rsid w:val="000509AE"/>
    <w:rsid w:val="000517A5"/>
    <w:rsid w:val="000521A7"/>
    <w:rsid w:val="00052838"/>
    <w:rsid w:val="000528F6"/>
    <w:rsid w:val="00052FE9"/>
    <w:rsid w:val="00053010"/>
    <w:rsid w:val="00053793"/>
    <w:rsid w:val="00053B77"/>
    <w:rsid w:val="00053EA2"/>
    <w:rsid w:val="0005416B"/>
    <w:rsid w:val="00055701"/>
    <w:rsid w:val="000557A8"/>
    <w:rsid w:val="000558C4"/>
    <w:rsid w:val="00055B98"/>
    <w:rsid w:val="00055DAD"/>
    <w:rsid w:val="000563D2"/>
    <w:rsid w:val="00056F0B"/>
    <w:rsid w:val="00056F5C"/>
    <w:rsid w:val="00057EF4"/>
    <w:rsid w:val="00060E8B"/>
    <w:rsid w:val="0006262D"/>
    <w:rsid w:val="00062DA2"/>
    <w:rsid w:val="000630A0"/>
    <w:rsid w:val="0006318B"/>
    <w:rsid w:val="000634AF"/>
    <w:rsid w:val="0006362B"/>
    <w:rsid w:val="0006372A"/>
    <w:rsid w:val="00063ACE"/>
    <w:rsid w:val="00064637"/>
    <w:rsid w:val="000648DE"/>
    <w:rsid w:val="00064B7B"/>
    <w:rsid w:val="00065299"/>
    <w:rsid w:val="00065A9C"/>
    <w:rsid w:val="00065C9B"/>
    <w:rsid w:val="00065E5F"/>
    <w:rsid w:val="00065EAF"/>
    <w:rsid w:val="000661CF"/>
    <w:rsid w:val="0006649B"/>
    <w:rsid w:val="000664B1"/>
    <w:rsid w:val="000706B3"/>
    <w:rsid w:val="00071071"/>
    <w:rsid w:val="000710C5"/>
    <w:rsid w:val="0007128A"/>
    <w:rsid w:val="00071826"/>
    <w:rsid w:val="00071C9B"/>
    <w:rsid w:val="0007215C"/>
    <w:rsid w:val="000725EC"/>
    <w:rsid w:val="00073003"/>
    <w:rsid w:val="00073236"/>
    <w:rsid w:val="000737DF"/>
    <w:rsid w:val="00074593"/>
    <w:rsid w:val="000745EC"/>
    <w:rsid w:val="00074F7E"/>
    <w:rsid w:val="00075096"/>
    <w:rsid w:val="00075B46"/>
    <w:rsid w:val="000765CF"/>
    <w:rsid w:val="000776A1"/>
    <w:rsid w:val="00077EE9"/>
    <w:rsid w:val="000806A7"/>
    <w:rsid w:val="00080D00"/>
    <w:rsid w:val="00081218"/>
    <w:rsid w:val="000821C1"/>
    <w:rsid w:val="000832AF"/>
    <w:rsid w:val="000832BB"/>
    <w:rsid w:val="00083369"/>
    <w:rsid w:val="0008336B"/>
    <w:rsid w:val="00084C52"/>
    <w:rsid w:val="000854A4"/>
    <w:rsid w:val="000864D9"/>
    <w:rsid w:val="00086AD5"/>
    <w:rsid w:val="00090135"/>
    <w:rsid w:val="00090173"/>
    <w:rsid w:val="00090E8E"/>
    <w:rsid w:val="0009124B"/>
    <w:rsid w:val="0009124C"/>
    <w:rsid w:val="00091274"/>
    <w:rsid w:val="000913F4"/>
    <w:rsid w:val="00091537"/>
    <w:rsid w:val="00091C18"/>
    <w:rsid w:val="00093072"/>
    <w:rsid w:val="00093BAD"/>
    <w:rsid w:val="00094456"/>
    <w:rsid w:val="00094FD4"/>
    <w:rsid w:val="000951ED"/>
    <w:rsid w:val="0009576E"/>
    <w:rsid w:val="000957C2"/>
    <w:rsid w:val="00096872"/>
    <w:rsid w:val="00096B04"/>
    <w:rsid w:val="00096CEA"/>
    <w:rsid w:val="00096D37"/>
    <w:rsid w:val="00096D7C"/>
    <w:rsid w:val="000973E7"/>
    <w:rsid w:val="00097C7A"/>
    <w:rsid w:val="000A0EFF"/>
    <w:rsid w:val="000A2310"/>
    <w:rsid w:val="000A289F"/>
    <w:rsid w:val="000A2E0E"/>
    <w:rsid w:val="000A3A6A"/>
    <w:rsid w:val="000A431D"/>
    <w:rsid w:val="000A524F"/>
    <w:rsid w:val="000A5510"/>
    <w:rsid w:val="000A5820"/>
    <w:rsid w:val="000A5F94"/>
    <w:rsid w:val="000A6500"/>
    <w:rsid w:val="000A6D46"/>
    <w:rsid w:val="000A6F94"/>
    <w:rsid w:val="000A7133"/>
    <w:rsid w:val="000B1300"/>
    <w:rsid w:val="000B1AAF"/>
    <w:rsid w:val="000B1D51"/>
    <w:rsid w:val="000B1E6B"/>
    <w:rsid w:val="000B1EA3"/>
    <w:rsid w:val="000B2A1A"/>
    <w:rsid w:val="000B2C58"/>
    <w:rsid w:val="000B336F"/>
    <w:rsid w:val="000B45E1"/>
    <w:rsid w:val="000B4C16"/>
    <w:rsid w:val="000B56C3"/>
    <w:rsid w:val="000B60B0"/>
    <w:rsid w:val="000B63F6"/>
    <w:rsid w:val="000B6C13"/>
    <w:rsid w:val="000B790E"/>
    <w:rsid w:val="000B7978"/>
    <w:rsid w:val="000B7C01"/>
    <w:rsid w:val="000C017E"/>
    <w:rsid w:val="000C029B"/>
    <w:rsid w:val="000C0BC0"/>
    <w:rsid w:val="000C2002"/>
    <w:rsid w:val="000C2CCC"/>
    <w:rsid w:val="000C391F"/>
    <w:rsid w:val="000C397C"/>
    <w:rsid w:val="000C3AF8"/>
    <w:rsid w:val="000C3FAE"/>
    <w:rsid w:val="000C42C3"/>
    <w:rsid w:val="000C44B0"/>
    <w:rsid w:val="000C4733"/>
    <w:rsid w:val="000C531D"/>
    <w:rsid w:val="000C54DA"/>
    <w:rsid w:val="000C5B96"/>
    <w:rsid w:val="000C6B74"/>
    <w:rsid w:val="000C7A2A"/>
    <w:rsid w:val="000D0ACF"/>
    <w:rsid w:val="000D0D3C"/>
    <w:rsid w:val="000D0E2F"/>
    <w:rsid w:val="000D23AF"/>
    <w:rsid w:val="000D27DD"/>
    <w:rsid w:val="000D2870"/>
    <w:rsid w:val="000D28ED"/>
    <w:rsid w:val="000D2B5C"/>
    <w:rsid w:val="000D37AA"/>
    <w:rsid w:val="000D4014"/>
    <w:rsid w:val="000D4595"/>
    <w:rsid w:val="000D6BD0"/>
    <w:rsid w:val="000D7B23"/>
    <w:rsid w:val="000E0A50"/>
    <w:rsid w:val="000E143E"/>
    <w:rsid w:val="000E1650"/>
    <w:rsid w:val="000E1849"/>
    <w:rsid w:val="000E1B3C"/>
    <w:rsid w:val="000E1C50"/>
    <w:rsid w:val="000E1F90"/>
    <w:rsid w:val="000E23D4"/>
    <w:rsid w:val="000E2438"/>
    <w:rsid w:val="000E29DE"/>
    <w:rsid w:val="000E2BA3"/>
    <w:rsid w:val="000E339A"/>
    <w:rsid w:val="000E37BD"/>
    <w:rsid w:val="000E3A2A"/>
    <w:rsid w:val="000E3BC3"/>
    <w:rsid w:val="000E41D7"/>
    <w:rsid w:val="000E42A4"/>
    <w:rsid w:val="000E4881"/>
    <w:rsid w:val="000E4CBA"/>
    <w:rsid w:val="000E6466"/>
    <w:rsid w:val="000E6A03"/>
    <w:rsid w:val="000E6FD6"/>
    <w:rsid w:val="000F0779"/>
    <w:rsid w:val="000F0B40"/>
    <w:rsid w:val="000F0C00"/>
    <w:rsid w:val="000F286A"/>
    <w:rsid w:val="000F28E5"/>
    <w:rsid w:val="000F2F34"/>
    <w:rsid w:val="000F437F"/>
    <w:rsid w:val="000F4B14"/>
    <w:rsid w:val="000F56CD"/>
    <w:rsid w:val="000F570F"/>
    <w:rsid w:val="000F5CAF"/>
    <w:rsid w:val="000F6A25"/>
    <w:rsid w:val="000F7305"/>
    <w:rsid w:val="001000C6"/>
    <w:rsid w:val="001003E6"/>
    <w:rsid w:val="001010EA"/>
    <w:rsid w:val="00101431"/>
    <w:rsid w:val="001015A3"/>
    <w:rsid w:val="001019F7"/>
    <w:rsid w:val="00102225"/>
    <w:rsid w:val="00102B25"/>
    <w:rsid w:val="00102C86"/>
    <w:rsid w:val="001030E7"/>
    <w:rsid w:val="001030FC"/>
    <w:rsid w:val="00103551"/>
    <w:rsid w:val="00103807"/>
    <w:rsid w:val="001047CE"/>
    <w:rsid w:val="00105964"/>
    <w:rsid w:val="00105D2F"/>
    <w:rsid w:val="001063ED"/>
    <w:rsid w:val="001072F6"/>
    <w:rsid w:val="0010736C"/>
    <w:rsid w:val="00107CF9"/>
    <w:rsid w:val="00107F58"/>
    <w:rsid w:val="00110184"/>
    <w:rsid w:val="001103FF"/>
    <w:rsid w:val="0011052D"/>
    <w:rsid w:val="0011343B"/>
    <w:rsid w:val="00113D21"/>
    <w:rsid w:val="00114A93"/>
    <w:rsid w:val="00114E7C"/>
    <w:rsid w:val="00114EC6"/>
    <w:rsid w:val="001152DB"/>
    <w:rsid w:val="00115C1C"/>
    <w:rsid w:val="0011634B"/>
    <w:rsid w:val="00116479"/>
    <w:rsid w:val="001164BC"/>
    <w:rsid w:val="0011772F"/>
    <w:rsid w:val="00117F3E"/>
    <w:rsid w:val="001209FC"/>
    <w:rsid w:val="00120B83"/>
    <w:rsid w:val="00120DB0"/>
    <w:rsid w:val="00120F36"/>
    <w:rsid w:val="0012114B"/>
    <w:rsid w:val="00121854"/>
    <w:rsid w:val="001221E5"/>
    <w:rsid w:val="001227B6"/>
    <w:rsid w:val="00122BB7"/>
    <w:rsid w:val="00123673"/>
    <w:rsid w:val="00123B91"/>
    <w:rsid w:val="00124EC1"/>
    <w:rsid w:val="00124FC5"/>
    <w:rsid w:val="00125106"/>
    <w:rsid w:val="001255D2"/>
    <w:rsid w:val="00125641"/>
    <w:rsid w:val="00125E9A"/>
    <w:rsid w:val="00125F47"/>
    <w:rsid w:val="00126A93"/>
    <w:rsid w:val="00127424"/>
    <w:rsid w:val="00127ADD"/>
    <w:rsid w:val="00127D15"/>
    <w:rsid w:val="00127DBB"/>
    <w:rsid w:val="0013037F"/>
    <w:rsid w:val="001305FE"/>
    <w:rsid w:val="0013071D"/>
    <w:rsid w:val="00130AB6"/>
    <w:rsid w:val="001325F8"/>
    <w:rsid w:val="001329BB"/>
    <w:rsid w:val="00132A9E"/>
    <w:rsid w:val="00133262"/>
    <w:rsid w:val="00133ADE"/>
    <w:rsid w:val="00134189"/>
    <w:rsid w:val="001353CA"/>
    <w:rsid w:val="0013546A"/>
    <w:rsid w:val="001355CF"/>
    <w:rsid w:val="00136D81"/>
    <w:rsid w:val="0013707F"/>
    <w:rsid w:val="0013721D"/>
    <w:rsid w:val="00137824"/>
    <w:rsid w:val="00137982"/>
    <w:rsid w:val="00140036"/>
    <w:rsid w:val="001403D1"/>
    <w:rsid w:val="001406EB"/>
    <w:rsid w:val="001407FE"/>
    <w:rsid w:val="001409D9"/>
    <w:rsid w:val="00140ADC"/>
    <w:rsid w:val="0014135B"/>
    <w:rsid w:val="00141624"/>
    <w:rsid w:val="00141858"/>
    <w:rsid w:val="00141BDA"/>
    <w:rsid w:val="00141C59"/>
    <w:rsid w:val="001421B2"/>
    <w:rsid w:val="00142289"/>
    <w:rsid w:val="00142B4B"/>
    <w:rsid w:val="00142D18"/>
    <w:rsid w:val="00142DC7"/>
    <w:rsid w:val="00143C7B"/>
    <w:rsid w:val="0014400D"/>
    <w:rsid w:val="00144471"/>
    <w:rsid w:val="00145119"/>
    <w:rsid w:val="001456FE"/>
    <w:rsid w:val="00145956"/>
    <w:rsid w:val="00145B59"/>
    <w:rsid w:val="00146AB6"/>
    <w:rsid w:val="001478B9"/>
    <w:rsid w:val="00147F90"/>
    <w:rsid w:val="00150410"/>
    <w:rsid w:val="00150468"/>
    <w:rsid w:val="00150495"/>
    <w:rsid w:val="001512B3"/>
    <w:rsid w:val="0015207B"/>
    <w:rsid w:val="00153114"/>
    <w:rsid w:val="001539C9"/>
    <w:rsid w:val="001541B7"/>
    <w:rsid w:val="0015489F"/>
    <w:rsid w:val="00156037"/>
    <w:rsid w:val="0015603A"/>
    <w:rsid w:val="001566DE"/>
    <w:rsid w:val="00156958"/>
    <w:rsid w:val="00156C96"/>
    <w:rsid w:val="001571C4"/>
    <w:rsid w:val="00160026"/>
    <w:rsid w:val="00161290"/>
    <w:rsid w:val="001619E6"/>
    <w:rsid w:val="00162033"/>
    <w:rsid w:val="0016280B"/>
    <w:rsid w:val="00163EB9"/>
    <w:rsid w:val="00164720"/>
    <w:rsid w:val="00164C6A"/>
    <w:rsid w:val="00165DB6"/>
    <w:rsid w:val="00165DF2"/>
    <w:rsid w:val="001662C6"/>
    <w:rsid w:val="00166313"/>
    <w:rsid w:val="00166952"/>
    <w:rsid w:val="00166ECB"/>
    <w:rsid w:val="001671B1"/>
    <w:rsid w:val="00167B76"/>
    <w:rsid w:val="0017029D"/>
    <w:rsid w:val="00170F4E"/>
    <w:rsid w:val="001712F2"/>
    <w:rsid w:val="0017223C"/>
    <w:rsid w:val="00172C54"/>
    <w:rsid w:val="0017373C"/>
    <w:rsid w:val="00174326"/>
    <w:rsid w:val="00174329"/>
    <w:rsid w:val="00174520"/>
    <w:rsid w:val="00174852"/>
    <w:rsid w:val="0017488A"/>
    <w:rsid w:val="00174922"/>
    <w:rsid w:val="00174DA7"/>
    <w:rsid w:val="001750D7"/>
    <w:rsid w:val="00175D4A"/>
    <w:rsid w:val="0017604F"/>
    <w:rsid w:val="001760EB"/>
    <w:rsid w:val="00177179"/>
    <w:rsid w:val="0017795C"/>
    <w:rsid w:val="00177B9C"/>
    <w:rsid w:val="001802D7"/>
    <w:rsid w:val="00180354"/>
    <w:rsid w:val="00180BA5"/>
    <w:rsid w:val="001812B1"/>
    <w:rsid w:val="0018171A"/>
    <w:rsid w:val="00181868"/>
    <w:rsid w:val="001827BA"/>
    <w:rsid w:val="00182810"/>
    <w:rsid w:val="00182D8A"/>
    <w:rsid w:val="00183069"/>
    <w:rsid w:val="00183551"/>
    <w:rsid w:val="001839B7"/>
    <w:rsid w:val="00183AEB"/>
    <w:rsid w:val="00183DBC"/>
    <w:rsid w:val="0018435D"/>
    <w:rsid w:val="00184D5C"/>
    <w:rsid w:val="0018506A"/>
    <w:rsid w:val="001859A3"/>
    <w:rsid w:val="001859AC"/>
    <w:rsid w:val="001866C0"/>
    <w:rsid w:val="0018670D"/>
    <w:rsid w:val="0018726F"/>
    <w:rsid w:val="00187E50"/>
    <w:rsid w:val="00187F48"/>
    <w:rsid w:val="0019072F"/>
    <w:rsid w:val="001920BB"/>
    <w:rsid w:val="001922DE"/>
    <w:rsid w:val="00192BFC"/>
    <w:rsid w:val="00192F85"/>
    <w:rsid w:val="00194129"/>
    <w:rsid w:val="00194867"/>
    <w:rsid w:val="00194B1A"/>
    <w:rsid w:val="001950F8"/>
    <w:rsid w:val="001954B6"/>
    <w:rsid w:val="001962D8"/>
    <w:rsid w:val="00196DA5"/>
    <w:rsid w:val="00197106"/>
    <w:rsid w:val="001976BF"/>
    <w:rsid w:val="00197758"/>
    <w:rsid w:val="00197CA1"/>
    <w:rsid w:val="001A5088"/>
    <w:rsid w:val="001A53D8"/>
    <w:rsid w:val="001A5480"/>
    <w:rsid w:val="001A5DD7"/>
    <w:rsid w:val="001A5F1E"/>
    <w:rsid w:val="001A60F0"/>
    <w:rsid w:val="001A62AA"/>
    <w:rsid w:val="001A645B"/>
    <w:rsid w:val="001A65B2"/>
    <w:rsid w:val="001A67E5"/>
    <w:rsid w:val="001A68E9"/>
    <w:rsid w:val="001A6DE7"/>
    <w:rsid w:val="001A775A"/>
    <w:rsid w:val="001A78BA"/>
    <w:rsid w:val="001A7902"/>
    <w:rsid w:val="001B1343"/>
    <w:rsid w:val="001B15C4"/>
    <w:rsid w:val="001B1839"/>
    <w:rsid w:val="001B1D44"/>
    <w:rsid w:val="001B1EEC"/>
    <w:rsid w:val="001B243A"/>
    <w:rsid w:val="001B2674"/>
    <w:rsid w:val="001B27B1"/>
    <w:rsid w:val="001B354F"/>
    <w:rsid w:val="001B35EB"/>
    <w:rsid w:val="001B3DEA"/>
    <w:rsid w:val="001B46B5"/>
    <w:rsid w:val="001B50FB"/>
    <w:rsid w:val="001B52F6"/>
    <w:rsid w:val="001B56E2"/>
    <w:rsid w:val="001B5D43"/>
    <w:rsid w:val="001B65D5"/>
    <w:rsid w:val="001B6CB6"/>
    <w:rsid w:val="001B76EC"/>
    <w:rsid w:val="001B7CD6"/>
    <w:rsid w:val="001C03E6"/>
    <w:rsid w:val="001C0A50"/>
    <w:rsid w:val="001C0CA8"/>
    <w:rsid w:val="001C1346"/>
    <w:rsid w:val="001C15ED"/>
    <w:rsid w:val="001C1CDF"/>
    <w:rsid w:val="001C2D5A"/>
    <w:rsid w:val="001C3BD9"/>
    <w:rsid w:val="001C48C9"/>
    <w:rsid w:val="001C49AC"/>
    <w:rsid w:val="001C4E26"/>
    <w:rsid w:val="001C66B0"/>
    <w:rsid w:val="001C6AEF"/>
    <w:rsid w:val="001C6C2B"/>
    <w:rsid w:val="001C7411"/>
    <w:rsid w:val="001C79D4"/>
    <w:rsid w:val="001C7E52"/>
    <w:rsid w:val="001D062A"/>
    <w:rsid w:val="001D21D7"/>
    <w:rsid w:val="001D2F33"/>
    <w:rsid w:val="001D3455"/>
    <w:rsid w:val="001D45AF"/>
    <w:rsid w:val="001D4A69"/>
    <w:rsid w:val="001D50A5"/>
    <w:rsid w:val="001D620E"/>
    <w:rsid w:val="001D62A2"/>
    <w:rsid w:val="001D63BE"/>
    <w:rsid w:val="001D7A4F"/>
    <w:rsid w:val="001D7D5C"/>
    <w:rsid w:val="001E024A"/>
    <w:rsid w:val="001E0846"/>
    <w:rsid w:val="001E0F2A"/>
    <w:rsid w:val="001E1AFA"/>
    <w:rsid w:val="001E243C"/>
    <w:rsid w:val="001E2453"/>
    <w:rsid w:val="001E2697"/>
    <w:rsid w:val="001E26D0"/>
    <w:rsid w:val="001E2796"/>
    <w:rsid w:val="001E2812"/>
    <w:rsid w:val="001E2ED6"/>
    <w:rsid w:val="001E3191"/>
    <w:rsid w:val="001E3782"/>
    <w:rsid w:val="001E452D"/>
    <w:rsid w:val="001E4FE5"/>
    <w:rsid w:val="001E538F"/>
    <w:rsid w:val="001E544B"/>
    <w:rsid w:val="001E547B"/>
    <w:rsid w:val="001E5977"/>
    <w:rsid w:val="001E6781"/>
    <w:rsid w:val="001E69F4"/>
    <w:rsid w:val="001E6BDE"/>
    <w:rsid w:val="001E6E2D"/>
    <w:rsid w:val="001E78CB"/>
    <w:rsid w:val="001E7E0D"/>
    <w:rsid w:val="001E7E7B"/>
    <w:rsid w:val="001F02DA"/>
    <w:rsid w:val="001F0404"/>
    <w:rsid w:val="001F0998"/>
    <w:rsid w:val="001F1277"/>
    <w:rsid w:val="001F133E"/>
    <w:rsid w:val="001F1368"/>
    <w:rsid w:val="001F2317"/>
    <w:rsid w:val="001F24A0"/>
    <w:rsid w:val="001F2D14"/>
    <w:rsid w:val="001F4DB9"/>
    <w:rsid w:val="001F4F71"/>
    <w:rsid w:val="001F4FB5"/>
    <w:rsid w:val="001F6308"/>
    <w:rsid w:val="001F6D6F"/>
    <w:rsid w:val="001F73C9"/>
    <w:rsid w:val="001F7425"/>
    <w:rsid w:val="001F7956"/>
    <w:rsid w:val="001F7BDE"/>
    <w:rsid w:val="001F7D2A"/>
    <w:rsid w:val="001F7DCC"/>
    <w:rsid w:val="001F7F02"/>
    <w:rsid w:val="00200D35"/>
    <w:rsid w:val="0020124B"/>
    <w:rsid w:val="00201952"/>
    <w:rsid w:val="00201B6C"/>
    <w:rsid w:val="00202437"/>
    <w:rsid w:val="00202953"/>
    <w:rsid w:val="0020311B"/>
    <w:rsid w:val="0020315D"/>
    <w:rsid w:val="002044CB"/>
    <w:rsid w:val="002046E8"/>
    <w:rsid w:val="00204B78"/>
    <w:rsid w:val="00204BB7"/>
    <w:rsid w:val="00206616"/>
    <w:rsid w:val="002071DE"/>
    <w:rsid w:val="00207836"/>
    <w:rsid w:val="00207A3A"/>
    <w:rsid w:val="002100E5"/>
    <w:rsid w:val="0021090D"/>
    <w:rsid w:val="00210A0E"/>
    <w:rsid w:val="00210A9B"/>
    <w:rsid w:val="0021127A"/>
    <w:rsid w:val="00211DA2"/>
    <w:rsid w:val="0021244F"/>
    <w:rsid w:val="0021278C"/>
    <w:rsid w:val="00212ACA"/>
    <w:rsid w:val="00212CF3"/>
    <w:rsid w:val="00212F60"/>
    <w:rsid w:val="0021399F"/>
    <w:rsid w:val="00213F36"/>
    <w:rsid w:val="002142DF"/>
    <w:rsid w:val="00214EC4"/>
    <w:rsid w:val="00214EDF"/>
    <w:rsid w:val="002157F2"/>
    <w:rsid w:val="0021594A"/>
    <w:rsid w:val="00215F37"/>
    <w:rsid w:val="002163BE"/>
    <w:rsid w:val="002165D1"/>
    <w:rsid w:val="00216AC9"/>
    <w:rsid w:val="00216E7E"/>
    <w:rsid w:val="00216F31"/>
    <w:rsid w:val="00216FBD"/>
    <w:rsid w:val="00217351"/>
    <w:rsid w:val="002222A8"/>
    <w:rsid w:val="00222AE8"/>
    <w:rsid w:val="00222D3E"/>
    <w:rsid w:val="002233D6"/>
    <w:rsid w:val="002235F5"/>
    <w:rsid w:val="00223971"/>
    <w:rsid w:val="00223A64"/>
    <w:rsid w:val="002240B3"/>
    <w:rsid w:val="002241A4"/>
    <w:rsid w:val="00225062"/>
    <w:rsid w:val="00225630"/>
    <w:rsid w:val="00226C2D"/>
    <w:rsid w:val="00226DDD"/>
    <w:rsid w:val="00226FD0"/>
    <w:rsid w:val="00227DDF"/>
    <w:rsid w:val="002307FF"/>
    <w:rsid w:val="00230A43"/>
    <w:rsid w:val="0023125A"/>
    <w:rsid w:val="00231EE1"/>
    <w:rsid w:val="002328D0"/>
    <w:rsid w:val="0023312F"/>
    <w:rsid w:val="00233F9E"/>
    <w:rsid w:val="00234134"/>
    <w:rsid w:val="00235228"/>
    <w:rsid w:val="002358A3"/>
    <w:rsid w:val="00235F48"/>
    <w:rsid w:val="002366CC"/>
    <w:rsid w:val="00236981"/>
    <w:rsid w:val="00237BF3"/>
    <w:rsid w:val="00237CA9"/>
    <w:rsid w:val="00237D77"/>
    <w:rsid w:val="00237EC9"/>
    <w:rsid w:val="00241378"/>
    <w:rsid w:val="00241779"/>
    <w:rsid w:val="0024195A"/>
    <w:rsid w:val="00241ED5"/>
    <w:rsid w:val="00242151"/>
    <w:rsid w:val="00242788"/>
    <w:rsid w:val="00243815"/>
    <w:rsid w:val="0024399B"/>
    <w:rsid w:val="00243F53"/>
    <w:rsid w:val="00244158"/>
    <w:rsid w:val="00245167"/>
    <w:rsid w:val="002452B3"/>
    <w:rsid w:val="00245359"/>
    <w:rsid w:val="00245889"/>
    <w:rsid w:val="0024589B"/>
    <w:rsid w:val="00245A10"/>
    <w:rsid w:val="00245C90"/>
    <w:rsid w:val="00245D19"/>
    <w:rsid w:val="00246B60"/>
    <w:rsid w:val="00246F42"/>
    <w:rsid w:val="00247286"/>
    <w:rsid w:val="002473B6"/>
    <w:rsid w:val="0024782F"/>
    <w:rsid w:val="002509BC"/>
    <w:rsid w:val="00251131"/>
    <w:rsid w:val="002512AE"/>
    <w:rsid w:val="00252089"/>
    <w:rsid w:val="002521FE"/>
    <w:rsid w:val="00252358"/>
    <w:rsid w:val="00252467"/>
    <w:rsid w:val="00252A0B"/>
    <w:rsid w:val="00252DFC"/>
    <w:rsid w:val="0025301B"/>
    <w:rsid w:val="00253903"/>
    <w:rsid w:val="00253A3D"/>
    <w:rsid w:val="00253D87"/>
    <w:rsid w:val="0025438A"/>
    <w:rsid w:val="00254453"/>
    <w:rsid w:val="002544AA"/>
    <w:rsid w:val="00254B69"/>
    <w:rsid w:val="00254DDA"/>
    <w:rsid w:val="002562B9"/>
    <w:rsid w:val="00256BD9"/>
    <w:rsid w:val="00257050"/>
    <w:rsid w:val="00257C81"/>
    <w:rsid w:val="00260113"/>
    <w:rsid w:val="00260413"/>
    <w:rsid w:val="00260724"/>
    <w:rsid w:val="0026091F"/>
    <w:rsid w:val="002622D3"/>
    <w:rsid w:val="00262499"/>
    <w:rsid w:val="00262640"/>
    <w:rsid w:val="00262B2D"/>
    <w:rsid w:val="002638D9"/>
    <w:rsid w:val="002639A8"/>
    <w:rsid w:val="00263A2B"/>
    <w:rsid w:val="00263D18"/>
    <w:rsid w:val="00264DA4"/>
    <w:rsid w:val="00264DB3"/>
    <w:rsid w:val="002657AA"/>
    <w:rsid w:val="002660FC"/>
    <w:rsid w:val="002666D6"/>
    <w:rsid w:val="00266956"/>
    <w:rsid w:val="002673EF"/>
    <w:rsid w:val="00270177"/>
    <w:rsid w:val="00270495"/>
    <w:rsid w:val="00271400"/>
    <w:rsid w:val="00271512"/>
    <w:rsid w:val="002716C7"/>
    <w:rsid w:val="00271C08"/>
    <w:rsid w:val="002724FF"/>
    <w:rsid w:val="00272C8F"/>
    <w:rsid w:val="002734B7"/>
    <w:rsid w:val="002756CA"/>
    <w:rsid w:val="00275BC2"/>
    <w:rsid w:val="0027624B"/>
    <w:rsid w:val="00276B2E"/>
    <w:rsid w:val="00277A7C"/>
    <w:rsid w:val="00277EBB"/>
    <w:rsid w:val="0028023F"/>
    <w:rsid w:val="0028026B"/>
    <w:rsid w:val="0028026D"/>
    <w:rsid w:val="00280B96"/>
    <w:rsid w:val="00280C37"/>
    <w:rsid w:val="00280F30"/>
    <w:rsid w:val="002812A6"/>
    <w:rsid w:val="002818B2"/>
    <w:rsid w:val="00282A3E"/>
    <w:rsid w:val="00284099"/>
    <w:rsid w:val="002851A5"/>
    <w:rsid w:val="0028544C"/>
    <w:rsid w:val="00285FCB"/>
    <w:rsid w:val="00286960"/>
    <w:rsid w:val="00286E20"/>
    <w:rsid w:val="002871CD"/>
    <w:rsid w:val="002873D8"/>
    <w:rsid w:val="00287E32"/>
    <w:rsid w:val="00287FE2"/>
    <w:rsid w:val="002911A0"/>
    <w:rsid w:val="0029133D"/>
    <w:rsid w:val="00291472"/>
    <w:rsid w:val="00291ACB"/>
    <w:rsid w:val="00291CBB"/>
    <w:rsid w:val="00291D82"/>
    <w:rsid w:val="002923A7"/>
    <w:rsid w:val="002930D8"/>
    <w:rsid w:val="0029322E"/>
    <w:rsid w:val="00294201"/>
    <w:rsid w:val="0029452C"/>
    <w:rsid w:val="00294729"/>
    <w:rsid w:val="00294C72"/>
    <w:rsid w:val="002956DE"/>
    <w:rsid w:val="00295841"/>
    <w:rsid w:val="0029600D"/>
    <w:rsid w:val="00297977"/>
    <w:rsid w:val="002A000A"/>
    <w:rsid w:val="002A017A"/>
    <w:rsid w:val="002A0655"/>
    <w:rsid w:val="002A0E98"/>
    <w:rsid w:val="002A0EAE"/>
    <w:rsid w:val="002A1016"/>
    <w:rsid w:val="002A159C"/>
    <w:rsid w:val="002A1D66"/>
    <w:rsid w:val="002A1E97"/>
    <w:rsid w:val="002A22C9"/>
    <w:rsid w:val="002A2807"/>
    <w:rsid w:val="002A2EFF"/>
    <w:rsid w:val="002A34D3"/>
    <w:rsid w:val="002A3B3D"/>
    <w:rsid w:val="002A3F2D"/>
    <w:rsid w:val="002A4C7D"/>
    <w:rsid w:val="002A5102"/>
    <w:rsid w:val="002A51A5"/>
    <w:rsid w:val="002A5B75"/>
    <w:rsid w:val="002A63F9"/>
    <w:rsid w:val="002A686A"/>
    <w:rsid w:val="002A6B19"/>
    <w:rsid w:val="002A747E"/>
    <w:rsid w:val="002B0372"/>
    <w:rsid w:val="002B14B2"/>
    <w:rsid w:val="002B15A7"/>
    <w:rsid w:val="002B1DB6"/>
    <w:rsid w:val="002B2055"/>
    <w:rsid w:val="002B237E"/>
    <w:rsid w:val="002B26B1"/>
    <w:rsid w:val="002B275C"/>
    <w:rsid w:val="002B2843"/>
    <w:rsid w:val="002B3206"/>
    <w:rsid w:val="002B34FB"/>
    <w:rsid w:val="002B3541"/>
    <w:rsid w:val="002B4166"/>
    <w:rsid w:val="002B58AA"/>
    <w:rsid w:val="002B5BD5"/>
    <w:rsid w:val="002B64A0"/>
    <w:rsid w:val="002B73F1"/>
    <w:rsid w:val="002B7A0F"/>
    <w:rsid w:val="002C01EF"/>
    <w:rsid w:val="002C0E5D"/>
    <w:rsid w:val="002C0ECD"/>
    <w:rsid w:val="002C12A5"/>
    <w:rsid w:val="002C1350"/>
    <w:rsid w:val="002C14FF"/>
    <w:rsid w:val="002C37D8"/>
    <w:rsid w:val="002C380B"/>
    <w:rsid w:val="002C389A"/>
    <w:rsid w:val="002C3D0D"/>
    <w:rsid w:val="002C487D"/>
    <w:rsid w:val="002C495C"/>
    <w:rsid w:val="002C59D6"/>
    <w:rsid w:val="002C5EE5"/>
    <w:rsid w:val="002C6441"/>
    <w:rsid w:val="002C67C1"/>
    <w:rsid w:val="002C785E"/>
    <w:rsid w:val="002C7F3E"/>
    <w:rsid w:val="002C7F87"/>
    <w:rsid w:val="002D04AE"/>
    <w:rsid w:val="002D08C3"/>
    <w:rsid w:val="002D12A9"/>
    <w:rsid w:val="002D1E82"/>
    <w:rsid w:val="002D22AA"/>
    <w:rsid w:val="002D29B8"/>
    <w:rsid w:val="002D32B8"/>
    <w:rsid w:val="002D3462"/>
    <w:rsid w:val="002D34B9"/>
    <w:rsid w:val="002D38CF"/>
    <w:rsid w:val="002D3D7A"/>
    <w:rsid w:val="002D4352"/>
    <w:rsid w:val="002D46E0"/>
    <w:rsid w:val="002D4AA9"/>
    <w:rsid w:val="002D4E64"/>
    <w:rsid w:val="002D5E0C"/>
    <w:rsid w:val="002D6470"/>
    <w:rsid w:val="002D6892"/>
    <w:rsid w:val="002D763F"/>
    <w:rsid w:val="002D7CB1"/>
    <w:rsid w:val="002E0397"/>
    <w:rsid w:val="002E15A4"/>
    <w:rsid w:val="002E1A05"/>
    <w:rsid w:val="002E39EA"/>
    <w:rsid w:val="002E5264"/>
    <w:rsid w:val="002E5631"/>
    <w:rsid w:val="002E56C2"/>
    <w:rsid w:val="002E5AB4"/>
    <w:rsid w:val="002E5F60"/>
    <w:rsid w:val="002E6557"/>
    <w:rsid w:val="002E65ED"/>
    <w:rsid w:val="002E6DD4"/>
    <w:rsid w:val="002E6E17"/>
    <w:rsid w:val="002F0B8D"/>
    <w:rsid w:val="002F1221"/>
    <w:rsid w:val="002F14CD"/>
    <w:rsid w:val="002F16F1"/>
    <w:rsid w:val="002F18E8"/>
    <w:rsid w:val="002F1A54"/>
    <w:rsid w:val="002F204B"/>
    <w:rsid w:val="002F244C"/>
    <w:rsid w:val="002F2E99"/>
    <w:rsid w:val="002F3C34"/>
    <w:rsid w:val="002F40A2"/>
    <w:rsid w:val="002F4CE1"/>
    <w:rsid w:val="002F5215"/>
    <w:rsid w:val="002F59F5"/>
    <w:rsid w:val="002F5F44"/>
    <w:rsid w:val="002F7D1A"/>
    <w:rsid w:val="002F7EC3"/>
    <w:rsid w:val="003004B8"/>
    <w:rsid w:val="003010D5"/>
    <w:rsid w:val="003011A2"/>
    <w:rsid w:val="00302104"/>
    <w:rsid w:val="003021A0"/>
    <w:rsid w:val="00302518"/>
    <w:rsid w:val="00302CB7"/>
    <w:rsid w:val="00302D05"/>
    <w:rsid w:val="00302D55"/>
    <w:rsid w:val="003041E6"/>
    <w:rsid w:val="00304399"/>
    <w:rsid w:val="00304A27"/>
    <w:rsid w:val="00304C39"/>
    <w:rsid w:val="00305453"/>
    <w:rsid w:val="00305B8B"/>
    <w:rsid w:val="00306984"/>
    <w:rsid w:val="0030742C"/>
    <w:rsid w:val="00307961"/>
    <w:rsid w:val="0031005F"/>
    <w:rsid w:val="00310708"/>
    <w:rsid w:val="00312073"/>
    <w:rsid w:val="00312391"/>
    <w:rsid w:val="003126FC"/>
    <w:rsid w:val="003133FA"/>
    <w:rsid w:val="003134BF"/>
    <w:rsid w:val="0031361E"/>
    <w:rsid w:val="00313FD3"/>
    <w:rsid w:val="00314D21"/>
    <w:rsid w:val="003160C9"/>
    <w:rsid w:val="00316AA4"/>
    <w:rsid w:val="0031747C"/>
    <w:rsid w:val="00320057"/>
    <w:rsid w:val="003205E4"/>
    <w:rsid w:val="00321A7F"/>
    <w:rsid w:val="00321B0B"/>
    <w:rsid w:val="00321D8B"/>
    <w:rsid w:val="0032300D"/>
    <w:rsid w:val="003235B0"/>
    <w:rsid w:val="00323B13"/>
    <w:rsid w:val="00324300"/>
    <w:rsid w:val="003249A8"/>
    <w:rsid w:val="00324B2D"/>
    <w:rsid w:val="00324DFF"/>
    <w:rsid w:val="00325BDD"/>
    <w:rsid w:val="00326CF7"/>
    <w:rsid w:val="00327434"/>
    <w:rsid w:val="00327BD2"/>
    <w:rsid w:val="00327C0A"/>
    <w:rsid w:val="003304EB"/>
    <w:rsid w:val="00330618"/>
    <w:rsid w:val="003306D9"/>
    <w:rsid w:val="00330BD6"/>
    <w:rsid w:val="003318D9"/>
    <w:rsid w:val="00331A77"/>
    <w:rsid w:val="00331B61"/>
    <w:rsid w:val="00332136"/>
    <w:rsid w:val="003326D7"/>
    <w:rsid w:val="0033299F"/>
    <w:rsid w:val="00332DA3"/>
    <w:rsid w:val="003336F4"/>
    <w:rsid w:val="0033418F"/>
    <w:rsid w:val="003342CD"/>
    <w:rsid w:val="00334C75"/>
    <w:rsid w:val="00335818"/>
    <w:rsid w:val="00335B43"/>
    <w:rsid w:val="00335D4F"/>
    <w:rsid w:val="00335E9B"/>
    <w:rsid w:val="0033671B"/>
    <w:rsid w:val="00336AA7"/>
    <w:rsid w:val="003403BD"/>
    <w:rsid w:val="00340716"/>
    <w:rsid w:val="00340C88"/>
    <w:rsid w:val="00340EC9"/>
    <w:rsid w:val="00340ECB"/>
    <w:rsid w:val="003410A1"/>
    <w:rsid w:val="00341137"/>
    <w:rsid w:val="003425C5"/>
    <w:rsid w:val="003428C3"/>
    <w:rsid w:val="00342D19"/>
    <w:rsid w:val="00344162"/>
    <w:rsid w:val="003448A2"/>
    <w:rsid w:val="00345F86"/>
    <w:rsid w:val="003465C9"/>
    <w:rsid w:val="003474AC"/>
    <w:rsid w:val="00347C7A"/>
    <w:rsid w:val="0035080F"/>
    <w:rsid w:val="003509E4"/>
    <w:rsid w:val="00350AFC"/>
    <w:rsid w:val="00350E50"/>
    <w:rsid w:val="00351151"/>
    <w:rsid w:val="003519B1"/>
    <w:rsid w:val="00351FF4"/>
    <w:rsid w:val="003524AB"/>
    <w:rsid w:val="00352A5D"/>
    <w:rsid w:val="00352C31"/>
    <w:rsid w:val="003533FB"/>
    <w:rsid w:val="00353650"/>
    <w:rsid w:val="00354487"/>
    <w:rsid w:val="0035451E"/>
    <w:rsid w:val="00354CF1"/>
    <w:rsid w:val="00355218"/>
    <w:rsid w:val="003560FB"/>
    <w:rsid w:val="00356208"/>
    <w:rsid w:val="00356B17"/>
    <w:rsid w:val="00357DFB"/>
    <w:rsid w:val="00357EFD"/>
    <w:rsid w:val="00357F3D"/>
    <w:rsid w:val="00360CF5"/>
    <w:rsid w:val="00360F0A"/>
    <w:rsid w:val="00360F16"/>
    <w:rsid w:val="00361151"/>
    <w:rsid w:val="0036118D"/>
    <w:rsid w:val="003623F4"/>
    <w:rsid w:val="0036251B"/>
    <w:rsid w:val="003638A7"/>
    <w:rsid w:val="00363C20"/>
    <w:rsid w:val="00363D68"/>
    <w:rsid w:val="00364887"/>
    <w:rsid w:val="003649EF"/>
    <w:rsid w:val="00364FF1"/>
    <w:rsid w:val="00365C99"/>
    <w:rsid w:val="00366455"/>
    <w:rsid w:val="00366B77"/>
    <w:rsid w:val="003670FB"/>
    <w:rsid w:val="00367348"/>
    <w:rsid w:val="00367D6F"/>
    <w:rsid w:val="00370600"/>
    <w:rsid w:val="00370B8D"/>
    <w:rsid w:val="003711E6"/>
    <w:rsid w:val="00371A26"/>
    <w:rsid w:val="00371D79"/>
    <w:rsid w:val="00371FFC"/>
    <w:rsid w:val="003723F9"/>
    <w:rsid w:val="00372CD6"/>
    <w:rsid w:val="00373705"/>
    <w:rsid w:val="00373C1A"/>
    <w:rsid w:val="0037442F"/>
    <w:rsid w:val="0037453C"/>
    <w:rsid w:val="003747FB"/>
    <w:rsid w:val="00375166"/>
    <w:rsid w:val="0037517C"/>
    <w:rsid w:val="0037520D"/>
    <w:rsid w:val="00375498"/>
    <w:rsid w:val="003757ED"/>
    <w:rsid w:val="00375966"/>
    <w:rsid w:val="003759DB"/>
    <w:rsid w:val="00375B2A"/>
    <w:rsid w:val="00376033"/>
    <w:rsid w:val="003764A2"/>
    <w:rsid w:val="0037713C"/>
    <w:rsid w:val="00377154"/>
    <w:rsid w:val="00377882"/>
    <w:rsid w:val="00377ADE"/>
    <w:rsid w:val="003800CE"/>
    <w:rsid w:val="00380E45"/>
    <w:rsid w:val="003817D8"/>
    <w:rsid w:val="00382367"/>
    <w:rsid w:val="00382744"/>
    <w:rsid w:val="00384350"/>
    <w:rsid w:val="00384B94"/>
    <w:rsid w:val="00384D17"/>
    <w:rsid w:val="003857C2"/>
    <w:rsid w:val="00385866"/>
    <w:rsid w:val="003860FA"/>
    <w:rsid w:val="00387973"/>
    <w:rsid w:val="00387D05"/>
    <w:rsid w:val="00390579"/>
    <w:rsid w:val="00390BE3"/>
    <w:rsid w:val="003926BB"/>
    <w:rsid w:val="003927DF"/>
    <w:rsid w:val="0039296B"/>
    <w:rsid w:val="003929AD"/>
    <w:rsid w:val="00392CD5"/>
    <w:rsid w:val="00394528"/>
    <w:rsid w:val="00395308"/>
    <w:rsid w:val="00395CD0"/>
    <w:rsid w:val="00396817"/>
    <w:rsid w:val="003970FA"/>
    <w:rsid w:val="00397F57"/>
    <w:rsid w:val="003A0A7C"/>
    <w:rsid w:val="003A13CD"/>
    <w:rsid w:val="003A16C8"/>
    <w:rsid w:val="003A18CD"/>
    <w:rsid w:val="003A1BF7"/>
    <w:rsid w:val="003A1DEE"/>
    <w:rsid w:val="003A38B8"/>
    <w:rsid w:val="003A3AC6"/>
    <w:rsid w:val="003A41F0"/>
    <w:rsid w:val="003A501C"/>
    <w:rsid w:val="003A5A48"/>
    <w:rsid w:val="003A68F9"/>
    <w:rsid w:val="003A6C42"/>
    <w:rsid w:val="003A6E1B"/>
    <w:rsid w:val="003A6F9E"/>
    <w:rsid w:val="003A7FBC"/>
    <w:rsid w:val="003B13A2"/>
    <w:rsid w:val="003B31C0"/>
    <w:rsid w:val="003B31FF"/>
    <w:rsid w:val="003B3FCD"/>
    <w:rsid w:val="003B4623"/>
    <w:rsid w:val="003B46A4"/>
    <w:rsid w:val="003B4740"/>
    <w:rsid w:val="003B4E10"/>
    <w:rsid w:val="003B5386"/>
    <w:rsid w:val="003B6084"/>
    <w:rsid w:val="003B6416"/>
    <w:rsid w:val="003B6740"/>
    <w:rsid w:val="003B69CF"/>
    <w:rsid w:val="003B73DE"/>
    <w:rsid w:val="003B77E5"/>
    <w:rsid w:val="003B795C"/>
    <w:rsid w:val="003B7E4B"/>
    <w:rsid w:val="003C0AC0"/>
    <w:rsid w:val="003C1AC0"/>
    <w:rsid w:val="003C1DBB"/>
    <w:rsid w:val="003C2482"/>
    <w:rsid w:val="003C24AD"/>
    <w:rsid w:val="003C3A1C"/>
    <w:rsid w:val="003C3C8B"/>
    <w:rsid w:val="003C44E9"/>
    <w:rsid w:val="003C47A6"/>
    <w:rsid w:val="003C47BA"/>
    <w:rsid w:val="003C621F"/>
    <w:rsid w:val="003C62E3"/>
    <w:rsid w:val="003C6479"/>
    <w:rsid w:val="003C7331"/>
    <w:rsid w:val="003C74E7"/>
    <w:rsid w:val="003C778F"/>
    <w:rsid w:val="003D0BC2"/>
    <w:rsid w:val="003D0FA6"/>
    <w:rsid w:val="003D18D1"/>
    <w:rsid w:val="003D1CA7"/>
    <w:rsid w:val="003D223B"/>
    <w:rsid w:val="003D23B2"/>
    <w:rsid w:val="003D357A"/>
    <w:rsid w:val="003D3C2A"/>
    <w:rsid w:val="003D3D0E"/>
    <w:rsid w:val="003D40F8"/>
    <w:rsid w:val="003D4528"/>
    <w:rsid w:val="003D4A98"/>
    <w:rsid w:val="003D4C50"/>
    <w:rsid w:val="003D540B"/>
    <w:rsid w:val="003D5629"/>
    <w:rsid w:val="003D5950"/>
    <w:rsid w:val="003D5EB0"/>
    <w:rsid w:val="003D5F25"/>
    <w:rsid w:val="003D6928"/>
    <w:rsid w:val="003D7389"/>
    <w:rsid w:val="003D754C"/>
    <w:rsid w:val="003D78EC"/>
    <w:rsid w:val="003E0E4E"/>
    <w:rsid w:val="003E13CF"/>
    <w:rsid w:val="003E17C8"/>
    <w:rsid w:val="003E1FF0"/>
    <w:rsid w:val="003E2410"/>
    <w:rsid w:val="003E2CFE"/>
    <w:rsid w:val="003E3B23"/>
    <w:rsid w:val="003E410C"/>
    <w:rsid w:val="003E42BE"/>
    <w:rsid w:val="003E438B"/>
    <w:rsid w:val="003E4BF2"/>
    <w:rsid w:val="003E5723"/>
    <w:rsid w:val="003E57E8"/>
    <w:rsid w:val="003E7ADA"/>
    <w:rsid w:val="003F0461"/>
    <w:rsid w:val="003F06D6"/>
    <w:rsid w:val="003F0EF2"/>
    <w:rsid w:val="003F1113"/>
    <w:rsid w:val="003F146E"/>
    <w:rsid w:val="003F21E0"/>
    <w:rsid w:val="003F2522"/>
    <w:rsid w:val="003F2697"/>
    <w:rsid w:val="003F3770"/>
    <w:rsid w:val="003F41A1"/>
    <w:rsid w:val="003F4692"/>
    <w:rsid w:val="003F5155"/>
    <w:rsid w:val="003F5275"/>
    <w:rsid w:val="003F5BF4"/>
    <w:rsid w:val="003F631B"/>
    <w:rsid w:val="003F6545"/>
    <w:rsid w:val="003F67D2"/>
    <w:rsid w:val="003F69C5"/>
    <w:rsid w:val="003F6BAC"/>
    <w:rsid w:val="003F6DBB"/>
    <w:rsid w:val="003F710D"/>
    <w:rsid w:val="003F71E6"/>
    <w:rsid w:val="003F7239"/>
    <w:rsid w:val="003F786C"/>
    <w:rsid w:val="003F7D4C"/>
    <w:rsid w:val="004007E3"/>
    <w:rsid w:val="00400E84"/>
    <w:rsid w:val="00400E8A"/>
    <w:rsid w:val="0040132B"/>
    <w:rsid w:val="00401854"/>
    <w:rsid w:val="00402204"/>
    <w:rsid w:val="00402770"/>
    <w:rsid w:val="004033FC"/>
    <w:rsid w:val="00403839"/>
    <w:rsid w:val="004049BD"/>
    <w:rsid w:val="00405429"/>
    <w:rsid w:val="004060AA"/>
    <w:rsid w:val="00406C0B"/>
    <w:rsid w:val="00407979"/>
    <w:rsid w:val="00410298"/>
    <w:rsid w:val="0041081E"/>
    <w:rsid w:val="00411AA8"/>
    <w:rsid w:val="00411F36"/>
    <w:rsid w:val="00412EB1"/>
    <w:rsid w:val="004137A1"/>
    <w:rsid w:val="004139AB"/>
    <w:rsid w:val="00413F0F"/>
    <w:rsid w:val="004140A5"/>
    <w:rsid w:val="00414188"/>
    <w:rsid w:val="00414313"/>
    <w:rsid w:val="004152CC"/>
    <w:rsid w:val="004153D1"/>
    <w:rsid w:val="004157C6"/>
    <w:rsid w:val="0041586E"/>
    <w:rsid w:val="0041620C"/>
    <w:rsid w:val="004164EC"/>
    <w:rsid w:val="00416537"/>
    <w:rsid w:val="004171D4"/>
    <w:rsid w:val="00417914"/>
    <w:rsid w:val="00417C20"/>
    <w:rsid w:val="00417DE6"/>
    <w:rsid w:val="0042048A"/>
    <w:rsid w:val="004209F0"/>
    <w:rsid w:val="00421558"/>
    <w:rsid w:val="00421C12"/>
    <w:rsid w:val="00421C50"/>
    <w:rsid w:val="00421E00"/>
    <w:rsid w:val="00422001"/>
    <w:rsid w:val="0042338D"/>
    <w:rsid w:val="00423430"/>
    <w:rsid w:val="004234BE"/>
    <w:rsid w:val="00423606"/>
    <w:rsid w:val="00424093"/>
    <w:rsid w:val="00425D89"/>
    <w:rsid w:val="00425E3F"/>
    <w:rsid w:val="00426BEA"/>
    <w:rsid w:val="00426F66"/>
    <w:rsid w:val="00427406"/>
    <w:rsid w:val="0042785C"/>
    <w:rsid w:val="00427BDD"/>
    <w:rsid w:val="00430852"/>
    <w:rsid w:val="00430C4F"/>
    <w:rsid w:val="00430ED3"/>
    <w:rsid w:val="00431A7D"/>
    <w:rsid w:val="00431B83"/>
    <w:rsid w:val="00432BD8"/>
    <w:rsid w:val="004330DA"/>
    <w:rsid w:val="0043421E"/>
    <w:rsid w:val="00434BF4"/>
    <w:rsid w:val="00435007"/>
    <w:rsid w:val="00435D4B"/>
    <w:rsid w:val="00436304"/>
    <w:rsid w:val="0043771C"/>
    <w:rsid w:val="00437AB3"/>
    <w:rsid w:val="00437B70"/>
    <w:rsid w:val="00441BC2"/>
    <w:rsid w:val="004428BD"/>
    <w:rsid w:val="00442A0D"/>
    <w:rsid w:val="00442E34"/>
    <w:rsid w:val="00443320"/>
    <w:rsid w:val="00444801"/>
    <w:rsid w:val="004459E6"/>
    <w:rsid w:val="00446133"/>
    <w:rsid w:val="004461DC"/>
    <w:rsid w:val="004465D9"/>
    <w:rsid w:val="0044674E"/>
    <w:rsid w:val="004467ED"/>
    <w:rsid w:val="00446956"/>
    <w:rsid w:val="004471F5"/>
    <w:rsid w:val="00447EEF"/>
    <w:rsid w:val="0045157D"/>
    <w:rsid w:val="004515C4"/>
    <w:rsid w:val="00451A73"/>
    <w:rsid w:val="00452906"/>
    <w:rsid w:val="0045361F"/>
    <w:rsid w:val="004539D3"/>
    <w:rsid w:val="0045415D"/>
    <w:rsid w:val="004541CA"/>
    <w:rsid w:val="00454240"/>
    <w:rsid w:val="00454281"/>
    <w:rsid w:val="0045440B"/>
    <w:rsid w:val="004545CF"/>
    <w:rsid w:val="00454A53"/>
    <w:rsid w:val="00456B7B"/>
    <w:rsid w:val="0045762E"/>
    <w:rsid w:val="00457871"/>
    <w:rsid w:val="00460765"/>
    <w:rsid w:val="004609F8"/>
    <w:rsid w:val="00460D55"/>
    <w:rsid w:val="004611FC"/>
    <w:rsid w:val="00461659"/>
    <w:rsid w:val="00461C58"/>
    <w:rsid w:val="00461E7C"/>
    <w:rsid w:val="004624E8"/>
    <w:rsid w:val="004634F4"/>
    <w:rsid w:val="004643E6"/>
    <w:rsid w:val="00465435"/>
    <w:rsid w:val="00465601"/>
    <w:rsid w:val="004660F1"/>
    <w:rsid w:val="00466409"/>
    <w:rsid w:val="00466817"/>
    <w:rsid w:val="00466CA8"/>
    <w:rsid w:val="00466DB8"/>
    <w:rsid w:val="00467144"/>
    <w:rsid w:val="00467E0D"/>
    <w:rsid w:val="004702EA"/>
    <w:rsid w:val="00470B6D"/>
    <w:rsid w:val="004712A1"/>
    <w:rsid w:val="004715B6"/>
    <w:rsid w:val="00471855"/>
    <w:rsid w:val="00471B2B"/>
    <w:rsid w:val="00471B84"/>
    <w:rsid w:val="00471DF1"/>
    <w:rsid w:val="004722BB"/>
    <w:rsid w:val="00472AC8"/>
    <w:rsid w:val="0047328E"/>
    <w:rsid w:val="004738F4"/>
    <w:rsid w:val="00473F16"/>
    <w:rsid w:val="00473F19"/>
    <w:rsid w:val="0047453C"/>
    <w:rsid w:val="004750A6"/>
    <w:rsid w:val="00476D2B"/>
    <w:rsid w:val="0047715A"/>
    <w:rsid w:val="004776F2"/>
    <w:rsid w:val="00480E43"/>
    <w:rsid w:val="004813AC"/>
    <w:rsid w:val="004815C7"/>
    <w:rsid w:val="00481720"/>
    <w:rsid w:val="00481C01"/>
    <w:rsid w:val="00481C7E"/>
    <w:rsid w:val="004822FA"/>
    <w:rsid w:val="0048252F"/>
    <w:rsid w:val="00483A86"/>
    <w:rsid w:val="00483F6F"/>
    <w:rsid w:val="00484EEC"/>
    <w:rsid w:val="00484FD5"/>
    <w:rsid w:val="004857E4"/>
    <w:rsid w:val="00485B59"/>
    <w:rsid w:val="00486578"/>
    <w:rsid w:val="0048679E"/>
    <w:rsid w:val="004869E5"/>
    <w:rsid w:val="00486B00"/>
    <w:rsid w:val="004873C2"/>
    <w:rsid w:val="00487B51"/>
    <w:rsid w:val="0049019A"/>
    <w:rsid w:val="004913DB"/>
    <w:rsid w:val="004917ED"/>
    <w:rsid w:val="0049192E"/>
    <w:rsid w:val="00491D95"/>
    <w:rsid w:val="00492F66"/>
    <w:rsid w:val="0049392F"/>
    <w:rsid w:val="00493FF3"/>
    <w:rsid w:val="0049499D"/>
    <w:rsid w:val="0049549C"/>
    <w:rsid w:val="00495C45"/>
    <w:rsid w:val="0049659A"/>
    <w:rsid w:val="00496C8C"/>
    <w:rsid w:val="00497CFD"/>
    <w:rsid w:val="00497D51"/>
    <w:rsid w:val="004A03FB"/>
    <w:rsid w:val="004A1126"/>
    <w:rsid w:val="004A15AF"/>
    <w:rsid w:val="004A1EE4"/>
    <w:rsid w:val="004A1F17"/>
    <w:rsid w:val="004A2BCD"/>
    <w:rsid w:val="004A2F96"/>
    <w:rsid w:val="004A3427"/>
    <w:rsid w:val="004A45F6"/>
    <w:rsid w:val="004A4B68"/>
    <w:rsid w:val="004A533C"/>
    <w:rsid w:val="004A568B"/>
    <w:rsid w:val="004A5793"/>
    <w:rsid w:val="004A5C5C"/>
    <w:rsid w:val="004A605D"/>
    <w:rsid w:val="004A6BDC"/>
    <w:rsid w:val="004A6DDF"/>
    <w:rsid w:val="004A771D"/>
    <w:rsid w:val="004B0690"/>
    <w:rsid w:val="004B074D"/>
    <w:rsid w:val="004B1BFC"/>
    <w:rsid w:val="004B3BB6"/>
    <w:rsid w:val="004B44D0"/>
    <w:rsid w:val="004B4871"/>
    <w:rsid w:val="004B49BA"/>
    <w:rsid w:val="004B4AC2"/>
    <w:rsid w:val="004B4C8D"/>
    <w:rsid w:val="004B52C7"/>
    <w:rsid w:val="004B53AE"/>
    <w:rsid w:val="004B5DB6"/>
    <w:rsid w:val="004B679F"/>
    <w:rsid w:val="004B6DBB"/>
    <w:rsid w:val="004B6F6E"/>
    <w:rsid w:val="004B7B69"/>
    <w:rsid w:val="004C0836"/>
    <w:rsid w:val="004C0B34"/>
    <w:rsid w:val="004C16C9"/>
    <w:rsid w:val="004C2343"/>
    <w:rsid w:val="004C24BB"/>
    <w:rsid w:val="004C2769"/>
    <w:rsid w:val="004C30AE"/>
    <w:rsid w:val="004C3869"/>
    <w:rsid w:val="004C3DB3"/>
    <w:rsid w:val="004C4120"/>
    <w:rsid w:val="004C43EE"/>
    <w:rsid w:val="004C49B8"/>
    <w:rsid w:val="004C522B"/>
    <w:rsid w:val="004C5ADF"/>
    <w:rsid w:val="004C5B4E"/>
    <w:rsid w:val="004C5D76"/>
    <w:rsid w:val="004C62EB"/>
    <w:rsid w:val="004C65BA"/>
    <w:rsid w:val="004C692A"/>
    <w:rsid w:val="004C6C1E"/>
    <w:rsid w:val="004C6E90"/>
    <w:rsid w:val="004D008B"/>
    <w:rsid w:val="004D05D9"/>
    <w:rsid w:val="004D0D90"/>
    <w:rsid w:val="004D1CC8"/>
    <w:rsid w:val="004D1CCB"/>
    <w:rsid w:val="004D3BFC"/>
    <w:rsid w:val="004D3D62"/>
    <w:rsid w:val="004D45A9"/>
    <w:rsid w:val="004D565E"/>
    <w:rsid w:val="004D56C9"/>
    <w:rsid w:val="004D59A4"/>
    <w:rsid w:val="004D6213"/>
    <w:rsid w:val="004D6873"/>
    <w:rsid w:val="004D6D03"/>
    <w:rsid w:val="004D70C4"/>
    <w:rsid w:val="004D721B"/>
    <w:rsid w:val="004D73D5"/>
    <w:rsid w:val="004D7792"/>
    <w:rsid w:val="004D7C31"/>
    <w:rsid w:val="004D7DE8"/>
    <w:rsid w:val="004E00FA"/>
    <w:rsid w:val="004E1CDE"/>
    <w:rsid w:val="004E2010"/>
    <w:rsid w:val="004E2163"/>
    <w:rsid w:val="004E2898"/>
    <w:rsid w:val="004E3186"/>
    <w:rsid w:val="004E3D91"/>
    <w:rsid w:val="004E4253"/>
    <w:rsid w:val="004E4C26"/>
    <w:rsid w:val="004E4C33"/>
    <w:rsid w:val="004E51B5"/>
    <w:rsid w:val="004E6B89"/>
    <w:rsid w:val="004E6BB4"/>
    <w:rsid w:val="004E6E9D"/>
    <w:rsid w:val="004E73A7"/>
    <w:rsid w:val="004E74A3"/>
    <w:rsid w:val="004E7718"/>
    <w:rsid w:val="004E77C9"/>
    <w:rsid w:val="004E7F89"/>
    <w:rsid w:val="004F032E"/>
    <w:rsid w:val="004F03FD"/>
    <w:rsid w:val="004F062D"/>
    <w:rsid w:val="004F08AE"/>
    <w:rsid w:val="004F092B"/>
    <w:rsid w:val="004F0E64"/>
    <w:rsid w:val="004F105C"/>
    <w:rsid w:val="004F19BD"/>
    <w:rsid w:val="004F2C1D"/>
    <w:rsid w:val="004F2E66"/>
    <w:rsid w:val="004F342C"/>
    <w:rsid w:val="004F3502"/>
    <w:rsid w:val="004F3A0E"/>
    <w:rsid w:val="004F3B3B"/>
    <w:rsid w:val="004F5026"/>
    <w:rsid w:val="004F5723"/>
    <w:rsid w:val="004F6417"/>
    <w:rsid w:val="004F73D9"/>
    <w:rsid w:val="004F7507"/>
    <w:rsid w:val="004F77A3"/>
    <w:rsid w:val="004F7F11"/>
    <w:rsid w:val="005001F2"/>
    <w:rsid w:val="005002A3"/>
    <w:rsid w:val="00500C70"/>
    <w:rsid w:val="00500FD1"/>
    <w:rsid w:val="00500FE7"/>
    <w:rsid w:val="00501B59"/>
    <w:rsid w:val="00502A0E"/>
    <w:rsid w:val="00503009"/>
    <w:rsid w:val="00503B6F"/>
    <w:rsid w:val="00503F74"/>
    <w:rsid w:val="005041E7"/>
    <w:rsid w:val="00504239"/>
    <w:rsid w:val="005045E6"/>
    <w:rsid w:val="00505C70"/>
    <w:rsid w:val="00507222"/>
    <w:rsid w:val="0051021E"/>
    <w:rsid w:val="00511037"/>
    <w:rsid w:val="0051173F"/>
    <w:rsid w:val="00511E46"/>
    <w:rsid w:val="005122C3"/>
    <w:rsid w:val="00512353"/>
    <w:rsid w:val="00512B45"/>
    <w:rsid w:val="0051321A"/>
    <w:rsid w:val="00515028"/>
    <w:rsid w:val="00515C2E"/>
    <w:rsid w:val="00516A8B"/>
    <w:rsid w:val="0052023C"/>
    <w:rsid w:val="0052037B"/>
    <w:rsid w:val="0052071A"/>
    <w:rsid w:val="00522397"/>
    <w:rsid w:val="00522613"/>
    <w:rsid w:val="00522A37"/>
    <w:rsid w:val="0052393C"/>
    <w:rsid w:val="0052437C"/>
    <w:rsid w:val="00524A42"/>
    <w:rsid w:val="00525034"/>
    <w:rsid w:val="00525595"/>
    <w:rsid w:val="00525755"/>
    <w:rsid w:val="005259B5"/>
    <w:rsid w:val="005259DD"/>
    <w:rsid w:val="00526844"/>
    <w:rsid w:val="0052718E"/>
    <w:rsid w:val="005272CC"/>
    <w:rsid w:val="005272DB"/>
    <w:rsid w:val="00527768"/>
    <w:rsid w:val="00530CFF"/>
    <w:rsid w:val="0053127E"/>
    <w:rsid w:val="00531347"/>
    <w:rsid w:val="00531712"/>
    <w:rsid w:val="00531D4C"/>
    <w:rsid w:val="0053284E"/>
    <w:rsid w:val="00532A52"/>
    <w:rsid w:val="00532C08"/>
    <w:rsid w:val="005333A1"/>
    <w:rsid w:val="0053383C"/>
    <w:rsid w:val="005338E2"/>
    <w:rsid w:val="005339F5"/>
    <w:rsid w:val="00534308"/>
    <w:rsid w:val="005347BA"/>
    <w:rsid w:val="00534ACD"/>
    <w:rsid w:val="00535C7C"/>
    <w:rsid w:val="00535D93"/>
    <w:rsid w:val="005361F9"/>
    <w:rsid w:val="0053660A"/>
    <w:rsid w:val="0053709B"/>
    <w:rsid w:val="005376ED"/>
    <w:rsid w:val="00537A95"/>
    <w:rsid w:val="005403B3"/>
    <w:rsid w:val="005404CC"/>
    <w:rsid w:val="00541565"/>
    <w:rsid w:val="005418F5"/>
    <w:rsid w:val="005419E9"/>
    <w:rsid w:val="00541E61"/>
    <w:rsid w:val="00541E86"/>
    <w:rsid w:val="00542964"/>
    <w:rsid w:val="00542C67"/>
    <w:rsid w:val="00543891"/>
    <w:rsid w:val="00543B4F"/>
    <w:rsid w:val="00543DD7"/>
    <w:rsid w:val="00543EE4"/>
    <w:rsid w:val="00546C66"/>
    <w:rsid w:val="0054738E"/>
    <w:rsid w:val="005476D2"/>
    <w:rsid w:val="00550111"/>
    <w:rsid w:val="0055080D"/>
    <w:rsid w:val="00551203"/>
    <w:rsid w:val="005512A0"/>
    <w:rsid w:val="0055132F"/>
    <w:rsid w:val="00552387"/>
    <w:rsid w:val="00552F03"/>
    <w:rsid w:val="00553E93"/>
    <w:rsid w:val="0055482A"/>
    <w:rsid w:val="00555503"/>
    <w:rsid w:val="005568B0"/>
    <w:rsid w:val="00556936"/>
    <w:rsid w:val="005578B5"/>
    <w:rsid w:val="00557DED"/>
    <w:rsid w:val="00557EE2"/>
    <w:rsid w:val="005603CA"/>
    <w:rsid w:val="0056107B"/>
    <w:rsid w:val="00561162"/>
    <w:rsid w:val="005618ED"/>
    <w:rsid w:val="00562FD7"/>
    <w:rsid w:val="005635FE"/>
    <w:rsid w:val="00563E69"/>
    <w:rsid w:val="00564798"/>
    <w:rsid w:val="00565494"/>
    <w:rsid w:val="00565DD9"/>
    <w:rsid w:val="00566591"/>
    <w:rsid w:val="005669D1"/>
    <w:rsid w:val="005669F5"/>
    <w:rsid w:val="00566AA5"/>
    <w:rsid w:val="00566C28"/>
    <w:rsid w:val="00567ABB"/>
    <w:rsid w:val="00567B43"/>
    <w:rsid w:val="005703F7"/>
    <w:rsid w:val="0057147F"/>
    <w:rsid w:val="00571AB0"/>
    <w:rsid w:val="005726E0"/>
    <w:rsid w:val="00572938"/>
    <w:rsid w:val="00572F27"/>
    <w:rsid w:val="00573BC5"/>
    <w:rsid w:val="00574591"/>
    <w:rsid w:val="00574A78"/>
    <w:rsid w:val="00574B25"/>
    <w:rsid w:val="00575364"/>
    <w:rsid w:val="005756CE"/>
    <w:rsid w:val="005759B2"/>
    <w:rsid w:val="005762E1"/>
    <w:rsid w:val="005768CA"/>
    <w:rsid w:val="005768F8"/>
    <w:rsid w:val="00576D98"/>
    <w:rsid w:val="00577106"/>
    <w:rsid w:val="005779C6"/>
    <w:rsid w:val="005779EE"/>
    <w:rsid w:val="0058039D"/>
    <w:rsid w:val="00582049"/>
    <w:rsid w:val="00582345"/>
    <w:rsid w:val="005826E3"/>
    <w:rsid w:val="00582AF8"/>
    <w:rsid w:val="00583BE5"/>
    <w:rsid w:val="00583E75"/>
    <w:rsid w:val="005840B8"/>
    <w:rsid w:val="00584198"/>
    <w:rsid w:val="00584D90"/>
    <w:rsid w:val="00584E7C"/>
    <w:rsid w:val="00585644"/>
    <w:rsid w:val="00586D40"/>
    <w:rsid w:val="0058737B"/>
    <w:rsid w:val="00587421"/>
    <w:rsid w:val="005875AA"/>
    <w:rsid w:val="00587922"/>
    <w:rsid w:val="0059038A"/>
    <w:rsid w:val="005904F1"/>
    <w:rsid w:val="00591040"/>
    <w:rsid w:val="0059166E"/>
    <w:rsid w:val="00591BAD"/>
    <w:rsid w:val="00592783"/>
    <w:rsid w:val="0059400C"/>
    <w:rsid w:val="005948A3"/>
    <w:rsid w:val="00594B28"/>
    <w:rsid w:val="0059550C"/>
    <w:rsid w:val="00595843"/>
    <w:rsid w:val="00595A48"/>
    <w:rsid w:val="00595D08"/>
    <w:rsid w:val="005971BC"/>
    <w:rsid w:val="00597760"/>
    <w:rsid w:val="00597958"/>
    <w:rsid w:val="00597EDB"/>
    <w:rsid w:val="005A0672"/>
    <w:rsid w:val="005A09F9"/>
    <w:rsid w:val="005A14F2"/>
    <w:rsid w:val="005A1719"/>
    <w:rsid w:val="005A17F5"/>
    <w:rsid w:val="005A1E96"/>
    <w:rsid w:val="005A1E9E"/>
    <w:rsid w:val="005A205F"/>
    <w:rsid w:val="005A228B"/>
    <w:rsid w:val="005A290F"/>
    <w:rsid w:val="005A327E"/>
    <w:rsid w:val="005A361A"/>
    <w:rsid w:val="005A39E3"/>
    <w:rsid w:val="005A48BD"/>
    <w:rsid w:val="005A4972"/>
    <w:rsid w:val="005A4B37"/>
    <w:rsid w:val="005A52A2"/>
    <w:rsid w:val="005A5F46"/>
    <w:rsid w:val="005A6F00"/>
    <w:rsid w:val="005A7400"/>
    <w:rsid w:val="005A7B71"/>
    <w:rsid w:val="005B0280"/>
    <w:rsid w:val="005B0882"/>
    <w:rsid w:val="005B103D"/>
    <w:rsid w:val="005B1171"/>
    <w:rsid w:val="005B1206"/>
    <w:rsid w:val="005B136B"/>
    <w:rsid w:val="005B15CC"/>
    <w:rsid w:val="005B1662"/>
    <w:rsid w:val="005B20AE"/>
    <w:rsid w:val="005B21F4"/>
    <w:rsid w:val="005B382B"/>
    <w:rsid w:val="005B3D34"/>
    <w:rsid w:val="005B3E0E"/>
    <w:rsid w:val="005B42D4"/>
    <w:rsid w:val="005B54AC"/>
    <w:rsid w:val="005B68C2"/>
    <w:rsid w:val="005B6FB5"/>
    <w:rsid w:val="005B716F"/>
    <w:rsid w:val="005B74F3"/>
    <w:rsid w:val="005B78C7"/>
    <w:rsid w:val="005C024F"/>
    <w:rsid w:val="005C0740"/>
    <w:rsid w:val="005C1A44"/>
    <w:rsid w:val="005C1EE9"/>
    <w:rsid w:val="005C200C"/>
    <w:rsid w:val="005C32EF"/>
    <w:rsid w:val="005C34EF"/>
    <w:rsid w:val="005C353B"/>
    <w:rsid w:val="005C355C"/>
    <w:rsid w:val="005C4360"/>
    <w:rsid w:val="005C4383"/>
    <w:rsid w:val="005C446A"/>
    <w:rsid w:val="005C7255"/>
    <w:rsid w:val="005C7A83"/>
    <w:rsid w:val="005C7D50"/>
    <w:rsid w:val="005D076D"/>
    <w:rsid w:val="005D0771"/>
    <w:rsid w:val="005D118B"/>
    <w:rsid w:val="005D126D"/>
    <w:rsid w:val="005D1286"/>
    <w:rsid w:val="005D1929"/>
    <w:rsid w:val="005D1CEB"/>
    <w:rsid w:val="005D225C"/>
    <w:rsid w:val="005D3BDB"/>
    <w:rsid w:val="005D3DEA"/>
    <w:rsid w:val="005D5123"/>
    <w:rsid w:val="005D5332"/>
    <w:rsid w:val="005D5647"/>
    <w:rsid w:val="005D6A35"/>
    <w:rsid w:val="005D7048"/>
    <w:rsid w:val="005D77C6"/>
    <w:rsid w:val="005D7B28"/>
    <w:rsid w:val="005D7BBE"/>
    <w:rsid w:val="005D7C1A"/>
    <w:rsid w:val="005E0A58"/>
    <w:rsid w:val="005E1847"/>
    <w:rsid w:val="005E2397"/>
    <w:rsid w:val="005E24A3"/>
    <w:rsid w:val="005E3012"/>
    <w:rsid w:val="005E3125"/>
    <w:rsid w:val="005E3299"/>
    <w:rsid w:val="005E3446"/>
    <w:rsid w:val="005E37DB"/>
    <w:rsid w:val="005E42A5"/>
    <w:rsid w:val="005E43EA"/>
    <w:rsid w:val="005E4BFD"/>
    <w:rsid w:val="005E4C47"/>
    <w:rsid w:val="005E536A"/>
    <w:rsid w:val="005E5FF2"/>
    <w:rsid w:val="005E6955"/>
    <w:rsid w:val="005E6DF3"/>
    <w:rsid w:val="005F02F6"/>
    <w:rsid w:val="005F05C9"/>
    <w:rsid w:val="005F1C9F"/>
    <w:rsid w:val="005F2528"/>
    <w:rsid w:val="005F36A2"/>
    <w:rsid w:val="005F3AAC"/>
    <w:rsid w:val="005F4A9B"/>
    <w:rsid w:val="005F4C28"/>
    <w:rsid w:val="005F5868"/>
    <w:rsid w:val="005F5BB3"/>
    <w:rsid w:val="005F5F0A"/>
    <w:rsid w:val="005F6CD9"/>
    <w:rsid w:val="005F73B1"/>
    <w:rsid w:val="00600536"/>
    <w:rsid w:val="00600A94"/>
    <w:rsid w:val="00600BEF"/>
    <w:rsid w:val="00600DD6"/>
    <w:rsid w:val="0060179A"/>
    <w:rsid w:val="00601B3F"/>
    <w:rsid w:val="00602301"/>
    <w:rsid w:val="00602412"/>
    <w:rsid w:val="00603805"/>
    <w:rsid w:val="00603829"/>
    <w:rsid w:val="006043C9"/>
    <w:rsid w:val="00604F99"/>
    <w:rsid w:val="00605125"/>
    <w:rsid w:val="006055F5"/>
    <w:rsid w:val="00605975"/>
    <w:rsid w:val="00606682"/>
    <w:rsid w:val="0060684C"/>
    <w:rsid w:val="00606B94"/>
    <w:rsid w:val="00606F07"/>
    <w:rsid w:val="00607255"/>
    <w:rsid w:val="00610DD9"/>
    <w:rsid w:val="00611B04"/>
    <w:rsid w:val="00611DFD"/>
    <w:rsid w:val="00612240"/>
    <w:rsid w:val="006123C7"/>
    <w:rsid w:val="00612878"/>
    <w:rsid w:val="00612D61"/>
    <w:rsid w:val="00612DDD"/>
    <w:rsid w:val="00613DC1"/>
    <w:rsid w:val="0061407E"/>
    <w:rsid w:val="00614445"/>
    <w:rsid w:val="00614979"/>
    <w:rsid w:val="00614BF0"/>
    <w:rsid w:val="0061573B"/>
    <w:rsid w:val="00616FC5"/>
    <w:rsid w:val="00617B89"/>
    <w:rsid w:val="006202E6"/>
    <w:rsid w:val="006207A4"/>
    <w:rsid w:val="00620A8D"/>
    <w:rsid w:val="00620B6D"/>
    <w:rsid w:val="00620F5C"/>
    <w:rsid w:val="0062196A"/>
    <w:rsid w:val="006219C7"/>
    <w:rsid w:val="00621B23"/>
    <w:rsid w:val="00621E9E"/>
    <w:rsid w:val="006224C1"/>
    <w:rsid w:val="0062268A"/>
    <w:rsid w:val="00622D21"/>
    <w:rsid w:val="00623C42"/>
    <w:rsid w:val="00624259"/>
    <w:rsid w:val="00624402"/>
    <w:rsid w:val="00624B60"/>
    <w:rsid w:val="00626317"/>
    <w:rsid w:val="0062673A"/>
    <w:rsid w:val="006267DF"/>
    <w:rsid w:val="00626C71"/>
    <w:rsid w:val="00627AAE"/>
    <w:rsid w:val="00627C09"/>
    <w:rsid w:val="00627D3D"/>
    <w:rsid w:val="0063022D"/>
    <w:rsid w:val="0063070B"/>
    <w:rsid w:val="006318F3"/>
    <w:rsid w:val="006330FD"/>
    <w:rsid w:val="006330FF"/>
    <w:rsid w:val="00633388"/>
    <w:rsid w:val="006339BA"/>
    <w:rsid w:val="00634516"/>
    <w:rsid w:val="00634558"/>
    <w:rsid w:val="00634664"/>
    <w:rsid w:val="0063472F"/>
    <w:rsid w:val="0063498E"/>
    <w:rsid w:val="00634B16"/>
    <w:rsid w:val="00634B33"/>
    <w:rsid w:val="006356CE"/>
    <w:rsid w:val="00635AF2"/>
    <w:rsid w:val="0063607C"/>
    <w:rsid w:val="00637318"/>
    <w:rsid w:val="00637CA8"/>
    <w:rsid w:val="00637D71"/>
    <w:rsid w:val="006403C4"/>
    <w:rsid w:val="00640576"/>
    <w:rsid w:val="00640907"/>
    <w:rsid w:val="00641552"/>
    <w:rsid w:val="0064164E"/>
    <w:rsid w:val="0064243B"/>
    <w:rsid w:val="00642585"/>
    <w:rsid w:val="006432D9"/>
    <w:rsid w:val="006437C9"/>
    <w:rsid w:val="0064456F"/>
    <w:rsid w:val="006446CA"/>
    <w:rsid w:val="00645EBA"/>
    <w:rsid w:val="00646E78"/>
    <w:rsid w:val="006477CC"/>
    <w:rsid w:val="006479DF"/>
    <w:rsid w:val="00647AF4"/>
    <w:rsid w:val="00647CAA"/>
    <w:rsid w:val="00647D2D"/>
    <w:rsid w:val="00650058"/>
    <w:rsid w:val="006500BD"/>
    <w:rsid w:val="006505DF"/>
    <w:rsid w:val="006506C8"/>
    <w:rsid w:val="0065178C"/>
    <w:rsid w:val="00651879"/>
    <w:rsid w:val="00651AF3"/>
    <w:rsid w:val="00651EBE"/>
    <w:rsid w:val="006532C4"/>
    <w:rsid w:val="00653448"/>
    <w:rsid w:val="00654AA9"/>
    <w:rsid w:val="006554BE"/>
    <w:rsid w:val="00655509"/>
    <w:rsid w:val="00655862"/>
    <w:rsid w:val="006559F5"/>
    <w:rsid w:val="006572B1"/>
    <w:rsid w:val="00657A62"/>
    <w:rsid w:val="00657A97"/>
    <w:rsid w:val="00657CB6"/>
    <w:rsid w:val="00660131"/>
    <w:rsid w:val="00660579"/>
    <w:rsid w:val="00660643"/>
    <w:rsid w:val="00660EB5"/>
    <w:rsid w:val="00660F54"/>
    <w:rsid w:val="00661D04"/>
    <w:rsid w:val="0066226B"/>
    <w:rsid w:val="0066273C"/>
    <w:rsid w:val="00662CE5"/>
    <w:rsid w:val="006638DF"/>
    <w:rsid w:val="00663C0E"/>
    <w:rsid w:val="00663EE5"/>
    <w:rsid w:val="00664DDA"/>
    <w:rsid w:val="00665447"/>
    <w:rsid w:val="00665912"/>
    <w:rsid w:val="006668D9"/>
    <w:rsid w:val="0066697B"/>
    <w:rsid w:val="00666DDF"/>
    <w:rsid w:val="00667148"/>
    <w:rsid w:val="0066718A"/>
    <w:rsid w:val="00667240"/>
    <w:rsid w:val="00667DEB"/>
    <w:rsid w:val="00667E23"/>
    <w:rsid w:val="0067008A"/>
    <w:rsid w:val="006703F3"/>
    <w:rsid w:val="006709B2"/>
    <w:rsid w:val="0067131E"/>
    <w:rsid w:val="00671622"/>
    <w:rsid w:val="0067171E"/>
    <w:rsid w:val="00671E43"/>
    <w:rsid w:val="0067235D"/>
    <w:rsid w:val="00673633"/>
    <w:rsid w:val="00673724"/>
    <w:rsid w:val="00673870"/>
    <w:rsid w:val="00673E18"/>
    <w:rsid w:val="00673E85"/>
    <w:rsid w:val="00674679"/>
    <w:rsid w:val="00674CEC"/>
    <w:rsid w:val="00674D1C"/>
    <w:rsid w:val="00675B89"/>
    <w:rsid w:val="00675D5E"/>
    <w:rsid w:val="0067616C"/>
    <w:rsid w:val="00676B6B"/>
    <w:rsid w:val="006803EE"/>
    <w:rsid w:val="0068069D"/>
    <w:rsid w:val="00680B43"/>
    <w:rsid w:val="006810D1"/>
    <w:rsid w:val="0068312A"/>
    <w:rsid w:val="00683188"/>
    <w:rsid w:val="00683B33"/>
    <w:rsid w:val="0068498B"/>
    <w:rsid w:val="006851DF"/>
    <w:rsid w:val="006857CD"/>
    <w:rsid w:val="00685B8C"/>
    <w:rsid w:val="00685EA1"/>
    <w:rsid w:val="00685F66"/>
    <w:rsid w:val="00686071"/>
    <w:rsid w:val="00686980"/>
    <w:rsid w:val="00687341"/>
    <w:rsid w:val="00687982"/>
    <w:rsid w:val="006903CF"/>
    <w:rsid w:val="00690658"/>
    <w:rsid w:val="006912B0"/>
    <w:rsid w:val="00691408"/>
    <w:rsid w:val="0069148C"/>
    <w:rsid w:val="00691881"/>
    <w:rsid w:val="00692D2F"/>
    <w:rsid w:val="00692E29"/>
    <w:rsid w:val="0069330D"/>
    <w:rsid w:val="00693BDE"/>
    <w:rsid w:val="00694AB8"/>
    <w:rsid w:val="00694CBD"/>
    <w:rsid w:val="00695773"/>
    <w:rsid w:val="006958C4"/>
    <w:rsid w:val="00695CC9"/>
    <w:rsid w:val="00696597"/>
    <w:rsid w:val="006969DF"/>
    <w:rsid w:val="00696D70"/>
    <w:rsid w:val="00696D72"/>
    <w:rsid w:val="00697C7D"/>
    <w:rsid w:val="006A10A2"/>
    <w:rsid w:val="006A1F27"/>
    <w:rsid w:val="006A2044"/>
    <w:rsid w:val="006A2964"/>
    <w:rsid w:val="006A2ED4"/>
    <w:rsid w:val="006A3A78"/>
    <w:rsid w:val="006A3E25"/>
    <w:rsid w:val="006A408E"/>
    <w:rsid w:val="006A48C4"/>
    <w:rsid w:val="006A4A72"/>
    <w:rsid w:val="006A4F09"/>
    <w:rsid w:val="006A5290"/>
    <w:rsid w:val="006A58EB"/>
    <w:rsid w:val="006A5ADD"/>
    <w:rsid w:val="006A5C51"/>
    <w:rsid w:val="006A6425"/>
    <w:rsid w:val="006A64D3"/>
    <w:rsid w:val="006A6B3A"/>
    <w:rsid w:val="006A6CD3"/>
    <w:rsid w:val="006A6F40"/>
    <w:rsid w:val="006A7523"/>
    <w:rsid w:val="006B039A"/>
    <w:rsid w:val="006B0A92"/>
    <w:rsid w:val="006B13B3"/>
    <w:rsid w:val="006B209B"/>
    <w:rsid w:val="006B306B"/>
    <w:rsid w:val="006B35A2"/>
    <w:rsid w:val="006B421C"/>
    <w:rsid w:val="006B4EC2"/>
    <w:rsid w:val="006B54FE"/>
    <w:rsid w:val="006B58B7"/>
    <w:rsid w:val="006B5B0D"/>
    <w:rsid w:val="006B5F4E"/>
    <w:rsid w:val="006B5FC6"/>
    <w:rsid w:val="006B62F4"/>
    <w:rsid w:val="006B63B2"/>
    <w:rsid w:val="006B6B28"/>
    <w:rsid w:val="006C022D"/>
    <w:rsid w:val="006C0A12"/>
    <w:rsid w:val="006C0AFF"/>
    <w:rsid w:val="006C1DCD"/>
    <w:rsid w:val="006C2236"/>
    <w:rsid w:val="006C237A"/>
    <w:rsid w:val="006C251E"/>
    <w:rsid w:val="006C266D"/>
    <w:rsid w:val="006C2F9B"/>
    <w:rsid w:val="006C380D"/>
    <w:rsid w:val="006C47BC"/>
    <w:rsid w:val="006C5302"/>
    <w:rsid w:val="006C5A12"/>
    <w:rsid w:val="006C6216"/>
    <w:rsid w:val="006C6274"/>
    <w:rsid w:val="006C667C"/>
    <w:rsid w:val="006C71BF"/>
    <w:rsid w:val="006C754A"/>
    <w:rsid w:val="006C7A93"/>
    <w:rsid w:val="006C7D1F"/>
    <w:rsid w:val="006D0179"/>
    <w:rsid w:val="006D1075"/>
    <w:rsid w:val="006D112A"/>
    <w:rsid w:val="006D156C"/>
    <w:rsid w:val="006D329D"/>
    <w:rsid w:val="006D3523"/>
    <w:rsid w:val="006D35A7"/>
    <w:rsid w:val="006D3705"/>
    <w:rsid w:val="006D382B"/>
    <w:rsid w:val="006D489F"/>
    <w:rsid w:val="006D4D76"/>
    <w:rsid w:val="006D6A68"/>
    <w:rsid w:val="006D6C03"/>
    <w:rsid w:val="006D6EF3"/>
    <w:rsid w:val="006D6F4C"/>
    <w:rsid w:val="006D7186"/>
    <w:rsid w:val="006D792D"/>
    <w:rsid w:val="006D795B"/>
    <w:rsid w:val="006D7BFE"/>
    <w:rsid w:val="006D7D79"/>
    <w:rsid w:val="006E0267"/>
    <w:rsid w:val="006E04AC"/>
    <w:rsid w:val="006E07E4"/>
    <w:rsid w:val="006E1EDF"/>
    <w:rsid w:val="006E2D42"/>
    <w:rsid w:val="006E2FD8"/>
    <w:rsid w:val="006E3BED"/>
    <w:rsid w:val="006E3C7E"/>
    <w:rsid w:val="006E3EAD"/>
    <w:rsid w:val="006E4138"/>
    <w:rsid w:val="006E4525"/>
    <w:rsid w:val="006E4763"/>
    <w:rsid w:val="006E4B4C"/>
    <w:rsid w:val="006E7500"/>
    <w:rsid w:val="006E798E"/>
    <w:rsid w:val="006E7C4F"/>
    <w:rsid w:val="006F009D"/>
    <w:rsid w:val="006F02E6"/>
    <w:rsid w:val="006F0507"/>
    <w:rsid w:val="006F0E24"/>
    <w:rsid w:val="006F1F2B"/>
    <w:rsid w:val="006F21C9"/>
    <w:rsid w:val="006F367C"/>
    <w:rsid w:val="006F48F0"/>
    <w:rsid w:val="006F53C0"/>
    <w:rsid w:val="006F5CAE"/>
    <w:rsid w:val="006F6117"/>
    <w:rsid w:val="006F6202"/>
    <w:rsid w:val="006F6B7C"/>
    <w:rsid w:val="006F6EB9"/>
    <w:rsid w:val="006F74A9"/>
    <w:rsid w:val="006F7862"/>
    <w:rsid w:val="007007EC"/>
    <w:rsid w:val="007008A0"/>
    <w:rsid w:val="00701219"/>
    <w:rsid w:val="0070178D"/>
    <w:rsid w:val="00701BF5"/>
    <w:rsid w:val="00702BE6"/>
    <w:rsid w:val="0070301B"/>
    <w:rsid w:val="007030F3"/>
    <w:rsid w:val="00703CC5"/>
    <w:rsid w:val="00704AD5"/>
    <w:rsid w:val="00705148"/>
    <w:rsid w:val="00705FAB"/>
    <w:rsid w:val="00706F62"/>
    <w:rsid w:val="0070719F"/>
    <w:rsid w:val="007073E2"/>
    <w:rsid w:val="0070758F"/>
    <w:rsid w:val="007076D5"/>
    <w:rsid w:val="00707889"/>
    <w:rsid w:val="00710C22"/>
    <w:rsid w:val="007111ED"/>
    <w:rsid w:val="00711866"/>
    <w:rsid w:val="00711BFB"/>
    <w:rsid w:val="0071240B"/>
    <w:rsid w:val="007124C8"/>
    <w:rsid w:val="007125FE"/>
    <w:rsid w:val="0071312B"/>
    <w:rsid w:val="007133F0"/>
    <w:rsid w:val="00714071"/>
    <w:rsid w:val="0071475B"/>
    <w:rsid w:val="00714A6A"/>
    <w:rsid w:val="0071514D"/>
    <w:rsid w:val="00715212"/>
    <w:rsid w:val="007153F1"/>
    <w:rsid w:val="0071697E"/>
    <w:rsid w:val="00717BB8"/>
    <w:rsid w:val="00717D5E"/>
    <w:rsid w:val="00720303"/>
    <w:rsid w:val="0072063C"/>
    <w:rsid w:val="0072065A"/>
    <w:rsid w:val="007208A5"/>
    <w:rsid w:val="00720A68"/>
    <w:rsid w:val="00720C39"/>
    <w:rsid w:val="00721203"/>
    <w:rsid w:val="00722639"/>
    <w:rsid w:val="0072278C"/>
    <w:rsid w:val="007227D3"/>
    <w:rsid w:val="00722859"/>
    <w:rsid w:val="00722A25"/>
    <w:rsid w:val="00723085"/>
    <w:rsid w:val="007239EE"/>
    <w:rsid w:val="00723CE3"/>
    <w:rsid w:val="00724E52"/>
    <w:rsid w:val="0072518A"/>
    <w:rsid w:val="0072667C"/>
    <w:rsid w:val="0072728C"/>
    <w:rsid w:val="00727AF3"/>
    <w:rsid w:val="00730C8F"/>
    <w:rsid w:val="00731E97"/>
    <w:rsid w:val="0073228C"/>
    <w:rsid w:val="00732CF3"/>
    <w:rsid w:val="00733D24"/>
    <w:rsid w:val="00734908"/>
    <w:rsid w:val="00734C35"/>
    <w:rsid w:val="007357CB"/>
    <w:rsid w:val="00735AED"/>
    <w:rsid w:val="00736156"/>
    <w:rsid w:val="007365B8"/>
    <w:rsid w:val="00736B87"/>
    <w:rsid w:val="00736E6C"/>
    <w:rsid w:val="00737839"/>
    <w:rsid w:val="007379B7"/>
    <w:rsid w:val="00737CA3"/>
    <w:rsid w:val="00737CE1"/>
    <w:rsid w:val="0074036A"/>
    <w:rsid w:val="00740CB0"/>
    <w:rsid w:val="00741236"/>
    <w:rsid w:val="0074152D"/>
    <w:rsid w:val="00741648"/>
    <w:rsid w:val="007416A5"/>
    <w:rsid w:val="00742206"/>
    <w:rsid w:val="00742234"/>
    <w:rsid w:val="00742B2D"/>
    <w:rsid w:val="0074349E"/>
    <w:rsid w:val="00743A87"/>
    <w:rsid w:val="0074426C"/>
    <w:rsid w:val="00744284"/>
    <w:rsid w:val="007442ED"/>
    <w:rsid w:val="00744C78"/>
    <w:rsid w:val="00744F01"/>
    <w:rsid w:val="00744F82"/>
    <w:rsid w:val="00745024"/>
    <w:rsid w:val="00745324"/>
    <w:rsid w:val="007457CC"/>
    <w:rsid w:val="00745AEC"/>
    <w:rsid w:val="00745CBF"/>
    <w:rsid w:val="00746155"/>
    <w:rsid w:val="007461E2"/>
    <w:rsid w:val="007468EA"/>
    <w:rsid w:val="00746CD6"/>
    <w:rsid w:val="00746EBC"/>
    <w:rsid w:val="00747F53"/>
    <w:rsid w:val="007505C1"/>
    <w:rsid w:val="0075075F"/>
    <w:rsid w:val="007512E3"/>
    <w:rsid w:val="00751A1F"/>
    <w:rsid w:val="00752347"/>
    <w:rsid w:val="0075286A"/>
    <w:rsid w:val="0075287E"/>
    <w:rsid w:val="00752B13"/>
    <w:rsid w:val="00752E47"/>
    <w:rsid w:val="00753405"/>
    <w:rsid w:val="00753875"/>
    <w:rsid w:val="0075446A"/>
    <w:rsid w:val="00754872"/>
    <w:rsid w:val="00754EE4"/>
    <w:rsid w:val="0075563A"/>
    <w:rsid w:val="007559D0"/>
    <w:rsid w:val="00755BF8"/>
    <w:rsid w:val="00755C79"/>
    <w:rsid w:val="00756442"/>
    <w:rsid w:val="00757D8E"/>
    <w:rsid w:val="0076015B"/>
    <w:rsid w:val="007601FA"/>
    <w:rsid w:val="0076057F"/>
    <w:rsid w:val="00760957"/>
    <w:rsid w:val="007610B2"/>
    <w:rsid w:val="007622A4"/>
    <w:rsid w:val="007628F2"/>
    <w:rsid w:val="00762F8D"/>
    <w:rsid w:val="007632C5"/>
    <w:rsid w:val="007636AF"/>
    <w:rsid w:val="00763A4C"/>
    <w:rsid w:val="007648BB"/>
    <w:rsid w:val="00764B99"/>
    <w:rsid w:val="00764C3A"/>
    <w:rsid w:val="00764C6B"/>
    <w:rsid w:val="0076562B"/>
    <w:rsid w:val="00765820"/>
    <w:rsid w:val="007658AB"/>
    <w:rsid w:val="00765E7C"/>
    <w:rsid w:val="00766C36"/>
    <w:rsid w:val="007672BF"/>
    <w:rsid w:val="007679CF"/>
    <w:rsid w:val="00770219"/>
    <w:rsid w:val="00770DE8"/>
    <w:rsid w:val="00771264"/>
    <w:rsid w:val="00771792"/>
    <w:rsid w:val="0077196E"/>
    <w:rsid w:val="00771A21"/>
    <w:rsid w:val="007721D8"/>
    <w:rsid w:val="007724B1"/>
    <w:rsid w:val="00772EDE"/>
    <w:rsid w:val="0077485F"/>
    <w:rsid w:val="00776078"/>
    <w:rsid w:val="00776436"/>
    <w:rsid w:val="00776473"/>
    <w:rsid w:val="007765EE"/>
    <w:rsid w:val="00776990"/>
    <w:rsid w:val="00776A92"/>
    <w:rsid w:val="007774DB"/>
    <w:rsid w:val="00777758"/>
    <w:rsid w:val="0078011C"/>
    <w:rsid w:val="007804A1"/>
    <w:rsid w:val="007805D4"/>
    <w:rsid w:val="00781F3E"/>
    <w:rsid w:val="007822AF"/>
    <w:rsid w:val="007826C4"/>
    <w:rsid w:val="00782726"/>
    <w:rsid w:val="00783224"/>
    <w:rsid w:val="007833C4"/>
    <w:rsid w:val="007835F5"/>
    <w:rsid w:val="007835FF"/>
    <w:rsid w:val="00783EE2"/>
    <w:rsid w:val="00784071"/>
    <w:rsid w:val="007842B9"/>
    <w:rsid w:val="00784F12"/>
    <w:rsid w:val="00785660"/>
    <w:rsid w:val="007867F4"/>
    <w:rsid w:val="00786954"/>
    <w:rsid w:val="00786A25"/>
    <w:rsid w:val="00786E95"/>
    <w:rsid w:val="007871A8"/>
    <w:rsid w:val="0078796D"/>
    <w:rsid w:val="00787A6F"/>
    <w:rsid w:val="00787BC5"/>
    <w:rsid w:val="007903B4"/>
    <w:rsid w:val="007909AF"/>
    <w:rsid w:val="00790C59"/>
    <w:rsid w:val="00791105"/>
    <w:rsid w:val="0079152E"/>
    <w:rsid w:val="007919D4"/>
    <w:rsid w:val="00792519"/>
    <w:rsid w:val="0079283D"/>
    <w:rsid w:val="00792932"/>
    <w:rsid w:val="0079297B"/>
    <w:rsid w:val="00792D3B"/>
    <w:rsid w:val="00792E0A"/>
    <w:rsid w:val="00793568"/>
    <w:rsid w:val="00794A0F"/>
    <w:rsid w:val="00794B9A"/>
    <w:rsid w:val="00794EB0"/>
    <w:rsid w:val="00795097"/>
    <w:rsid w:val="00797045"/>
    <w:rsid w:val="0079704D"/>
    <w:rsid w:val="0079716C"/>
    <w:rsid w:val="00797C1F"/>
    <w:rsid w:val="00797D12"/>
    <w:rsid w:val="007A0666"/>
    <w:rsid w:val="007A0A65"/>
    <w:rsid w:val="007A0FEA"/>
    <w:rsid w:val="007A12CC"/>
    <w:rsid w:val="007A13CE"/>
    <w:rsid w:val="007A15B4"/>
    <w:rsid w:val="007A15E1"/>
    <w:rsid w:val="007A1E68"/>
    <w:rsid w:val="007A1F01"/>
    <w:rsid w:val="007A3A18"/>
    <w:rsid w:val="007A3A1F"/>
    <w:rsid w:val="007A457E"/>
    <w:rsid w:val="007A588E"/>
    <w:rsid w:val="007A6624"/>
    <w:rsid w:val="007A690D"/>
    <w:rsid w:val="007B0397"/>
    <w:rsid w:val="007B04D8"/>
    <w:rsid w:val="007B1365"/>
    <w:rsid w:val="007B1D81"/>
    <w:rsid w:val="007B2677"/>
    <w:rsid w:val="007B3672"/>
    <w:rsid w:val="007B41F2"/>
    <w:rsid w:val="007B4570"/>
    <w:rsid w:val="007B4796"/>
    <w:rsid w:val="007B4C37"/>
    <w:rsid w:val="007B4F73"/>
    <w:rsid w:val="007B5579"/>
    <w:rsid w:val="007B5CDC"/>
    <w:rsid w:val="007B682E"/>
    <w:rsid w:val="007B70CF"/>
    <w:rsid w:val="007B7267"/>
    <w:rsid w:val="007C0125"/>
    <w:rsid w:val="007C0B0E"/>
    <w:rsid w:val="007C0C84"/>
    <w:rsid w:val="007C0DBD"/>
    <w:rsid w:val="007C1481"/>
    <w:rsid w:val="007C16E8"/>
    <w:rsid w:val="007C1972"/>
    <w:rsid w:val="007C1CE2"/>
    <w:rsid w:val="007C223E"/>
    <w:rsid w:val="007C2864"/>
    <w:rsid w:val="007C3A17"/>
    <w:rsid w:val="007C3D32"/>
    <w:rsid w:val="007C42E2"/>
    <w:rsid w:val="007C4328"/>
    <w:rsid w:val="007C4BAA"/>
    <w:rsid w:val="007C4C8F"/>
    <w:rsid w:val="007C51B7"/>
    <w:rsid w:val="007C56C6"/>
    <w:rsid w:val="007C6140"/>
    <w:rsid w:val="007C6A10"/>
    <w:rsid w:val="007D0EFB"/>
    <w:rsid w:val="007D29C0"/>
    <w:rsid w:val="007D2D05"/>
    <w:rsid w:val="007D32D1"/>
    <w:rsid w:val="007D430F"/>
    <w:rsid w:val="007D44C7"/>
    <w:rsid w:val="007D4556"/>
    <w:rsid w:val="007D466B"/>
    <w:rsid w:val="007D48A5"/>
    <w:rsid w:val="007D58A3"/>
    <w:rsid w:val="007D5F89"/>
    <w:rsid w:val="007D60F0"/>
    <w:rsid w:val="007D63A2"/>
    <w:rsid w:val="007D6764"/>
    <w:rsid w:val="007D6C46"/>
    <w:rsid w:val="007D70CA"/>
    <w:rsid w:val="007D7880"/>
    <w:rsid w:val="007E01F9"/>
    <w:rsid w:val="007E0865"/>
    <w:rsid w:val="007E0B95"/>
    <w:rsid w:val="007E1113"/>
    <w:rsid w:val="007E214D"/>
    <w:rsid w:val="007E26F5"/>
    <w:rsid w:val="007E40D5"/>
    <w:rsid w:val="007E4F03"/>
    <w:rsid w:val="007E529B"/>
    <w:rsid w:val="007E662B"/>
    <w:rsid w:val="007E6650"/>
    <w:rsid w:val="007E6CDD"/>
    <w:rsid w:val="007E70D5"/>
    <w:rsid w:val="007E70D6"/>
    <w:rsid w:val="007E7310"/>
    <w:rsid w:val="007E789E"/>
    <w:rsid w:val="007E7A1D"/>
    <w:rsid w:val="007E7EF1"/>
    <w:rsid w:val="007F0183"/>
    <w:rsid w:val="007F0344"/>
    <w:rsid w:val="007F0793"/>
    <w:rsid w:val="007F08AA"/>
    <w:rsid w:val="007F0A02"/>
    <w:rsid w:val="007F0CD2"/>
    <w:rsid w:val="007F0FFD"/>
    <w:rsid w:val="007F16E2"/>
    <w:rsid w:val="007F2CE6"/>
    <w:rsid w:val="007F2F4A"/>
    <w:rsid w:val="007F5176"/>
    <w:rsid w:val="007F5427"/>
    <w:rsid w:val="007F76E2"/>
    <w:rsid w:val="0080034E"/>
    <w:rsid w:val="0080095C"/>
    <w:rsid w:val="00800FDC"/>
    <w:rsid w:val="00801D15"/>
    <w:rsid w:val="00801E8D"/>
    <w:rsid w:val="008021AE"/>
    <w:rsid w:val="008023CE"/>
    <w:rsid w:val="00802968"/>
    <w:rsid w:val="00802994"/>
    <w:rsid w:val="00802B41"/>
    <w:rsid w:val="00802EED"/>
    <w:rsid w:val="00804735"/>
    <w:rsid w:val="00804970"/>
    <w:rsid w:val="00804DBA"/>
    <w:rsid w:val="008055D0"/>
    <w:rsid w:val="0080595C"/>
    <w:rsid w:val="00806AF5"/>
    <w:rsid w:val="00806C65"/>
    <w:rsid w:val="008071B8"/>
    <w:rsid w:val="00807585"/>
    <w:rsid w:val="0081085D"/>
    <w:rsid w:val="00810892"/>
    <w:rsid w:val="00810D2F"/>
    <w:rsid w:val="00812DEF"/>
    <w:rsid w:val="00812E1F"/>
    <w:rsid w:val="00812F52"/>
    <w:rsid w:val="0081313D"/>
    <w:rsid w:val="00813F20"/>
    <w:rsid w:val="0081425B"/>
    <w:rsid w:val="00814403"/>
    <w:rsid w:val="00814C83"/>
    <w:rsid w:val="0081562F"/>
    <w:rsid w:val="00815DC1"/>
    <w:rsid w:val="00816380"/>
    <w:rsid w:val="0081703A"/>
    <w:rsid w:val="0081729B"/>
    <w:rsid w:val="00817749"/>
    <w:rsid w:val="00817B71"/>
    <w:rsid w:val="00817DB9"/>
    <w:rsid w:val="0082026F"/>
    <w:rsid w:val="0082078E"/>
    <w:rsid w:val="00820F97"/>
    <w:rsid w:val="0082172A"/>
    <w:rsid w:val="008221FF"/>
    <w:rsid w:val="008223FA"/>
    <w:rsid w:val="0082335C"/>
    <w:rsid w:val="00823581"/>
    <w:rsid w:val="00823A63"/>
    <w:rsid w:val="00823DAD"/>
    <w:rsid w:val="00823E4C"/>
    <w:rsid w:val="00824241"/>
    <w:rsid w:val="008250E2"/>
    <w:rsid w:val="0082640E"/>
    <w:rsid w:val="00826946"/>
    <w:rsid w:val="008271A4"/>
    <w:rsid w:val="008272EF"/>
    <w:rsid w:val="00827349"/>
    <w:rsid w:val="0082777D"/>
    <w:rsid w:val="00827E32"/>
    <w:rsid w:val="00830EAF"/>
    <w:rsid w:val="00831223"/>
    <w:rsid w:val="00831691"/>
    <w:rsid w:val="00831724"/>
    <w:rsid w:val="00831F15"/>
    <w:rsid w:val="0083220F"/>
    <w:rsid w:val="00832DF1"/>
    <w:rsid w:val="0083303A"/>
    <w:rsid w:val="00833767"/>
    <w:rsid w:val="008344B9"/>
    <w:rsid w:val="0083504C"/>
    <w:rsid w:val="00835999"/>
    <w:rsid w:val="00835F2C"/>
    <w:rsid w:val="00836ABF"/>
    <w:rsid w:val="00836AC9"/>
    <w:rsid w:val="00836C87"/>
    <w:rsid w:val="0083780C"/>
    <w:rsid w:val="008412B1"/>
    <w:rsid w:val="00842D64"/>
    <w:rsid w:val="00842F21"/>
    <w:rsid w:val="00843541"/>
    <w:rsid w:val="00843937"/>
    <w:rsid w:val="00843B34"/>
    <w:rsid w:val="00843C60"/>
    <w:rsid w:val="00844395"/>
    <w:rsid w:val="0084484B"/>
    <w:rsid w:val="008451A8"/>
    <w:rsid w:val="00845AB5"/>
    <w:rsid w:val="00845BFD"/>
    <w:rsid w:val="00845D5D"/>
    <w:rsid w:val="0084678B"/>
    <w:rsid w:val="00847177"/>
    <w:rsid w:val="0085030A"/>
    <w:rsid w:val="00850E93"/>
    <w:rsid w:val="008510AB"/>
    <w:rsid w:val="008512BB"/>
    <w:rsid w:val="00851816"/>
    <w:rsid w:val="0085192C"/>
    <w:rsid w:val="00851BAF"/>
    <w:rsid w:val="00851CED"/>
    <w:rsid w:val="00852495"/>
    <w:rsid w:val="00852AA9"/>
    <w:rsid w:val="00853652"/>
    <w:rsid w:val="00853814"/>
    <w:rsid w:val="00853827"/>
    <w:rsid w:val="0085391F"/>
    <w:rsid w:val="00854EC4"/>
    <w:rsid w:val="0085624D"/>
    <w:rsid w:val="008563FC"/>
    <w:rsid w:val="00856F6B"/>
    <w:rsid w:val="00857FAC"/>
    <w:rsid w:val="00857FDD"/>
    <w:rsid w:val="00860BE0"/>
    <w:rsid w:val="0086103C"/>
    <w:rsid w:val="0086142B"/>
    <w:rsid w:val="00861761"/>
    <w:rsid w:val="00861DAF"/>
    <w:rsid w:val="00861EF6"/>
    <w:rsid w:val="00861F08"/>
    <w:rsid w:val="0086203B"/>
    <w:rsid w:val="00862770"/>
    <w:rsid w:val="00862D43"/>
    <w:rsid w:val="0086304C"/>
    <w:rsid w:val="00863456"/>
    <w:rsid w:val="00863458"/>
    <w:rsid w:val="008638E6"/>
    <w:rsid w:val="00864587"/>
    <w:rsid w:val="00865046"/>
    <w:rsid w:val="00865835"/>
    <w:rsid w:val="008658DF"/>
    <w:rsid w:val="00865B1E"/>
    <w:rsid w:val="00866564"/>
    <w:rsid w:val="0086732B"/>
    <w:rsid w:val="00867470"/>
    <w:rsid w:val="00867A49"/>
    <w:rsid w:val="00867B05"/>
    <w:rsid w:val="00867C35"/>
    <w:rsid w:val="00870C78"/>
    <w:rsid w:val="00871B4C"/>
    <w:rsid w:val="00871B96"/>
    <w:rsid w:val="00872030"/>
    <w:rsid w:val="0087281F"/>
    <w:rsid w:val="00872C33"/>
    <w:rsid w:val="0087353F"/>
    <w:rsid w:val="00873BB6"/>
    <w:rsid w:val="00873E38"/>
    <w:rsid w:val="00874659"/>
    <w:rsid w:val="008754F9"/>
    <w:rsid w:val="008762AD"/>
    <w:rsid w:val="00876545"/>
    <w:rsid w:val="0087688A"/>
    <w:rsid w:val="00876C3A"/>
    <w:rsid w:val="0087707D"/>
    <w:rsid w:val="00877B46"/>
    <w:rsid w:val="00877F9A"/>
    <w:rsid w:val="00880BC4"/>
    <w:rsid w:val="00882508"/>
    <w:rsid w:val="00882D02"/>
    <w:rsid w:val="008839FC"/>
    <w:rsid w:val="00883B4A"/>
    <w:rsid w:val="00883D8B"/>
    <w:rsid w:val="00883FDC"/>
    <w:rsid w:val="008846A5"/>
    <w:rsid w:val="00884ACD"/>
    <w:rsid w:val="00885027"/>
    <w:rsid w:val="00886C12"/>
    <w:rsid w:val="0088707D"/>
    <w:rsid w:val="008876A4"/>
    <w:rsid w:val="00887918"/>
    <w:rsid w:val="00887D3A"/>
    <w:rsid w:val="00887DDF"/>
    <w:rsid w:val="00887F92"/>
    <w:rsid w:val="008901DF"/>
    <w:rsid w:val="00890397"/>
    <w:rsid w:val="00890428"/>
    <w:rsid w:val="008908A1"/>
    <w:rsid w:val="00890B5C"/>
    <w:rsid w:val="00890BC8"/>
    <w:rsid w:val="00890D20"/>
    <w:rsid w:val="00890E94"/>
    <w:rsid w:val="00890FC7"/>
    <w:rsid w:val="0089110B"/>
    <w:rsid w:val="008914A1"/>
    <w:rsid w:val="00891BA1"/>
    <w:rsid w:val="00891BFA"/>
    <w:rsid w:val="00892A05"/>
    <w:rsid w:val="00892E8F"/>
    <w:rsid w:val="00894CBC"/>
    <w:rsid w:val="00894FC4"/>
    <w:rsid w:val="00895212"/>
    <w:rsid w:val="00895595"/>
    <w:rsid w:val="008955FA"/>
    <w:rsid w:val="008961AF"/>
    <w:rsid w:val="00896464"/>
    <w:rsid w:val="008975A2"/>
    <w:rsid w:val="008975CE"/>
    <w:rsid w:val="00897CA6"/>
    <w:rsid w:val="00897DEB"/>
    <w:rsid w:val="008A028F"/>
    <w:rsid w:val="008A042C"/>
    <w:rsid w:val="008A07B8"/>
    <w:rsid w:val="008A0E9D"/>
    <w:rsid w:val="008A20FE"/>
    <w:rsid w:val="008A231A"/>
    <w:rsid w:val="008A2403"/>
    <w:rsid w:val="008A29CD"/>
    <w:rsid w:val="008A2FC2"/>
    <w:rsid w:val="008A35B7"/>
    <w:rsid w:val="008A41E0"/>
    <w:rsid w:val="008A46AA"/>
    <w:rsid w:val="008A48B0"/>
    <w:rsid w:val="008A4B8E"/>
    <w:rsid w:val="008A4D48"/>
    <w:rsid w:val="008A59C0"/>
    <w:rsid w:val="008A5C9D"/>
    <w:rsid w:val="008A63C4"/>
    <w:rsid w:val="008A63EC"/>
    <w:rsid w:val="008A6588"/>
    <w:rsid w:val="008A6649"/>
    <w:rsid w:val="008A6E7F"/>
    <w:rsid w:val="008A6FFC"/>
    <w:rsid w:val="008A78B3"/>
    <w:rsid w:val="008A7E82"/>
    <w:rsid w:val="008A7F26"/>
    <w:rsid w:val="008B02B6"/>
    <w:rsid w:val="008B0BD0"/>
    <w:rsid w:val="008B0E1B"/>
    <w:rsid w:val="008B1706"/>
    <w:rsid w:val="008B1CDD"/>
    <w:rsid w:val="008B233B"/>
    <w:rsid w:val="008B2533"/>
    <w:rsid w:val="008B2A56"/>
    <w:rsid w:val="008B2EC5"/>
    <w:rsid w:val="008B39FB"/>
    <w:rsid w:val="008B5653"/>
    <w:rsid w:val="008B5785"/>
    <w:rsid w:val="008B68EB"/>
    <w:rsid w:val="008B6962"/>
    <w:rsid w:val="008B6F99"/>
    <w:rsid w:val="008B76B7"/>
    <w:rsid w:val="008C143B"/>
    <w:rsid w:val="008C1F2B"/>
    <w:rsid w:val="008C2364"/>
    <w:rsid w:val="008C40D8"/>
    <w:rsid w:val="008C429C"/>
    <w:rsid w:val="008C4557"/>
    <w:rsid w:val="008C45E7"/>
    <w:rsid w:val="008C4DAA"/>
    <w:rsid w:val="008C56A5"/>
    <w:rsid w:val="008C5F74"/>
    <w:rsid w:val="008C5FB8"/>
    <w:rsid w:val="008C6586"/>
    <w:rsid w:val="008C6F7A"/>
    <w:rsid w:val="008C776D"/>
    <w:rsid w:val="008C7CC5"/>
    <w:rsid w:val="008D1EB9"/>
    <w:rsid w:val="008D281D"/>
    <w:rsid w:val="008D2B3E"/>
    <w:rsid w:val="008D3D65"/>
    <w:rsid w:val="008D400D"/>
    <w:rsid w:val="008D44EB"/>
    <w:rsid w:val="008D496E"/>
    <w:rsid w:val="008D4B30"/>
    <w:rsid w:val="008D4F88"/>
    <w:rsid w:val="008D53B2"/>
    <w:rsid w:val="008D5FE1"/>
    <w:rsid w:val="008D67F1"/>
    <w:rsid w:val="008D7CF5"/>
    <w:rsid w:val="008E0A60"/>
    <w:rsid w:val="008E0AB6"/>
    <w:rsid w:val="008E0FE5"/>
    <w:rsid w:val="008E13EE"/>
    <w:rsid w:val="008E1C8B"/>
    <w:rsid w:val="008E3533"/>
    <w:rsid w:val="008E3AD8"/>
    <w:rsid w:val="008E3E82"/>
    <w:rsid w:val="008E429D"/>
    <w:rsid w:val="008E4D1D"/>
    <w:rsid w:val="008E5A02"/>
    <w:rsid w:val="008E5F88"/>
    <w:rsid w:val="008E61F9"/>
    <w:rsid w:val="008E7247"/>
    <w:rsid w:val="008E789B"/>
    <w:rsid w:val="008E7E23"/>
    <w:rsid w:val="008F05F9"/>
    <w:rsid w:val="008F0A5A"/>
    <w:rsid w:val="008F0B6A"/>
    <w:rsid w:val="008F10D3"/>
    <w:rsid w:val="008F1279"/>
    <w:rsid w:val="008F13A9"/>
    <w:rsid w:val="008F15AC"/>
    <w:rsid w:val="008F1902"/>
    <w:rsid w:val="008F2FF7"/>
    <w:rsid w:val="008F3BE9"/>
    <w:rsid w:val="008F3CFA"/>
    <w:rsid w:val="008F3D33"/>
    <w:rsid w:val="008F40F2"/>
    <w:rsid w:val="008F4A89"/>
    <w:rsid w:val="008F5DAA"/>
    <w:rsid w:val="008F663B"/>
    <w:rsid w:val="008F6BF0"/>
    <w:rsid w:val="008F753A"/>
    <w:rsid w:val="008F7E36"/>
    <w:rsid w:val="009006BE"/>
    <w:rsid w:val="009009F9"/>
    <w:rsid w:val="00900F83"/>
    <w:rsid w:val="00901523"/>
    <w:rsid w:val="009015DD"/>
    <w:rsid w:val="009021A7"/>
    <w:rsid w:val="009027D4"/>
    <w:rsid w:val="00902C78"/>
    <w:rsid w:val="00902FE9"/>
    <w:rsid w:val="00903168"/>
    <w:rsid w:val="009032E2"/>
    <w:rsid w:val="00903575"/>
    <w:rsid w:val="009044A2"/>
    <w:rsid w:val="0090456A"/>
    <w:rsid w:val="00904DA4"/>
    <w:rsid w:val="00904F6C"/>
    <w:rsid w:val="0090503A"/>
    <w:rsid w:val="00905665"/>
    <w:rsid w:val="00905981"/>
    <w:rsid w:val="00905C4E"/>
    <w:rsid w:val="00906161"/>
    <w:rsid w:val="00906180"/>
    <w:rsid w:val="0090713D"/>
    <w:rsid w:val="00907535"/>
    <w:rsid w:val="00907AF2"/>
    <w:rsid w:val="00910460"/>
    <w:rsid w:val="009105A9"/>
    <w:rsid w:val="00910990"/>
    <w:rsid w:val="00911A72"/>
    <w:rsid w:val="00911EE8"/>
    <w:rsid w:val="00912127"/>
    <w:rsid w:val="009122EB"/>
    <w:rsid w:val="0091303E"/>
    <w:rsid w:val="00913B29"/>
    <w:rsid w:val="009147FE"/>
    <w:rsid w:val="00914BF5"/>
    <w:rsid w:val="0091504E"/>
    <w:rsid w:val="0091570F"/>
    <w:rsid w:val="0091606F"/>
    <w:rsid w:val="0091657B"/>
    <w:rsid w:val="009169BE"/>
    <w:rsid w:val="00917280"/>
    <w:rsid w:val="009172F6"/>
    <w:rsid w:val="00920208"/>
    <w:rsid w:val="00920542"/>
    <w:rsid w:val="00920891"/>
    <w:rsid w:val="00920C11"/>
    <w:rsid w:val="0092221B"/>
    <w:rsid w:val="00922341"/>
    <w:rsid w:val="00922449"/>
    <w:rsid w:val="009241DB"/>
    <w:rsid w:val="00924733"/>
    <w:rsid w:val="00924B48"/>
    <w:rsid w:val="00925275"/>
    <w:rsid w:val="00925A6C"/>
    <w:rsid w:val="00925D0B"/>
    <w:rsid w:val="00925D3E"/>
    <w:rsid w:val="0092610A"/>
    <w:rsid w:val="00926D8D"/>
    <w:rsid w:val="00927065"/>
    <w:rsid w:val="00927390"/>
    <w:rsid w:val="00927D31"/>
    <w:rsid w:val="00930F20"/>
    <w:rsid w:val="00930F9B"/>
    <w:rsid w:val="009318D4"/>
    <w:rsid w:val="00931B4D"/>
    <w:rsid w:val="009325B8"/>
    <w:rsid w:val="009332AF"/>
    <w:rsid w:val="009338ED"/>
    <w:rsid w:val="00933B84"/>
    <w:rsid w:val="00933C3E"/>
    <w:rsid w:val="00933D90"/>
    <w:rsid w:val="00934F08"/>
    <w:rsid w:val="00934FCF"/>
    <w:rsid w:val="009356E6"/>
    <w:rsid w:val="009357BB"/>
    <w:rsid w:val="00935AF0"/>
    <w:rsid w:val="00935C2F"/>
    <w:rsid w:val="0093618E"/>
    <w:rsid w:val="00936255"/>
    <w:rsid w:val="00936B14"/>
    <w:rsid w:val="0093727C"/>
    <w:rsid w:val="009372E7"/>
    <w:rsid w:val="009373EA"/>
    <w:rsid w:val="00937865"/>
    <w:rsid w:val="00937903"/>
    <w:rsid w:val="00937F58"/>
    <w:rsid w:val="0094041E"/>
    <w:rsid w:val="00940F70"/>
    <w:rsid w:val="0094129C"/>
    <w:rsid w:val="0094129F"/>
    <w:rsid w:val="009414F0"/>
    <w:rsid w:val="0094161E"/>
    <w:rsid w:val="009417C7"/>
    <w:rsid w:val="00942F6A"/>
    <w:rsid w:val="009434BF"/>
    <w:rsid w:val="00944D15"/>
    <w:rsid w:val="00944E6B"/>
    <w:rsid w:val="00944F29"/>
    <w:rsid w:val="00946948"/>
    <w:rsid w:val="00947070"/>
    <w:rsid w:val="00947511"/>
    <w:rsid w:val="009475B8"/>
    <w:rsid w:val="00947BB8"/>
    <w:rsid w:val="009508EF"/>
    <w:rsid w:val="00951573"/>
    <w:rsid w:val="00951A30"/>
    <w:rsid w:val="00951DE3"/>
    <w:rsid w:val="009527C1"/>
    <w:rsid w:val="00952800"/>
    <w:rsid w:val="00952A93"/>
    <w:rsid w:val="0095313A"/>
    <w:rsid w:val="0095337F"/>
    <w:rsid w:val="00953A4B"/>
    <w:rsid w:val="009540B4"/>
    <w:rsid w:val="00954626"/>
    <w:rsid w:val="009547AA"/>
    <w:rsid w:val="0095489E"/>
    <w:rsid w:val="00954AAF"/>
    <w:rsid w:val="0095516C"/>
    <w:rsid w:val="00955387"/>
    <w:rsid w:val="00955AC1"/>
    <w:rsid w:val="00955C39"/>
    <w:rsid w:val="00956533"/>
    <w:rsid w:val="00956720"/>
    <w:rsid w:val="00956A50"/>
    <w:rsid w:val="0095747F"/>
    <w:rsid w:val="00957C73"/>
    <w:rsid w:val="00957CB5"/>
    <w:rsid w:val="0096038B"/>
    <w:rsid w:val="00960402"/>
    <w:rsid w:val="00961221"/>
    <w:rsid w:val="00961F4C"/>
    <w:rsid w:val="009620CA"/>
    <w:rsid w:val="00962D03"/>
    <w:rsid w:val="00962F30"/>
    <w:rsid w:val="00963E60"/>
    <w:rsid w:val="00964046"/>
    <w:rsid w:val="0096491E"/>
    <w:rsid w:val="009654DE"/>
    <w:rsid w:val="00965838"/>
    <w:rsid w:val="00965AF9"/>
    <w:rsid w:val="00965D81"/>
    <w:rsid w:val="0097097D"/>
    <w:rsid w:val="00970DAD"/>
    <w:rsid w:val="00970F6C"/>
    <w:rsid w:val="00972214"/>
    <w:rsid w:val="00972D2D"/>
    <w:rsid w:val="009738B6"/>
    <w:rsid w:val="00973F8A"/>
    <w:rsid w:val="009745EB"/>
    <w:rsid w:val="00974706"/>
    <w:rsid w:val="009747EF"/>
    <w:rsid w:val="00974AD5"/>
    <w:rsid w:val="00975145"/>
    <w:rsid w:val="0097587C"/>
    <w:rsid w:val="009759FC"/>
    <w:rsid w:val="00975C7F"/>
    <w:rsid w:val="00976206"/>
    <w:rsid w:val="00976431"/>
    <w:rsid w:val="0097686D"/>
    <w:rsid w:val="009776DB"/>
    <w:rsid w:val="009779FA"/>
    <w:rsid w:val="00977BF8"/>
    <w:rsid w:val="009804F5"/>
    <w:rsid w:val="00980813"/>
    <w:rsid w:val="00980B70"/>
    <w:rsid w:val="009811C0"/>
    <w:rsid w:val="00981F0E"/>
    <w:rsid w:val="00981F2D"/>
    <w:rsid w:val="0098301E"/>
    <w:rsid w:val="0098435E"/>
    <w:rsid w:val="009849A0"/>
    <w:rsid w:val="00984E66"/>
    <w:rsid w:val="0098506A"/>
    <w:rsid w:val="0098522C"/>
    <w:rsid w:val="009857D2"/>
    <w:rsid w:val="009865B4"/>
    <w:rsid w:val="009871FA"/>
    <w:rsid w:val="00987CD2"/>
    <w:rsid w:val="00987DA2"/>
    <w:rsid w:val="00987F4E"/>
    <w:rsid w:val="0099052D"/>
    <w:rsid w:val="00990A79"/>
    <w:rsid w:val="00990DAC"/>
    <w:rsid w:val="00990F95"/>
    <w:rsid w:val="00991869"/>
    <w:rsid w:val="00991D10"/>
    <w:rsid w:val="00991F49"/>
    <w:rsid w:val="009922AD"/>
    <w:rsid w:val="009922BE"/>
    <w:rsid w:val="0099234C"/>
    <w:rsid w:val="00993A16"/>
    <w:rsid w:val="00993B99"/>
    <w:rsid w:val="00994583"/>
    <w:rsid w:val="00994968"/>
    <w:rsid w:val="00994E97"/>
    <w:rsid w:val="00995324"/>
    <w:rsid w:val="00995E76"/>
    <w:rsid w:val="009968EB"/>
    <w:rsid w:val="009970B8"/>
    <w:rsid w:val="0099738F"/>
    <w:rsid w:val="009A0C7A"/>
    <w:rsid w:val="009A1304"/>
    <w:rsid w:val="009A13CA"/>
    <w:rsid w:val="009A1971"/>
    <w:rsid w:val="009A3441"/>
    <w:rsid w:val="009A3EBC"/>
    <w:rsid w:val="009A4562"/>
    <w:rsid w:val="009A457F"/>
    <w:rsid w:val="009A4EC3"/>
    <w:rsid w:val="009A50AD"/>
    <w:rsid w:val="009A532D"/>
    <w:rsid w:val="009A5939"/>
    <w:rsid w:val="009A5F67"/>
    <w:rsid w:val="009A6D05"/>
    <w:rsid w:val="009A73DC"/>
    <w:rsid w:val="009A764B"/>
    <w:rsid w:val="009A7864"/>
    <w:rsid w:val="009B1A54"/>
    <w:rsid w:val="009B23C2"/>
    <w:rsid w:val="009B26BC"/>
    <w:rsid w:val="009B3C32"/>
    <w:rsid w:val="009B3F3F"/>
    <w:rsid w:val="009B41F8"/>
    <w:rsid w:val="009B443B"/>
    <w:rsid w:val="009B47BD"/>
    <w:rsid w:val="009B4DDB"/>
    <w:rsid w:val="009B57B3"/>
    <w:rsid w:val="009B64DE"/>
    <w:rsid w:val="009B65B8"/>
    <w:rsid w:val="009B6ECA"/>
    <w:rsid w:val="009B70F4"/>
    <w:rsid w:val="009B7736"/>
    <w:rsid w:val="009C04FC"/>
    <w:rsid w:val="009C1BEE"/>
    <w:rsid w:val="009C20F4"/>
    <w:rsid w:val="009C236F"/>
    <w:rsid w:val="009C28D1"/>
    <w:rsid w:val="009C2962"/>
    <w:rsid w:val="009C312C"/>
    <w:rsid w:val="009C4B32"/>
    <w:rsid w:val="009C5BDA"/>
    <w:rsid w:val="009C7A6B"/>
    <w:rsid w:val="009C7EF0"/>
    <w:rsid w:val="009D027B"/>
    <w:rsid w:val="009D0534"/>
    <w:rsid w:val="009D0569"/>
    <w:rsid w:val="009D17EC"/>
    <w:rsid w:val="009D1D94"/>
    <w:rsid w:val="009D202C"/>
    <w:rsid w:val="009D2E42"/>
    <w:rsid w:val="009D2F89"/>
    <w:rsid w:val="009D50D7"/>
    <w:rsid w:val="009D54E9"/>
    <w:rsid w:val="009D5533"/>
    <w:rsid w:val="009D559C"/>
    <w:rsid w:val="009D6095"/>
    <w:rsid w:val="009D7C6E"/>
    <w:rsid w:val="009D7D81"/>
    <w:rsid w:val="009E0829"/>
    <w:rsid w:val="009E08E3"/>
    <w:rsid w:val="009E0955"/>
    <w:rsid w:val="009E1846"/>
    <w:rsid w:val="009E2188"/>
    <w:rsid w:val="009E2A75"/>
    <w:rsid w:val="009E3114"/>
    <w:rsid w:val="009E3476"/>
    <w:rsid w:val="009E449B"/>
    <w:rsid w:val="009E457A"/>
    <w:rsid w:val="009E508F"/>
    <w:rsid w:val="009E58AD"/>
    <w:rsid w:val="009F1F19"/>
    <w:rsid w:val="009F26EE"/>
    <w:rsid w:val="009F2C48"/>
    <w:rsid w:val="009F3157"/>
    <w:rsid w:val="009F4298"/>
    <w:rsid w:val="009F4332"/>
    <w:rsid w:val="009F4DF1"/>
    <w:rsid w:val="009F4FCB"/>
    <w:rsid w:val="009F55ED"/>
    <w:rsid w:val="009F57AF"/>
    <w:rsid w:val="009F58D2"/>
    <w:rsid w:val="009F6479"/>
    <w:rsid w:val="009F6707"/>
    <w:rsid w:val="009F6DEA"/>
    <w:rsid w:val="00A0000B"/>
    <w:rsid w:val="00A0023E"/>
    <w:rsid w:val="00A00A72"/>
    <w:rsid w:val="00A00FBB"/>
    <w:rsid w:val="00A01178"/>
    <w:rsid w:val="00A01805"/>
    <w:rsid w:val="00A01C31"/>
    <w:rsid w:val="00A01CFB"/>
    <w:rsid w:val="00A02534"/>
    <w:rsid w:val="00A02B11"/>
    <w:rsid w:val="00A02E29"/>
    <w:rsid w:val="00A04266"/>
    <w:rsid w:val="00A048CD"/>
    <w:rsid w:val="00A04D85"/>
    <w:rsid w:val="00A04EB2"/>
    <w:rsid w:val="00A0587B"/>
    <w:rsid w:val="00A059D2"/>
    <w:rsid w:val="00A05D3F"/>
    <w:rsid w:val="00A06D69"/>
    <w:rsid w:val="00A06E24"/>
    <w:rsid w:val="00A074A6"/>
    <w:rsid w:val="00A07836"/>
    <w:rsid w:val="00A102F4"/>
    <w:rsid w:val="00A10A89"/>
    <w:rsid w:val="00A10DCC"/>
    <w:rsid w:val="00A1115F"/>
    <w:rsid w:val="00A112DB"/>
    <w:rsid w:val="00A11CF3"/>
    <w:rsid w:val="00A1209C"/>
    <w:rsid w:val="00A12121"/>
    <w:rsid w:val="00A12AAA"/>
    <w:rsid w:val="00A12CFE"/>
    <w:rsid w:val="00A13BC2"/>
    <w:rsid w:val="00A13E7D"/>
    <w:rsid w:val="00A13F78"/>
    <w:rsid w:val="00A153D8"/>
    <w:rsid w:val="00A15554"/>
    <w:rsid w:val="00A1614C"/>
    <w:rsid w:val="00A16677"/>
    <w:rsid w:val="00A17646"/>
    <w:rsid w:val="00A178A5"/>
    <w:rsid w:val="00A17BF3"/>
    <w:rsid w:val="00A20FF2"/>
    <w:rsid w:val="00A210D7"/>
    <w:rsid w:val="00A21A62"/>
    <w:rsid w:val="00A221F5"/>
    <w:rsid w:val="00A2272B"/>
    <w:rsid w:val="00A231BB"/>
    <w:rsid w:val="00A2381B"/>
    <w:rsid w:val="00A23CF7"/>
    <w:rsid w:val="00A24042"/>
    <w:rsid w:val="00A254CD"/>
    <w:rsid w:val="00A25542"/>
    <w:rsid w:val="00A259FC"/>
    <w:rsid w:val="00A2699B"/>
    <w:rsid w:val="00A27A8E"/>
    <w:rsid w:val="00A30371"/>
    <w:rsid w:val="00A30488"/>
    <w:rsid w:val="00A3082D"/>
    <w:rsid w:val="00A31365"/>
    <w:rsid w:val="00A31785"/>
    <w:rsid w:val="00A317FB"/>
    <w:rsid w:val="00A31887"/>
    <w:rsid w:val="00A31E66"/>
    <w:rsid w:val="00A33501"/>
    <w:rsid w:val="00A3350D"/>
    <w:rsid w:val="00A337FA"/>
    <w:rsid w:val="00A339F7"/>
    <w:rsid w:val="00A3550D"/>
    <w:rsid w:val="00A35564"/>
    <w:rsid w:val="00A36340"/>
    <w:rsid w:val="00A36B09"/>
    <w:rsid w:val="00A375C7"/>
    <w:rsid w:val="00A377CD"/>
    <w:rsid w:val="00A4046A"/>
    <w:rsid w:val="00A405A8"/>
    <w:rsid w:val="00A4141E"/>
    <w:rsid w:val="00A418A8"/>
    <w:rsid w:val="00A4196C"/>
    <w:rsid w:val="00A41A39"/>
    <w:rsid w:val="00A422BF"/>
    <w:rsid w:val="00A427CE"/>
    <w:rsid w:val="00A4380A"/>
    <w:rsid w:val="00A44246"/>
    <w:rsid w:val="00A443FE"/>
    <w:rsid w:val="00A44672"/>
    <w:rsid w:val="00A447EF"/>
    <w:rsid w:val="00A4482E"/>
    <w:rsid w:val="00A448C4"/>
    <w:rsid w:val="00A45A1B"/>
    <w:rsid w:val="00A465A4"/>
    <w:rsid w:val="00A46640"/>
    <w:rsid w:val="00A46B4C"/>
    <w:rsid w:val="00A46DAE"/>
    <w:rsid w:val="00A47624"/>
    <w:rsid w:val="00A47635"/>
    <w:rsid w:val="00A47A5F"/>
    <w:rsid w:val="00A50302"/>
    <w:rsid w:val="00A52164"/>
    <w:rsid w:val="00A53F43"/>
    <w:rsid w:val="00A54048"/>
    <w:rsid w:val="00A541D7"/>
    <w:rsid w:val="00A54CB7"/>
    <w:rsid w:val="00A56222"/>
    <w:rsid w:val="00A563D0"/>
    <w:rsid w:val="00A56558"/>
    <w:rsid w:val="00A565FB"/>
    <w:rsid w:val="00A56A60"/>
    <w:rsid w:val="00A56C41"/>
    <w:rsid w:val="00A56C98"/>
    <w:rsid w:val="00A57118"/>
    <w:rsid w:val="00A57316"/>
    <w:rsid w:val="00A574C6"/>
    <w:rsid w:val="00A57975"/>
    <w:rsid w:val="00A57ED5"/>
    <w:rsid w:val="00A57F68"/>
    <w:rsid w:val="00A603CA"/>
    <w:rsid w:val="00A60637"/>
    <w:rsid w:val="00A60762"/>
    <w:rsid w:val="00A627A7"/>
    <w:rsid w:val="00A62EA7"/>
    <w:rsid w:val="00A63342"/>
    <w:rsid w:val="00A634C9"/>
    <w:rsid w:val="00A640C9"/>
    <w:rsid w:val="00A64BB4"/>
    <w:rsid w:val="00A64C97"/>
    <w:rsid w:val="00A657B5"/>
    <w:rsid w:val="00A66E3B"/>
    <w:rsid w:val="00A67236"/>
    <w:rsid w:val="00A71237"/>
    <w:rsid w:val="00A72242"/>
    <w:rsid w:val="00A72461"/>
    <w:rsid w:val="00A730C0"/>
    <w:rsid w:val="00A73151"/>
    <w:rsid w:val="00A744F1"/>
    <w:rsid w:val="00A74572"/>
    <w:rsid w:val="00A7465D"/>
    <w:rsid w:val="00A74772"/>
    <w:rsid w:val="00A74C70"/>
    <w:rsid w:val="00A755FB"/>
    <w:rsid w:val="00A75B04"/>
    <w:rsid w:val="00A75F85"/>
    <w:rsid w:val="00A764FE"/>
    <w:rsid w:val="00A76ECD"/>
    <w:rsid w:val="00A7758A"/>
    <w:rsid w:val="00A7767E"/>
    <w:rsid w:val="00A778DB"/>
    <w:rsid w:val="00A803FD"/>
    <w:rsid w:val="00A80AAC"/>
    <w:rsid w:val="00A81A14"/>
    <w:rsid w:val="00A828AC"/>
    <w:rsid w:val="00A8296F"/>
    <w:rsid w:val="00A82978"/>
    <w:rsid w:val="00A83446"/>
    <w:rsid w:val="00A8348E"/>
    <w:rsid w:val="00A84D07"/>
    <w:rsid w:val="00A85375"/>
    <w:rsid w:val="00A85764"/>
    <w:rsid w:val="00A86BEA"/>
    <w:rsid w:val="00A87257"/>
    <w:rsid w:val="00A87590"/>
    <w:rsid w:val="00A87994"/>
    <w:rsid w:val="00A90C77"/>
    <w:rsid w:val="00A90D02"/>
    <w:rsid w:val="00A9109F"/>
    <w:rsid w:val="00A91422"/>
    <w:rsid w:val="00A930FA"/>
    <w:rsid w:val="00A93D84"/>
    <w:rsid w:val="00A94963"/>
    <w:rsid w:val="00A94E50"/>
    <w:rsid w:val="00A96249"/>
    <w:rsid w:val="00A963EC"/>
    <w:rsid w:val="00A9647E"/>
    <w:rsid w:val="00A968BA"/>
    <w:rsid w:val="00A97310"/>
    <w:rsid w:val="00A97488"/>
    <w:rsid w:val="00A9768C"/>
    <w:rsid w:val="00A97B17"/>
    <w:rsid w:val="00AA095E"/>
    <w:rsid w:val="00AA0C2F"/>
    <w:rsid w:val="00AA19A9"/>
    <w:rsid w:val="00AA1BD1"/>
    <w:rsid w:val="00AA1C18"/>
    <w:rsid w:val="00AA28C6"/>
    <w:rsid w:val="00AA2928"/>
    <w:rsid w:val="00AA2A18"/>
    <w:rsid w:val="00AA2F39"/>
    <w:rsid w:val="00AA3E54"/>
    <w:rsid w:val="00AA3F6A"/>
    <w:rsid w:val="00AA4231"/>
    <w:rsid w:val="00AA58DA"/>
    <w:rsid w:val="00AA5DA9"/>
    <w:rsid w:val="00AA6512"/>
    <w:rsid w:val="00AA7BF9"/>
    <w:rsid w:val="00AA7D3D"/>
    <w:rsid w:val="00AB0C9D"/>
    <w:rsid w:val="00AB1874"/>
    <w:rsid w:val="00AB1D3F"/>
    <w:rsid w:val="00AB2750"/>
    <w:rsid w:val="00AB32A0"/>
    <w:rsid w:val="00AB347B"/>
    <w:rsid w:val="00AB35DD"/>
    <w:rsid w:val="00AB5200"/>
    <w:rsid w:val="00AB547E"/>
    <w:rsid w:val="00AB5894"/>
    <w:rsid w:val="00AB5941"/>
    <w:rsid w:val="00AB5BC9"/>
    <w:rsid w:val="00AB5F0C"/>
    <w:rsid w:val="00AB66A8"/>
    <w:rsid w:val="00AB7840"/>
    <w:rsid w:val="00AB7F2C"/>
    <w:rsid w:val="00AC004E"/>
    <w:rsid w:val="00AC00C1"/>
    <w:rsid w:val="00AC0890"/>
    <w:rsid w:val="00AC0DC5"/>
    <w:rsid w:val="00AC1066"/>
    <w:rsid w:val="00AC1213"/>
    <w:rsid w:val="00AC1FAC"/>
    <w:rsid w:val="00AC21B8"/>
    <w:rsid w:val="00AC2324"/>
    <w:rsid w:val="00AC2B71"/>
    <w:rsid w:val="00AC33B0"/>
    <w:rsid w:val="00AC3473"/>
    <w:rsid w:val="00AC3516"/>
    <w:rsid w:val="00AC4F94"/>
    <w:rsid w:val="00AC520B"/>
    <w:rsid w:val="00AC5685"/>
    <w:rsid w:val="00AC5C5B"/>
    <w:rsid w:val="00AC5CB1"/>
    <w:rsid w:val="00AC68CC"/>
    <w:rsid w:val="00AC709E"/>
    <w:rsid w:val="00AC7371"/>
    <w:rsid w:val="00AD03E5"/>
    <w:rsid w:val="00AD1224"/>
    <w:rsid w:val="00AD1915"/>
    <w:rsid w:val="00AD1E56"/>
    <w:rsid w:val="00AD20E4"/>
    <w:rsid w:val="00AD250D"/>
    <w:rsid w:val="00AD25FF"/>
    <w:rsid w:val="00AD3BD2"/>
    <w:rsid w:val="00AD5975"/>
    <w:rsid w:val="00AD6095"/>
    <w:rsid w:val="00AD613A"/>
    <w:rsid w:val="00AD6629"/>
    <w:rsid w:val="00AD683B"/>
    <w:rsid w:val="00AD6998"/>
    <w:rsid w:val="00AD7380"/>
    <w:rsid w:val="00AD743C"/>
    <w:rsid w:val="00AD74D9"/>
    <w:rsid w:val="00AD7DF5"/>
    <w:rsid w:val="00AE01AC"/>
    <w:rsid w:val="00AE02AF"/>
    <w:rsid w:val="00AE0353"/>
    <w:rsid w:val="00AE04FF"/>
    <w:rsid w:val="00AE08D8"/>
    <w:rsid w:val="00AE0F26"/>
    <w:rsid w:val="00AE183F"/>
    <w:rsid w:val="00AE18C1"/>
    <w:rsid w:val="00AE196D"/>
    <w:rsid w:val="00AE1AD9"/>
    <w:rsid w:val="00AE1EF9"/>
    <w:rsid w:val="00AE26AD"/>
    <w:rsid w:val="00AE2951"/>
    <w:rsid w:val="00AE37A1"/>
    <w:rsid w:val="00AE3C41"/>
    <w:rsid w:val="00AE3C83"/>
    <w:rsid w:val="00AE401A"/>
    <w:rsid w:val="00AE4275"/>
    <w:rsid w:val="00AE45F0"/>
    <w:rsid w:val="00AE4868"/>
    <w:rsid w:val="00AE4CF9"/>
    <w:rsid w:val="00AE4D81"/>
    <w:rsid w:val="00AE507B"/>
    <w:rsid w:val="00AE55A8"/>
    <w:rsid w:val="00AE5C5B"/>
    <w:rsid w:val="00AE63AC"/>
    <w:rsid w:val="00AE69B6"/>
    <w:rsid w:val="00AE6BDF"/>
    <w:rsid w:val="00AE7555"/>
    <w:rsid w:val="00AE7A9A"/>
    <w:rsid w:val="00AE7C6D"/>
    <w:rsid w:val="00AE7E47"/>
    <w:rsid w:val="00AE7E78"/>
    <w:rsid w:val="00AF063E"/>
    <w:rsid w:val="00AF0907"/>
    <w:rsid w:val="00AF0BA8"/>
    <w:rsid w:val="00AF0E45"/>
    <w:rsid w:val="00AF1EB6"/>
    <w:rsid w:val="00AF1F56"/>
    <w:rsid w:val="00AF2F51"/>
    <w:rsid w:val="00AF2FEE"/>
    <w:rsid w:val="00AF33CC"/>
    <w:rsid w:val="00AF39F3"/>
    <w:rsid w:val="00AF3E50"/>
    <w:rsid w:val="00AF4084"/>
    <w:rsid w:val="00AF45BC"/>
    <w:rsid w:val="00AF5150"/>
    <w:rsid w:val="00AF5251"/>
    <w:rsid w:val="00AF5EDB"/>
    <w:rsid w:val="00AF67A5"/>
    <w:rsid w:val="00AF709E"/>
    <w:rsid w:val="00AF771D"/>
    <w:rsid w:val="00AF794F"/>
    <w:rsid w:val="00AF7C21"/>
    <w:rsid w:val="00B000EA"/>
    <w:rsid w:val="00B0051D"/>
    <w:rsid w:val="00B01221"/>
    <w:rsid w:val="00B025C9"/>
    <w:rsid w:val="00B025D9"/>
    <w:rsid w:val="00B026A9"/>
    <w:rsid w:val="00B02930"/>
    <w:rsid w:val="00B02AEE"/>
    <w:rsid w:val="00B02EE9"/>
    <w:rsid w:val="00B02F3A"/>
    <w:rsid w:val="00B02F64"/>
    <w:rsid w:val="00B03597"/>
    <w:rsid w:val="00B04310"/>
    <w:rsid w:val="00B04556"/>
    <w:rsid w:val="00B04F67"/>
    <w:rsid w:val="00B04FB5"/>
    <w:rsid w:val="00B061B7"/>
    <w:rsid w:val="00B062DC"/>
    <w:rsid w:val="00B064A4"/>
    <w:rsid w:val="00B069F7"/>
    <w:rsid w:val="00B073F8"/>
    <w:rsid w:val="00B0780F"/>
    <w:rsid w:val="00B07F53"/>
    <w:rsid w:val="00B07FB8"/>
    <w:rsid w:val="00B10292"/>
    <w:rsid w:val="00B10FC0"/>
    <w:rsid w:val="00B11350"/>
    <w:rsid w:val="00B116B0"/>
    <w:rsid w:val="00B118DF"/>
    <w:rsid w:val="00B12B69"/>
    <w:rsid w:val="00B13210"/>
    <w:rsid w:val="00B13765"/>
    <w:rsid w:val="00B138DE"/>
    <w:rsid w:val="00B144C4"/>
    <w:rsid w:val="00B1499B"/>
    <w:rsid w:val="00B14D54"/>
    <w:rsid w:val="00B14FF6"/>
    <w:rsid w:val="00B152C6"/>
    <w:rsid w:val="00B16BD1"/>
    <w:rsid w:val="00B16D5F"/>
    <w:rsid w:val="00B1796F"/>
    <w:rsid w:val="00B17DC1"/>
    <w:rsid w:val="00B2454B"/>
    <w:rsid w:val="00B2483D"/>
    <w:rsid w:val="00B24A97"/>
    <w:rsid w:val="00B24C93"/>
    <w:rsid w:val="00B24F4A"/>
    <w:rsid w:val="00B253D1"/>
    <w:rsid w:val="00B25971"/>
    <w:rsid w:val="00B25C67"/>
    <w:rsid w:val="00B26C3C"/>
    <w:rsid w:val="00B27783"/>
    <w:rsid w:val="00B27BCD"/>
    <w:rsid w:val="00B27C8B"/>
    <w:rsid w:val="00B27E19"/>
    <w:rsid w:val="00B27E77"/>
    <w:rsid w:val="00B30E7C"/>
    <w:rsid w:val="00B3134E"/>
    <w:rsid w:val="00B313A5"/>
    <w:rsid w:val="00B316A5"/>
    <w:rsid w:val="00B31C22"/>
    <w:rsid w:val="00B31D9E"/>
    <w:rsid w:val="00B31FC4"/>
    <w:rsid w:val="00B320D3"/>
    <w:rsid w:val="00B331AB"/>
    <w:rsid w:val="00B337EA"/>
    <w:rsid w:val="00B338BB"/>
    <w:rsid w:val="00B33DFD"/>
    <w:rsid w:val="00B35610"/>
    <w:rsid w:val="00B35853"/>
    <w:rsid w:val="00B36D53"/>
    <w:rsid w:val="00B36DE8"/>
    <w:rsid w:val="00B378DA"/>
    <w:rsid w:val="00B40291"/>
    <w:rsid w:val="00B403DB"/>
    <w:rsid w:val="00B41FC2"/>
    <w:rsid w:val="00B425C1"/>
    <w:rsid w:val="00B42AD8"/>
    <w:rsid w:val="00B43338"/>
    <w:rsid w:val="00B43EB7"/>
    <w:rsid w:val="00B448CC"/>
    <w:rsid w:val="00B44FF4"/>
    <w:rsid w:val="00B4511A"/>
    <w:rsid w:val="00B458D8"/>
    <w:rsid w:val="00B47403"/>
    <w:rsid w:val="00B47A0E"/>
    <w:rsid w:val="00B47A4E"/>
    <w:rsid w:val="00B47D79"/>
    <w:rsid w:val="00B50660"/>
    <w:rsid w:val="00B50820"/>
    <w:rsid w:val="00B515FF"/>
    <w:rsid w:val="00B52BDE"/>
    <w:rsid w:val="00B52CAE"/>
    <w:rsid w:val="00B532FD"/>
    <w:rsid w:val="00B535F7"/>
    <w:rsid w:val="00B53F31"/>
    <w:rsid w:val="00B5435E"/>
    <w:rsid w:val="00B551D6"/>
    <w:rsid w:val="00B55882"/>
    <w:rsid w:val="00B559FE"/>
    <w:rsid w:val="00B5683D"/>
    <w:rsid w:val="00B57DB8"/>
    <w:rsid w:val="00B6023C"/>
    <w:rsid w:val="00B60476"/>
    <w:rsid w:val="00B60712"/>
    <w:rsid w:val="00B61330"/>
    <w:rsid w:val="00B614ED"/>
    <w:rsid w:val="00B633B8"/>
    <w:rsid w:val="00B645C9"/>
    <w:rsid w:val="00B64BDC"/>
    <w:rsid w:val="00B6560B"/>
    <w:rsid w:val="00B65C88"/>
    <w:rsid w:val="00B65E5C"/>
    <w:rsid w:val="00B65F68"/>
    <w:rsid w:val="00B66303"/>
    <w:rsid w:val="00B663AF"/>
    <w:rsid w:val="00B66932"/>
    <w:rsid w:val="00B670C0"/>
    <w:rsid w:val="00B67E55"/>
    <w:rsid w:val="00B701FB"/>
    <w:rsid w:val="00B70C6E"/>
    <w:rsid w:val="00B71075"/>
    <w:rsid w:val="00B71E69"/>
    <w:rsid w:val="00B73115"/>
    <w:rsid w:val="00B73329"/>
    <w:rsid w:val="00B737B9"/>
    <w:rsid w:val="00B73907"/>
    <w:rsid w:val="00B73C0A"/>
    <w:rsid w:val="00B746A5"/>
    <w:rsid w:val="00B74886"/>
    <w:rsid w:val="00B75212"/>
    <w:rsid w:val="00B75308"/>
    <w:rsid w:val="00B75640"/>
    <w:rsid w:val="00B76576"/>
    <w:rsid w:val="00B76B1B"/>
    <w:rsid w:val="00B80105"/>
    <w:rsid w:val="00B807B4"/>
    <w:rsid w:val="00B81CF3"/>
    <w:rsid w:val="00B82498"/>
    <w:rsid w:val="00B82AD8"/>
    <w:rsid w:val="00B8310B"/>
    <w:rsid w:val="00B83541"/>
    <w:rsid w:val="00B841E7"/>
    <w:rsid w:val="00B842EC"/>
    <w:rsid w:val="00B84527"/>
    <w:rsid w:val="00B867EF"/>
    <w:rsid w:val="00B86BFA"/>
    <w:rsid w:val="00B8704E"/>
    <w:rsid w:val="00B872F6"/>
    <w:rsid w:val="00B87FA6"/>
    <w:rsid w:val="00B90707"/>
    <w:rsid w:val="00B93321"/>
    <w:rsid w:val="00B935D8"/>
    <w:rsid w:val="00B935F7"/>
    <w:rsid w:val="00B93F48"/>
    <w:rsid w:val="00B95EFB"/>
    <w:rsid w:val="00B96854"/>
    <w:rsid w:val="00B9698C"/>
    <w:rsid w:val="00B970F0"/>
    <w:rsid w:val="00B97126"/>
    <w:rsid w:val="00B9758E"/>
    <w:rsid w:val="00B97A0C"/>
    <w:rsid w:val="00BA0D13"/>
    <w:rsid w:val="00BA16EF"/>
    <w:rsid w:val="00BA215B"/>
    <w:rsid w:val="00BA221E"/>
    <w:rsid w:val="00BA261E"/>
    <w:rsid w:val="00BA2D4A"/>
    <w:rsid w:val="00BA2EC3"/>
    <w:rsid w:val="00BA3698"/>
    <w:rsid w:val="00BA37D9"/>
    <w:rsid w:val="00BA413F"/>
    <w:rsid w:val="00BA51FB"/>
    <w:rsid w:val="00BA5766"/>
    <w:rsid w:val="00BA5B57"/>
    <w:rsid w:val="00BA72CE"/>
    <w:rsid w:val="00BA7A66"/>
    <w:rsid w:val="00BA7C87"/>
    <w:rsid w:val="00BA7D39"/>
    <w:rsid w:val="00BB0177"/>
    <w:rsid w:val="00BB08E7"/>
    <w:rsid w:val="00BB0EA9"/>
    <w:rsid w:val="00BB15D8"/>
    <w:rsid w:val="00BB17EA"/>
    <w:rsid w:val="00BB1D1D"/>
    <w:rsid w:val="00BB20D0"/>
    <w:rsid w:val="00BB27C6"/>
    <w:rsid w:val="00BB287E"/>
    <w:rsid w:val="00BB3E58"/>
    <w:rsid w:val="00BB61AB"/>
    <w:rsid w:val="00BB6563"/>
    <w:rsid w:val="00BB6772"/>
    <w:rsid w:val="00BB686A"/>
    <w:rsid w:val="00BB6C4A"/>
    <w:rsid w:val="00BB71A7"/>
    <w:rsid w:val="00BB764F"/>
    <w:rsid w:val="00BB7EC1"/>
    <w:rsid w:val="00BC0712"/>
    <w:rsid w:val="00BC0790"/>
    <w:rsid w:val="00BC0C2F"/>
    <w:rsid w:val="00BC1002"/>
    <w:rsid w:val="00BC1091"/>
    <w:rsid w:val="00BC188A"/>
    <w:rsid w:val="00BC1FA6"/>
    <w:rsid w:val="00BC2C56"/>
    <w:rsid w:val="00BC2DDD"/>
    <w:rsid w:val="00BC31C3"/>
    <w:rsid w:val="00BC3FA9"/>
    <w:rsid w:val="00BC4299"/>
    <w:rsid w:val="00BC45C4"/>
    <w:rsid w:val="00BC495E"/>
    <w:rsid w:val="00BC4988"/>
    <w:rsid w:val="00BC49BD"/>
    <w:rsid w:val="00BC4BAA"/>
    <w:rsid w:val="00BC5664"/>
    <w:rsid w:val="00BC6353"/>
    <w:rsid w:val="00BC6428"/>
    <w:rsid w:val="00BC67F0"/>
    <w:rsid w:val="00BC691C"/>
    <w:rsid w:val="00BC6D34"/>
    <w:rsid w:val="00BC7546"/>
    <w:rsid w:val="00BC755B"/>
    <w:rsid w:val="00BC79DD"/>
    <w:rsid w:val="00BD1155"/>
    <w:rsid w:val="00BD2BD8"/>
    <w:rsid w:val="00BD35DF"/>
    <w:rsid w:val="00BD3F4D"/>
    <w:rsid w:val="00BD441F"/>
    <w:rsid w:val="00BD44B4"/>
    <w:rsid w:val="00BD44D2"/>
    <w:rsid w:val="00BD4BDF"/>
    <w:rsid w:val="00BD4C1D"/>
    <w:rsid w:val="00BD4E36"/>
    <w:rsid w:val="00BD52C5"/>
    <w:rsid w:val="00BD5954"/>
    <w:rsid w:val="00BD64FA"/>
    <w:rsid w:val="00BD6DAB"/>
    <w:rsid w:val="00BD737A"/>
    <w:rsid w:val="00BE05B6"/>
    <w:rsid w:val="00BE0887"/>
    <w:rsid w:val="00BE0E42"/>
    <w:rsid w:val="00BE3791"/>
    <w:rsid w:val="00BE3A14"/>
    <w:rsid w:val="00BE3F0F"/>
    <w:rsid w:val="00BE48BE"/>
    <w:rsid w:val="00BE4943"/>
    <w:rsid w:val="00BE4DB2"/>
    <w:rsid w:val="00BE5E8A"/>
    <w:rsid w:val="00BE64A6"/>
    <w:rsid w:val="00BE6A08"/>
    <w:rsid w:val="00BE74EE"/>
    <w:rsid w:val="00BE781A"/>
    <w:rsid w:val="00BE7F24"/>
    <w:rsid w:val="00BF070A"/>
    <w:rsid w:val="00BF173B"/>
    <w:rsid w:val="00BF1FE2"/>
    <w:rsid w:val="00BF270B"/>
    <w:rsid w:val="00BF28DC"/>
    <w:rsid w:val="00BF2B67"/>
    <w:rsid w:val="00BF2D8E"/>
    <w:rsid w:val="00BF3383"/>
    <w:rsid w:val="00BF3537"/>
    <w:rsid w:val="00BF377B"/>
    <w:rsid w:val="00BF38F6"/>
    <w:rsid w:val="00BF405D"/>
    <w:rsid w:val="00BF4990"/>
    <w:rsid w:val="00BF5EA6"/>
    <w:rsid w:val="00BF623D"/>
    <w:rsid w:val="00BF69E0"/>
    <w:rsid w:val="00BF6C6D"/>
    <w:rsid w:val="00BF7868"/>
    <w:rsid w:val="00BF7B17"/>
    <w:rsid w:val="00BF7BAD"/>
    <w:rsid w:val="00C010B1"/>
    <w:rsid w:val="00C02190"/>
    <w:rsid w:val="00C0231C"/>
    <w:rsid w:val="00C024A4"/>
    <w:rsid w:val="00C028BC"/>
    <w:rsid w:val="00C0296A"/>
    <w:rsid w:val="00C03220"/>
    <w:rsid w:val="00C0329C"/>
    <w:rsid w:val="00C032BA"/>
    <w:rsid w:val="00C03CB4"/>
    <w:rsid w:val="00C03DDF"/>
    <w:rsid w:val="00C03E5F"/>
    <w:rsid w:val="00C042A9"/>
    <w:rsid w:val="00C05A16"/>
    <w:rsid w:val="00C0611A"/>
    <w:rsid w:val="00C06248"/>
    <w:rsid w:val="00C064C1"/>
    <w:rsid w:val="00C0658C"/>
    <w:rsid w:val="00C071E4"/>
    <w:rsid w:val="00C073EC"/>
    <w:rsid w:val="00C078A3"/>
    <w:rsid w:val="00C07A88"/>
    <w:rsid w:val="00C07B09"/>
    <w:rsid w:val="00C07DB7"/>
    <w:rsid w:val="00C07FC2"/>
    <w:rsid w:val="00C10176"/>
    <w:rsid w:val="00C108AE"/>
    <w:rsid w:val="00C10C6B"/>
    <w:rsid w:val="00C1172B"/>
    <w:rsid w:val="00C12BCF"/>
    <w:rsid w:val="00C13917"/>
    <w:rsid w:val="00C13A6A"/>
    <w:rsid w:val="00C13EE3"/>
    <w:rsid w:val="00C14755"/>
    <w:rsid w:val="00C15943"/>
    <w:rsid w:val="00C15ACD"/>
    <w:rsid w:val="00C16213"/>
    <w:rsid w:val="00C16647"/>
    <w:rsid w:val="00C16A59"/>
    <w:rsid w:val="00C16DC3"/>
    <w:rsid w:val="00C17096"/>
    <w:rsid w:val="00C174DE"/>
    <w:rsid w:val="00C17767"/>
    <w:rsid w:val="00C17943"/>
    <w:rsid w:val="00C200BE"/>
    <w:rsid w:val="00C201F7"/>
    <w:rsid w:val="00C20A88"/>
    <w:rsid w:val="00C213D7"/>
    <w:rsid w:val="00C213DF"/>
    <w:rsid w:val="00C214E8"/>
    <w:rsid w:val="00C21D6F"/>
    <w:rsid w:val="00C21E9D"/>
    <w:rsid w:val="00C22736"/>
    <w:rsid w:val="00C22FBC"/>
    <w:rsid w:val="00C2487D"/>
    <w:rsid w:val="00C24E14"/>
    <w:rsid w:val="00C25031"/>
    <w:rsid w:val="00C25286"/>
    <w:rsid w:val="00C2546B"/>
    <w:rsid w:val="00C258A9"/>
    <w:rsid w:val="00C25B36"/>
    <w:rsid w:val="00C26EF5"/>
    <w:rsid w:val="00C27198"/>
    <w:rsid w:val="00C27CB1"/>
    <w:rsid w:val="00C30DDA"/>
    <w:rsid w:val="00C31D2A"/>
    <w:rsid w:val="00C339E2"/>
    <w:rsid w:val="00C33F1D"/>
    <w:rsid w:val="00C34E32"/>
    <w:rsid w:val="00C353C8"/>
    <w:rsid w:val="00C35795"/>
    <w:rsid w:val="00C357FA"/>
    <w:rsid w:val="00C368A4"/>
    <w:rsid w:val="00C36D29"/>
    <w:rsid w:val="00C36E19"/>
    <w:rsid w:val="00C37D1B"/>
    <w:rsid w:val="00C40155"/>
    <w:rsid w:val="00C4054B"/>
    <w:rsid w:val="00C40B0B"/>
    <w:rsid w:val="00C41DC1"/>
    <w:rsid w:val="00C424EB"/>
    <w:rsid w:val="00C4444A"/>
    <w:rsid w:val="00C44CBE"/>
    <w:rsid w:val="00C46740"/>
    <w:rsid w:val="00C46886"/>
    <w:rsid w:val="00C46E11"/>
    <w:rsid w:val="00C5089D"/>
    <w:rsid w:val="00C50929"/>
    <w:rsid w:val="00C52007"/>
    <w:rsid w:val="00C52557"/>
    <w:rsid w:val="00C52A29"/>
    <w:rsid w:val="00C5364B"/>
    <w:rsid w:val="00C53D6A"/>
    <w:rsid w:val="00C53DC8"/>
    <w:rsid w:val="00C53EFA"/>
    <w:rsid w:val="00C55D9A"/>
    <w:rsid w:val="00C560C1"/>
    <w:rsid w:val="00C56E3A"/>
    <w:rsid w:val="00C57061"/>
    <w:rsid w:val="00C57564"/>
    <w:rsid w:val="00C5757C"/>
    <w:rsid w:val="00C57676"/>
    <w:rsid w:val="00C57F24"/>
    <w:rsid w:val="00C57FF0"/>
    <w:rsid w:val="00C60FF9"/>
    <w:rsid w:val="00C61899"/>
    <w:rsid w:val="00C6235B"/>
    <w:rsid w:val="00C62F7E"/>
    <w:rsid w:val="00C630A1"/>
    <w:rsid w:val="00C63740"/>
    <w:rsid w:val="00C63BA8"/>
    <w:rsid w:val="00C64273"/>
    <w:rsid w:val="00C646CC"/>
    <w:rsid w:val="00C64BF9"/>
    <w:rsid w:val="00C6583F"/>
    <w:rsid w:val="00C658EA"/>
    <w:rsid w:val="00C6597D"/>
    <w:rsid w:val="00C65C90"/>
    <w:rsid w:val="00C66661"/>
    <w:rsid w:val="00C67355"/>
    <w:rsid w:val="00C673EF"/>
    <w:rsid w:val="00C6748F"/>
    <w:rsid w:val="00C67643"/>
    <w:rsid w:val="00C67BAF"/>
    <w:rsid w:val="00C70833"/>
    <w:rsid w:val="00C71033"/>
    <w:rsid w:val="00C7159D"/>
    <w:rsid w:val="00C71A3C"/>
    <w:rsid w:val="00C71A49"/>
    <w:rsid w:val="00C71DBC"/>
    <w:rsid w:val="00C729E7"/>
    <w:rsid w:val="00C74495"/>
    <w:rsid w:val="00C74661"/>
    <w:rsid w:val="00C74910"/>
    <w:rsid w:val="00C76C74"/>
    <w:rsid w:val="00C7706F"/>
    <w:rsid w:val="00C77A1B"/>
    <w:rsid w:val="00C77A30"/>
    <w:rsid w:val="00C77E95"/>
    <w:rsid w:val="00C801B0"/>
    <w:rsid w:val="00C80640"/>
    <w:rsid w:val="00C80DF7"/>
    <w:rsid w:val="00C8133A"/>
    <w:rsid w:val="00C81523"/>
    <w:rsid w:val="00C81ED6"/>
    <w:rsid w:val="00C82976"/>
    <w:rsid w:val="00C82E32"/>
    <w:rsid w:val="00C82E38"/>
    <w:rsid w:val="00C83E66"/>
    <w:rsid w:val="00C840D8"/>
    <w:rsid w:val="00C84818"/>
    <w:rsid w:val="00C84994"/>
    <w:rsid w:val="00C84E51"/>
    <w:rsid w:val="00C855BB"/>
    <w:rsid w:val="00C859D8"/>
    <w:rsid w:val="00C85A41"/>
    <w:rsid w:val="00C86054"/>
    <w:rsid w:val="00C86489"/>
    <w:rsid w:val="00C86837"/>
    <w:rsid w:val="00C86C39"/>
    <w:rsid w:val="00C86DFC"/>
    <w:rsid w:val="00C87090"/>
    <w:rsid w:val="00C87AE1"/>
    <w:rsid w:val="00C87E1E"/>
    <w:rsid w:val="00C87F08"/>
    <w:rsid w:val="00C905EF"/>
    <w:rsid w:val="00C90D23"/>
    <w:rsid w:val="00C912C4"/>
    <w:rsid w:val="00C9177D"/>
    <w:rsid w:val="00C91889"/>
    <w:rsid w:val="00C91FCC"/>
    <w:rsid w:val="00C92784"/>
    <w:rsid w:val="00C93124"/>
    <w:rsid w:val="00C93F47"/>
    <w:rsid w:val="00C9489B"/>
    <w:rsid w:val="00C9535B"/>
    <w:rsid w:val="00C95758"/>
    <w:rsid w:val="00C95A42"/>
    <w:rsid w:val="00C95FF6"/>
    <w:rsid w:val="00C96802"/>
    <w:rsid w:val="00C9728B"/>
    <w:rsid w:val="00C97E85"/>
    <w:rsid w:val="00CA0C19"/>
    <w:rsid w:val="00CA1C2A"/>
    <w:rsid w:val="00CA1D1A"/>
    <w:rsid w:val="00CA4B84"/>
    <w:rsid w:val="00CA6302"/>
    <w:rsid w:val="00CA63F9"/>
    <w:rsid w:val="00CA63FD"/>
    <w:rsid w:val="00CA67C9"/>
    <w:rsid w:val="00CA73CA"/>
    <w:rsid w:val="00CA78A2"/>
    <w:rsid w:val="00CB1768"/>
    <w:rsid w:val="00CB180F"/>
    <w:rsid w:val="00CB1D5E"/>
    <w:rsid w:val="00CB2127"/>
    <w:rsid w:val="00CB22B0"/>
    <w:rsid w:val="00CB24F8"/>
    <w:rsid w:val="00CB3117"/>
    <w:rsid w:val="00CB3845"/>
    <w:rsid w:val="00CB430D"/>
    <w:rsid w:val="00CB4C3E"/>
    <w:rsid w:val="00CB5B28"/>
    <w:rsid w:val="00CB5B43"/>
    <w:rsid w:val="00CB5D68"/>
    <w:rsid w:val="00CB7362"/>
    <w:rsid w:val="00CB7832"/>
    <w:rsid w:val="00CB7EB3"/>
    <w:rsid w:val="00CB7EB5"/>
    <w:rsid w:val="00CC023D"/>
    <w:rsid w:val="00CC1651"/>
    <w:rsid w:val="00CC185A"/>
    <w:rsid w:val="00CC23F3"/>
    <w:rsid w:val="00CC2CFA"/>
    <w:rsid w:val="00CC3247"/>
    <w:rsid w:val="00CC3DBD"/>
    <w:rsid w:val="00CC42A5"/>
    <w:rsid w:val="00CC4F0B"/>
    <w:rsid w:val="00CC53F3"/>
    <w:rsid w:val="00CC5DC4"/>
    <w:rsid w:val="00CC61DA"/>
    <w:rsid w:val="00CC6D75"/>
    <w:rsid w:val="00CD011B"/>
    <w:rsid w:val="00CD07A8"/>
    <w:rsid w:val="00CD20AB"/>
    <w:rsid w:val="00CD218D"/>
    <w:rsid w:val="00CD327B"/>
    <w:rsid w:val="00CD361B"/>
    <w:rsid w:val="00CD36D4"/>
    <w:rsid w:val="00CD3729"/>
    <w:rsid w:val="00CD3A9E"/>
    <w:rsid w:val="00CD48B4"/>
    <w:rsid w:val="00CD5EE2"/>
    <w:rsid w:val="00CD6422"/>
    <w:rsid w:val="00CD6C40"/>
    <w:rsid w:val="00CD7225"/>
    <w:rsid w:val="00CD7859"/>
    <w:rsid w:val="00CD7CEB"/>
    <w:rsid w:val="00CE0361"/>
    <w:rsid w:val="00CE1868"/>
    <w:rsid w:val="00CE241B"/>
    <w:rsid w:val="00CE2565"/>
    <w:rsid w:val="00CE2773"/>
    <w:rsid w:val="00CE2C40"/>
    <w:rsid w:val="00CE3801"/>
    <w:rsid w:val="00CE3810"/>
    <w:rsid w:val="00CE4278"/>
    <w:rsid w:val="00CE45ED"/>
    <w:rsid w:val="00CE53C6"/>
    <w:rsid w:val="00CE5A10"/>
    <w:rsid w:val="00CE5E6C"/>
    <w:rsid w:val="00CE62CA"/>
    <w:rsid w:val="00CE64F8"/>
    <w:rsid w:val="00CE6DEA"/>
    <w:rsid w:val="00CE7EC0"/>
    <w:rsid w:val="00CF0A53"/>
    <w:rsid w:val="00CF0AA5"/>
    <w:rsid w:val="00CF2494"/>
    <w:rsid w:val="00CF2AC1"/>
    <w:rsid w:val="00CF2D91"/>
    <w:rsid w:val="00CF32C5"/>
    <w:rsid w:val="00CF3BB5"/>
    <w:rsid w:val="00CF4386"/>
    <w:rsid w:val="00CF46F2"/>
    <w:rsid w:val="00CF5338"/>
    <w:rsid w:val="00CF5381"/>
    <w:rsid w:val="00CF5A0B"/>
    <w:rsid w:val="00CF76F1"/>
    <w:rsid w:val="00D00CBD"/>
    <w:rsid w:val="00D00E09"/>
    <w:rsid w:val="00D00FB6"/>
    <w:rsid w:val="00D01023"/>
    <w:rsid w:val="00D0122C"/>
    <w:rsid w:val="00D01EEE"/>
    <w:rsid w:val="00D01F5F"/>
    <w:rsid w:val="00D01F60"/>
    <w:rsid w:val="00D025DD"/>
    <w:rsid w:val="00D02931"/>
    <w:rsid w:val="00D02E25"/>
    <w:rsid w:val="00D03910"/>
    <w:rsid w:val="00D040DF"/>
    <w:rsid w:val="00D04152"/>
    <w:rsid w:val="00D04CB6"/>
    <w:rsid w:val="00D06427"/>
    <w:rsid w:val="00D0656B"/>
    <w:rsid w:val="00D06A1B"/>
    <w:rsid w:val="00D06FC0"/>
    <w:rsid w:val="00D0721D"/>
    <w:rsid w:val="00D074F3"/>
    <w:rsid w:val="00D075F8"/>
    <w:rsid w:val="00D117B8"/>
    <w:rsid w:val="00D124C4"/>
    <w:rsid w:val="00D124C5"/>
    <w:rsid w:val="00D128A6"/>
    <w:rsid w:val="00D12EB5"/>
    <w:rsid w:val="00D1320E"/>
    <w:rsid w:val="00D13CBA"/>
    <w:rsid w:val="00D14B77"/>
    <w:rsid w:val="00D1538F"/>
    <w:rsid w:val="00D15847"/>
    <w:rsid w:val="00D163E8"/>
    <w:rsid w:val="00D16EC9"/>
    <w:rsid w:val="00D16FDA"/>
    <w:rsid w:val="00D171D6"/>
    <w:rsid w:val="00D17703"/>
    <w:rsid w:val="00D1781E"/>
    <w:rsid w:val="00D203A6"/>
    <w:rsid w:val="00D21259"/>
    <w:rsid w:val="00D21A96"/>
    <w:rsid w:val="00D21AB2"/>
    <w:rsid w:val="00D221E7"/>
    <w:rsid w:val="00D22ADD"/>
    <w:rsid w:val="00D23073"/>
    <w:rsid w:val="00D23523"/>
    <w:rsid w:val="00D23757"/>
    <w:rsid w:val="00D240BB"/>
    <w:rsid w:val="00D24674"/>
    <w:rsid w:val="00D24682"/>
    <w:rsid w:val="00D2478B"/>
    <w:rsid w:val="00D2559E"/>
    <w:rsid w:val="00D25FE8"/>
    <w:rsid w:val="00D2604A"/>
    <w:rsid w:val="00D27334"/>
    <w:rsid w:val="00D27BB1"/>
    <w:rsid w:val="00D27C24"/>
    <w:rsid w:val="00D27E0F"/>
    <w:rsid w:val="00D30D44"/>
    <w:rsid w:val="00D313C8"/>
    <w:rsid w:val="00D32A1F"/>
    <w:rsid w:val="00D32B57"/>
    <w:rsid w:val="00D3359F"/>
    <w:rsid w:val="00D33855"/>
    <w:rsid w:val="00D339D7"/>
    <w:rsid w:val="00D34BEB"/>
    <w:rsid w:val="00D34C32"/>
    <w:rsid w:val="00D34CD4"/>
    <w:rsid w:val="00D3536D"/>
    <w:rsid w:val="00D35467"/>
    <w:rsid w:val="00D35EF0"/>
    <w:rsid w:val="00D360BF"/>
    <w:rsid w:val="00D36C08"/>
    <w:rsid w:val="00D37507"/>
    <w:rsid w:val="00D37A44"/>
    <w:rsid w:val="00D37FCE"/>
    <w:rsid w:val="00D405DA"/>
    <w:rsid w:val="00D407B0"/>
    <w:rsid w:val="00D41528"/>
    <w:rsid w:val="00D41946"/>
    <w:rsid w:val="00D419F3"/>
    <w:rsid w:val="00D42794"/>
    <w:rsid w:val="00D4310E"/>
    <w:rsid w:val="00D43888"/>
    <w:rsid w:val="00D4388E"/>
    <w:rsid w:val="00D4388F"/>
    <w:rsid w:val="00D43BA2"/>
    <w:rsid w:val="00D44695"/>
    <w:rsid w:val="00D45485"/>
    <w:rsid w:val="00D45582"/>
    <w:rsid w:val="00D457BE"/>
    <w:rsid w:val="00D459F7"/>
    <w:rsid w:val="00D45CD0"/>
    <w:rsid w:val="00D470C2"/>
    <w:rsid w:val="00D4769A"/>
    <w:rsid w:val="00D5001D"/>
    <w:rsid w:val="00D50AA7"/>
    <w:rsid w:val="00D514FC"/>
    <w:rsid w:val="00D52005"/>
    <w:rsid w:val="00D52098"/>
    <w:rsid w:val="00D520CE"/>
    <w:rsid w:val="00D52AB0"/>
    <w:rsid w:val="00D53027"/>
    <w:rsid w:val="00D5389F"/>
    <w:rsid w:val="00D54026"/>
    <w:rsid w:val="00D54507"/>
    <w:rsid w:val="00D54997"/>
    <w:rsid w:val="00D549F0"/>
    <w:rsid w:val="00D54CF0"/>
    <w:rsid w:val="00D555D7"/>
    <w:rsid w:val="00D55656"/>
    <w:rsid w:val="00D55BDA"/>
    <w:rsid w:val="00D55C43"/>
    <w:rsid w:val="00D57A05"/>
    <w:rsid w:val="00D603FC"/>
    <w:rsid w:val="00D6070A"/>
    <w:rsid w:val="00D60FD7"/>
    <w:rsid w:val="00D612EF"/>
    <w:rsid w:val="00D620EA"/>
    <w:rsid w:val="00D62962"/>
    <w:rsid w:val="00D62A69"/>
    <w:rsid w:val="00D62F0E"/>
    <w:rsid w:val="00D64523"/>
    <w:rsid w:val="00D65672"/>
    <w:rsid w:val="00D65825"/>
    <w:rsid w:val="00D65DCF"/>
    <w:rsid w:val="00D65E87"/>
    <w:rsid w:val="00D6649F"/>
    <w:rsid w:val="00D66668"/>
    <w:rsid w:val="00D673B1"/>
    <w:rsid w:val="00D67991"/>
    <w:rsid w:val="00D67AF5"/>
    <w:rsid w:val="00D706AB"/>
    <w:rsid w:val="00D70848"/>
    <w:rsid w:val="00D71B4E"/>
    <w:rsid w:val="00D722B9"/>
    <w:rsid w:val="00D73192"/>
    <w:rsid w:val="00D732E7"/>
    <w:rsid w:val="00D73CC5"/>
    <w:rsid w:val="00D73E73"/>
    <w:rsid w:val="00D74383"/>
    <w:rsid w:val="00D744DB"/>
    <w:rsid w:val="00D74EEF"/>
    <w:rsid w:val="00D74F45"/>
    <w:rsid w:val="00D7551C"/>
    <w:rsid w:val="00D75F60"/>
    <w:rsid w:val="00D764D1"/>
    <w:rsid w:val="00D76955"/>
    <w:rsid w:val="00D804B2"/>
    <w:rsid w:val="00D809D4"/>
    <w:rsid w:val="00D811D1"/>
    <w:rsid w:val="00D81F39"/>
    <w:rsid w:val="00D82259"/>
    <w:rsid w:val="00D8307E"/>
    <w:rsid w:val="00D831CE"/>
    <w:rsid w:val="00D83404"/>
    <w:rsid w:val="00D8356D"/>
    <w:rsid w:val="00D835E1"/>
    <w:rsid w:val="00D83871"/>
    <w:rsid w:val="00D84FBC"/>
    <w:rsid w:val="00D85AF0"/>
    <w:rsid w:val="00D85CB7"/>
    <w:rsid w:val="00D86247"/>
    <w:rsid w:val="00D8758E"/>
    <w:rsid w:val="00D87921"/>
    <w:rsid w:val="00D87A5D"/>
    <w:rsid w:val="00D87DE9"/>
    <w:rsid w:val="00D904C2"/>
    <w:rsid w:val="00D90C3C"/>
    <w:rsid w:val="00D90F0C"/>
    <w:rsid w:val="00D920D6"/>
    <w:rsid w:val="00D925A1"/>
    <w:rsid w:val="00D9262C"/>
    <w:rsid w:val="00D9276D"/>
    <w:rsid w:val="00D92C72"/>
    <w:rsid w:val="00D92FC5"/>
    <w:rsid w:val="00D9323D"/>
    <w:rsid w:val="00D94B0A"/>
    <w:rsid w:val="00D951F8"/>
    <w:rsid w:val="00D957E6"/>
    <w:rsid w:val="00D95B5D"/>
    <w:rsid w:val="00D9628D"/>
    <w:rsid w:val="00D96750"/>
    <w:rsid w:val="00D96AD7"/>
    <w:rsid w:val="00D97932"/>
    <w:rsid w:val="00D97A34"/>
    <w:rsid w:val="00D97DF1"/>
    <w:rsid w:val="00DA0387"/>
    <w:rsid w:val="00DA0468"/>
    <w:rsid w:val="00DA077B"/>
    <w:rsid w:val="00DA0C1A"/>
    <w:rsid w:val="00DA18B2"/>
    <w:rsid w:val="00DA2BDD"/>
    <w:rsid w:val="00DA38A4"/>
    <w:rsid w:val="00DA3B4E"/>
    <w:rsid w:val="00DA3FE3"/>
    <w:rsid w:val="00DA45C6"/>
    <w:rsid w:val="00DA4CF2"/>
    <w:rsid w:val="00DA4FEB"/>
    <w:rsid w:val="00DA5052"/>
    <w:rsid w:val="00DA5F20"/>
    <w:rsid w:val="00DA6329"/>
    <w:rsid w:val="00DA64ED"/>
    <w:rsid w:val="00DA694C"/>
    <w:rsid w:val="00DB0390"/>
    <w:rsid w:val="00DB0442"/>
    <w:rsid w:val="00DB04E6"/>
    <w:rsid w:val="00DB1EBA"/>
    <w:rsid w:val="00DB287E"/>
    <w:rsid w:val="00DB28F3"/>
    <w:rsid w:val="00DB3580"/>
    <w:rsid w:val="00DB39EB"/>
    <w:rsid w:val="00DB3A35"/>
    <w:rsid w:val="00DB406F"/>
    <w:rsid w:val="00DB4137"/>
    <w:rsid w:val="00DB45EE"/>
    <w:rsid w:val="00DB4BAC"/>
    <w:rsid w:val="00DB4DF8"/>
    <w:rsid w:val="00DB57EF"/>
    <w:rsid w:val="00DB616F"/>
    <w:rsid w:val="00DB62B3"/>
    <w:rsid w:val="00DB63A5"/>
    <w:rsid w:val="00DB6410"/>
    <w:rsid w:val="00DB6615"/>
    <w:rsid w:val="00DB674E"/>
    <w:rsid w:val="00DB67E4"/>
    <w:rsid w:val="00DB6920"/>
    <w:rsid w:val="00DB7127"/>
    <w:rsid w:val="00DB7327"/>
    <w:rsid w:val="00DB7369"/>
    <w:rsid w:val="00DC0363"/>
    <w:rsid w:val="00DC048A"/>
    <w:rsid w:val="00DC0F26"/>
    <w:rsid w:val="00DC1669"/>
    <w:rsid w:val="00DC1B1F"/>
    <w:rsid w:val="00DC1BD8"/>
    <w:rsid w:val="00DC1E59"/>
    <w:rsid w:val="00DC3D30"/>
    <w:rsid w:val="00DC3EF2"/>
    <w:rsid w:val="00DC43F7"/>
    <w:rsid w:val="00DC473C"/>
    <w:rsid w:val="00DC517A"/>
    <w:rsid w:val="00DC5A07"/>
    <w:rsid w:val="00DC7BD9"/>
    <w:rsid w:val="00DD0A8C"/>
    <w:rsid w:val="00DD0EF5"/>
    <w:rsid w:val="00DD151D"/>
    <w:rsid w:val="00DD243E"/>
    <w:rsid w:val="00DD29BB"/>
    <w:rsid w:val="00DD2A7A"/>
    <w:rsid w:val="00DD2E89"/>
    <w:rsid w:val="00DD3680"/>
    <w:rsid w:val="00DD3B13"/>
    <w:rsid w:val="00DD40CC"/>
    <w:rsid w:val="00DD4162"/>
    <w:rsid w:val="00DD42FF"/>
    <w:rsid w:val="00DD47F6"/>
    <w:rsid w:val="00DD480C"/>
    <w:rsid w:val="00DD4EBC"/>
    <w:rsid w:val="00DD5333"/>
    <w:rsid w:val="00DD54F1"/>
    <w:rsid w:val="00DD6923"/>
    <w:rsid w:val="00DD6A93"/>
    <w:rsid w:val="00DD7900"/>
    <w:rsid w:val="00DD7926"/>
    <w:rsid w:val="00DE0257"/>
    <w:rsid w:val="00DE0298"/>
    <w:rsid w:val="00DE071B"/>
    <w:rsid w:val="00DE0C2F"/>
    <w:rsid w:val="00DE129A"/>
    <w:rsid w:val="00DE2A38"/>
    <w:rsid w:val="00DE2AA7"/>
    <w:rsid w:val="00DE36E5"/>
    <w:rsid w:val="00DE3B8F"/>
    <w:rsid w:val="00DE3C60"/>
    <w:rsid w:val="00DE4937"/>
    <w:rsid w:val="00DE4C40"/>
    <w:rsid w:val="00DE4D13"/>
    <w:rsid w:val="00DE50E4"/>
    <w:rsid w:val="00DE519D"/>
    <w:rsid w:val="00DE6146"/>
    <w:rsid w:val="00DE6C39"/>
    <w:rsid w:val="00DE71E2"/>
    <w:rsid w:val="00DE7236"/>
    <w:rsid w:val="00DE75E9"/>
    <w:rsid w:val="00DE7F1C"/>
    <w:rsid w:val="00DE7FC1"/>
    <w:rsid w:val="00DF0212"/>
    <w:rsid w:val="00DF04B4"/>
    <w:rsid w:val="00DF08D8"/>
    <w:rsid w:val="00DF0A01"/>
    <w:rsid w:val="00DF1586"/>
    <w:rsid w:val="00DF1AFB"/>
    <w:rsid w:val="00DF26DD"/>
    <w:rsid w:val="00DF2C79"/>
    <w:rsid w:val="00DF2C84"/>
    <w:rsid w:val="00DF32AB"/>
    <w:rsid w:val="00DF3433"/>
    <w:rsid w:val="00DF3608"/>
    <w:rsid w:val="00DF3650"/>
    <w:rsid w:val="00DF38F6"/>
    <w:rsid w:val="00DF41E9"/>
    <w:rsid w:val="00DF5995"/>
    <w:rsid w:val="00DF5ACE"/>
    <w:rsid w:val="00DF5DF0"/>
    <w:rsid w:val="00DF657C"/>
    <w:rsid w:val="00DF705A"/>
    <w:rsid w:val="00DF733F"/>
    <w:rsid w:val="00DF7A8F"/>
    <w:rsid w:val="00DF7D7F"/>
    <w:rsid w:val="00E0063D"/>
    <w:rsid w:val="00E0137E"/>
    <w:rsid w:val="00E01560"/>
    <w:rsid w:val="00E0173A"/>
    <w:rsid w:val="00E017E1"/>
    <w:rsid w:val="00E019C2"/>
    <w:rsid w:val="00E01C91"/>
    <w:rsid w:val="00E020CA"/>
    <w:rsid w:val="00E02232"/>
    <w:rsid w:val="00E023CC"/>
    <w:rsid w:val="00E02909"/>
    <w:rsid w:val="00E02BC2"/>
    <w:rsid w:val="00E02D13"/>
    <w:rsid w:val="00E03174"/>
    <w:rsid w:val="00E03280"/>
    <w:rsid w:val="00E041DC"/>
    <w:rsid w:val="00E042FA"/>
    <w:rsid w:val="00E048E4"/>
    <w:rsid w:val="00E049AD"/>
    <w:rsid w:val="00E0522F"/>
    <w:rsid w:val="00E0597B"/>
    <w:rsid w:val="00E05AB3"/>
    <w:rsid w:val="00E05AFA"/>
    <w:rsid w:val="00E05EAE"/>
    <w:rsid w:val="00E06279"/>
    <w:rsid w:val="00E06466"/>
    <w:rsid w:val="00E066C0"/>
    <w:rsid w:val="00E076DF"/>
    <w:rsid w:val="00E0775E"/>
    <w:rsid w:val="00E0781C"/>
    <w:rsid w:val="00E07E64"/>
    <w:rsid w:val="00E1044D"/>
    <w:rsid w:val="00E10557"/>
    <w:rsid w:val="00E11FB7"/>
    <w:rsid w:val="00E12351"/>
    <w:rsid w:val="00E13D26"/>
    <w:rsid w:val="00E14ADA"/>
    <w:rsid w:val="00E14DB0"/>
    <w:rsid w:val="00E14EE6"/>
    <w:rsid w:val="00E14F4E"/>
    <w:rsid w:val="00E14F5B"/>
    <w:rsid w:val="00E1600C"/>
    <w:rsid w:val="00E16448"/>
    <w:rsid w:val="00E172E8"/>
    <w:rsid w:val="00E17E44"/>
    <w:rsid w:val="00E17FB5"/>
    <w:rsid w:val="00E20BE6"/>
    <w:rsid w:val="00E2192B"/>
    <w:rsid w:val="00E21BE4"/>
    <w:rsid w:val="00E21D4E"/>
    <w:rsid w:val="00E21F66"/>
    <w:rsid w:val="00E22A09"/>
    <w:rsid w:val="00E22D14"/>
    <w:rsid w:val="00E22EF9"/>
    <w:rsid w:val="00E22FCE"/>
    <w:rsid w:val="00E2300B"/>
    <w:rsid w:val="00E237AD"/>
    <w:rsid w:val="00E23FC8"/>
    <w:rsid w:val="00E24E4C"/>
    <w:rsid w:val="00E25C71"/>
    <w:rsid w:val="00E262D4"/>
    <w:rsid w:val="00E263CB"/>
    <w:rsid w:val="00E265BA"/>
    <w:rsid w:val="00E26687"/>
    <w:rsid w:val="00E26993"/>
    <w:rsid w:val="00E3038F"/>
    <w:rsid w:val="00E315F3"/>
    <w:rsid w:val="00E3186A"/>
    <w:rsid w:val="00E318BD"/>
    <w:rsid w:val="00E319DC"/>
    <w:rsid w:val="00E31EBD"/>
    <w:rsid w:val="00E31F36"/>
    <w:rsid w:val="00E32160"/>
    <w:rsid w:val="00E32E05"/>
    <w:rsid w:val="00E33DD5"/>
    <w:rsid w:val="00E33E02"/>
    <w:rsid w:val="00E34D11"/>
    <w:rsid w:val="00E359A6"/>
    <w:rsid w:val="00E36539"/>
    <w:rsid w:val="00E37387"/>
    <w:rsid w:val="00E433CB"/>
    <w:rsid w:val="00E43491"/>
    <w:rsid w:val="00E438B0"/>
    <w:rsid w:val="00E43E74"/>
    <w:rsid w:val="00E4437F"/>
    <w:rsid w:val="00E44E09"/>
    <w:rsid w:val="00E453F4"/>
    <w:rsid w:val="00E46301"/>
    <w:rsid w:val="00E4669B"/>
    <w:rsid w:val="00E4700E"/>
    <w:rsid w:val="00E470A0"/>
    <w:rsid w:val="00E4736B"/>
    <w:rsid w:val="00E47ED9"/>
    <w:rsid w:val="00E50E43"/>
    <w:rsid w:val="00E52774"/>
    <w:rsid w:val="00E52B76"/>
    <w:rsid w:val="00E52D87"/>
    <w:rsid w:val="00E530B9"/>
    <w:rsid w:val="00E5317B"/>
    <w:rsid w:val="00E5337E"/>
    <w:rsid w:val="00E53461"/>
    <w:rsid w:val="00E534D3"/>
    <w:rsid w:val="00E5371D"/>
    <w:rsid w:val="00E53917"/>
    <w:rsid w:val="00E53A3E"/>
    <w:rsid w:val="00E53C92"/>
    <w:rsid w:val="00E53D20"/>
    <w:rsid w:val="00E53D4E"/>
    <w:rsid w:val="00E53F15"/>
    <w:rsid w:val="00E5402D"/>
    <w:rsid w:val="00E541C5"/>
    <w:rsid w:val="00E554EE"/>
    <w:rsid w:val="00E5554D"/>
    <w:rsid w:val="00E555EB"/>
    <w:rsid w:val="00E560D3"/>
    <w:rsid w:val="00E564C7"/>
    <w:rsid w:val="00E569A8"/>
    <w:rsid w:val="00E578DF"/>
    <w:rsid w:val="00E60278"/>
    <w:rsid w:val="00E6029B"/>
    <w:rsid w:val="00E60DAE"/>
    <w:rsid w:val="00E60EDE"/>
    <w:rsid w:val="00E614C3"/>
    <w:rsid w:val="00E61879"/>
    <w:rsid w:val="00E6188D"/>
    <w:rsid w:val="00E61A74"/>
    <w:rsid w:val="00E6241F"/>
    <w:rsid w:val="00E62877"/>
    <w:rsid w:val="00E62B14"/>
    <w:rsid w:val="00E62C3C"/>
    <w:rsid w:val="00E63147"/>
    <w:rsid w:val="00E632F4"/>
    <w:rsid w:val="00E634DF"/>
    <w:rsid w:val="00E63C51"/>
    <w:rsid w:val="00E645EF"/>
    <w:rsid w:val="00E64DF1"/>
    <w:rsid w:val="00E65C6E"/>
    <w:rsid w:val="00E65CC7"/>
    <w:rsid w:val="00E6635D"/>
    <w:rsid w:val="00E66921"/>
    <w:rsid w:val="00E67F59"/>
    <w:rsid w:val="00E7033F"/>
    <w:rsid w:val="00E708C9"/>
    <w:rsid w:val="00E71721"/>
    <w:rsid w:val="00E71B3C"/>
    <w:rsid w:val="00E7390E"/>
    <w:rsid w:val="00E739A8"/>
    <w:rsid w:val="00E74029"/>
    <w:rsid w:val="00E74187"/>
    <w:rsid w:val="00E74693"/>
    <w:rsid w:val="00E74AC5"/>
    <w:rsid w:val="00E74C7F"/>
    <w:rsid w:val="00E7535B"/>
    <w:rsid w:val="00E7569E"/>
    <w:rsid w:val="00E75CC2"/>
    <w:rsid w:val="00E761E1"/>
    <w:rsid w:val="00E775C3"/>
    <w:rsid w:val="00E803AC"/>
    <w:rsid w:val="00E80662"/>
    <w:rsid w:val="00E808F5"/>
    <w:rsid w:val="00E811BF"/>
    <w:rsid w:val="00E815DA"/>
    <w:rsid w:val="00E8225B"/>
    <w:rsid w:val="00E824CD"/>
    <w:rsid w:val="00E8296D"/>
    <w:rsid w:val="00E82A48"/>
    <w:rsid w:val="00E83879"/>
    <w:rsid w:val="00E84273"/>
    <w:rsid w:val="00E84294"/>
    <w:rsid w:val="00E8507D"/>
    <w:rsid w:val="00E85467"/>
    <w:rsid w:val="00E8619F"/>
    <w:rsid w:val="00E865FF"/>
    <w:rsid w:val="00E872CC"/>
    <w:rsid w:val="00E8739E"/>
    <w:rsid w:val="00E87A66"/>
    <w:rsid w:val="00E87B58"/>
    <w:rsid w:val="00E87E24"/>
    <w:rsid w:val="00E900BC"/>
    <w:rsid w:val="00E91560"/>
    <w:rsid w:val="00E915A5"/>
    <w:rsid w:val="00E91C87"/>
    <w:rsid w:val="00E9321C"/>
    <w:rsid w:val="00E933ED"/>
    <w:rsid w:val="00E93A05"/>
    <w:rsid w:val="00E93C2E"/>
    <w:rsid w:val="00E93EE5"/>
    <w:rsid w:val="00E94101"/>
    <w:rsid w:val="00E9655B"/>
    <w:rsid w:val="00EA13DA"/>
    <w:rsid w:val="00EA17E8"/>
    <w:rsid w:val="00EA1A9A"/>
    <w:rsid w:val="00EA2AF6"/>
    <w:rsid w:val="00EA3619"/>
    <w:rsid w:val="00EA4491"/>
    <w:rsid w:val="00EA449C"/>
    <w:rsid w:val="00EA44F4"/>
    <w:rsid w:val="00EA7267"/>
    <w:rsid w:val="00EA737F"/>
    <w:rsid w:val="00EA76B8"/>
    <w:rsid w:val="00EA7735"/>
    <w:rsid w:val="00EA7B61"/>
    <w:rsid w:val="00EB106E"/>
    <w:rsid w:val="00EB19DC"/>
    <w:rsid w:val="00EB1AA7"/>
    <w:rsid w:val="00EB1BA8"/>
    <w:rsid w:val="00EB1E3E"/>
    <w:rsid w:val="00EB2A7A"/>
    <w:rsid w:val="00EB307D"/>
    <w:rsid w:val="00EB3476"/>
    <w:rsid w:val="00EB3A9B"/>
    <w:rsid w:val="00EB3D11"/>
    <w:rsid w:val="00EB4C38"/>
    <w:rsid w:val="00EB5A5F"/>
    <w:rsid w:val="00EB5DE2"/>
    <w:rsid w:val="00EB5E67"/>
    <w:rsid w:val="00EB6227"/>
    <w:rsid w:val="00EB64AD"/>
    <w:rsid w:val="00EB7BEE"/>
    <w:rsid w:val="00EC14B6"/>
    <w:rsid w:val="00EC2740"/>
    <w:rsid w:val="00EC39AF"/>
    <w:rsid w:val="00EC3FD2"/>
    <w:rsid w:val="00EC41AC"/>
    <w:rsid w:val="00EC46FD"/>
    <w:rsid w:val="00EC4FCA"/>
    <w:rsid w:val="00EC5903"/>
    <w:rsid w:val="00EC6498"/>
    <w:rsid w:val="00EC6D8F"/>
    <w:rsid w:val="00EC76C2"/>
    <w:rsid w:val="00ED05C0"/>
    <w:rsid w:val="00ED065C"/>
    <w:rsid w:val="00ED066A"/>
    <w:rsid w:val="00ED10C6"/>
    <w:rsid w:val="00ED1236"/>
    <w:rsid w:val="00ED1A39"/>
    <w:rsid w:val="00ED1EC8"/>
    <w:rsid w:val="00ED32B5"/>
    <w:rsid w:val="00ED37B7"/>
    <w:rsid w:val="00ED41B6"/>
    <w:rsid w:val="00ED41C3"/>
    <w:rsid w:val="00ED4206"/>
    <w:rsid w:val="00ED5341"/>
    <w:rsid w:val="00ED664A"/>
    <w:rsid w:val="00ED6DE4"/>
    <w:rsid w:val="00ED6EDE"/>
    <w:rsid w:val="00EE0725"/>
    <w:rsid w:val="00EE0FFA"/>
    <w:rsid w:val="00EE1CD7"/>
    <w:rsid w:val="00EE20D3"/>
    <w:rsid w:val="00EE265C"/>
    <w:rsid w:val="00EE2877"/>
    <w:rsid w:val="00EE2B96"/>
    <w:rsid w:val="00EE388F"/>
    <w:rsid w:val="00EE3E3B"/>
    <w:rsid w:val="00EE4B92"/>
    <w:rsid w:val="00EE4EDB"/>
    <w:rsid w:val="00EE59FF"/>
    <w:rsid w:val="00EE5D15"/>
    <w:rsid w:val="00EE630E"/>
    <w:rsid w:val="00EE681E"/>
    <w:rsid w:val="00EE73E7"/>
    <w:rsid w:val="00EF01DA"/>
    <w:rsid w:val="00EF13C1"/>
    <w:rsid w:val="00EF170B"/>
    <w:rsid w:val="00EF1829"/>
    <w:rsid w:val="00EF18B7"/>
    <w:rsid w:val="00EF1F70"/>
    <w:rsid w:val="00EF2640"/>
    <w:rsid w:val="00EF2A42"/>
    <w:rsid w:val="00EF35CD"/>
    <w:rsid w:val="00EF4175"/>
    <w:rsid w:val="00EF4E0E"/>
    <w:rsid w:val="00EF520D"/>
    <w:rsid w:val="00EF54F9"/>
    <w:rsid w:val="00EF553F"/>
    <w:rsid w:val="00EF57C9"/>
    <w:rsid w:val="00EF5BFF"/>
    <w:rsid w:val="00EF5CE4"/>
    <w:rsid w:val="00EF6B1A"/>
    <w:rsid w:val="00EF7156"/>
    <w:rsid w:val="00EF75DC"/>
    <w:rsid w:val="00EF77AF"/>
    <w:rsid w:val="00EF7CAF"/>
    <w:rsid w:val="00F00764"/>
    <w:rsid w:val="00F00AB9"/>
    <w:rsid w:val="00F01039"/>
    <w:rsid w:val="00F0178E"/>
    <w:rsid w:val="00F01987"/>
    <w:rsid w:val="00F024D7"/>
    <w:rsid w:val="00F02505"/>
    <w:rsid w:val="00F02A66"/>
    <w:rsid w:val="00F0347B"/>
    <w:rsid w:val="00F04964"/>
    <w:rsid w:val="00F04CF2"/>
    <w:rsid w:val="00F060D6"/>
    <w:rsid w:val="00F062C3"/>
    <w:rsid w:val="00F066DB"/>
    <w:rsid w:val="00F067EA"/>
    <w:rsid w:val="00F071F3"/>
    <w:rsid w:val="00F07710"/>
    <w:rsid w:val="00F07FB3"/>
    <w:rsid w:val="00F10C8F"/>
    <w:rsid w:val="00F114A7"/>
    <w:rsid w:val="00F11BFC"/>
    <w:rsid w:val="00F129C5"/>
    <w:rsid w:val="00F13123"/>
    <w:rsid w:val="00F14230"/>
    <w:rsid w:val="00F146DF"/>
    <w:rsid w:val="00F148F2"/>
    <w:rsid w:val="00F14D5E"/>
    <w:rsid w:val="00F14FC9"/>
    <w:rsid w:val="00F154C5"/>
    <w:rsid w:val="00F157C2"/>
    <w:rsid w:val="00F15DAF"/>
    <w:rsid w:val="00F162A2"/>
    <w:rsid w:val="00F16643"/>
    <w:rsid w:val="00F17605"/>
    <w:rsid w:val="00F17901"/>
    <w:rsid w:val="00F17DFB"/>
    <w:rsid w:val="00F20772"/>
    <w:rsid w:val="00F20AEE"/>
    <w:rsid w:val="00F21B02"/>
    <w:rsid w:val="00F22D35"/>
    <w:rsid w:val="00F23062"/>
    <w:rsid w:val="00F23646"/>
    <w:rsid w:val="00F23B5D"/>
    <w:rsid w:val="00F2421D"/>
    <w:rsid w:val="00F2436C"/>
    <w:rsid w:val="00F247C8"/>
    <w:rsid w:val="00F24A24"/>
    <w:rsid w:val="00F25213"/>
    <w:rsid w:val="00F26561"/>
    <w:rsid w:val="00F26D42"/>
    <w:rsid w:val="00F26DB9"/>
    <w:rsid w:val="00F26FD9"/>
    <w:rsid w:val="00F2735F"/>
    <w:rsid w:val="00F2741B"/>
    <w:rsid w:val="00F3008C"/>
    <w:rsid w:val="00F302A2"/>
    <w:rsid w:val="00F313C1"/>
    <w:rsid w:val="00F3153B"/>
    <w:rsid w:val="00F31578"/>
    <w:rsid w:val="00F32196"/>
    <w:rsid w:val="00F32237"/>
    <w:rsid w:val="00F322B8"/>
    <w:rsid w:val="00F323AE"/>
    <w:rsid w:val="00F3303D"/>
    <w:rsid w:val="00F34DD6"/>
    <w:rsid w:val="00F35B15"/>
    <w:rsid w:val="00F35E4B"/>
    <w:rsid w:val="00F36098"/>
    <w:rsid w:val="00F364BA"/>
    <w:rsid w:val="00F364F1"/>
    <w:rsid w:val="00F3665C"/>
    <w:rsid w:val="00F36723"/>
    <w:rsid w:val="00F36A76"/>
    <w:rsid w:val="00F36EB8"/>
    <w:rsid w:val="00F37FDA"/>
    <w:rsid w:val="00F409CC"/>
    <w:rsid w:val="00F40D17"/>
    <w:rsid w:val="00F40F67"/>
    <w:rsid w:val="00F413F7"/>
    <w:rsid w:val="00F41E04"/>
    <w:rsid w:val="00F4210F"/>
    <w:rsid w:val="00F42130"/>
    <w:rsid w:val="00F42190"/>
    <w:rsid w:val="00F42405"/>
    <w:rsid w:val="00F42641"/>
    <w:rsid w:val="00F4268D"/>
    <w:rsid w:val="00F42805"/>
    <w:rsid w:val="00F42D28"/>
    <w:rsid w:val="00F43105"/>
    <w:rsid w:val="00F4313B"/>
    <w:rsid w:val="00F43B4D"/>
    <w:rsid w:val="00F444EC"/>
    <w:rsid w:val="00F45610"/>
    <w:rsid w:val="00F45729"/>
    <w:rsid w:val="00F4587E"/>
    <w:rsid w:val="00F45A8F"/>
    <w:rsid w:val="00F46141"/>
    <w:rsid w:val="00F464D3"/>
    <w:rsid w:val="00F465D0"/>
    <w:rsid w:val="00F46929"/>
    <w:rsid w:val="00F469FC"/>
    <w:rsid w:val="00F46D2E"/>
    <w:rsid w:val="00F47992"/>
    <w:rsid w:val="00F479B8"/>
    <w:rsid w:val="00F47BCB"/>
    <w:rsid w:val="00F501D7"/>
    <w:rsid w:val="00F50792"/>
    <w:rsid w:val="00F50B8C"/>
    <w:rsid w:val="00F50DAA"/>
    <w:rsid w:val="00F5189B"/>
    <w:rsid w:val="00F51D05"/>
    <w:rsid w:val="00F51D76"/>
    <w:rsid w:val="00F53063"/>
    <w:rsid w:val="00F53C01"/>
    <w:rsid w:val="00F53F15"/>
    <w:rsid w:val="00F54B10"/>
    <w:rsid w:val="00F55B60"/>
    <w:rsid w:val="00F55F8E"/>
    <w:rsid w:val="00F561E7"/>
    <w:rsid w:val="00F56262"/>
    <w:rsid w:val="00F56345"/>
    <w:rsid w:val="00F57119"/>
    <w:rsid w:val="00F57462"/>
    <w:rsid w:val="00F57AC4"/>
    <w:rsid w:val="00F57B9B"/>
    <w:rsid w:val="00F60AA9"/>
    <w:rsid w:val="00F61771"/>
    <w:rsid w:val="00F61B53"/>
    <w:rsid w:val="00F620B9"/>
    <w:rsid w:val="00F620EC"/>
    <w:rsid w:val="00F626D7"/>
    <w:rsid w:val="00F632C8"/>
    <w:rsid w:val="00F633BD"/>
    <w:rsid w:val="00F63B00"/>
    <w:rsid w:val="00F6420C"/>
    <w:rsid w:val="00F64C7D"/>
    <w:rsid w:val="00F64CEA"/>
    <w:rsid w:val="00F64D3D"/>
    <w:rsid w:val="00F65A04"/>
    <w:rsid w:val="00F65D21"/>
    <w:rsid w:val="00F66A5F"/>
    <w:rsid w:val="00F66B89"/>
    <w:rsid w:val="00F672CC"/>
    <w:rsid w:val="00F70A83"/>
    <w:rsid w:val="00F71775"/>
    <w:rsid w:val="00F72507"/>
    <w:rsid w:val="00F72865"/>
    <w:rsid w:val="00F7326E"/>
    <w:rsid w:val="00F7365F"/>
    <w:rsid w:val="00F73CAD"/>
    <w:rsid w:val="00F748CE"/>
    <w:rsid w:val="00F74F73"/>
    <w:rsid w:val="00F74FE4"/>
    <w:rsid w:val="00F75327"/>
    <w:rsid w:val="00F75507"/>
    <w:rsid w:val="00F7557A"/>
    <w:rsid w:val="00F75EC4"/>
    <w:rsid w:val="00F761DF"/>
    <w:rsid w:val="00F767A4"/>
    <w:rsid w:val="00F800E0"/>
    <w:rsid w:val="00F8071D"/>
    <w:rsid w:val="00F80E0B"/>
    <w:rsid w:val="00F81014"/>
    <w:rsid w:val="00F822ED"/>
    <w:rsid w:val="00F8278D"/>
    <w:rsid w:val="00F828FD"/>
    <w:rsid w:val="00F82923"/>
    <w:rsid w:val="00F82ABB"/>
    <w:rsid w:val="00F831ED"/>
    <w:rsid w:val="00F83935"/>
    <w:rsid w:val="00F83CEE"/>
    <w:rsid w:val="00F83D01"/>
    <w:rsid w:val="00F8514D"/>
    <w:rsid w:val="00F861C6"/>
    <w:rsid w:val="00F867B3"/>
    <w:rsid w:val="00F87513"/>
    <w:rsid w:val="00F87A19"/>
    <w:rsid w:val="00F90D13"/>
    <w:rsid w:val="00F90FA4"/>
    <w:rsid w:val="00F914C5"/>
    <w:rsid w:val="00F914CB"/>
    <w:rsid w:val="00F920F2"/>
    <w:rsid w:val="00F92444"/>
    <w:rsid w:val="00F939EA"/>
    <w:rsid w:val="00F93AB7"/>
    <w:rsid w:val="00F93E8F"/>
    <w:rsid w:val="00F93EE7"/>
    <w:rsid w:val="00F94DCD"/>
    <w:rsid w:val="00F95A41"/>
    <w:rsid w:val="00F95A8F"/>
    <w:rsid w:val="00F96042"/>
    <w:rsid w:val="00F965D3"/>
    <w:rsid w:val="00F966A6"/>
    <w:rsid w:val="00F96EFD"/>
    <w:rsid w:val="00F97A4D"/>
    <w:rsid w:val="00F97F45"/>
    <w:rsid w:val="00FA22AF"/>
    <w:rsid w:val="00FA2705"/>
    <w:rsid w:val="00FA33F8"/>
    <w:rsid w:val="00FA3492"/>
    <w:rsid w:val="00FA3880"/>
    <w:rsid w:val="00FA5447"/>
    <w:rsid w:val="00FA67EA"/>
    <w:rsid w:val="00FA74A1"/>
    <w:rsid w:val="00FB00BB"/>
    <w:rsid w:val="00FB015B"/>
    <w:rsid w:val="00FB1004"/>
    <w:rsid w:val="00FB10D6"/>
    <w:rsid w:val="00FB21BD"/>
    <w:rsid w:val="00FB2339"/>
    <w:rsid w:val="00FB23EE"/>
    <w:rsid w:val="00FB35AA"/>
    <w:rsid w:val="00FB392F"/>
    <w:rsid w:val="00FB400A"/>
    <w:rsid w:val="00FB4F99"/>
    <w:rsid w:val="00FB545D"/>
    <w:rsid w:val="00FB5EA8"/>
    <w:rsid w:val="00FB7352"/>
    <w:rsid w:val="00FB768C"/>
    <w:rsid w:val="00FC01CA"/>
    <w:rsid w:val="00FC0E60"/>
    <w:rsid w:val="00FC2928"/>
    <w:rsid w:val="00FC3052"/>
    <w:rsid w:val="00FC3CF3"/>
    <w:rsid w:val="00FC41CF"/>
    <w:rsid w:val="00FC5117"/>
    <w:rsid w:val="00FC5301"/>
    <w:rsid w:val="00FC534A"/>
    <w:rsid w:val="00FC544B"/>
    <w:rsid w:val="00FC57A9"/>
    <w:rsid w:val="00FC5AFC"/>
    <w:rsid w:val="00FC5BB3"/>
    <w:rsid w:val="00FC7698"/>
    <w:rsid w:val="00FC7A20"/>
    <w:rsid w:val="00FC7D38"/>
    <w:rsid w:val="00FD0050"/>
    <w:rsid w:val="00FD084F"/>
    <w:rsid w:val="00FD0CC6"/>
    <w:rsid w:val="00FD28DA"/>
    <w:rsid w:val="00FD3EBC"/>
    <w:rsid w:val="00FD416B"/>
    <w:rsid w:val="00FD4273"/>
    <w:rsid w:val="00FD44EA"/>
    <w:rsid w:val="00FD52F5"/>
    <w:rsid w:val="00FD5C70"/>
    <w:rsid w:val="00FD6352"/>
    <w:rsid w:val="00FD65FF"/>
    <w:rsid w:val="00FD731E"/>
    <w:rsid w:val="00FE06FA"/>
    <w:rsid w:val="00FE0CC2"/>
    <w:rsid w:val="00FE166C"/>
    <w:rsid w:val="00FE1E94"/>
    <w:rsid w:val="00FE209D"/>
    <w:rsid w:val="00FE2331"/>
    <w:rsid w:val="00FE305A"/>
    <w:rsid w:val="00FE3A88"/>
    <w:rsid w:val="00FE3ECE"/>
    <w:rsid w:val="00FE418D"/>
    <w:rsid w:val="00FE4385"/>
    <w:rsid w:val="00FE5BF9"/>
    <w:rsid w:val="00FE5CB0"/>
    <w:rsid w:val="00FE6E2E"/>
    <w:rsid w:val="00FE6F57"/>
    <w:rsid w:val="00FE758A"/>
    <w:rsid w:val="00FE7849"/>
    <w:rsid w:val="00FE7AB3"/>
    <w:rsid w:val="00FE7D8A"/>
    <w:rsid w:val="00FE7E18"/>
    <w:rsid w:val="00FF06CA"/>
    <w:rsid w:val="00FF094A"/>
    <w:rsid w:val="00FF10F5"/>
    <w:rsid w:val="00FF18C5"/>
    <w:rsid w:val="00FF21F0"/>
    <w:rsid w:val="00FF2572"/>
    <w:rsid w:val="00FF2C22"/>
    <w:rsid w:val="00FF2FA1"/>
    <w:rsid w:val="00FF3506"/>
    <w:rsid w:val="00FF3BAC"/>
    <w:rsid w:val="00FF425C"/>
    <w:rsid w:val="00FF483A"/>
    <w:rsid w:val="00FF582F"/>
    <w:rsid w:val="00FF5B6E"/>
    <w:rsid w:val="00FF612D"/>
    <w:rsid w:val="00FF6131"/>
    <w:rsid w:val="00FF75AD"/>
    <w:rsid w:val="00FF7883"/>
    <w:rsid w:val="0287E934"/>
    <w:rsid w:val="0466B39C"/>
    <w:rsid w:val="046BBEF0"/>
    <w:rsid w:val="04E91E4B"/>
    <w:rsid w:val="050BB490"/>
    <w:rsid w:val="05463468"/>
    <w:rsid w:val="06DB3D87"/>
    <w:rsid w:val="07FF7255"/>
    <w:rsid w:val="0A0042FF"/>
    <w:rsid w:val="0A392952"/>
    <w:rsid w:val="0AEF5992"/>
    <w:rsid w:val="0C4D65F3"/>
    <w:rsid w:val="0D0B77E2"/>
    <w:rsid w:val="0D698D75"/>
    <w:rsid w:val="0DAB05DE"/>
    <w:rsid w:val="0DEA4BA1"/>
    <w:rsid w:val="0E4C3806"/>
    <w:rsid w:val="0EE80F6C"/>
    <w:rsid w:val="0F97BD60"/>
    <w:rsid w:val="101DECBC"/>
    <w:rsid w:val="110B2A1F"/>
    <w:rsid w:val="13851E93"/>
    <w:rsid w:val="145560A5"/>
    <w:rsid w:val="1478CE72"/>
    <w:rsid w:val="153FD621"/>
    <w:rsid w:val="15702023"/>
    <w:rsid w:val="1657153A"/>
    <w:rsid w:val="16767159"/>
    <w:rsid w:val="16A85C78"/>
    <w:rsid w:val="1752E770"/>
    <w:rsid w:val="17BF25BB"/>
    <w:rsid w:val="182B03EB"/>
    <w:rsid w:val="1860D693"/>
    <w:rsid w:val="1864D468"/>
    <w:rsid w:val="1BD8B9FD"/>
    <w:rsid w:val="1C30A3BE"/>
    <w:rsid w:val="1CA5FF24"/>
    <w:rsid w:val="1CD39B47"/>
    <w:rsid w:val="1D1B7856"/>
    <w:rsid w:val="1D4C0CFB"/>
    <w:rsid w:val="1DD9321E"/>
    <w:rsid w:val="1DF4ACA6"/>
    <w:rsid w:val="1EDF5680"/>
    <w:rsid w:val="1F38E662"/>
    <w:rsid w:val="21E91380"/>
    <w:rsid w:val="2475E681"/>
    <w:rsid w:val="24C2CA49"/>
    <w:rsid w:val="2533154B"/>
    <w:rsid w:val="2558FC66"/>
    <w:rsid w:val="25CE9E82"/>
    <w:rsid w:val="266F4E44"/>
    <w:rsid w:val="275C2A7B"/>
    <w:rsid w:val="2787C71E"/>
    <w:rsid w:val="2853D5B8"/>
    <w:rsid w:val="28D90759"/>
    <w:rsid w:val="2916995A"/>
    <w:rsid w:val="29462C93"/>
    <w:rsid w:val="296EDE78"/>
    <w:rsid w:val="2A424133"/>
    <w:rsid w:val="2B94CF74"/>
    <w:rsid w:val="2EC44F16"/>
    <w:rsid w:val="2EEA72FB"/>
    <w:rsid w:val="306365A7"/>
    <w:rsid w:val="311FF222"/>
    <w:rsid w:val="3181FA2D"/>
    <w:rsid w:val="31E453DC"/>
    <w:rsid w:val="32D8A350"/>
    <w:rsid w:val="331F0E3C"/>
    <w:rsid w:val="344AE7C4"/>
    <w:rsid w:val="353B8F11"/>
    <w:rsid w:val="355EA10F"/>
    <w:rsid w:val="35ED6388"/>
    <w:rsid w:val="3611DEC5"/>
    <w:rsid w:val="370E4B91"/>
    <w:rsid w:val="3755B29A"/>
    <w:rsid w:val="37BCAFB5"/>
    <w:rsid w:val="380A1D0B"/>
    <w:rsid w:val="380E9A0B"/>
    <w:rsid w:val="38A1F73D"/>
    <w:rsid w:val="38A3466B"/>
    <w:rsid w:val="38AA1BF2"/>
    <w:rsid w:val="39545AB2"/>
    <w:rsid w:val="39A27F5B"/>
    <w:rsid w:val="39C0A9A0"/>
    <w:rsid w:val="3AF6CCE6"/>
    <w:rsid w:val="3BE1BCB4"/>
    <w:rsid w:val="3C373530"/>
    <w:rsid w:val="3D3FD8E6"/>
    <w:rsid w:val="3F0A2F89"/>
    <w:rsid w:val="4086B876"/>
    <w:rsid w:val="4173D871"/>
    <w:rsid w:val="421C9F73"/>
    <w:rsid w:val="4269CF8D"/>
    <w:rsid w:val="43392E0A"/>
    <w:rsid w:val="43D0A3F5"/>
    <w:rsid w:val="452EEB0B"/>
    <w:rsid w:val="458272CC"/>
    <w:rsid w:val="45FABE3F"/>
    <w:rsid w:val="4754CB39"/>
    <w:rsid w:val="4791F53B"/>
    <w:rsid w:val="4A812064"/>
    <w:rsid w:val="4A9B464E"/>
    <w:rsid w:val="4BE35246"/>
    <w:rsid w:val="4C759097"/>
    <w:rsid w:val="4C7BA4DB"/>
    <w:rsid w:val="4CE0A775"/>
    <w:rsid w:val="4D528F19"/>
    <w:rsid w:val="4F0DDD34"/>
    <w:rsid w:val="4F2DED3C"/>
    <w:rsid w:val="4F438732"/>
    <w:rsid w:val="4F6DF3A6"/>
    <w:rsid w:val="4F941EE8"/>
    <w:rsid w:val="5025447B"/>
    <w:rsid w:val="504080AE"/>
    <w:rsid w:val="5064162B"/>
    <w:rsid w:val="50E9A5B9"/>
    <w:rsid w:val="50FE3A65"/>
    <w:rsid w:val="513931C6"/>
    <w:rsid w:val="51AA55C6"/>
    <w:rsid w:val="51F5ED7A"/>
    <w:rsid w:val="520A6640"/>
    <w:rsid w:val="52BFE15D"/>
    <w:rsid w:val="53BAC8F8"/>
    <w:rsid w:val="552ECDBC"/>
    <w:rsid w:val="55BBF398"/>
    <w:rsid w:val="56C2EC74"/>
    <w:rsid w:val="56F83209"/>
    <w:rsid w:val="57CF36FC"/>
    <w:rsid w:val="57E14A7E"/>
    <w:rsid w:val="5839F14F"/>
    <w:rsid w:val="587CEDAA"/>
    <w:rsid w:val="58998002"/>
    <w:rsid w:val="58A4615E"/>
    <w:rsid w:val="5A81B555"/>
    <w:rsid w:val="5C2B99DB"/>
    <w:rsid w:val="5E58FDC6"/>
    <w:rsid w:val="5E625829"/>
    <w:rsid w:val="5F0502A1"/>
    <w:rsid w:val="5F922C7B"/>
    <w:rsid w:val="5FB7BCF0"/>
    <w:rsid w:val="603D3F71"/>
    <w:rsid w:val="6070EAA6"/>
    <w:rsid w:val="6338A4AE"/>
    <w:rsid w:val="63BE8233"/>
    <w:rsid w:val="643401CB"/>
    <w:rsid w:val="6442BDBB"/>
    <w:rsid w:val="64D46D04"/>
    <w:rsid w:val="654F48A7"/>
    <w:rsid w:val="65921E89"/>
    <w:rsid w:val="65C12261"/>
    <w:rsid w:val="68C7BB8E"/>
    <w:rsid w:val="697EA148"/>
    <w:rsid w:val="6A20D78F"/>
    <w:rsid w:val="6AA6731A"/>
    <w:rsid w:val="6B6ADFCD"/>
    <w:rsid w:val="6BB23A34"/>
    <w:rsid w:val="6BE6DBF7"/>
    <w:rsid w:val="6BF30320"/>
    <w:rsid w:val="6D06B02E"/>
    <w:rsid w:val="6D0BF632"/>
    <w:rsid w:val="6F507AC3"/>
    <w:rsid w:val="6F7B02DA"/>
    <w:rsid w:val="7058DC07"/>
    <w:rsid w:val="72E6469E"/>
    <w:rsid w:val="72F2BE08"/>
    <w:rsid w:val="739F8829"/>
    <w:rsid w:val="749E5525"/>
    <w:rsid w:val="7515C7E8"/>
    <w:rsid w:val="752E4E0C"/>
    <w:rsid w:val="75D3E38C"/>
    <w:rsid w:val="7780598C"/>
    <w:rsid w:val="77ACA07E"/>
    <w:rsid w:val="77EC088D"/>
    <w:rsid w:val="785EBDD1"/>
    <w:rsid w:val="79AE4B16"/>
    <w:rsid w:val="7C4B3FAA"/>
    <w:rsid w:val="7C72F3F2"/>
    <w:rsid w:val="7CD66744"/>
    <w:rsid w:val="7D9942F6"/>
    <w:rsid w:val="7DAD1D0D"/>
    <w:rsid w:val="7DAF14BA"/>
    <w:rsid w:val="7E3CEC15"/>
    <w:rsid w:val="7E5D81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7D22E"/>
  <w15:chartTrackingRefBased/>
  <w15:docId w15:val="{9D9D9EB5-4260-403E-BDDC-24FE7C80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 Char Char, Char,Char Char,Heading 41, Char Char1, Char1, Char2,Char,Char Char2,Char Char1 Char,Char1 Char,Char2 Char,Char Char1, Char Char Char,Char1,Char2,Char Char Char,Char Char Char Char"/>
    <w:basedOn w:val="Normal"/>
    <w:next w:val="Normal"/>
    <w:link w:val="Heading4Char"/>
    <w:qFormat/>
    <w:pPr>
      <w:keepNext/>
      <w:numPr>
        <w:ilvl w:val="3"/>
        <w:numId w:val="6"/>
      </w:numPr>
      <w:spacing w:after="240"/>
      <w:outlineLvl w:val="3"/>
    </w:pPr>
  </w:style>
  <w:style w:type="paragraph" w:styleId="Heading5">
    <w:name w:val="heading 5"/>
    <w:basedOn w:val="Normal"/>
    <w:next w:val="Normal"/>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eastAsia="en-US"/>
    </w:rPr>
  </w:style>
  <w:style w:type="paragraph" w:customStyle="1" w:styleId="ListRoman">
    <w:name w:val="List Roman"/>
    <w:basedOn w:val="List"/>
    <w:pPr>
      <w:numPr>
        <w:numId w:val="3"/>
      </w:numPr>
      <w:spacing w:after="240"/>
    </w:pPr>
  </w:style>
  <w:style w:type="paragraph" w:styleId="List">
    <w:name w:val="List"/>
    <w:basedOn w:val="Normal"/>
    <w:pPr>
      <w:ind w:left="283" w:hanging="283"/>
    </w:pPr>
  </w:style>
  <w:style w:type="paragraph" w:customStyle="1" w:styleId="Bullets">
    <w:name w:val="Bullets"/>
    <w:basedOn w:val="Normal"/>
    <w:pPr>
      <w:numPr>
        <w:numId w:val="2"/>
      </w:numPr>
      <w:spacing w:after="240"/>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character" w:styleId="EndnoteReference">
    <w:name w:val="endnote reference"/>
    <w:semiHidden/>
    <w:rsid w:val="0072063C"/>
    <w:rPr>
      <w:vertAlign w:val="superscript"/>
    </w:rPr>
  </w:style>
  <w:style w:type="paragraph" w:styleId="EndnoteText">
    <w:name w:val="endnote text"/>
    <w:basedOn w:val="Normal"/>
    <w:semiHidden/>
    <w:rsid w:val="0072063C"/>
    <w:pPr>
      <w:spacing w:after="0"/>
      <w:jc w:val="left"/>
    </w:pPr>
    <w:rPr>
      <w:sz w:val="20"/>
    </w:rPr>
  </w:style>
  <w:style w:type="paragraph" w:customStyle="1" w:styleId="Default">
    <w:name w:val="Default"/>
    <w:rsid w:val="00C16A59"/>
    <w:pPr>
      <w:autoSpaceDE w:val="0"/>
      <w:autoSpaceDN w:val="0"/>
      <w:adjustRightInd w:val="0"/>
    </w:pPr>
    <w:rPr>
      <w:rFonts w:ascii="Arial" w:hAnsi="Arial" w:cs="Arial"/>
      <w:color w:val="000000"/>
      <w:sz w:val="24"/>
      <w:szCs w:val="24"/>
    </w:rPr>
  </w:style>
  <w:style w:type="character" w:customStyle="1" w:styleId="Heading4Char">
    <w:name w:val="Heading 4 Char"/>
    <w:aliases w:val=" Char Char Char1, Char Char2,Char Char Char1,Heading 41 Char, Char Char1 Char, Char1 Char, Char2 Char,Char Char3,Char Char2 Char,Char Char1 Char Char,Char1 Char Char,Char2 Char Char,Char Char1 Char1, Char Char Char Char,Char1 Char1"/>
    <w:link w:val="Heading4"/>
    <w:rsid w:val="00654AA9"/>
    <w:rPr>
      <w:sz w:val="24"/>
      <w:lang w:eastAsia="en-US"/>
    </w:rPr>
  </w:style>
  <w:style w:type="character" w:customStyle="1" w:styleId="Heading2Char">
    <w:name w:val="Heading 2 Char"/>
    <w:link w:val="Heading2"/>
    <w:rsid w:val="002512AE"/>
    <w:rPr>
      <w:sz w:val="24"/>
      <w:lang w:eastAsia="en-US"/>
    </w:rPr>
  </w:style>
  <w:style w:type="paragraph" w:customStyle="1" w:styleId="Bullet">
    <w:name w:val="Bullet"/>
    <w:basedOn w:val="Normal"/>
    <w:rsid w:val="004D7DE8"/>
    <w:pPr>
      <w:numPr>
        <w:ilvl w:val="2"/>
        <w:numId w:val="7"/>
      </w:numPr>
      <w:spacing w:after="0"/>
      <w:jc w:val="left"/>
    </w:pPr>
    <w:rPr>
      <w:rFonts w:ascii="Arial" w:hAnsi="Arial" w:cs="Arial"/>
    </w:rPr>
  </w:style>
  <w:style w:type="character" w:customStyle="1" w:styleId="HeaderChar">
    <w:name w:val="Header Char"/>
    <w:link w:val="Header"/>
    <w:uiPriority w:val="99"/>
    <w:rsid w:val="008658DF"/>
    <w:rPr>
      <w:sz w:val="24"/>
      <w:lang w:eastAsia="en-US"/>
    </w:rPr>
  </w:style>
  <w:style w:type="character" w:customStyle="1" w:styleId="Heading2Char1">
    <w:name w:val="Heading 2 Char1"/>
    <w:locked/>
    <w:rsid w:val="003F146E"/>
    <w:rPr>
      <w:sz w:val="24"/>
      <w:lang w:eastAsia="en-US"/>
    </w:rPr>
  </w:style>
  <w:style w:type="paragraph" w:styleId="ListParagraph">
    <w:name w:val="List Paragraph"/>
    <w:basedOn w:val="Normal"/>
    <w:uiPriority w:val="34"/>
    <w:qFormat/>
    <w:rsid w:val="00FE209D"/>
    <w:pPr>
      <w:ind w:left="720"/>
    </w:pPr>
  </w:style>
  <w:style w:type="character" w:customStyle="1" w:styleId="FooterChar">
    <w:name w:val="Footer Char"/>
    <w:link w:val="Footer"/>
    <w:uiPriority w:val="99"/>
    <w:rsid w:val="002044CB"/>
    <w:rPr>
      <w:sz w:val="24"/>
      <w:lang w:eastAsia="en-US"/>
    </w:rPr>
  </w:style>
  <w:style w:type="character" w:styleId="UnresolvedMention">
    <w:name w:val="Unresolved Mention"/>
    <w:uiPriority w:val="99"/>
    <w:unhideWhenUsed/>
    <w:rsid w:val="00327434"/>
    <w:rPr>
      <w:color w:val="605E5C"/>
      <w:shd w:val="clear" w:color="auto" w:fill="E1DFDD"/>
    </w:rPr>
  </w:style>
  <w:style w:type="character" w:customStyle="1" w:styleId="normaltextrun">
    <w:name w:val="normaltextrun"/>
    <w:rsid w:val="00F81014"/>
  </w:style>
  <w:style w:type="paragraph" w:customStyle="1" w:styleId="paragraph">
    <w:name w:val="paragraph"/>
    <w:basedOn w:val="Normal"/>
    <w:rsid w:val="00660F54"/>
    <w:pPr>
      <w:spacing w:before="100" w:beforeAutospacing="1" w:after="100" w:afterAutospacing="1"/>
      <w:jc w:val="left"/>
    </w:pPr>
    <w:rPr>
      <w:szCs w:val="24"/>
      <w:lang w:eastAsia="en-GB"/>
    </w:rPr>
  </w:style>
  <w:style w:type="character" w:customStyle="1" w:styleId="eop">
    <w:name w:val="eop"/>
    <w:rsid w:val="00660F54"/>
  </w:style>
  <w:style w:type="character" w:customStyle="1" w:styleId="spellingerror">
    <w:name w:val="spellingerror"/>
    <w:rsid w:val="00660F54"/>
  </w:style>
  <w:style w:type="character" w:styleId="Mention">
    <w:name w:val="Mention"/>
    <w:basedOn w:val="DefaultParagraphFont"/>
    <w:uiPriority w:val="99"/>
    <w:unhideWhenUsed/>
    <w:rsid w:val="001D7A4F"/>
    <w:rPr>
      <w:color w:val="2B579A"/>
      <w:shd w:val="clear" w:color="auto" w:fill="E1DFDD"/>
    </w:rPr>
  </w:style>
  <w:style w:type="paragraph" w:styleId="NormalWeb">
    <w:name w:val="Normal (Web)"/>
    <w:basedOn w:val="Normal"/>
    <w:uiPriority w:val="99"/>
    <w:unhideWhenUsed/>
    <w:rsid w:val="009325B8"/>
    <w:pPr>
      <w:spacing w:before="100" w:beforeAutospacing="1" w:after="100" w:afterAutospacing="1"/>
      <w:jc w:val="left"/>
    </w:pPr>
    <w:rPr>
      <w:szCs w:val="24"/>
      <w:lang w:eastAsia="en-GB"/>
    </w:rPr>
  </w:style>
  <w:style w:type="paragraph" w:styleId="Revision">
    <w:name w:val="Revision"/>
    <w:hidden/>
    <w:uiPriority w:val="99"/>
    <w:semiHidden/>
    <w:rsid w:val="00C8683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256">
      <w:bodyDiv w:val="1"/>
      <w:marLeft w:val="0"/>
      <w:marRight w:val="0"/>
      <w:marTop w:val="0"/>
      <w:marBottom w:val="0"/>
      <w:divBdr>
        <w:top w:val="none" w:sz="0" w:space="0" w:color="auto"/>
        <w:left w:val="none" w:sz="0" w:space="0" w:color="auto"/>
        <w:bottom w:val="none" w:sz="0" w:space="0" w:color="auto"/>
        <w:right w:val="none" w:sz="0" w:space="0" w:color="auto"/>
      </w:divBdr>
    </w:div>
    <w:div w:id="40831882">
      <w:bodyDiv w:val="1"/>
      <w:marLeft w:val="0"/>
      <w:marRight w:val="0"/>
      <w:marTop w:val="0"/>
      <w:marBottom w:val="0"/>
      <w:divBdr>
        <w:top w:val="none" w:sz="0" w:space="0" w:color="auto"/>
        <w:left w:val="none" w:sz="0" w:space="0" w:color="auto"/>
        <w:bottom w:val="none" w:sz="0" w:space="0" w:color="auto"/>
        <w:right w:val="none" w:sz="0" w:space="0" w:color="auto"/>
      </w:divBdr>
    </w:div>
    <w:div w:id="123164270">
      <w:bodyDiv w:val="1"/>
      <w:marLeft w:val="0"/>
      <w:marRight w:val="0"/>
      <w:marTop w:val="0"/>
      <w:marBottom w:val="0"/>
      <w:divBdr>
        <w:top w:val="none" w:sz="0" w:space="0" w:color="auto"/>
        <w:left w:val="none" w:sz="0" w:space="0" w:color="auto"/>
        <w:bottom w:val="none" w:sz="0" w:space="0" w:color="auto"/>
        <w:right w:val="none" w:sz="0" w:space="0" w:color="auto"/>
      </w:divBdr>
    </w:div>
    <w:div w:id="127285018">
      <w:bodyDiv w:val="1"/>
      <w:marLeft w:val="0"/>
      <w:marRight w:val="0"/>
      <w:marTop w:val="0"/>
      <w:marBottom w:val="0"/>
      <w:divBdr>
        <w:top w:val="none" w:sz="0" w:space="0" w:color="auto"/>
        <w:left w:val="none" w:sz="0" w:space="0" w:color="auto"/>
        <w:bottom w:val="none" w:sz="0" w:space="0" w:color="auto"/>
        <w:right w:val="none" w:sz="0" w:space="0" w:color="auto"/>
      </w:divBdr>
    </w:div>
    <w:div w:id="161505191">
      <w:bodyDiv w:val="1"/>
      <w:marLeft w:val="0"/>
      <w:marRight w:val="0"/>
      <w:marTop w:val="0"/>
      <w:marBottom w:val="0"/>
      <w:divBdr>
        <w:top w:val="none" w:sz="0" w:space="0" w:color="auto"/>
        <w:left w:val="none" w:sz="0" w:space="0" w:color="auto"/>
        <w:bottom w:val="none" w:sz="0" w:space="0" w:color="auto"/>
        <w:right w:val="none" w:sz="0" w:space="0" w:color="auto"/>
      </w:divBdr>
    </w:div>
    <w:div w:id="183515513">
      <w:bodyDiv w:val="1"/>
      <w:marLeft w:val="0"/>
      <w:marRight w:val="0"/>
      <w:marTop w:val="0"/>
      <w:marBottom w:val="0"/>
      <w:divBdr>
        <w:top w:val="none" w:sz="0" w:space="0" w:color="auto"/>
        <w:left w:val="none" w:sz="0" w:space="0" w:color="auto"/>
        <w:bottom w:val="none" w:sz="0" w:space="0" w:color="auto"/>
        <w:right w:val="none" w:sz="0" w:space="0" w:color="auto"/>
      </w:divBdr>
    </w:div>
    <w:div w:id="221453312">
      <w:bodyDiv w:val="1"/>
      <w:marLeft w:val="0"/>
      <w:marRight w:val="0"/>
      <w:marTop w:val="0"/>
      <w:marBottom w:val="0"/>
      <w:divBdr>
        <w:top w:val="none" w:sz="0" w:space="0" w:color="auto"/>
        <w:left w:val="none" w:sz="0" w:space="0" w:color="auto"/>
        <w:bottom w:val="none" w:sz="0" w:space="0" w:color="auto"/>
        <w:right w:val="none" w:sz="0" w:space="0" w:color="auto"/>
      </w:divBdr>
    </w:div>
    <w:div w:id="256526307">
      <w:bodyDiv w:val="1"/>
      <w:marLeft w:val="0"/>
      <w:marRight w:val="0"/>
      <w:marTop w:val="0"/>
      <w:marBottom w:val="0"/>
      <w:divBdr>
        <w:top w:val="none" w:sz="0" w:space="0" w:color="auto"/>
        <w:left w:val="none" w:sz="0" w:space="0" w:color="auto"/>
        <w:bottom w:val="none" w:sz="0" w:space="0" w:color="auto"/>
        <w:right w:val="none" w:sz="0" w:space="0" w:color="auto"/>
      </w:divBdr>
    </w:div>
    <w:div w:id="264194636">
      <w:bodyDiv w:val="1"/>
      <w:marLeft w:val="0"/>
      <w:marRight w:val="0"/>
      <w:marTop w:val="0"/>
      <w:marBottom w:val="0"/>
      <w:divBdr>
        <w:top w:val="none" w:sz="0" w:space="0" w:color="auto"/>
        <w:left w:val="none" w:sz="0" w:space="0" w:color="auto"/>
        <w:bottom w:val="none" w:sz="0" w:space="0" w:color="auto"/>
        <w:right w:val="none" w:sz="0" w:space="0" w:color="auto"/>
      </w:divBdr>
    </w:div>
    <w:div w:id="297151364">
      <w:bodyDiv w:val="1"/>
      <w:marLeft w:val="0"/>
      <w:marRight w:val="0"/>
      <w:marTop w:val="0"/>
      <w:marBottom w:val="0"/>
      <w:divBdr>
        <w:top w:val="none" w:sz="0" w:space="0" w:color="auto"/>
        <w:left w:val="none" w:sz="0" w:space="0" w:color="auto"/>
        <w:bottom w:val="none" w:sz="0" w:space="0" w:color="auto"/>
        <w:right w:val="none" w:sz="0" w:space="0" w:color="auto"/>
      </w:divBdr>
    </w:div>
    <w:div w:id="298611419">
      <w:bodyDiv w:val="1"/>
      <w:marLeft w:val="0"/>
      <w:marRight w:val="0"/>
      <w:marTop w:val="0"/>
      <w:marBottom w:val="0"/>
      <w:divBdr>
        <w:top w:val="none" w:sz="0" w:space="0" w:color="auto"/>
        <w:left w:val="none" w:sz="0" w:space="0" w:color="auto"/>
        <w:bottom w:val="none" w:sz="0" w:space="0" w:color="auto"/>
        <w:right w:val="none" w:sz="0" w:space="0" w:color="auto"/>
      </w:divBdr>
    </w:div>
    <w:div w:id="326715796">
      <w:bodyDiv w:val="1"/>
      <w:marLeft w:val="0"/>
      <w:marRight w:val="0"/>
      <w:marTop w:val="0"/>
      <w:marBottom w:val="0"/>
      <w:divBdr>
        <w:top w:val="none" w:sz="0" w:space="0" w:color="auto"/>
        <w:left w:val="none" w:sz="0" w:space="0" w:color="auto"/>
        <w:bottom w:val="none" w:sz="0" w:space="0" w:color="auto"/>
        <w:right w:val="none" w:sz="0" w:space="0" w:color="auto"/>
      </w:divBdr>
    </w:div>
    <w:div w:id="374039888">
      <w:bodyDiv w:val="1"/>
      <w:marLeft w:val="0"/>
      <w:marRight w:val="0"/>
      <w:marTop w:val="0"/>
      <w:marBottom w:val="0"/>
      <w:divBdr>
        <w:top w:val="none" w:sz="0" w:space="0" w:color="auto"/>
        <w:left w:val="none" w:sz="0" w:space="0" w:color="auto"/>
        <w:bottom w:val="none" w:sz="0" w:space="0" w:color="auto"/>
        <w:right w:val="none" w:sz="0" w:space="0" w:color="auto"/>
      </w:divBdr>
      <w:divsChild>
        <w:div w:id="1651136212">
          <w:marLeft w:val="0"/>
          <w:marRight w:val="0"/>
          <w:marTop w:val="0"/>
          <w:marBottom w:val="0"/>
          <w:divBdr>
            <w:top w:val="none" w:sz="0" w:space="0" w:color="auto"/>
            <w:left w:val="none" w:sz="0" w:space="0" w:color="auto"/>
            <w:bottom w:val="none" w:sz="0" w:space="0" w:color="auto"/>
            <w:right w:val="none" w:sz="0" w:space="0" w:color="auto"/>
          </w:divBdr>
          <w:divsChild>
            <w:div w:id="1363944543">
              <w:marLeft w:val="0"/>
              <w:marRight w:val="450"/>
              <w:marTop w:val="0"/>
              <w:marBottom w:val="600"/>
              <w:divBdr>
                <w:top w:val="none" w:sz="0" w:space="0" w:color="auto"/>
                <w:left w:val="none" w:sz="0" w:space="0" w:color="auto"/>
                <w:bottom w:val="none" w:sz="0" w:space="0" w:color="auto"/>
                <w:right w:val="none" w:sz="0" w:space="0" w:color="auto"/>
              </w:divBdr>
              <w:divsChild>
                <w:div w:id="18233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80927">
      <w:bodyDiv w:val="1"/>
      <w:marLeft w:val="0"/>
      <w:marRight w:val="0"/>
      <w:marTop w:val="0"/>
      <w:marBottom w:val="0"/>
      <w:divBdr>
        <w:top w:val="none" w:sz="0" w:space="0" w:color="auto"/>
        <w:left w:val="none" w:sz="0" w:space="0" w:color="auto"/>
        <w:bottom w:val="none" w:sz="0" w:space="0" w:color="auto"/>
        <w:right w:val="none" w:sz="0" w:space="0" w:color="auto"/>
      </w:divBdr>
    </w:div>
    <w:div w:id="398938386">
      <w:bodyDiv w:val="1"/>
      <w:marLeft w:val="0"/>
      <w:marRight w:val="0"/>
      <w:marTop w:val="0"/>
      <w:marBottom w:val="0"/>
      <w:divBdr>
        <w:top w:val="none" w:sz="0" w:space="0" w:color="auto"/>
        <w:left w:val="none" w:sz="0" w:space="0" w:color="auto"/>
        <w:bottom w:val="none" w:sz="0" w:space="0" w:color="auto"/>
        <w:right w:val="none" w:sz="0" w:space="0" w:color="auto"/>
      </w:divBdr>
    </w:div>
    <w:div w:id="401173573">
      <w:bodyDiv w:val="1"/>
      <w:marLeft w:val="0"/>
      <w:marRight w:val="0"/>
      <w:marTop w:val="0"/>
      <w:marBottom w:val="0"/>
      <w:divBdr>
        <w:top w:val="none" w:sz="0" w:space="0" w:color="auto"/>
        <w:left w:val="none" w:sz="0" w:space="0" w:color="auto"/>
        <w:bottom w:val="none" w:sz="0" w:space="0" w:color="auto"/>
        <w:right w:val="none" w:sz="0" w:space="0" w:color="auto"/>
      </w:divBdr>
    </w:div>
    <w:div w:id="417555073">
      <w:bodyDiv w:val="1"/>
      <w:marLeft w:val="0"/>
      <w:marRight w:val="0"/>
      <w:marTop w:val="0"/>
      <w:marBottom w:val="0"/>
      <w:divBdr>
        <w:top w:val="none" w:sz="0" w:space="0" w:color="auto"/>
        <w:left w:val="none" w:sz="0" w:space="0" w:color="auto"/>
        <w:bottom w:val="none" w:sz="0" w:space="0" w:color="auto"/>
        <w:right w:val="none" w:sz="0" w:space="0" w:color="auto"/>
      </w:divBdr>
    </w:div>
    <w:div w:id="439878314">
      <w:bodyDiv w:val="1"/>
      <w:marLeft w:val="0"/>
      <w:marRight w:val="0"/>
      <w:marTop w:val="0"/>
      <w:marBottom w:val="0"/>
      <w:divBdr>
        <w:top w:val="none" w:sz="0" w:space="0" w:color="auto"/>
        <w:left w:val="none" w:sz="0" w:space="0" w:color="auto"/>
        <w:bottom w:val="none" w:sz="0" w:space="0" w:color="auto"/>
        <w:right w:val="none" w:sz="0" w:space="0" w:color="auto"/>
      </w:divBdr>
    </w:div>
    <w:div w:id="442070305">
      <w:bodyDiv w:val="1"/>
      <w:marLeft w:val="0"/>
      <w:marRight w:val="0"/>
      <w:marTop w:val="0"/>
      <w:marBottom w:val="0"/>
      <w:divBdr>
        <w:top w:val="none" w:sz="0" w:space="0" w:color="auto"/>
        <w:left w:val="none" w:sz="0" w:space="0" w:color="auto"/>
        <w:bottom w:val="none" w:sz="0" w:space="0" w:color="auto"/>
        <w:right w:val="none" w:sz="0" w:space="0" w:color="auto"/>
      </w:divBdr>
    </w:div>
    <w:div w:id="467361257">
      <w:bodyDiv w:val="1"/>
      <w:marLeft w:val="0"/>
      <w:marRight w:val="0"/>
      <w:marTop w:val="0"/>
      <w:marBottom w:val="0"/>
      <w:divBdr>
        <w:top w:val="none" w:sz="0" w:space="0" w:color="auto"/>
        <w:left w:val="none" w:sz="0" w:space="0" w:color="auto"/>
        <w:bottom w:val="none" w:sz="0" w:space="0" w:color="auto"/>
        <w:right w:val="none" w:sz="0" w:space="0" w:color="auto"/>
      </w:divBdr>
      <w:divsChild>
        <w:div w:id="714354764">
          <w:marLeft w:val="0"/>
          <w:marRight w:val="0"/>
          <w:marTop w:val="0"/>
          <w:marBottom w:val="0"/>
          <w:divBdr>
            <w:top w:val="none" w:sz="0" w:space="0" w:color="auto"/>
            <w:left w:val="none" w:sz="0" w:space="0" w:color="auto"/>
            <w:bottom w:val="none" w:sz="0" w:space="0" w:color="auto"/>
            <w:right w:val="none" w:sz="0" w:space="0" w:color="auto"/>
          </w:divBdr>
        </w:div>
        <w:div w:id="1504121781">
          <w:marLeft w:val="0"/>
          <w:marRight w:val="0"/>
          <w:marTop w:val="0"/>
          <w:marBottom w:val="0"/>
          <w:divBdr>
            <w:top w:val="none" w:sz="0" w:space="0" w:color="auto"/>
            <w:left w:val="none" w:sz="0" w:space="0" w:color="auto"/>
            <w:bottom w:val="none" w:sz="0" w:space="0" w:color="auto"/>
            <w:right w:val="none" w:sz="0" w:space="0" w:color="auto"/>
          </w:divBdr>
        </w:div>
        <w:div w:id="1941716158">
          <w:marLeft w:val="0"/>
          <w:marRight w:val="0"/>
          <w:marTop w:val="0"/>
          <w:marBottom w:val="0"/>
          <w:divBdr>
            <w:top w:val="none" w:sz="0" w:space="0" w:color="auto"/>
            <w:left w:val="none" w:sz="0" w:space="0" w:color="auto"/>
            <w:bottom w:val="none" w:sz="0" w:space="0" w:color="auto"/>
            <w:right w:val="none" w:sz="0" w:space="0" w:color="auto"/>
          </w:divBdr>
        </w:div>
      </w:divsChild>
    </w:div>
    <w:div w:id="480653770">
      <w:bodyDiv w:val="1"/>
      <w:marLeft w:val="0"/>
      <w:marRight w:val="0"/>
      <w:marTop w:val="0"/>
      <w:marBottom w:val="0"/>
      <w:divBdr>
        <w:top w:val="none" w:sz="0" w:space="0" w:color="auto"/>
        <w:left w:val="none" w:sz="0" w:space="0" w:color="auto"/>
        <w:bottom w:val="none" w:sz="0" w:space="0" w:color="auto"/>
        <w:right w:val="none" w:sz="0" w:space="0" w:color="auto"/>
      </w:divBdr>
    </w:div>
    <w:div w:id="530610484">
      <w:bodyDiv w:val="1"/>
      <w:marLeft w:val="0"/>
      <w:marRight w:val="0"/>
      <w:marTop w:val="0"/>
      <w:marBottom w:val="0"/>
      <w:divBdr>
        <w:top w:val="none" w:sz="0" w:space="0" w:color="auto"/>
        <w:left w:val="none" w:sz="0" w:space="0" w:color="auto"/>
        <w:bottom w:val="none" w:sz="0" w:space="0" w:color="auto"/>
        <w:right w:val="none" w:sz="0" w:space="0" w:color="auto"/>
      </w:divBdr>
    </w:div>
    <w:div w:id="533006788">
      <w:bodyDiv w:val="1"/>
      <w:marLeft w:val="0"/>
      <w:marRight w:val="0"/>
      <w:marTop w:val="0"/>
      <w:marBottom w:val="0"/>
      <w:divBdr>
        <w:top w:val="none" w:sz="0" w:space="0" w:color="auto"/>
        <w:left w:val="none" w:sz="0" w:space="0" w:color="auto"/>
        <w:bottom w:val="none" w:sz="0" w:space="0" w:color="auto"/>
        <w:right w:val="none" w:sz="0" w:space="0" w:color="auto"/>
      </w:divBdr>
    </w:div>
    <w:div w:id="619647886">
      <w:bodyDiv w:val="1"/>
      <w:marLeft w:val="0"/>
      <w:marRight w:val="0"/>
      <w:marTop w:val="0"/>
      <w:marBottom w:val="0"/>
      <w:divBdr>
        <w:top w:val="none" w:sz="0" w:space="0" w:color="auto"/>
        <w:left w:val="none" w:sz="0" w:space="0" w:color="auto"/>
        <w:bottom w:val="none" w:sz="0" w:space="0" w:color="auto"/>
        <w:right w:val="none" w:sz="0" w:space="0" w:color="auto"/>
      </w:divBdr>
    </w:div>
    <w:div w:id="700253582">
      <w:bodyDiv w:val="1"/>
      <w:marLeft w:val="0"/>
      <w:marRight w:val="0"/>
      <w:marTop w:val="0"/>
      <w:marBottom w:val="0"/>
      <w:divBdr>
        <w:top w:val="none" w:sz="0" w:space="0" w:color="auto"/>
        <w:left w:val="none" w:sz="0" w:space="0" w:color="auto"/>
        <w:bottom w:val="none" w:sz="0" w:space="0" w:color="auto"/>
        <w:right w:val="none" w:sz="0" w:space="0" w:color="auto"/>
      </w:divBdr>
    </w:div>
    <w:div w:id="710417130">
      <w:bodyDiv w:val="1"/>
      <w:marLeft w:val="0"/>
      <w:marRight w:val="0"/>
      <w:marTop w:val="0"/>
      <w:marBottom w:val="0"/>
      <w:divBdr>
        <w:top w:val="none" w:sz="0" w:space="0" w:color="auto"/>
        <w:left w:val="none" w:sz="0" w:space="0" w:color="auto"/>
        <w:bottom w:val="none" w:sz="0" w:space="0" w:color="auto"/>
        <w:right w:val="none" w:sz="0" w:space="0" w:color="auto"/>
      </w:divBdr>
    </w:div>
    <w:div w:id="762919868">
      <w:bodyDiv w:val="1"/>
      <w:marLeft w:val="0"/>
      <w:marRight w:val="0"/>
      <w:marTop w:val="0"/>
      <w:marBottom w:val="0"/>
      <w:divBdr>
        <w:top w:val="none" w:sz="0" w:space="0" w:color="auto"/>
        <w:left w:val="none" w:sz="0" w:space="0" w:color="auto"/>
        <w:bottom w:val="none" w:sz="0" w:space="0" w:color="auto"/>
        <w:right w:val="none" w:sz="0" w:space="0" w:color="auto"/>
      </w:divBdr>
    </w:div>
    <w:div w:id="766197336">
      <w:bodyDiv w:val="1"/>
      <w:marLeft w:val="0"/>
      <w:marRight w:val="0"/>
      <w:marTop w:val="0"/>
      <w:marBottom w:val="0"/>
      <w:divBdr>
        <w:top w:val="none" w:sz="0" w:space="0" w:color="auto"/>
        <w:left w:val="none" w:sz="0" w:space="0" w:color="auto"/>
        <w:bottom w:val="none" w:sz="0" w:space="0" w:color="auto"/>
        <w:right w:val="none" w:sz="0" w:space="0" w:color="auto"/>
      </w:divBdr>
    </w:div>
    <w:div w:id="767505556">
      <w:bodyDiv w:val="1"/>
      <w:marLeft w:val="0"/>
      <w:marRight w:val="0"/>
      <w:marTop w:val="0"/>
      <w:marBottom w:val="0"/>
      <w:divBdr>
        <w:top w:val="none" w:sz="0" w:space="0" w:color="auto"/>
        <w:left w:val="none" w:sz="0" w:space="0" w:color="auto"/>
        <w:bottom w:val="none" w:sz="0" w:space="0" w:color="auto"/>
        <w:right w:val="none" w:sz="0" w:space="0" w:color="auto"/>
      </w:divBdr>
    </w:div>
    <w:div w:id="799956084">
      <w:bodyDiv w:val="1"/>
      <w:marLeft w:val="0"/>
      <w:marRight w:val="0"/>
      <w:marTop w:val="0"/>
      <w:marBottom w:val="0"/>
      <w:divBdr>
        <w:top w:val="none" w:sz="0" w:space="0" w:color="auto"/>
        <w:left w:val="none" w:sz="0" w:space="0" w:color="auto"/>
        <w:bottom w:val="none" w:sz="0" w:space="0" w:color="auto"/>
        <w:right w:val="none" w:sz="0" w:space="0" w:color="auto"/>
      </w:divBdr>
    </w:div>
    <w:div w:id="822042378">
      <w:bodyDiv w:val="1"/>
      <w:marLeft w:val="0"/>
      <w:marRight w:val="0"/>
      <w:marTop w:val="0"/>
      <w:marBottom w:val="0"/>
      <w:divBdr>
        <w:top w:val="none" w:sz="0" w:space="0" w:color="auto"/>
        <w:left w:val="none" w:sz="0" w:space="0" w:color="auto"/>
        <w:bottom w:val="none" w:sz="0" w:space="0" w:color="auto"/>
        <w:right w:val="none" w:sz="0" w:space="0" w:color="auto"/>
      </w:divBdr>
    </w:div>
    <w:div w:id="836072197">
      <w:bodyDiv w:val="1"/>
      <w:marLeft w:val="0"/>
      <w:marRight w:val="0"/>
      <w:marTop w:val="0"/>
      <w:marBottom w:val="0"/>
      <w:divBdr>
        <w:top w:val="none" w:sz="0" w:space="0" w:color="auto"/>
        <w:left w:val="none" w:sz="0" w:space="0" w:color="auto"/>
        <w:bottom w:val="none" w:sz="0" w:space="0" w:color="auto"/>
        <w:right w:val="none" w:sz="0" w:space="0" w:color="auto"/>
      </w:divBdr>
    </w:div>
    <w:div w:id="840241509">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91580865">
      <w:bodyDiv w:val="1"/>
      <w:marLeft w:val="0"/>
      <w:marRight w:val="0"/>
      <w:marTop w:val="0"/>
      <w:marBottom w:val="0"/>
      <w:divBdr>
        <w:top w:val="none" w:sz="0" w:space="0" w:color="auto"/>
        <w:left w:val="none" w:sz="0" w:space="0" w:color="auto"/>
        <w:bottom w:val="none" w:sz="0" w:space="0" w:color="auto"/>
        <w:right w:val="none" w:sz="0" w:space="0" w:color="auto"/>
      </w:divBdr>
    </w:div>
    <w:div w:id="921908210">
      <w:bodyDiv w:val="1"/>
      <w:marLeft w:val="0"/>
      <w:marRight w:val="0"/>
      <w:marTop w:val="0"/>
      <w:marBottom w:val="0"/>
      <w:divBdr>
        <w:top w:val="none" w:sz="0" w:space="0" w:color="auto"/>
        <w:left w:val="none" w:sz="0" w:space="0" w:color="auto"/>
        <w:bottom w:val="none" w:sz="0" w:space="0" w:color="auto"/>
        <w:right w:val="none" w:sz="0" w:space="0" w:color="auto"/>
      </w:divBdr>
    </w:div>
    <w:div w:id="938222441">
      <w:bodyDiv w:val="1"/>
      <w:marLeft w:val="0"/>
      <w:marRight w:val="0"/>
      <w:marTop w:val="0"/>
      <w:marBottom w:val="0"/>
      <w:divBdr>
        <w:top w:val="none" w:sz="0" w:space="0" w:color="auto"/>
        <w:left w:val="none" w:sz="0" w:space="0" w:color="auto"/>
        <w:bottom w:val="none" w:sz="0" w:space="0" w:color="auto"/>
        <w:right w:val="none" w:sz="0" w:space="0" w:color="auto"/>
      </w:divBdr>
    </w:div>
    <w:div w:id="947542209">
      <w:bodyDiv w:val="1"/>
      <w:marLeft w:val="0"/>
      <w:marRight w:val="0"/>
      <w:marTop w:val="0"/>
      <w:marBottom w:val="0"/>
      <w:divBdr>
        <w:top w:val="none" w:sz="0" w:space="0" w:color="auto"/>
        <w:left w:val="none" w:sz="0" w:space="0" w:color="auto"/>
        <w:bottom w:val="none" w:sz="0" w:space="0" w:color="auto"/>
        <w:right w:val="none" w:sz="0" w:space="0" w:color="auto"/>
      </w:divBdr>
    </w:div>
    <w:div w:id="953093250">
      <w:bodyDiv w:val="1"/>
      <w:marLeft w:val="0"/>
      <w:marRight w:val="0"/>
      <w:marTop w:val="0"/>
      <w:marBottom w:val="0"/>
      <w:divBdr>
        <w:top w:val="none" w:sz="0" w:space="0" w:color="auto"/>
        <w:left w:val="none" w:sz="0" w:space="0" w:color="auto"/>
        <w:bottom w:val="none" w:sz="0" w:space="0" w:color="auto"/>
        <w:right w:val="none" w:sz="0" w:space="0" w:color="auto"/>
      </w:divBdr>
    </w:div>
    <w:div w:id="955790846">
      <w:bodyDiv w:val="1"/>
      <w:marLeft w:val="0"/>
      <w:marRight w:val="0"/>
      <w:marTop w:val="0"/>
      <w:marBottom w:val="0"/>
      <w:divBdr>
        <w:top w:val="none" w:sz="0" w:space="0" w:color="auto"/>
        <w:left w:val="none" w:sz="0" w:space="0" w:color="auto"/>
        <w:bottom w:val="none" w:sz="0" w:space="0" w:color="auto"/>
        <w:right w:val="none" w:sz="0" w:space="0" w:color="auto"/>
      </w:divBdr>
    </w:div>
    <w:div w:id="973633382">
      <w:bodyDiv w:val="1"/>
      <w:marLeft w:val="0"/>
      <w:marRight w:val="0"/>
      <w:marTop w:val="0"/>
      <w:marBottom w:val="0"/>
      <w:divBdr>
        <w:top w:val="none" w:sz="0" w:space="0" w:color="auto"/>
        <w:left w:val="none" w:sz="0" w:space="0" w:color="auto"/>
        <w:bottom w:val="none" w:sz="0" w:space="0" w:color="auto"/>
        <w:right w:val="none" w:sz="0" w:space="0" w:color="auto"/>
      </w:divBdr>
    </w:div>
    <w:div w:id="975725319">
      <w:bodyDiv w:val="1"/>
      <w:marLeft w:val="0"/>
      <w:marRight w:val="0"/>
      <w:marTop w:val="0"/>
      <w:marBottom w:val="0"/>
      <w:divBdr>
        <w:top w:val="none" w:sz="0" w:space="0" w:color="auto"/>
        <w:left w:val="none" w:sz="0" w:space="0" w:color="auto"/>
        <w:bottom w:val="none" w:sz="0" w:space="0" w:color="auto"/>
        <w:right w:val="none" w:sz="0" w:space="0" w:color="auto"/>
      </w:divBdr>
    </w:div>
    <w:div w:id="1017924125">
      <w:bodyDiv w:val="1"/>
      <w:marLeft w:val="0"/>
      <w:marRight w:val="0"/>
      <w:marTop w:val="0"/>
      <w:marBottom w:val="0"/>
      <w:divBdr>
        <w:top w:val="none" w:sz="0" w:space="0" w:color="auto"/>
        <w:left w:val="none" w:sz="0" w:space="0" w:color="auto"/>
        <w:bottom w:val="none" w:sz="0" w:space="0" w:color="auto"/>
        <w:right w:val="none" w:sz="0" w:space="0" w:color="auto"/>
      </w:divBdr>
    </w:div>
    <w:div w:id="1049500054">
      <w:bodyDiv w:val="1"/>
      <w:marLeft w:val="0"/>
      <w:marRight w:val="0"/>
      <w:marTop w:val="0"/>
      <w:marBottom w:val="0"/>
      <w:divBdr>
        <w:top w:val="none" w:sz="0" w:space="0" w:color="auto"/>
        <w:left w:val="none" w:sz="0" w:space="0" w:color="auto"/>
        <w:bottom w:val="none" w:sz="0" w:space="0" w:color="auto"/>
        <w:right w:val="none" w:sz="0" w:space="0" w:color="auto"/>
      </w:divBdr>
    </w:div>
    <w:div w:id="1083069949">
      <w:bodyDiv w:val="1"/>
      <w:marLeft w:val="0"/>
      <w:marRight w:val="0"/>
      <w:marTop w:val="0"/>
      <w:marBottom w:val="0"/>
      <w:divBdr>
        <w:top w:val="none" w:sz="0" w:space="0" w:color="auto"/>
        <w:left w:val="none" w:sz="0" w:space="0" w:color="auto"/>
        <w:bottom w:val="none" w:sz="0" w:space="0" w:color="auto"/>
        <w:right w:val="none" w:sz="0" w:space="0" w:color="auto"/>
      </w:divBdr>
    </w:div>
    <w:div w:id="1096946423">
      <w:bodyDiv w:val="1"/>
      <w:marLeft w:val="0"/>
      <w:marRight w:val="0"/>
      <w:marTop w:val="0"/>
      <w:marBottom w:val="0"/>
      <w:divBdr>
        <w:top w:val="none" w:sz="0" w:space="0" w:color="auto"/>
        <w:left w:val="none" w:sz="0" w:space="0" w:color="auto"/>
        <w:bottom w:val="none" w:sz="0" w:space="0" w:color="auto"/>
        <w:right w:val="none" w:sz="0" w:space="0" w:color="auto"/>
      </w:divBdr>
    </w:div>
    <w:div w:id="1111513825">
      <w:bodyDiv w:val="1"/>
      <w:marLeft w:val="0"/>
      <w:marRight w:val="0"/>
      <w:marTop w:val="0"/>
      <w:marBottom w:val="0"/>
      <w:divBdr>
        <w:top w:val="none" w:sz="0" w:space="0" w:color="auto"/>
        <w:left w:val="none" w:sz="0" w:space="0" w:color="auto"/>
        <w:bottom w:val="none" w:sz="0" w:space="0" w:color="auto"/>
        <w:right w:val="none" w:sz="0" w:space="0" w:color="auto"/>
      </w:divBdr>
    </w:div>
    <w:div w:id="1113017877">
      <w:bodyDiv w:val="1"/>
      <w:marLeft w:val="0"/>
      <w:marRight w:val="0"/>
      <w:marTop w:val="0"/>
      <w:marBottom w:val="0"/>
      <w:divBdr>
        <w:top w:val="none" w:sz="0" w:space="0" w:color="auto"/>
        <w:left w:val="none" w:sz="0" w:space="0" w:color="auto"/>
        <w:bottom w:val="none" w:sz="0" w:space="0" w:color="auto"/>
        <w:right w:val="none" w:sz="0" w:space="0" w:color="auto"/>
      </w:divBdr>
    </w:div>
    <w:div w:id="1130131411">
      <w:bodyDiv w:val="1"/>
      <w:marLeft w:val="0"/>
      <w:marRight w:val="0"/>
      <w:marTop w:val="0"/>
      <w:marBottom w:val="0"/>
      <w:divBdr>
        <w:top w:val="none" w:sz="0" w:space="0" w:color="auto"/>
        <w:left w:val="none" w:sz="0" w:space="0" w:color="auto"/>
        <w:bottom w:val="none" w:sz="0" w:space="0" w:color="auto"/>
        <w:right w:val="none" w:sz="0" w:space="0" w:color="auto"/>
      </w:divBdr>
    </w:div>
    <w:div w:id="1137407888">
      <w:bodyDiv w:val="1"/>
      <w:marLeft w:val="0"/>
      <w:marRight w:val="0"/>
      <w:marTop w:val="0"/>
      <w:marBottom w:val="0"/>
      <w:divBdr>
        <w:top w:val="none" w:sz="0" w:space="0" w:color="auto"/>
        <w:left w:val="none" w:sz="0" w:space="0" w:color="auto"/>
        <w:bottom w:val="none" w:sz="0" w:space="0" w:color="auto"/>
        <w:right w:val="none" w:sz="0" w:space="0" w:color="auto"/>
      </w:divBdr>
    </w:div>
    <w:div w:id="1140878664">
      <w:bodyDiv w:val="1"/>
      <w:marLeft w:val="0"/>
      <w:marRight w:val="0"/>
      <w:marTop w:val="0"/>
      <w:marBottom w:val="0"/>
      <w:divBdr>
        <w:top w:val="none" w:sz="0" w:space="0" w:color="auto"/>
        <w:left w:val="none" w:sz="0" w:space="0" w:color="auto"/>
        <w:bottom w:val="none" w:sz="0" w:space="0" w:color="auto"/>
        <w:right w:val="none" w:sz="0" w:space="0" w:color="auto"/>
      </w:divBdr>
    </w:div>
    <w:div w:id="1144082373">
      <w:bodyDiv w:val="1"/>
      <w:marLeft w:val="0"/>
      <w:marRight w:val="0"/>
      <w:marTop w:val="0"/>
      <w:marBottom w:val="0"/>
      <w:divBdr>
        <w:top w:val="none" w:sz="0" w:space="0" w:color="auto"/>
        <w:left w:val="none" w:sz="0" w:space="0" w:color="auto"/>
        <w:bottom w:val="none" w:sz="0" w:space="0" w:color="auto"/>
        <w:right w:val="none" w:sz="0" w:space="0" w:color="auto"/>
      </w:divBdr>
    </w:div>
    <w:div w:id="1173840178">
      <w:bodyDiv w:val="1"/>
      <w:marLeft w:val="0"/>
      <w:marRight w:val="0"/>
      <w:marTop w:val="0"/>
      <w:marBottom w:val="0"/>
      <w:divBdr>
        <w:top w:val="none" w:sz="0" w:space="0" w:color="auto"/>
        <w:left w:val="none" w:sz="0" w:space="0" w:color="auto"/>
        <w:bottom w:val="none" w:sz="0" w:space="0" w:color="auto"/>
        <w:right w:val="none" w:sz="0" w:space="0" w:color="auto"/>
      </w:divBdr>
    </w:div>
    <w:div w:id="1180854095">
      <w:bodyDiv w:val="1"/>
      <w:marLeft w:val="0"/>
      <w:marRight w:val="0"/>
      <w:marTop w:val="0"/>
      <w:marBottom w:val="0"/>
      <w:divBdr>
        <w:top w:val="none" w:sz="0" w:space="0" w:color="auto"/>
        <w:left w:val="none" w:sz="0" w:space="0" w:color="auto"/>
        <w:bottom w:val="none" w:sz="0" w:space="0" w:color="auto"/>
        <w:right w:val="none" w:sz="0" w:space="0" w:color="auto"/>
      </w:divBdr>
    </w:div>
    <w:div w:id="1300570739">
      <w:bodyDiv w:val="1"/>
      <w:marLeft w:val="0"/>
      <w:marRight w:val="0"/>
      <w:marTop w:val="0"/>
      <w:marBottom w:val="0"/>
      <w:divBdr>
        <w:top w:val="none" w:sz="0" w:space="0" w:color="auto"/>
        <w:left w:val="none" w:sz="0" w:space="0" w:color="auto"/>
        <w:bottom w:val="none" w:sz="0" w:space="0" w:color="auto"/>
        <w:right w:val="none" w:sz="0" w:space="0" w:color="auto"/>
      </w:divBdr>
    </w:div>
    <w:div w:id="1346250824">
      <w:bodyDiv w:val="1"/>
      <w:marLeft w:val="0"/>
      <w:marRight w:val="0"/>
      <w:marTop w:val="0"/>
      <w:marBottom w:val="0"/>
      <w:divBdr>
        <w:top w:val="none" w:sz="0" w:space="0" w:color="auto"/>
        <w:left w:val="none" w:sz="0" w:space="0" w:color="auto"/>
        <w:bottom w:val="none" w:sz="0" w:space="0" w:color="auto"/>
        <w:right w:val="none" w:sz="0" w:space="0" w:color="auto"/>
      </w:divBdr>
    </w:div>
    <w:div w:id="1348749577">
      <w:bodyDiv w:val="1"/>
      <w:marLeft w:val="0"/>
      <w:marRight w:val="0"/>
      <w:marTop w:val="0"/>
      <w:marBottom w:val="0"/>
      <w:divBdr>
        <w:top w:val="none" w:sz="0" w:space="0" w:color="auto"/>
        <w:left w:val="none" w:sz="0" w:space="0" w:color="auto"/>
        <w:bottom w:val="none" w:sz="0" w:space="0" w:color="auto"/>
        <w:right w:val="none" w:sz="0" w:space="0" w:color="auto"/>
      </w:divBdr>
    </w:div>
    <w:div w:id="1362975318">
      <w:bodyDiv w:val="1"/>
      <w:marLeft w:val="0"/>
      <w:marRight w:val="0"/>
      <w:marTop w:val="0"/>
      <w:marBottom w:val="0"/>
      <w:divBdr>
        <w:top w:val="none" w:sz="0" w:space="0" w:color="auto"/>
        <w:left w:val="none" w:sz="0" w:space="0" w:color="auto"/>
        <w:bottom w:val="none" w:sz="0" w:space="0" w:color="auto"/>
        <w:right w:val="none" w:sz="0" w:space="0" w:color="auto"/>
      </w:divBdr>
    </w:div>
    <w:div w:id="1378092111">
      <w:bodyDiv w:val="1"/>
      <w:marLeft w:val="0"/>
      <w:marRight w:val="0"/>
      <w:marTop w:val="0"/>
      <w:marBottom w:val="0"/>
      <w:divBdr>
        <w:top w:val="none" w:sz="0" w:space="0" w:color="auto"/>
        <w:left w:val="none" w:sz="0" w:space="0" w:color="auto"/>
        <w:bottom w:val="none" w:sz="0" w:space="0" w:color="auto"/>
        <w:right w:val="none" w:sz="0" w:space="0" w:color="auto"/>
      </w:divBdr>
    </w:div>
    <w:div w:id="1422213833">
      <w:bodyDiv w:val="1"/>
      <w:marLeft w:val="0"/>
      <w:marRight w:val="0"/>
      <w:marTop w:val="0"/>
      <w:marBottom w:val="0"/>
      <w:divBdr>
        <w:top w:val="none" w:sz="0" w:space="0" w:color="auto"/>
        <w:left w:val="none" w:sz="0" w:space="0" w:color="auto"/>
        <w:bottom w:val="none" w:sz="0" w:space="0" w:color="auto"/>
        <w:right w:val="none" w:sz="0" w:space="0" w:color="auto"/>
      </w:divBdr>
    </w:div>
    <w:div w:id="1424843312">
      <w:bodyDiv w:val="1"/>
      <w:marLeft w:val="0"/>
      <w:marRight w:val="0"/>
      <w:marTop w:val="0"/>
      <w:marBottom w:val="0"/>
      <w:divBdr>
        <w:top w:val="none" w:sz="0" w:space="0" w:color="auto"/>
        <w:left w:val="none" w:sz="0" w:space="0" w:color="auto"/>
        <w:bottom w:val="none" w:sz="0" w:space="0" w:color="auto"/>
        <w:right w:val="none" w:sz="0" w:space="0" w:color="auto"/>
      </w:divBdr>
    </w:div>
    <w:div w:id="1509100606">
      <w:bodyDiv w:val="1"/>
      <w:marLeft w:val="0"/>
      <w:marRight w:val="0"/>
      <w:marTop w:val="0"/>
      <w:marBottom w:val="0"/>
      <w:divBdr>
        <w:top w:val="none" w:sz="0" w:space="0" w:color="auto"/>
        <w:left w:val="none" w:sz="0" w:space="0" w:color="auto"/>
        <w:bottom w:val="none" w:sz="0" w:space="0" w:color="auto"/>
        <w:right w:val="none" w:sz="0" w:space="0" w:color="auto"/>
      </w:divBdr>
    </w:div>
    <w:div w:id="1518156003">
      <w:bodyDiv w:val="1"/>
      <w:marLeft w:val="0"/>
      <w:marRight w:val="0"/>
      <w:marTop w:val="0"/>
      <w:marBottom w:val="0"/>
      <w:divBdr>
        <w:top w:val="none" w:sz="0" w:space="0" w:color="auto"/>
        <w:left w:val="none" w:sz="0" w:space="0" w:color="auto"/>
        <w:bottom w:val="none" w:sz="0" w:space="0" w:color="auto"/>
        <w:right w:val="none" w:sz="0" w:space="0" w:color="auto"/>
      </w:divBdr>
    </w:div>
    <w:div w:id="1523939712">
      <w:bodyDiv w:val="1"/>
      <w:marLeft w:val="0"/>
      <w:marRight w:val="0"/>
      <w:marTop w:val="0"/>
      <w:marBottom w:val="0"/>
      <w:divBdr>
        <w:top w:val="none" w:sz="0" w:space="0" w:color="auto"/>
        <w:left w:val="none" w:sz="0" w:space="0" w:color="auto"/>
        <w:bottom w:val="none" w:sz="0" w:space="0" w:color="auto"/>
        <w:right w:val="none" w:sz="0" w:space="0" w:color="auto"/>
      </w:divBdr>
    </w:div>
    <w:div w:id="1559973997">
      <w:bodyDiv w:val="1"/>
      <w:marLeft w:val="0"/>
      <w:marRight w:val="0"/>
      <w:marTop w:val="0"/>
      <w:marBottom w:val="0"/>
      <w:divBdr>
        <w:top w:val="none" w:sz="0" w:space="0" w:color="auto"/>
        <w:left w:val="none" w:sz="0" w:space="0" w:color="auto"/>
        <w:bottom w:val="none" w:sz="0" w:space="0" w:color="auto"/>
        <w:right w:val="none" w:sz="0" w:space="0" w:color="auto"/>
      </w:divBdr>
    </w:div>
    <w:div w:id="1566255474">
      <w:bodyDiv w:val="1"/>
      <w:marLeft w:val="0"/>
      <w:marRight w:val="0"/>
      <w:marTop w:val="0"/>
      <w:marBottom w:val="0"/>
      <w:divBdr>
        <w:top w:val="none" w:sz="0" w:space="0" w:color="auto"/>
        <w:left w:val="none" w:sz="0" w:space="0" w:color="auto"/>
        <w:bottom w:val="none" w:sz="0" w:space="0" w:color="auto"/>
        <w:right w:val="none" w:sz="0" w:space="0" w:color="auto"/>
      </w:divBdr>
    </w:div>
    <w:div w:id="1582982512">
      <w:bodyDiv w:val="1"/>
      <w:marLeft w:val="0"/>
      <w:marRight w:val="0"/>
      <w:marTop w:val="0"/>
      <w:marBottom w:val="0"/>
      <w:divBdr>
        <w:top w:val="none" w:sz="0" w:space="0" w:color="auto"/>
        <w:left w:val="none" w:sz="0" w:space="0" w:color="auto"/>
        <w:bottom w:val="none" w:sz="0" w:space="0" w:color="auto"/>
        <w:right w:val="none" w:sz="0" w:space="0" w:color="auto"/>
      </w:divBdr>
    </w:div>
    <w:div w:id="1681931915">
      <w:bodyDiv w:val="1"/>
      <w:marLeft w:val="0"/>
      <w:marRight w:val="0"/>
      <w:marTop w:val="0"/>
      <w:marBottom w:val="0"/>
      <w:divBdr>
        <w:top w:val="none" w:sz="0" w:space="0" w:color="auto"/>
        <w:left w:val="none" w:sz="0" w:space="0" w:color="auto"/>
        <w:bottom w:val="none" w:sz="0" w:space="0" w:color="auto"/>
        <w:right w:val="none" w:sz="0" w:space="0" w:color="auto"/>
      </w:divBdr>
    </w:div>
    <w:div w:id="1686250515">
      <w:bodyDiv w:val="1"/>
      <w:marLeft w:val="0"/>
      <w:marRight w:val="0"/>
      <w:marTop w:val="0"/>
      <w:marBottom w:val="0"/>
      <w:divBdr>
        <w:top w:val="none" w:sz="0" w:space="0" w:color="auto"/>
        <w:left w:val="none" w:sz="0" w:space="0" w:color="auto"/>
        <w:bottom w:val="none" w:sz="0" w:space="0" w:color="auto"/>
        <w:right w:val="none" w:sz="0" w:space="0" w:color="auto"/>
      </w:divBdr>
    </w:div>
    <w:div w:id="1712656601">
      <w:bodyDiv w:val="1"/>
      <w:marLeft w:val="0"/>
      <w:marRight w:val="0"/>
      <w:marTop w:val="0"/>
      <w:marBottom w:val="0"/>
      <w:divBdr>
        <w:top w:val="none" w:sz="0" w:space="0" w:color="auto"/>
        <w:left w:val="none" w:sz="0" w:space="0" w:color="auto"/>
        <w:bottom w:val="none" w:sz="0" w:space="0" w:color="auto"/>
        <w:right w:val="none" w:sz="0" w:space="0" w:color="auto"/>
      </w:divBdr>
    </w:div>
    <w:div w:id="1786998016">
      <w:bodyDiv w:val="1"/>
      <w:marLeft w:val="0"/>
      <w:marRight w:val="0"/>
      <w:marTop w:val="0"/>
      <w:marBottom w:val="0"/>
      <w:divBdr>
        <w:top w:val="none" w:sz="0" w:space="0" w:color="auto"/>
        <w:left w:val="none" w:sz="0" w:space="0" w:color="auto"/>
        <w:bottom w:val="none" w:sz="0" w:space="0" w:color="auto"/>
        <w:right w:val="none" w:sz="0" w:space="0" w:color="auto"/>
      </w:divBdr>
    </w:div>
    <w:div w:id="1813327293">
      <w:bodyDiv w:val="1"/>
      <w:marLeft w:val="0"/>
      <w:marRight w:val="0"/>
      <w:marTop w:val="0"/>
      <w:marBottom w:val="0"/>
      <w:divBdr>
        <w:top w:val="none" w:sz="0" w:space="0" w:color="auto"/>
        <w:left w:val="none" w:sz="0" w:space="0" w:color="auto"/>
        <w:bottom w:val="none" w:sz="0" w:space="0" w:color="auto"/>
        <w:right w:val="none" w:sz="0" w:space="0" w:color="auto"/>
      </w:divBdr>
    </w:div>
    <w:div w:id="1861426349">
      <w:bodyDiv w:val="1"/>
      <w:marLeft w:val="0"/>
      <w:marRight w:val="0"/>
      <w:marTop w:val="0"/>
      <w:marBottom w:val="0"/>
      <w:divBdr>
        <w:top w:val="none" w:sz="0" w:space="0" w:color="auto"/>
        <w:left w:val="none" w:sz="0" w:space="0" w:color="auto"/>
        <w:bottom w:val="none" w:sz="0" w:space="0" w:color="auto"/>
        <w:right w:val="none" w:sz="0" w:space="0" w:color="auto"/>
      </w:divBdr>
    </w:div>
    <w:div w:id="1874951746">
      <w:bodyDiv w:val="1"/>
      <w:marLeft w:val="0"/>
      <w:marRight w:val="0"/>
      <w:marTop w:val="0"/>
      <w:marBottom w:val="0"/>
      <w:divBdr>
        <w:top w:val="none" w:sz="0" w:space="0" w:color="auto"/>
        <w:left w:val="none" w:sz="0" w:space="0" w:color="auto"/>
        <w:bottom w:val="none" w:sz="0" w:space="0" w:color="auto"/>
        <w:right w:val="none" w:sz="0" w:space="0" w:color="auto"/>
      </w:divBdr>
    </w:div>
    <w:div w:id="1885553618">
      <w:bodyDiv w:val="1"/>
      <w:marLeft w:val="0"/>
      <w:marRight w:val="0"/>
      <w:marTop w:val="0"/>
      <w:marBottom w:val="0"/>
      <w:divBdr>
        <w:top w:val="none" w:sz="0" w:space="0" w:color="auto"/>
        <w:left w:val="none" w:sz="0" w:space="0" w:color="auto"/>
        <w:bottom w:val="none" w:sz="0" w:space="0" w:color="auto"/>
        <w:right w:val="none" w:sz="0" w:space="0" w:color="auto"/>
      </w:divBdr>
    </w:div>
    <w:div w:id="1888104648">
      <w:bodyDiv w:val="1"/>
      <w:marLeft w:val="0"/>
      <w:marRight w:val="0"/>
      <w:marTop w:val="0"/>
      <w:marBottom w:val="0"/>
      <w:divBdr>
        <w:top w:val="none" w:sz="0" w:space="0" w:color="auto"/>
        <w:left w:val="none" w:sz="0" w:space="0" w:color="auto"/>
        <w:bottom w:val="none" w:sz="0" w:space="0" w:color="auto"/>
        <w:right w:val="none" w:sz="0" w:space="0" w:color="auto"/>
      </w:divBdr>
    </w:div>
    <w:div w:id="1889611412">
      <w:bodyDiv w:val="1"/>
      <w:marLeft w:val="0"/>
      <w:marRight w:val="0"/>
      <w:marTop w:val="0"/>
      <w:marBottom w:val="0"/>
      <w:divBdr>
        <w:top w:val="none" w:sz="0" w:space="0" w:color="auto"/>
        <w:left w:val="none" w:sz="0" w:space="0" w:color="auto"/>
        <w:bottom w:val="none" w:sz="0" w:space="0" w:color="auto"/>
        <w:right w:val="none" w:sz="0" w:space="0" w:color="auto"/>
      </w:divBdr>
    </w:div>
    <w:div w:id="1902400737">
      <w:bodyDiv w:val="1"/>
      <w:marLeft w:val="0"/>
      <w:marRight w:val="0"/>
      <w:marTop w:val="0"/>
      <w:marBottom w:val="0"/>
      <w:divBdr>
        <w:top w:val="none" w:sz="0" w:space="0" w:color="auto"/>
        <w:left w:val="none" w:sz="0" w:space="0" w:color="auto"/>
        <w:bottom w:val="none" w:sz="0" w:space="0" w:color="auto"/>
        <w:right w:val="none" w:sz="0" w:space="0" w:color="auto"/>
      </w:divBdr>
    </w:div>
    <w:div w:id="1912353288">
      <w:bodyDiv w:val="1"/>
      <w:marLeft w:val="0"/>
      <w:marRight w:val="0"/>
      <w:marTop w:val="0"/>
      <w:marBottom w:val="0"/>
      <w:divBdr>
        <w:top w:val="none" w:sz="0" w:space="0" w:color="auto"/>
        <w:left w:val="none" w:sz="0" w:space="0" w:color="auto"/>
        <w:bottom w:val="none" w:sz="0" w:space="0" w:color="auto"/>
        <w:right w:val="none" w:sz="0" w:space="0" w:color="auto"/>
      </w:divBdr>
    </w:div>
    <w:div w:id="1926263972">
      <w:bodyDiv w:val="1"/>
      <w:marLeft w:val="0"/>
      <w:marRight w:val="0"/>
      <w:marTop w:val="0"/>
      <w:marBottom w:val="0"/>
      <w:divBdr>
        <w:top w:val="none" w:sz="0" w:space="0" w:color="auto"/>
        <w:left w:val="none" w:sz="0" w:space="0" w:color="auto"/>
        <w:bottom w:val="none" w:sz="0" w:space="0" w:color="auto"/>
        <w:right w:val="none" w:sz="0" w:space="0" w:color="auto"/>
      </w:divBdr>
    </w:div>
    <w:div w:id="1937009840">
      <w:bodyDiv w:val="1"/>
      <w:marLeft w:val="0"/>
      <w:marRight w:val="0"/>
      <w:marTop w:val="0"/>
      <w:marBottom w:val="0"/>
      <w:divBdr>
        <w:top w:val="none" w:sz="0" w:space="0" w:color="auto"/>
        <w:left w:val="none" w:sz="0" w:space="0" w:color="auto"/>
        <w:bottom w:val="none" w:sz="0" w:space="0" w:color="auto"/>
        <w:right w:val="none" w:sz="0" w:space="0" w:color="auto"/>
      </w:divBdr>
    </w:div>
    <w:div w:id="1996296982">
      <w:bodyDiv w:val="1"/>
      <w:marLeft w:val="0"/>
      <w:marRight w:val="0"/>
      <w:marTop w:val="0"/>
      <w:marBottom w:val="0"/>
      <w:divBdr>
        <w:top w:val="none" w:sz="0" w:space="0" w:color="auto"/>
        <w:left w:val="none" w:sz="0" w:space="0" w:color="auto"/>
        <w:bottom w:val="none" w:sz="0" w:space="0" w:color="auto"/>
        <w:right w:val="none" w:sz="0" w:space="0" w:color="auto"/>
      </w:divBdr>
    </w:div>
    <w:div w:id="2011174972">
      <w:bodyDiv w:val="1"/>
      <w:marLeft w:val="0"/>
      <w:marRight w:val="0"/>
      <w:marTop w:val="0"/>
      <w:marBottom w:val="0"/>
      <w:divBdr>
        <w:top w:val="none" w:sz="0" w:space="0" w:color="auto"/>
        <w:left w:val="none" w:sz="0" w:space="0" w:color="auto"/>
        <w:bottom w:val="none" w:sz="0" w:space="0" w:color="auto"/>
        <w:right w:val="none" w:sz="0" w:space="0" w:color="auto"/>
      </w:divBdr>
    </w:div>
    <w:div w:id="2021811024">
      <w:bodyDiv w:val="1"/>
      <w:marLeft w:val="0"/>
      <w:marRight w:val="0"/>
      <w:marTop w:val="0"/>
      <w:marBottom w:val="0"/>
      <w:divBdr>
        <w:top w:val="none" w:sz="0" w:space="0" w:color="auto"/>
        <w:left w:val="none" w:sz="0" w:space="0" w:color="auto"/>
        <w:bottom w:val="none" w:sz="0" w:space="0" w:color="auto"/>
        <w:right w:val="none" w:sz="0" w:space="0" w:color="auto"/>
      </w:divBdr>
    </w:div>
    <w:div w:id="2022078059">
      <w:bodyDiv w:val="1"/>
      <w:marLeft w:val="0"/>
      <w:marRight w:val="0"/>
      <w:marTop w:val="0"/>
      <w:marBottom w:val="0"/>
      <w:divBdr>
        <w:top w:val="none" w:sz="0" w:space="0" w:color="auto"/>
        <w:left w:val="none" w:sz="0" w:space="0" w:color="auto"/>
        <w:bottom w:val="none" w:sz="0" w:space="0" w:color="auto"/>
        <w:right w:val="none" w:sz="0" w:space="0" w:color="auto"/>
      </w:divBdr>
    </w:div>
    <w:div w:id="2027822696">
      <w:bodyDiv w:val="1"/>
      <w:marLeft w:val="0"/>
      <w:marRight w:val="0"/>
      <w:marTop w:val="0"/>
      <w:marBottom w:val="0"/>
      <w:divBdr>
        <w:top w:val="none" w:sz="0" w:space="0" w:color="auto"/>
        <w:left w:val="none" w:sz="0" w:space="0" w:color="auto"/>
        <w:bottom w:val="none" w:sz="0" w:space="0" w:color="auto"/>
        <w:right w:val="none" w:sz="0" w:space="0" w:color="auto"/>
      </w:divBdr>
    </w:div>
    <w:div w:id="2028362650">
      <w:bodyDiv w:val="1"/>
      <w:marLeft w:val="0"/>
      <w:marRight w:val="0"/>
      <w:marTop w:val="0"/>
      <w:marBottom w:val="0"/>
      <w:divBdr>
        <w:top w:val="none" w:sz="0" w:space="0" w:color="auto"/>
        <w:left w:val="none" w:sz="0" w:space="0" w:color="auto"/>
        <w:bottom w:val="none" w:sz="0" w:space="0" w:color="auto"/>
        <w:right w:val="none" w:sz="0" w:space="0" w:color="auto"/>
      </w:divBdr>
    </w:div>
    <w:div w:id="2028873276">
      <w:bodyDiv w:val="1"/>
      <w:marLeft w:val="0"/>
      <w:marRight w:val="0"/>
      <w:marTop w:val="0"/>
      <w:marBottom w:val="0"/>
      <w:divBdr>
        <w:top w:val="none" w:sz="0" w:space="0" w:color="auto"/>
        <w:left w:val="none" w:sz="0" w:space="0" w:color="auto"/>
        <w:bottom w:val="none" w:sz="0" w:space="0" w:color="auto"/>
        <w:right w:val="none" w:sz="0" w:space="0" w:color="auto"/>
      </w:divBdr>
    </w:div>
    <w:div w:id="2049067716">
      <w:bodyDiv w:val="1"/>
      <w:marLeft w:val="0"/>
      <w:marRight w:val="0"/>
      <w:marTop w:val="0"/>
      <w:marBottom w:val="0"/>
      <w:divBdr>
        <w:top w:val="none" w:sz="0" w:space="0" w:color="auto"/>
        <w:left w:val="none" w:sz="0" w:space="0" w:color="auto"/>
        <w:bottom w:val="none" w:sz="0" w:space="0" w:color="auto"/>
        <w:right w:val="none" w:sz="0" w:space="0" w:color="auto"/>
      </w:divBdr>
    </w:div>
    <w:div w:id="2055079192">
      <w:bodyDiv w:val="1"/>
      <w:marLeft w:val="0"/>
      <w:marRight w:val="0"/>
      <w:marTop w:val="0"/>
      <w:marBottom w:val="0"/>
      <w:divBdr>
        <w:top w:val="none" w:sz="0" w:space="0" w:color="auto"/>
        <w:left w:val="none" w:sz="0" w:space="0" w:color="auto"/>
        <w:bottom w:val="none" w:sz="0" w:space="0" w:color="auto"/>
        <w:right w:val="none" w:sz="0" w:space="0" w:color="auto"/>
      </w:divBdr>
    </w:div>
    <w:div w:id="2060668785">
      <w:bodyDiv w:val="1"/>
      <w:marLeft w:val="0"/>
      <w:marRight w:val="0"/>
      <w:marTop w:val="0"/>
      <w:marBottom w:val="0"/>
      <w:divBdr>
        <w:top w:val="none" w:sz="0" w:space="0" w:color="auto"/>
        <w:left w:val="none" w:sz="0" w:space="0" w:color="auto"/>
        <w:bottom w:val="none" w:sz="0" w:space="0" w:color="auto"/>
        <w:right w:val="none" w:sz="0" w:space="0" w:color="auto"/>
      </w:divBdr>
      <w:divsChild>
        <w:div w:id="1891116318">
          <w:marLeft w:val="0"/>
          <w:marRight w:val="0"/>
          <w:marTop w:val="0"/>
          <w:marBottom w:val="0"/>
          <w:divBdr>
            <w:top w:val="none" w:sz="0" w:space="0" w:color="auto"/>
            <w:left w:val="none" w:sz="0" w:space="0" w:color="auto"/>
            <w:bottom w:val="none" w:sz="0" w:space="0" w:color="auto"/>
            <w:right w:val="none" w:sz="0" w:space="0" w:color="auto"/>
          </w:divBdr>
          <w:divsChild>
            <w:div w:id="2118020904">
              <w:marLeft w:val="0"/>
              <w:marRight w:val="450"/>
              <w:marTop w:val="0"/>
              <w:marBottom w:val="600"/>
              <w:divBdr>
                <w:top w:val="none" w:sz="0" w:space="0" w:color="auto"/>
                <w:left w:val="none" w:sz="0" w:space="0" w:color="auto"/>
                <w:bottom w:val="none" w:sz="0" w:space="0" w:color="auto"/>
                <w:right w:val="none" w:sz="0" w:space="0" w:color="auto"/>
              </w:divBdr>
              <w:divsChild>
                <w:div w:id="1708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83290">
      <w:bodyDiv w:val="1"/>
      <w:marLeft w:val="0"/>
      <w:marRight w:val="0"/>
      <w:marTop w:val="0"/>
      <w:marBottom w:val="0"/>
      <w:divBdr>
        <w:top w:val="none" w:sz="0" w:space="0" w:color="auto"/>
        <w:left w:val="none" w:sz="0" w:space="0" w:color="auto"/>
        <w:bottom w:val="none" w:sz="0" w:space="0" w:color="auto"/>
        <w:right w:val="none" w:sz="0" w:space="0" w:color="auto"/>
      </w:divBdr>
    </w:div>
    <w:div w:id="2116360665">
      <w:bodyDiv w:val="1"/>
      <w:marLeft w:val="0"/>
      <w:marRight w:val="0"/>
      <w:marTop w:val="0"/>
      <w:marBottom w:val="0"/>
      <w:divBdr>
        <w:top w:val="none" w:sz="0" w:space="0" w:color="auto"/>
        <w:left w:val="none" w:sz="0" w:space="0" w:color="auto"/>
        <w:bottom w:val="none" w:sz="0" w:space="0" w:color="auto"/>
        <w:right w:val="none" w:sz="0" w:space="0" w:color="auto"/>
      </w:divBdr>
    </w:div>
    <w:div w:id="2121684163">
      <w:bodyDiv w:val="1"/>
      <w:marLeft w:val="0"/>
      <w:marRight w:val="0"/>
      <w:marTop w:val="0"/>
      <w:marBottom w:val="0"/>
      <w:divBdr>
        <w:top w:val="none" w:sz="0" w:space="0" w:color="auto"/>
        <w:left w:val="none" w:sz="0" w:space="0" w:color="auto"/>
        <w:bottom w:val="none" w:sz="0" w:space="0" w:color="auto"/>
        <w:right w:val="none" w:sz="0" w:space="0" w:color="auto"/>
      </w:divBdr>
    </w:div>
    <w:div w:id="21462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mma.anderson@hant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nabel.hodder@hants.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inall@hants.gov.uk"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91988/2023-24_NFF_Policy_Document_.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estions-statements.parliament.uk/written-statements/detail/2022-07-19/hlws22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6" ma:contentTypeDescription="Create a new document." ma:contentTypeScope="" ma:versionID="97ba4258d20eb5d9bd7f6f3e20ca69fe">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7732535cc7fccc33363d8f7b8fc94c2e"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1400-0535-4480-B378-9C4D2C4FA4DF}">
  <ds:schemaRefs>
    <ds:schemaRef ds:uri="http://schemas.microsoft.com/sharepoint/v3/contenttype/forms"/>
  </ds:schemaRefs>
</ds:datastoreItem>
</file>

<file path=customXml/itemProps2.xml><?xml version="1.0" encoding="utf-8"?>
<ds:datastoreItem xmlns:ds="http://schemas.openxmlformats.org/officeDocument/2006/customXml" ds:itemID="{A54B166F-2F77-40FE-AB13-3338E4F5CFCB}">
  <ds:schemaRefs>
    <ds:schemaRef ds:uri="http://schemas.microsoft.com/office/2006/metadata/properties"/>
    <ds:schemaRef ds:uri="http://schemas.microsoft.com/office/infopath/2007/PartnerControls"/>
    <ds:schemaRef ds:uri="9f5620cb-cc21-4b3f-8fc3-aa3eb05bfe07"/>
  </ds:schemaRefs>
</ds:datastoreItem>
</file>

<file path=customXml/itemProps3.xml><?xml version="1.0" encoding="utf-8"?>
<ds:datastoreItem xmlns:ds="http://schemas.openxmlformats.org/officeDocument/2006/customXml" ds:itemID="{42AD62EF-0ABD-424B-8456-E78C45EF7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E7B46-6506-4574-B131-99B0CF3E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12</Pages>
  <Words>4441</Words>
  <Characters>25519</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29901</CharactersWithSpaces>
  <SharedDoc>false</SharedDoc>
  <HLinks>
    <vt:vector size="30" baseType="variant">
      <vt:variant>
        <vt:i4>6226028</vt:i4>
      </vt:variant>
      <vt:variant>
        <vt:i4>15</vt:i4>
      </vt:variant>
      <vt:variant>
        <vt:i4>0</vt:i4>
      </vt:variant>
      <vt:variant>
        <vt:i4>5</vt:i4>
      </vt:variant>
      <vt:variant>
        <vt:lpwstr>https://assets.publishing.service.gov.uk/government/uploads/system/uploads/attachment_data/file/1091988/2023-24_NFF_Policy_Document_.pdf</vt:lpwstr>
      </vt:variant>
      <vt:variant>
        <vt:lpwstr/>
      </vt:variant>
      <vt:variant>
        <vt:i4>7077936</vt:i4>
      </vt:variant>
      <vt:variant>
        <vt:i4>12</vt:i4>
      </vt:variant>
      <vt:variant>
        <vt:i4>0</vt:i4>
      </vt:variant>
      <vt:variant>
        <vt:i4>5</vt:i4>
      </vt:variant>
      <vt:variant>
        <vt:lpwstr>https://questions-statements.parliament.uk/written-statements/detail/2022-07-19/hlws223</vt:lpwstr>
      </vt:variant>
      <vt:variant>
        <vt:lpwstr/>
      </vt:variant>
      <vt:variant>
        <vt:i4>4194411</vt:i4>
      </vt:variant>
      <vt:variant>
        <vt:i4>9</vt:i4>
      </vt:variant>
      <vt:variant>
        <vt:i4>0</vt:i4>
      </vt:variant>
      <vt:variant>
        <vt:i4>5</vt:i4>
      </vt:variant>
      <vt:variant>
        <vt:lpwstr>mailto:gemma.anderson@hants.gov.uk</vt:lpwstr>
      </vt:variant>
      <vt:variant>
        <vt:lpwstr/>
      </vt:variant>
      <vt:variant>
        <vt:i4>5963878</vt:i4>
      </vt:variant>
      <vt:variant>
        <vt:i4>6</vt:i4>
      </vt:variant>
      <vt:variant>
        <vt:i4>0</vt:i4>
      </vt:variant>
      <vt:variant>
        <vt:i4>5</vt:i4>
      </vt:variant>
      <vt:variant>
        <vt:lpwstr>mailto:annabel.hodder@hants.gov.uk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2019-09-24T10:26:00Z</cp:lastPrinted>
  <dcterms:created xsi:type="dcterms:W3CDTF">2022-10-07T13:37:00Z</dcterms:created>
  <dcterms:modified xsi:type="dcterms:W3CDTF">2022-10-07T13:37:00Z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bb3aa47ebf1a448dac0ecc5996e92adc">
    <vt:lpwstr>2018|844dbc8a-5751-4f92-977c-e597d9787dec</vt:lpwstr>
  </property>
  <property fmtid="{D5CDD505-2E9C-101B-9397-08002B2CF9AE}" pid="5" name="AuthorIds_UIVersion_512">
    <vt:lpwstr>4</vt:lpwstr>
  </property>
  <property fmtid="{D5CDD505-2E9C-101B-9397-08002B2CF9AE}" pid="6" name="_dlc_policyId">
    <vt:lpwstr>0x0101004E1B537BC2B2AD43A5AF5311D732D3AA|1208973698</vt:lpwstr>
  </property>
  <property fmtid="{D5CDD505-2E9C-101B-9397-08002B2CF9AE}" pid="7" name="Schools">
    <vt:lpwstr/>
  </property>
  <property fmtid="{D5CDD505-2E9C-101B-9397-08002B2CF9AE}" pid="8" name="ContentTypeId">
    <vt:lpwstr>0x0101001443DA4A4506724C8F7B650037CCADD2</vt:lpwstr>
  </property>
  <property fmtid="{D5CDD505-2E9C-101B-9397-08002B2CF9AE}" pid="9" name="Calendar Year">
    <vt:lpwstr>53;#2018|844dbc8a-5751-4f92-977c-e597d9787dec</vt:lpwstr>
  </property>
  <property fmtid="{D5CDD505-2E9C-101B-9397-08002B2CF9AE}" pid="10" name="ComplianceAssetId">
    <vt:lpwstr/>
  </property>
  <property fmtid="{D5CDD505-2E9C-101B-9397-08002B2CF9AE}" pid="11"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2" name="Library Location">
    <vt:lpwstr/>
  </property>
  <property fmtid="{D5CDD505-2E9C-101B-9397-08002B2CF9AE}" pid="13" name="Financial Year">
    <vt:lpwstr>52;#2018/2019|ff3574ca-d52a-48e1-8167-04b4586b57aa</vt:lpwstr>
  </property>
  <property fmtid="{D5CDD505-2E9C-101B-9397-08002B2CF9AE}" pid="14" name="Budget Monitoring (Finance)">
    <vt:lpwstr>56;#Budget Monitoring|c9054dd3-c8ef-4f50-a598-e503758367b1</vt:lpwstr>
  </property>
  <property fmtid="{D5CDD505-2E9C-101B-9397-08002B2CF9AE}" pid="15" name="SharedWithUsers">
    <vt:lpwstr/>
  </property>
  <property fmtid="{D5CDD505-2E9C-101B-9397-08002B2CF9AE}" pid="16" name="Customer (Finance)">
    <vt:lpwstr/>
  </property>
  <property fmtid="{D5CDD505-2E9C-101B-9397-08002B2CF9AE}" pid="17" name="Systems (Finance)">
    <vt:lpwstr/>
  </property>
  <property fmtid="{D5CDD505-2E9C-101B-9397-08002B2CF9AE}" pid="18" name="c08708c1c0b249979edebef252a2fc86">
    <vt:lpwstr/>
  </property>
  <property fmtid="{D5CDD505-2E9C-101B-9397-08002B2CF9AE}" pid="19" name="Finance Investments and Pensions Fund">
    <vt:lpwstr/>
  </property>
  <property fmtid="{D5CDD505-2E9C-101B-9397-08002B2CF9AE}" pid="20" name="bd93d7c1e8624dab9f74edfdbb03615a">
    <vt:lpwstr/>
  </property>
  <property fmtid="{D5CDD505-2E9C-101B-9397-08002B2CF9AE}" pid="21" name="Financial Analysis">
    <vt:lpwstr/>
  </property>
  <property fmtid="{D5CDD505-2E9C-101B-9397-08002B2CF9AE}" pid="22" name="me72eb8e3be349208f9b2fcfad1928d1">
    <vt:lpwstr/>
  </property>
  <property fmtid="{D5CDD505-2E9C-101B-9397-08002B2CF9AE}" pid="23" name="Education Financial Services">
    <vt:lpwstr/>
  </property>
  <property fmtid="{D5CDD505-2E9C-101B-9397-08002B2CF9AE}" pid="24" name="Budget Preparation (Finance)">
    <vt:lpwstr/>
  </property>
  <property fmtid="{D5CDD505-2E9C-101B-9397-08002B2CF9AE}" pid="25" name="lfef263e21e64358a4207c6019732fcd">
    <vt:lpwstr/>
  </property>
  <property fmtid="{D5CDD505-2E9C-101B-9397-08002B2CF9AE}" pid="26" name="ma366bab1acb4913ac9aef0ffab2c0d6">
    <vt:lpwstr/>
  </property>
  <property fmtid="{D5CDD505-2E9C-101B-9397-08002B2CF9AE}" pid="27" name="g5eed81a661a428094921165885b32ac">
    <vt:lpwstr/>
  </property>
  <property fmtid="{D5CDD505-2E9C-101B-9397-08002B2CF9AE}" pid="28" name="hc3a5e09668742aa96af821d37d4cad5">
    <vt:lpwstr/>
  </property>
  <property fmtid="{D5CDD505-2E9C-101B-9397-08002B2CF9AE}" pid="29" name="m042a3c79a104f899bf2333213dedc3f">
    <vt:lpwstr/>
  </property>
  <property fmtid="{D5CDD505-2E9C-101B-9397-08002B2CF9AE}" pid="30" name="j7731e1084b144ad8034d596a228c916">
    <vt:lpwstr/>
  </property>
  <property fmtid="{D5CDD505-2E9C-101B-9397-08002B2CF9AE}" pid="31" name="b86249fded154c1ead0fbd5fedc80039">
    <vt:lpwstr/>
  </property>
  <property fmtid="{D5CDD505-2E9C-101B-9397-08002B2CF9AE}" pid="32" name="Order to Cash - Accounts Receivable">
    <vt:lpwstr/>
  </property>
  <property fmtid="{D5CDD505-2E9C-101B-9397-08002B2CF9AE}" pid="33" name="Policies and Procedures (Finance)">
    <vt:lpwstr/>
  </property>
  <property fmtid="{D5CDD505-2E9C-101B-9397-08002B2CF9AE}" pid="34" name="Tax and VAT (Finance)">
    <vt:lpwstr/>
  </property>
  <property fmtid="{D5CDD505-2E9C-101B-9397-08002B2CF9AE}" pid="35" name="c7a9373b158a4f25bed816b79f4caa39">
    <vt:lpwstr/>
  </property>
  <property fmtid="{D5CDD505-2E9C-101B-9397-08002B2CF9AE}" pid="36" name="fe085c1eab5e4f4aa569b2f74f4bdacb">
    <vt:lpwstr/>
  </property>
  <property fmtid="{D5CDD505-2E9C-101B-9397-08002B2CF9AE}" pid="37" name="IBC Business Processes">
    <vt:lpwstr/>
  </property>
  <property fmtid="{D5CDD505-2E9C-101B-9397-08002B2CF9AE}" pid="38" name="Final Accounts (Finance)">
    <vt:lpwstr/>
  </property>
  <property fmtid="{D5CDD505-2E9C-101B-9397-08002B2CF9AE}" pid="39" name="Groups and Meetings (Finance)">
    <vt:lpwstr/>
  </property>
  <property fmtid="{D5CDD505-2E9C-101B-9397-08002B2CF9AE}" pid="40" name="Purchase to Pay">
    <vt:lpwstr/>
  </property>
  <property fmtid="{D5CDD505-2E9C-101B-9397-08002B2CF9AE}" pid="41" name="SAP Master Data Management">
    <vt:lpwstr/>
  </property>
  <property fmtid="{D5CDD505-2E9C-101B-9397-08002B2CF9AE}" pid="42" name="acb6aedd868e448598333099d9979513">
    <vt:lpwstr/>
  </property>
  <property fmtid="{D5CDD505-2E9C-101B-9397-08002B2CF9AE}" pid="43" name="hf6b0bb3ec8741ff8f08cbde0b83b05e">
    <vt:lpwstr/>
  </property>
  <property fmtid="{D5CDD505-2E9C-101B-9397-08002B2CF9AE}" pid="44" name="Order to Cash - Banking and Control">
    <vt:lpwstr/>
  </property>
  <property fmtid="{D5CDD505-2E9C-101B-9397-08002B2CF9AE}" pid="45" name="IsMyDocuments">
    <vt:bool>true</vt:bool>
  </property>
  <property fmtid="{D5CDD505-2E9C-101B-9397-08002B2CF9AE}" pid="46" name="hc632fe273cb498aa970207d30c3b1d8">
    <vt:lpwstr/>
  </property>
  <property fmtid="{D5CDD505-2E9C-101B-9397-08002B2CF9AE}" pid="47" name="TaxCatchAll">
    <vt:lpwstr/>
  </property>
</Properties>
</file>