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6D3708" w:rsidRPr="004704DD" w14:paraId="7E5291A6" w14:textId="77777777" w:rsidTr="006D3708">
        <w:trPr>
          <w:cantSplit/>
          <w:trHeight w:val="411"/>
          <w:tblHeader/>
        </w:trPr>
        <w:tc>
          <w:tcPr>
            <w:tcW w:w="255" w:type="dxa"/>
            <w:tcBorders>
              <w:top w:val="single" w:sz="6" w:space="0" w:color="auto"/>
              <w:left w:val="single" w:sz="6" w:space="0" w:color="auto"/>
            </w:tcBorders>
          </w:tcPr>
          <w:p w14:paraId="16E6191D" w14:textId="77777777" w:rsidR="006D3708" w:rsidRPr="004704DD" w:rsidRDefault="006D3708" w:rsidP="006D3708">
            <w:pPr>
              <w:pStyle w:val="BodyText"/>
              <w:spacing w:before="120" w:after="120"/>
              <w:rPr>
                <w:rFonts w:ascii="Arial" w:hAnsi="Arial" w:cs="Arial"/>
              </w:rPr>
            </w:pPr>
            <w:bookmarkStart w:id="0" w:name="_Toc151016895"/>
          </w:p>
        </w:tc>
        <w:tc>
          <w:tcPr>
            <w:tcW w:w="7767" w:type="dxa"/>
            <w:gridSpan w:val="3"/>
            <w:tcBorders>
              <w:top w:val="single" w:sz="6" w:space="0" w:color="auto"/>
              <w:right w:val="single" w:sz="6" w:space="0" w:color="auto"/>
            </w:tcBorders>
          </w:tcPr>
          <w:p w14:paraId="145E3CE3" w14:textId="77777777" w:rsidR="006D3708" w:rsidRPr="004704DD" w:rsidRDefault="006D3708" w:rsidP="006D3708">
            <w:pPr>
              <w:pStyle w:val="TableText"/>
              <w:rPr>
                <w:rFonts w:ascii="Arial" w:hAnsi="Arial" w:cs="Arial"/>
              </w:rPr>
            </w:pPr>
            <w:r w:rsidRPr="004704DD">
              <w:rPr>
                <w:rFonts w:ascii="Arial" w:hAnsi="Arial" w:cs="Arial"/>
              </w:rPr>
              <w:t>Hampshire County Council</w:t>
            </w:r>
          </w:p>
        </w:tc>
      </w:tr>
      <w:tr w:rsidR="006D3708" w:rsidRPr="004704DD" w14:paraId="2EA85BDF" w14:textId="77777777" w:rsidTr="006D3708">
        <w:trPr>
          <w:trHeight w:val="465"/>
          <w:tblHeader/>
        </w:trPr>
        <w:tc>
          <w:tcPr>
            <w:tcW w:w="255" w:type="dxa"/>
            <w:tcBorders>
              <w:left w:val="single" w:sz="6" w:space="0" w:color="auto"/>
            </w:tcBorders>
          </w:tcPr>
          <w:p w14:paraId="40AA8E8E" w14:textId="77777777" w:rsidR="006D3708" w:rsidRPr="004704DD" w:rsidRDefault="006D3708" w:rsidP="006D3708">
            <w:pPr>
              <w:pStyle w:val="BodyText"/>
              <w:spacing w:before="120" w:after="120"/>
              <w:rPr>
                <w:rFonts w:ascii="Arial" w:hAnsi="Arial" w:cs="Arial"/>
              </w:rPr>
            </w:pPr>
          </w:p>
        </w:tc>
        <w:tc>
          <w:tcPr>
            <w:tcW w:w="6266" w:type="dxa"/>
            <w:gridSpan w:val="2"/>
          </w:tcPr>
          <w:p w14:paraId="6A2BC429" w14:textId="77777777" w:rsidR="006D3708" w:rsidRPr="004704DD" w:rsidRDefault="006D3708" w:rsidP="006D3708">
            <w:pPr>
              <w:pStyle w:val="TableText"/>
              <w:rPr>
                <w:rFonts w:ascii="Arial" w:hAnsi="Arial" w:cs="Arial"/>
              </w:rPr>
            </w:pPr>
            <w:r w:rsidRPr="004704DD">
              <w:rPr>
                <w:rFonts w:ascii="Arial" w:hAnsi="Arial" w:cs="Arial"/>
              </w:rPr>
              <w:t xml:space="preserve">Schools Forum </w:t>
            </w:r>
          </w:p>
        </w:tc>
        <w:tc>
          <w:tcPr>
            <w:tcW w:w="1501" w:type="dxa"/>
            <w:tcBorders>
              <w:right w:val="single" w:sz="6" w:space="0" w:color="auto"/>
            </w:tcBorders>
          </w:tcPr>
          <w:p w14:paraId="2C114C49" w14:textId="1A5137E2" w:rsidR="006D3708" w:rsidRPr="004704DD" w:rsidRDefault="006D3708" w:rsidP="006D3708">
            <w:pPr>
              <w:pStyle w:val="TableText"/>
              <w:rPr>
                <w:rFonts w:ascii="Arial" w:hAnsi="Arial" w:cs="Arial"/>
              </w:rPr>
            </w:pPr>
            <w:r w:rsidRPr="00170660">
              <w:rPr>
                <w:rFonts w:ascii="Arial" w:hAnsi="Arial" w:cs="Arial"/>
                <w:color w:val="FF0000"/>
              </w:rPr>
              <w:fldChar w:fldCharType="begin"/>
            </w:r>
            <w:r w:rsidRPr="00170660">
              <w:rPr>
                <w:rFonts w:ascii="Arial" w:hAnsi="Arial" w:cs="Arial"/>
                <w:color w:val="FF0000"/>
              </w:rPr>
              <w:instrText xml:space="preserve"> FILLIN \d "Item" \* MERGEFORMAT </w:instrText>
            </w:r>
            <w:r w:rsidRPr="00170660">
              <w:rPr>
                <w:rFonts w:ascii="Arial" w:hAnsi="Arial" w:cs="Arial"/>
                <w:color w:val="FF0000"/>
              </w:rPr>
              <w:fldChar w:fldCharType="separate"/>
            </w:r>
            <w:r w:rsidRPr="00170660">
              <w:rPr>
                <w:rFonts w:ascii="Arial" w:hAnsi="Arial" w:cs="Arial"/>
                <w:color w:val="FF0000"/>
              </w:rPr>
              <w:t>Item</w:t>
            </w:r>
            <w:r w:rsidRPr="00170660">
              <w:rPr>
                <w:rFonts w:ascii="Arial" w:hAnsi="Arial" w:cs="Arial"/>
                <w:color w:val="FF0000"/>
              </w:rPr>
              <w:fldChar w:fldCharType="end"/>
            </w:r>
            <w:r w:rsidRPr="00170660">
              <w:rPr>
                <w:rFonts w:ascii="Arial" w:hAnsi="Arial" w:cs="Arial"/>
                <w:color w:val="FF0000"/>
              </w:rPr>
              <w:t xml:space="preserve"> </w:t>
            </w:r>
          </w:p>
        </w:tc>
      </w:tr>
      <w:tr w:rsidR="006D3708" w:rsidRPr="004704DD" w14:paraId="72891C25" w14:textId="77777777" w:rsidTr="006D3708">
        <w:trPr>
          <w:trHeight w:val="519"/>
          <w:tblHeader/>
        </w:trPr>
        <w:tc>
          <w:tcPr>
            <w:tcW w:w="255" w:type="dxa"/>
            <w:tcBorders>
              <w:left w:val="single" w:sz="6" w:space="0" w:color="auto"/>
            </w:tcBorders>
          </w:tcPr>
          <w:p w14:paraId="0BD93B34" w14:textId="77777777" w:rsidR="006D3708" w:rsidRPr="004704DD" w:rsidRDefault="006D3708" w:rsidP="006D3708">
            <w:pPr>
              <w:pStyle w:val="BodyText"/>
              <w:spacing w:before="120" w:after="120"/>
              <w:rPr>
                <w:rFonts w:ascii="Arial" w:hAnsi="Arial" w:cs="Arial"/>
              </w:rPr>
            </w:pPr>
          </w:p>
        </w:tc>
        <w:tc>
          <w:tcPr>
            <w:tcW w:w="2439" w:type="dxa"/>
          </w:tcPr>
          <w:p w14:paraId="27C0EE6B" w14:textId="350FCB6B" w:rsidR="006D3708" w:rsidRPr="004704DD" w:rsidRDefault="00DB5A10" w:rsidP="006D3708">
            <w:pPr>
              <w:pStyle w:val="TableText"/>
              <w:rPr>
                <w:rFonts w:ascii="Arial" w:hAnsi="Arial" w:cs="Arial"/>
              </w:rPr>
            </w:pPr>
            <w:r>
              <w:rPr>
                <w:rFonts w:ascii="Arial" w:hAnsi="Arial" w:cs="Arial"/>
              </w:rPr>
              <w:t>9</w:t>
            </w:r>
            <w:r w:rsidR="006D3708">
              <w:rPr>
                <w:rFonts w:ascii="Arial" w:hAnsi="Arial" w:cs="Arial"/>
              </w:rPr>
              <w:t xml:space="preserve"> December</w:t>
            </w:r>
            <w:r w:rsidR="006D3708" w:rsidRPr="004704DD">
              <w:rPr>
                <w:rFonts w:ascii="Arial" w:hAnsi="Arial" w:cs="Arial"/>
              </w:rPr>
              <w:t xml:space="preserve"> 20</w:t>
            </w:r>
            <w:r w:rsidR="006D3708">
              <w:rPr>
                <w:rFonts w:ascii="Arial" w:hAnsi="Arial" w:cs="Arial"/>
              </w:rPr>
              <w:t>2</w:t>
            </w:r>
            <w:r>
              <w:rPr>
                <w:rFonts w:ascii="Arial" w:hAnsi="Arial" w:cs="Arial"/>
              </w:rPr>
              <w:t>4</w:t>
            </w:r>
          </w:p>
        </w:tc>
        <w:tc>
          <w:tcPr>
            <w:tcW w:w="5328" w:type="dxa"/>
            <w:gridSpan w:val="2"/>
            <w:tcBorders>
              <w:right w:val="single" w:sz="6" w:space="0" w:color="auto"/>
            </w:tcBorders>
          </w:tcPr>
          <w:p w14:paraId="2F873F03" w14:textId="77777777" w:rsidR="006D3708" w:rsidRPr="004704DD" w:rsidRDefault="006D3708" w:rsidP="006D3708">
            <w:pPr>
              <w:pStyle w:val="TableText"/>
              <w:rPr>
                <w:rFonts w:ascii="Arial" w:hAnsi="Arial" w:cs="Arial"/>
              </w:rPr>
            </w:pPr>
          </w:p>
        </w:tc>
      </w:tr>
      <w:tr w:rsidR="006D3708" w:rsidRPr="004704DD" w14:paraId="02CA2577" w14:textId="77777777" w:rsidTr="006D3708">
        <w:trPr>
          <w:cantSplit/>
          <w:trHeight w:val="586"/>
          <w:tblHeader/>
        </w:trPr>
        <w:tc>
          <w:tcPr>
            <w:tcW w:w="255" w:type="dxa"/>
            <w:tcBorders>
              <w:left w:val="single" w:sz="6" w:space="0" w:color="auto"/>
            </w:tcBorders>
          </w:tcPr>
          <w:p w14:paraId="1109B147" w14:textId="77777777" w:rsidR="006D3708" w:rsidRPr="004704DD" w:rsidRDefault="006D3708" w:rsidP="006D3708">
            <w:pPr>
              <w:pStyle w:val="BodyText"/>
              <w:spacing w:before="120" w:after="120"/>
              <w:rPr>
                <w:rFonts w:ascii="Arial" w:hAnsi="Arial" w:cs="Arial"/>
              </w:rPr>
            </w:pPr>
          </w:p>
        </w:tc>
        <w:tc>
          <w:tcPr>
            <w:tcW w:w="7767" w:type="dxa"/>
            <w:gridSpan w:val="3"/>
            <w:tcBorders>
              <w:right w:val="single" w:sz="6" w:space="0" w:color="auto"/>
            </w:tcBorders>
          </w:tcPr>
          <w:p w14:paraId="3BE2B1C2" w14:textId="49F043E1" w:rsidR="006D3708" w:rsidRPr="004704DD" w:rsidRDefault="006D3708" w:rsidP="006D3708">
            <w:pPr>
              <w:pStyle w:val="TableText"/>
              <w:rPr>
                <w:rFonts w:ascii="Arial" w:hAnsi="Arial" w:cs="Arial"/>
              </w:rPr>
            </w:pPr>
            <w:r w:rsidRPr="004704DD">
              <w:rPr>
                <w:rFonts w:ascii="Arial" w:hAnsi="Arial" w:cs="Arial"/>
              </w:rPr>
              <w:t>Schools Budget</w:t>
            </w:r>
            <w:r>
              <w:rPr>
                <w:rFonts w:ascii="Arial" w:hAnsi="Arial" w:cs="Arial"/>
              </w:rPr>
              <w:t xml:space="preserve"> 202</w:t>
            </w:r>
            <w:r w:rsidR="00DB5A10">
              <w:rPr>
                <w:rFonts w:ascii="Arial" w:hAnsi="Arial" w:cs="Arial"/>
              </w:rPr>
              <w:t>5</w:t>
            </w:r>
            <w:r>
              <w:rPr>
                <w:rFonts w:ascii="Arial" w:hAnsi="Arial" w:cs="Arial"/>
              </w:rPr>
              <w:t>/2</w:t>
            </w:r>
            <w:r w:rsidR="00DB5A10">
              <w:rPr>
                <w:rFonts w:ascii="Arial" w:hAnsi="Arial" w:cs="Arial"/>
              </w:rPr>
              <w:t>6</w:t>
            </w:r>
          </w:p>
        </w:tc>
      </w:tr>
      <w:tr w:rsidR="006D3708" w:rsidRPr="004704DD" w14:paraId="00ABB375" w14:textId="77777777" w:rsidTr="006D3708">
        <w:trPr>
          <w:cantSplit/>
          <w:trHeight w:val="395"/>
          <w:tblHeader/>
        </w:trPr>
        <w:tc>
          <w:tcPr>
            <w:tcW w:w="255" w:type="dxa"/>
            <w:tcBorders>
              <w:left w:val="single" w:sz="6" w:space="0" w:color="auto"/>
              <w:bottom w:val="single" w:sz="6" w:space="0" w:color="auto"/>
            </w:tcBorders>
          </w:tcPr>
          <w:p w14:paraId="200BEC5F" w14:textId="77777777" w:rsidR="006D3708" w:rsidRPr="004704DD" w:rsidRDefault="006D3708" w:rsidP="006D3708">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0477BD74" w14:textId="5A30549D" w:rsidR="006D3708" w:rsidRPr="004704DD" w:rsidRDefault="006D3708" w:rsidP="006D3708">
            <w:pPr>
              <w:pStyle w:val="TableText"/>
              <w:rPr>
                <w:rFonts w:ascii="Arial" w:hAnsi="Arial" w:cs="Arial"/>
              </w:rPr>
            </w:pPr>
            <w:r w:rsidRPr="004704DD">
              <w:rPr>
                <w:rFonts w:ascii="Arial" w:hAnsi="Arial" w:cs="Arial"/>
              </w:rPr>
              <w:t xml:space="preserve">Report of the Director of Corporate </w:t>
            </w:r>
            <w:r w:rsidR="00CE30BA">
              <w:rPr>
                <w:rFonts w:ascii="Arial" w:hAnsi="Arial" w:cs="Arial"/>
              </w:rPr>
              <w:t>Operations</w:t>
            </w:r>
            <w:r w:rsidRPr="004704DD">
              <w:rPr>
                <w:rFonts w:ascii="Arial" w:hAnsi="Arial" w:cs="Arial"/>
              </w:rPr>
              <w:t xml:space="preserve"> and Director of Children’s Services</w:t>
            </w:r>
          </w:p>
        </w:tc>
      </w:tr>
    </w:tbl>
    <w:p w14:paraId="423BAB9A" w14:textId="77777777" w:rsidR="00B529F6" w:rsidRPr="0096121C" w:rsidRDefault="00B529F6" w:rsidP="00B529F6">
      <w:pPr>
        <w:rPr>
          <w:rStyle w:val="normaltextrun"/>
        </w:rPr>
      </w:pPr>
    </w:p>
    <w:p w14:paraId="10057042" w14:textId="4ED7719E" w:rsidR="00375249" w:rsidRPr="00FF7FEC" w:rsidRDefault="00B529F6" w:rsidP="00C62F7F">
      <w:pPr>
        <w:pStyle w:val="ListParagraph"/>
        <w:spacing w:before="120" w:after="120"/>
        <w:ind w:left="0"/>
      </w:pPr>
      <w:r w:rsidRPr="00FF7FEC">
        <w:t xml:space="preserve">Contacts: </w:t>
      </w:r>
    </w:p>
    <w:p w14:paraId="71053B1A" w14:textId="3BB05F6E" w:rsidR="00B529F6" w:rsidRPr="0096121C" w:rsidRDefault="00B529F6" w:rsidP="00B529F6">
      <w:pPr>
        <w:pStyle w:val="ListParagraph"/>
        <w:ind w:left="360"/>
        <w:rPr>
          <w:rStyle w:val="normaltextrun"/>
        </w:rPr>
      </w:pPr>
      <w:r w:rsidRPr="0096121C">
        <w:rPr>
          <w:rStyle w:val="normaltextrun"/>
        </w:rPr>
        <w:t xml:space="preserve">Andrew Minall, </w:t>
      </w:r>
      <w:hyperlink r:id="rId13" w:history="1">
        <w:r w:rsidRPr="0096121C">
          <w:rPr>
            <w:rStyle w:val="Hyperlink"/>
          </w:rPr>
          <w:t>andrew.minall@hants.gov.uk</w:t>
        </w:r>
      </w:hyperlink>
    </w:p>
    <w:p w14:paraId="70B93CD1" w14:textId="77777777" w:rsidR="00B529F6" w:rsidRPr="0096121C" w:rsidRDefault="00B529F6" w:rsidP="00B529F6">
      <w:pPr>
        <w:pStyle w:val="ListParagraph"/>
        <w:ind w:left="360"/>
        <w:rPr>
          <w:rStyle w:val="normaltextrun"/>
          <w:u w:val="single"/>
        </w:rPr>
      </w:pPr>
      <w:r w:rsidRPr="0096121C">
        <w:rPr>
          <w:rStyle w:val="normaltextrun"/>
        </w:rPr>
        <w:t xml:space="preserve">Annabel Hodder, </w:t>
      </w:r>
      <w:hyperlink r:id="rId14" w:tgtFrame="_blank" w:history="1">
        <w:r w:rsidRPr="0096121C">
          <w:rPr>
            <w:rStyle w:val="normaltextrun"/>
            <w:color w:val="0070C0"/>
            <w:u w:val="single"/>
          </w:rPr>
          <w:t>annabel.hodder@hants.gov.uk</w:t>
        </w:r>
      </w:hyperlink>
    </w:p>
    <w:p w14:paraId="4FBE3066" w14:textId="0D5F1F2E" w:rsidR="00B529F6" w:rsidRDefault="00B529F6" w:rsidP="00B529F6">
      <w:pPr>
        <w:pStyle w:val="ListParagraph"/>
        <w:ind w:left="360"/>
        <w:rPr>
          <w:rStyle w:val="normaltextrun"/>
          <w:color w:val="0070C0"/>
          <w:u w:val="single"/>
        </w:rPr>
      </w:pPr>
      <w:r w:rsidRPr="0096121C">
        <w:rPr>
          <w:rStyle w:val="normaltextrun"/>
        </w:rPr>
        <w:t xml:space="preserve">Gemma Anderson, </w:t>
      </w:r>
      <w:hyperlink r:id="rId15" w:tgtFrame="_blank" w:history="1">
        <w:r w:rsidRPr="0096121C">
          <w:rPr>
            <w:rStyle w:val="normaltextrun"/>
            <w:color w:val="0070C0"/>
            <w:u w:val="single"/>
          </w:rPr>
          <w:t>gemma.anderson@hants.gov.uk</w:t>
        </w:r>
      </w:hyperlink>
    </w:p>
    <w:p w14:paraId="0B7AC50E" w14:textId="7FCBFD37" w:rsidR="0007206D" w:rsidRPr="00C562B8" w:rsidRDefault="0007206D" w:rsidP="00DF7F39">
      <w:pPr>
        <w:pStyle w:val="Heading1"/>
        <w:numPr>
          <w:ilvl w:val="0"/>
          <w:numId w:val="20"/>
        </w:numPr>
        <w:tabs>
          <w:tab w:val="num" w:pos="426"/>
          <w:tab w:val="num" w:pos="2843"/>
        </w:tabs>
        <w:spacing w:before="240" w:after="120"/>
        <w:ind w:left="431" w:hanging="431"/>
        <w:rPr>
          <w:rFonts w:eastAsia="Times New Roman"/>
          <w:bCs w:val="0"/>
          <w:noProof w:val="0"/>
          <w:color w:val="auto"/>
          <w:kern w:val="28"/>
          <w:sz w:val="24"/>
          <w:szCs w:val="24"/>
          <w:lang w:eastAsia="en-GB"/>
          <w14:ligatures w14:val="none"/>
        </w:rPr>
      </w:pPr>
      <w:r w:rsidRPr="00C562B8">
        <w:rPr>
          <w:rFonts w:eastAsia="Times New Roman"/>
          <w:bCs w:val="0"/>
          <w:noProof w:val="0"/>
          <w:color w:val="auto"/>
          <w:kern w:val="28"/>
          <w:sz w:val="24"/>
          <w:szCs w:val="24"/>
          <w:lang w:eastAsia="en-GB"/>
          <w14:ligatures w14:val="none"/>
        </w:rPr>
        <w:t>Summary</w:t>
      </w:r>
      <w:bookmarkEnd w:id="0"/>
    </w:p>
    <w:p w14:paraId="7FE670AA" w14:textId="4596A8F6" w:rsidR="0007206D" w:rsidRPr="006F5D6D" w:rsidRDefault="0007206D" w:rsidP="007A50B0">
      <w:pPr>
        <w:pStyle w:val="ListParagraph"/>
        <w:numPr>
          <w:ilvl w:val="1"/>
          <w:numId w:val="20"/>
        </w:numPr>
        <w:spacing w:before="120" w:after="120"/>
        <w:ind w:left="431" w:hanging="431"/>
      </w:pPr>
      <w:r w:rsidRPr="006F5D6D">
        <w:t>This report sets out information for the school’s budget in 202</w:t>
      </w:r>
      <w:r w:rsidR="00DB5A10">
        <w:t>5</w:t>
      </w:r>
      <w:r w:rsidRPr="006F5D6D">
        <w:t>/2</w:t>
      </w:r>
      <w:r w:rsidR="00DB5A10">
        <w:t>6</w:t>
      </w:r>
      <w:r w:rsidRPr="006F5D6D">
        <w:t>.</w:t>
      </w:r>
    </w:p>
    <w:p w14:paraId="467D2E02" w14:textId="4DB9C279" w:rsidR="0007206D" w:rsidRPr="00C562B8" w:rsidRDefault="0007206D" w:rsidP="00DF7F39">
      <w:pPr>
        <w:pStyle w:val="Heading1"/>
        <w:numPr>
          <w:ilvl w:val="0"/>
          <w:numId w:val="20"/>
        </w:numPr>
        <w:tabs>
          <w:tab w:val="num" w:pos="426"/>
          <w:tab w:val="num" w:pos="2843"/>
        </w:tabs>
        <w:spacing w:before="240" w:after="120"/>
        <w:ind w:left="431" w:hanging="431"/>
        <w:rPr>
          <w:rFonts w:eastAsia="Times New Roman"/>
          <w:bCs w:val="0"/>
          <w:noProof w:val="0"/>
          <w:color w:val="auto"/>
          <w:kern w:val="28"/>
          <w:sz w:val="24"/>
          <w:szCs w:val="24"/>
          <w:lang w:eastAsia="en-GB"/>
          <w14:ligatures w14:val="none"/>
        </w:rPr>
      </w:pPr>
      <w:bookmarkStart w:id="1" w:name="_Toc151016896"/>
      <w:r w:rsidRPr="00C562B8">
        <w:rPr>
          <w:rFonts w:eastAsia="Times New Roman"/>
          <w:bCs w:val="0"/>
          <w:noProof w:val="0"/>
          <w:color w:val="auto"/>
          <w:kern w:val="28"/>
          <w:sz w:val="24"/>
          <w:szCs w:val="24"/>
          <w:lang w:eastAsia="en-GB"/>
          <w14:ligatures w14:val="none"/>
        </w:rPr>
        <w:t>202</w:t>
      </w:r>
      <w:r w:rsidR="00DB5A10">
        <w:rPr>
          <w:rFonts w:eastAsia="Times New Roman"/>
          <w:bCs w:val="0"/>
          <w:noProof w:val="0"/>
          <w:color w:val="auto"/>
          <w:kern w:val="28"/>
          <w:sz w:val="24"/>
          <w:szCs w:val="24"/>
          <w:lang w:eastAsia="en-GB"/>
          <w14:ligatures w14:val="none"/>
        </w:rPr>
        <w:t>5</w:t>
      </w:r>
      <w:r w:rsidRPr="00C562B8">
        <w:rPr>
          <w:rFonts w:eastAsia="Times New Roman"/>
          <w:bCs w:val="0"/>
          <w:noProof w:val="0"/>
          <w:color w:val="auto"/>
          <w:kern w:val="28"/>
          <w:sz w:val="24"/>
          <w:szCs w:val="24"/>
          <w:lang w:eastAsia="en-GB"/>
          <w14:ligatures w14:val="none"/>
        </w:rPr>
        <w:t>/2</w:t>
      </w:r>
      <w:r w:rsidR="00DB5A10">
        <w:rPr>
          <w:rFonts w:eastAsia="Times New Roman"/>
          <w:bCs w:val="0"/>
          <w:noProof w:val="0"/>
          <w:color w:val="auto"/>
          <w:kern w:val="28"/>
          <w:sz w:val="24"/>
          <w:szCs w:val="24"/>
          <w:lang w:eastAsia="en-GB"/>
          <w14:ligatures w14:val="none"/>
        </w:rPr>
        <w:t>6</w:t>
      </w:r>
      <w:r w:rsidRPr="00C562B8">
        <w:rPr>
          <w:rFonts w:eastAsia="Times New Roman"/>
          <w:bCs w:val="0"/>
          <w:noProof w:val="0"/>
          <w:color w:val="auto"/>
          <w:kern w:val="28"/>
          <w:sz w:val="24"/>
          <w:szCs w:val="24"/>
          <w:lang w:eastAsia="en-GB"/>
          <w14:ligatures w14:val="none"/>
        </w:rPr>
        <w:t xml:space="preserve"> Funding Announcements</w:t>
      </w:r>
      <w:bookmarkEnd w:id="1"/>
    </w:p>
    <w:p w14:paraId="60860A8F" w14:textId="635CE2CD" w:rsidR="009514E8" w:rsidRDefault="0007206D" w:rsidP="009514E8">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C40605">
        <w:rPr>
          <w:rFonts w:ascii="Arial" w:eastAsia="Times New Roman" w:hAnsi="Arial" w:cs="Arial"/>
          <w:color w:val="auto"/>
          <w:kern w:val="0"/>
          <w:sz w:val="24"/>
          <w:szCs w:val="24"/>
          <w:lang w:eastAsia="en-GB"/>
          <w14:ligatures w14:val="none"/>
        </w:rPr>
        <w:t xml:space="preserve">The Department for Education (DfE) </w:t>
      </w:r>
      <w:r w:rsidR="00827475">
        <w:rPr>
          <w:rFonts w:ascii="Arial" w:eastAsia="Times New Roman" w:hAnsi="Arial" w:cs="Arial"/>
          <w:color w:val="auto"/>
          <w:kern w:val="0"/>
          <w:sz w:val="24"/>
          <w:szCs w:val="24"/>
          <w:lang w:eastAsia="en-GB"/>
          <w14:ligatures w14:val="none"/>
        </w:rPr>
        <w:t>has recently</w:t>
      </w:r>
      <w:r w:rsidR="00F817D2">
        <w:rPr>
          <w:rFonts w:ascii="Arial" w:eastAsia="Times New Roman" w:hAnsi="Arial" w:cs="Arial"/>
          <w:color w:val="auto"/>
          <w:kern w:val="0"/>
          <w:sz w:val="24"/>
          <w:szCs w:val="24"/>
          <w:lang w:eastAsia="en-GB"/>
          <w14:ligatures w14:val="none"/>
        </w:rPr>
        <w:t xml:space="preserve"> </w:t>
      </w:r>
      <w:r w:rsidR="00556542" w:rsidRPr="00C40605">
        <w:rPr>
          <w:rFonts w:ascii="Arial" w:eastAsia="Times New Roman" w:hAnsi="Arial" w:cs="Arial"/>
          <w:color w:val="auto"/>
          <w:kern w:val="0"/>
          <w:sz w:val="24"/>
          <w:szCs w:val="24"/>
          <w:lang w:eastAsia="en-GB"/>
          <w14:ligatures w14:val="none"/>
        </w:rPr>
        <w:t>p</w:t>
      </w:r>
      <w:r w:rsidR="003B6E48">
        <w:rPr>
          <w:rFonts w:ascii="Arial" w:eastAsia="Times New Roman" w:hAnsi="Arial" w:cs="Arial"/>
          <w:color w:val="auto"/>
          <w:kern w:val="0"/>
          <w:sz w:val="24"/>
          <w:szCs w:val="24"/>
          <w:lang w:eastAsia="en-GB"/>
          <w14:ligatures w14:val="none"/>
        </w:rPr>
        <w:t xml:space="preserve">ublished the provisional </w:t>
      </w:r>
      <w:r w:rsidR="00A90798" w:rsidRPr="00A90798">
        <w:rPr>
          <w:rFonts w:ascii="Arial" w:eastAsia="Times New Roman" w:hAnsi="Arial" w:cs="Arial"/>
          <w:color w:val="auto"/>
          <w:kern w:val="0"/>
          <w:sz w:val="24"/>
          <w:szCs w:val="24"/>
          <w:lang w:eastAsia="en-GB"/>
          <w14:ligatures w14:val="none"/>
        </w:rPr>
        <w:t xml:space="preserve">schools, high needs, and central school services </w:t>
      </w:r>
      <w:r w:rsidR="00246130">
        <w:rPr>
          <w:rFonts w:ascii="Arial" w:eastAsia="Times New Roman" w:hAnsi="Arial" w:cs="Arial"/>
          <w:color w:val="auto"/>
          <w:kern w:val="0"/>
          <w:sz w:val="24"/>
          <w:szCs w:val="24"/>
          <w:lang w:eastAsia="en-GB"/>
          <w14:ligatures w14:val="none"/>
        </w:rPr>
        <w:t>2025/</w:t>
      </w:r>
      <w:r w:rsidR="0055623C">
        <w:rPr>
          <w:rFonts w:ascii="Arial" w:eastAsia="Times New Roman" w:hAnsi="Arial" w:cs="Arial"/>
          <w:color w:val="auto"/>
          <w:kern w:val="0"/>
          <w:sz w:val="24"/>
          <w:szCs w:val="24"/>
          <w:lang w:eastAsia="en-GB"/>
          <w14:ligatures w14:val="none"/>
        </w:rPr>
        <w:t xml:space="preserve">26 </w:t>
      </w:r>
      <w:r w:rsidR="0067651C">
        <w:rPr>
          <w:rFonts w:ascii="Arial" w:eastAsia="Times New Roman" w:hAnsi="Arial" w:cs="Arial"/>
          <w:color w:val="auto"/>
          <w:kern w:val="0"/>
          <w:sz w:val="24"/>
          <w:szCs w:val="24"/>
          <w:lang w:eastAsia="en-GB"/>
          <w14:ligatures w14:val="none"/>
        </w:rPr>
        <w:t xml:space="preserve">National </w:t>
      </w:r>
      <w:r w:rsidR="006A3461">
        <w:rPr>
          <w:rFonts w:ascii="Arial" w:eastAsia="Times New Roman" w:hAnsi="Arial" w:cs="Arial"/>
          <w:color w:val="auto"/>
          <w:kern w:val="0"/>
          <w:sz w:val="24"/>
          <w:szCs w:val="24"/>
          <w:lang w:eastAsia="en-GB"/>
          <w14:ligatures w14:val="none"/>
        </w:rPr>
        <w:t xml:space="preserve">Funding Formula </w:t>
      </w:r>
      <w:r w:rsidR="00161409">
        <w:rPr>
          <w:rFonts w:ascii="Arial" w:eastAsia="Times New Roman" w:hAnsi="Arial" w:cs="Arial"/>
          <w:color w:val="auto"/>
          <w:kern w:val="0"/>
          <w:sz w:val="24"/>
          <w:szCs w:val="24"/>
          <w:lang w:eastAsia="en-GB"/>
          <w14:ligatures w14:val="none"/>
        </w:rPr>
        <w:t xml:space="preserve">(NFF) </w:t>
      </w:r>
      <w:r w:rsidR="00D519C9">
        <w:rPr>
          <w:rFonts w:ascii="Arial" w:eastAsia="Times New Roman" w:hAnsi="Arial" w:cs="Arial"/>
          <w:color w:val="auto"/>
          <w:kern w:val="0"/>
          <w:sz w:val="24"/>
          <w:szCs w:val="24"/>
          <w:lang w:eastAsia="en-GB"/>
          <w14:ligatures w14:val="none"/>
        </w:rPr>
        <w:t>allocations</w:t>
      </w:r>
      <w:r w:rsidR="003E7C08">
        <w:rPr>
          <w:rFonts w:ascii="Arial" w:eastAsia="Times New Roman" w:hAnsi="Arial" w:cs="Arial"/>
          <w:color w:val="auto"/>
          <w:kern w:val="0"/>
          <w:sz w:val="24"/>
          <w:szCs w:val="24"/>
          <w:lang w:eastAsia="en-GB"/>
          <w14:ligatures w14:val="none"/>
        </w:rPr>
        <w:t xml:space="preserve"> </w:t>
      </w:r>
      <w:r w:rsidR="009762E3">
        <w:rPr>
          <w:rFonts w:ascii="Arial" w:eastAsia="Times New Roman" w:hAnsi="Arial" w:cs="Arial"/>
          <w:color w:val="auto"/>
          <w:kern w:val="0"/>
          <w:sz w:val="24"/>
          <w:szCs w:val="24"/>
          <w:lang w:eastAsia="en-GB"/>
          <w14:ligatures w14:val="none"/>
        </w:rPr>
        <w:t xml:space="preserve">in relation to </w:t>
      </w:r>
      <w:r w:rsidR="003E7C08">
        <w:rPr>
          <w:rFonts w:ascii="Arial" w:eastAsia="Times New Roman" w:hAnsi="Arial" w:cs="Arial"/>
          <w:color w:val="auto"/>
          <w:kern w:val="0"/>
          <w:sz w:val="24"/>
          <w:szCs w:val="24"/>
          <w:lang w:eastAsia="en-GB"/>
          <w14:ligatures w14:val="none"/>
        </w:rPr>
        <w:t xml:space="preserve">with accompanying </w:t>
      </w:r>
      <w:r w:rsidR="007A5492">
        <w:rPr>
          <w:rFonts w:ascii="Arial" w:eastAsia="Times New Roman" w:hAnsi="Arial" w:cs="Arial"/>
          <w:color w:val="auto"/>
          <w:kern w:val="0"/>
          <w:sz w:val="24"/>
          <w:szCs w:val="24"/>
          <w:lang w:eastAsia="en-GB"/>
          <w14:ligatures w14:val="none"/>
        </w:rPr>
        <w:t>policy and operational guidance</w:t>
      </w:r>
      <w:r w:rsidR="00AD2868">
        <w:rPr>
          <w:rFonts w:ascii="Arial" w:eastAsia="Times New Roman" w:hAnsi="Arial" w:cs="Arial"/>
          <w:color w:val="auto"/>
          <w:kern w:val="0"/>
          <w:sz w:val="24"/>
          <w:szCs w:val="24"/>
          <w:lang w:eastAsia="en-GB"/>
          <w14:ligatures w14:val="none"/>
        </w:rPr>
        <w:t>.</w:t>
      </w:r>
      <w:r w:rsidR="00D519C9">
        <w:rPr>
          <w:rFonts w:ascii="Arial" w:eastAsia="Times New Roman" w:hAnsi="Arial" w:cs="Arial"/>
          <w:color w:val="auto"/>
          <w:kern w:val="0"/>
          <w:sz w:val="24"/>
          <w:szCs w:val="24"/>
          <w:lang w:eastAsia="en-GB"/>
          <w14:ligatures w14:val="none"/>
        </w:rPr>
        <w:t xml:space="preserve"> </w:t>
      </w:r>
    </w:p>
    <w:p w14:paraId="6F63D252" w14:textId="0308ACD3" w:rsidR="003741A9" w:rsidRPr="00D471CB" w:rsidRDefault="009E7825" w:rsidP="003741A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9514E8">
        <w:rPr>
          <w:rFonts w:ascii="Arial" w:eastAsia="Times New Roman" w:hAnsi="Arial" w:cs="Arial"/>
          <w:color w:val="auto"/>
          <w:kern w:val="0"/>
          <w:sz w:val="24"/>
          <w:szCs w:val="24"/>
          <w:lang w:eastAsia="en-GB"/>
          <w14:ligatures w14:val="none"/>
        </w:rPr>
        <w:t xml:space="preserve">The policy </w:t>
      </w:r>
      <w:proofErr w:type="gramStart"/>
      <w:r w:rsidRPr="009514E8">
        <w:rPr>
          <w:rFonts w:ascii="Arial" w:eastAsia="Times New Roman" w:hAnsi="Arial" w:cs="Arial"/>
          <w:color w:val="auto"/>
          <w:kern w:val="0"/>
          <w:sz w:val="24"/>
          <w:szCs w:val="24"/>
          <w:lang w:eastAsia="en-GB"/>
          <w14:ligatures w14:val="none"/>
        </w:rPr>
        <w:t>note</w:t>
      </w:r>
      <w:proofErr w:type="gramEnd"/>
      <w:r w:rsidRPr="009514E8">
        <w:rPr>
          <w:rFonts w:ascii="Arial" w:eastAsia="Times New Roman" w:hAnsi="Arial" w:cs="Arial"/>
          <w:color w:val="auto"/>
          <w:kern w:val="0"/>
          <w:sz w:val="24"/>
          <w:szCs w:val="24"/>
          <w:lang w:eastAsia="en-GB"/>
          <w14:ligatures w14:val="none"/>
        </w:rPr>
        <w:t xml:space="preserve"> </w:t>
      </w:r>
      <w:r w:rsidR="00487204">
        <w:rPr>
          <w:rFonts w:ascii="Arial" w:eastAsia="Times New Roman" w:hAnsi="Arial" w:cs="Arial"/>
          <w:color w:val="auto"/>
          <w:kern w:val="0"/>
          <w:sz w:val="24"/>
          <w:szCs w:val="24"/>
          <w:lang w:eastAsia="en-GB"/>
          <w14:ligatures w14:val="none"/>
        </w:rPr>
        <w:t xml:space="preserve">ahead of the allocations </w:t>
      </w:r>
      <w:r w:rsidR="00C16EF8" w:rsidRPr="009514E8">
        <w:rPr>
          <w:rFonts w:ascii="Arial" w:eastAsia="Times New Roman" w:hAnsi="Arial" w:cs="Arial"/>
          <w:color w:val="auto"/>
          <w:kern w:val="0"/>
          <w:sz w:val="24"/>
          <w:szCs w:val="24"/>
          <w:lang w:eastAsia="en-GB"/>
          <w14:ligatures w14:val="none"/>
        </w:rPr>
        <w:t>confirmed an increase of £2.3bn total schools funding</w:t>
      </w:r>
      <w:r w:rsidR="00855BDC" w:rsidRPr="009514E8">
        <w:rPr>
          <w:rFonts w:ascii="Arial" w:eastAsia="Times New Roman" w:hAnsi="Arial" w:cs="Arial"/>
          <w:color w:val="auto"/>
          <w:kern w:val="0"/>
          <w:sz w:val="24"/>
          <w:szCs w:val="24"/>
          <w:lang w:eastAsia="en-GB"/>
          <w14:ligatures w14:val="none"/>
        </w:rPr>
        <w:t xml:space="preserve">, nearly £1bn of which relates to </w:t>
      </w:r>
      <w:r w:rsidR="005861E0" w:rsidRPr="009514E8">
        <w:rPr>
          <w:rFonts w:ascii="Arial" w:eastAsia="Times New Roman" w:hAnsi="Arial" w:cs="Arial"/>
          <w:color w:val="auto"/>
          <w:kern w:val="0"/>
          <w:sz w:val="24"/>
          <w:szCs w:val="24"/>
          <w:lang w:eastAsia="en-GB"/>
          <w14:ligatures w14:val="none"/>
        </w:rPr>
        <w:t xml:space="preserve">the overall high needs funding.  </w:t>
      </w:r>
      <w:r w:rsidR="008D7F80" w:rsidRPr="009514E8">
        <w:rPr>
          <w:rFonts w:ascii="Arial" w:eastAsia="Times New Roman" w:hAnsi="Arial" w:cs="Arial"/>
          <w:color w:val="auto"/>
          <w:kern w:val="0"/>
          <w:sz w:val="24"/>
          <w:szCs w:val="24"/>
          <w:lang w:eastAsia="en-GB"/>
          <w14:ligatures w14:val="none"/>
        </w:rPr>
        <w:t xml:space="preserve">Part of this funding </w:t>
      </w:r>
      <w:r w:rsidR="00977E29" w:rsidRPr="009514E8">
        <w:rPr>
          <w:rFonts w:ascii="Arial" w:eastAsia="Times New Roman" w:hAnsi="Arial" w:cs="Arial"/>
          <w:color w:val="auto"/>
          <w:kern w:val="0"/>
          <w:sz w:val="24"/>
          <w:szCs w:val="24"/>
          <w:lang w:eastAsia="en-GB"/>
          <w14:ligatures w14:val="none"/>
        </w:rPr>
        <w:t>supports the</w:t>
      </w:r>
      <w:r w:rsidR="0056488D" w:rsidRPr="009514E8">
        <w:rPr>
          <w:rFonts w:ascii="Arial" w:eastAsia="Times New Roman" w:hAnsi="Arial" w:cs="Arial"/>
          <w:color w:val="auto"/>
          <w:kern w:val="0"/>
          <w:sz w:val="24"/>
          <w:szCs w:val="24"/>
          <w:lang w:eastAsia="en-GB"/>
          <w14:ligatures w14:val="none"/>
        </w:rPr>
        <w:t xml:space="preserve"> new Core Schools Budget Grant (CSBG) that rolls in the full year effect of the current CSBG and previously separate Teachers </w:t>
      </w:r>
      <w:r w:rsidR="0056488D" w:rsidRPr="003741A9">
        <w:rPr>
          <w:rFonts w:ascii="Arial" w:eastAsia="Times New Roman" w:hAnsi="Arial" w:cs="Arial"/>
          <w:color w:val="auto"/>
          <w:kern w:val="0"/>
          <w:sz w:val="24"/>
          <w:szCs w:val="24"/>
          <w:lang w:eastAsia="en-GB"/>
          <w14:ligatures w14:val="none"/>
        </w:rPr>
        <w:t>Pay Additional Grant and Teachers Pension Employers Contribution Grant 2024</w:t>
      </w:r>
      <w:r w:rsidR="00D05C4E" w:rsidRPr="003741A9">
        <w:rPr>
          <w:rFonts w:ascii="Arial" w:eastAsia="Times New Roman" w:hAnsi="Arial" w:cs="Arial"/>
          <w:color w:val="auto"/>
          <w:kern w:val="0"/>
          <w:sz w:val="24"/>
          <w:szCs w:val="24"/>
          <w:lang w:eastAsia="en-GB"/>
          <w14:ligatures w14:val="none"/>
        </w:rPr>
        <w:t xml:space="preserve">.  This will be rolled into the mainstream formula but continue as a separate grant </w:t>
      </w:r>
      <w:r w:rsidR="000B0A5C" w:rsidRPr="00D471CB">
        <w:rPr>
          <w:rFonts w:ascii="Arial" w:eastAsia="Times New Roman" w:hAnsi="Arial" w:cs="Arial"/>
          <w:color w:val="auto"/>
          <w:kern w:val="0"/>
          <w:sz w:val="24"/>
          <w:szCs w:val="24"/>
          <w:lang w:eastAsia="en-GB"/>
          <w14:ligatures w14:val="none"/>
        </w:rPr>
        <w:t xml:space="preserve">for </w:t>
      </w:r>
      <w:r w:rsidR="003D19FF" w:rsidRPr="00D471CB">
        <w:rPr>
          <w:rFonts w:ascii="Arial" w:eastAsia="Times New Roman" w:hAnsi="Arial" w:cs="Arial"/>
          <w:color w:val="auto"/>
          <w:kern w:val="0"/>
          <w:sz w:val="24"/>
          <w:szCs w:val="24"/>
          <w:lang w:eastAsia="en-GB"/>
          <w14:ligatures w14:val="none"/>
        </w:rPr>
        <w:t>Special Schools and AP.</w:t>
      </w:r>
      <w:r w:rsidR="0056488D" w:rsidRPr="00D471CB">
        <w:rPr>
          <w:rFonts w:ascii="Arial" w:eastAsia="Times New Roman" w:hAnsi="Arial" w:cs="Arial"/>
          <w:color w:val="auto"/>
          <w:kern w:val="0"/>
          <w:sz w:val="24"/>
          <w:szCs w:val="24"/>
          <w:lang w:eastAsia="en-GB"/>
          <w14:ligatures w14:val="none"/>
        </w:rPr>
        <w:t xml:space="preserve"> </w:t>
      </w:r>
      <w:r w:rsidR="00F87AC6" w:rsidRPr="00D471CB">
        <w:rPr>
          <w:rFonts w:ascii="Arial" w:eastAsia="Times New Roman" w:hAnsi="Arial" w:cs="Arial"/>
          <w:color w:val="auto"/>
          <w:kern w:val="0"/>
          <w:sz w:val="24"/>
          <w:szCs w:val="24"/>
          <w:lang w:eastAsia="en-GB"/>
          <w14:ligatures w14:val="none"/>
        </w:rPr>
        <w:t xml:space="preserve"> </w:t>
      </w:r>
    </w:p>
    <w:p w14:paraId="71D23B2E" w14:textId="44139E5F" w:rsidR="00F5550A" w:rsidRPr="00D471CB" w:rsidRDefault="00A55F33" w:rsidP="00F5550A">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D471CB">
        <w:rPr>
          <w:rFonts w:ascii="Arial" w:eastAsia="Times New Roman" w:hAnsi="Arial" w:cs="Arial"/>
          <w:color w:val="auto"/>
          <w:kern w:val="0"/>
          <w:sz w:val="24"/>
          <w:szCs w:val="24"/>
          <w:lang w:eastAsia="en-GB"/>
          <w14:ligatures w14:val="none"/>
        </w:rPr>
        <w:t xml:space="preserve">The </w:t>
      </w:r>
      <w:r w:rsidR="007E7F41" w:rsidRPr="00D471CB">
        <w:rPr>
          <w:rFonts w:ascii="Arial" w:eastAsia="Times New Roman" w:hAnsi="Arial" w:cs="Arial"/>
          <w:color w:val="auto"/>
          <w:kern w:val="0"/>
          <w:sz w:val="24"/>
          <w:szCs w:val="24"/>
          <w:lang w:eastAsia="en-GB"/>
          <w14:ligatures w14:val="none"/>
        </w:rPr>
        <w:t xml:space="preserve">provisional </w:t>
      </w:r>
      <w:r w:rsidR="00D9748C" w:rsidRPr="00D471CB">
        <w:rPr>
          <w:rFonts w:ascii="Arial" w:eastAsia="Times New Roman" w:hAnsi="Arial" w:cs="Arial"/>
          <w:color w:val="auto"/>
          <w:kern w:val="0"/>
          <w:sz w:val="24"/>
          <w:szCs w:val="24"/>
          <w:lang w:eastAsia="en-GB"/>
          <w14:ligatures w14:val="none"/>
        </w:rPr>
        <w:t xml:space="preserve">high needs allocation for </w:t>
      </w:r>
      <w:r w:rsidR="007E7F41" w:rsidRPr="00D471CB">
        <w:rPr>
          <w:rFonts w:ascii="Arial" w:eastAsia="Times New Roman" w:hAnsi="Arial" w:cs="Arial"/>
          <w:color w:val="auto"/>
          <w:kern w:val="0"/>
          <w:sz w:val="24"/>
          <w:szCs w:val="24"/>
          <w:lang w:eastAsia="en-GB"/>
          <w14:ligatures w14:val="none"/>
        </w:rPr>
        <w:t>HCC is showing a 7.</w:t>
      </w:r>
      <w:r w:rsidR="004E5433" w:rsidRPr="00D471CB">
        <w:rPr>
          <w:rFonts w:ascii="Arial" w:eastAsia="Times New Roman" w:hAnsi="Arial" w:cs="Arial"/>
          <w:color w:val="auto"/>
          <w:kern w:val="0"/>
          <w:sz w:val="24"/>
          <w:szCs w:val="24"/>
          <w:lang w:eastAsia="en-GB"/>
          <w14:ligatures w14:val="none"/>
        </w:rPr>
        <w:t xml:space="preserve">4% increase on </w:t>
      </w:r>
      <w:r w:rsidR="00A60034" w:rsidRPr="00D471CB">
        <w:rPr>
          <w:rFonts w:ascii="Arial" w:eastAsia="Times New Roman" w:hAnsi="Arial" w:cs="Arial"/>
          <w:color w:val="auto"/>
          <w:kern w:val="0"/>
          <w:sz w:val="24"/>
          <w:szCs w:val="24"/>
          <w:lang w:eastAsia="en-GB"/>
          <w14:ligatures w14:val="none"/>
        </w:rPr>
        <w:t xml:space="preserve">the </w:t>
      </w:r>
      <w:r w:rsidR="004E5433" w:rsidRPr="00D471CB">
        <w:rPr>
          <w:rFonts w:ascii="Arial" w:eastAsia="Times New Roman" w:hAnsi="Arial" w:cs="Arial"/>
          <w:color w:val="auto"/>
          <w:kern w:val="0"/>
          <w:sz w:val="24"/>
          <w:szCs w:val="24"/>
          <w:lang w:eastAsia="en-GB"/>
          <w14:ligatures w14:val="none"/>
        </w:rPr>
        <w:t>2024/25</w:t>
      </w:r>
      <w:r w:rsidR="00A60034" w:rsidRPr="00D471CB">
        <w:rPr>
          <w:rFonts w:ascii="Arial" w:eastAsia="Times New Roman" w:hAnsi="Arial" w:cs="Arial"/>
          <w:color w:val="auto"/>
          <w:kern w:val="0"/>
          <w:sz w:val="24"/>
          <w:szCs w:val="24"/>
          <w:lang w:eastAsia="en-GB"/>
          <w14:ligatures w14:val="none"/>
        </w:rPr>
        <w:t xml:space="preserve"> allocation.  This additional funding although welcome </w:t>
      </w:r>
      <w:r w:rsidR="00D42FBA" w:rsidRPr="00D471CB">
        <w:rPr>
          <w:rFonts w:ascii="Arial" w:eastAsia="Times New Roman" w:hAnsi="Arial" w:cs="Arial"/>
          <w:color w:val="auto"/>
          <w:kern w:val="0"/>
          <w:sz w:val="24"/>
          <w:szCs w:val="24"/>
          <w:lang w:eastAsia="en-GB"/>
          <w14:ligatures w14:val="none"/>
        </w:rPr>
        <w:t xml:space="preserve">is not expected to </w:t>
      </w:r>
      <w:r w:rsidR="00326B4D" w:rsidRPr="00D471CB">
        <w:rPr>
          <w:rFonts w:ascii="Arial" w:eastAsia="Times New Roman" w:hAnsi="Arial" w:cs="Arial"/>
          <w:color w:val="auto"/>
          <w:kern w:val="0"/>
          <w:sz w:val="24"/>
          <w:szCs w:val="24"/>
          <w:lang w:eastAsia="en-GB"/>
          <w14:ligatures w14:val="none"/>
        </w:rPr>
        <w:t>cover</w:t>
      </w:r>
      <w:r w:rsidR="00D42FBA" w:rsidRPr="00D471CB">
        <w:rPr>
          <w:rFonts w:ascii="Arial" w:eastAsia="Times New Roman" w:hAnsi="Arial" w:cs="Arial"/>
          <w:color w:val="auto"/>
          <w:kern w:val="0"/>
          <w:sz w:val="24"/>
          <w:szCs w:val="24"/>
          <w:lang w:eastAsia="en-GB"/>
          <w14:ligatures w14:val="none"/>
        </w:rPr>
        <w:t xml:space="preserve"> the </w:t>
      </w:r>
      <w:r w:rsidR="00326B4D" w:rsidRPr="00D471CB">
        <w:rPr>
          <w:rFonts w:ascii="Arial" w:eastAsia="Times New Roman" w:hAnsi="Arial" w:cs="Arial"/>
          <w:color w:val="auto"/>
          <w:kern w:val="0"/>
          <w:sz w:val="24"/>
          <w:szCs w:val="24"/>
          <w:lang w:eastAsia="en-GB"/>
          <w14:ligatures w14:val="none"/>
        </w:rPr>
        <w:t xml:space="preserve">existing </w:t>
      </w:r>
      <w:r w:rsidR="00D42FBA" w:rsidRPr="00D471CB">
        <w:rPr>
          <w:rFonts w:ascii="Arial" w:eastAsia="Times New Roman" w:hAnsi="Arial" w:cs="Arial"/>
          <w:color w:val="auto"/>
          <w:kern w:val="0"/>
          <w:sz w:val="24"/>
          <w:szCs w:val="24"/>
          <w:lang w:eastAsia="en-GB"/>
          <w14:ligatures w14:val="none"/>
        </w:rPr>
        <w:t xml:space="preserve">funding gap </w:t>
      </w:r>
      <w:r w:rsidR="00024D74" w:rsidRPr="00D471CB">
        <w:rPr>
          <w:rFonts w:ascii="Arial" w:eastAsia="Times New Roman" w:hAnsi="Arial" w:cs="Arial"/>
          <w:color w:val="auto"/>
          <w:kern w:val="0"/>
          <w:sz w:val="24"/>
          <w:szCs w:val="24"/>
          <w:lang w:eastAsia="en-GB"/>
          <w14:ligatures w14:val="none"/>
        </w:rPr>
        <w:t xml:space="preserve">experienced in 2024/25 </w:t>
      </w:r>
      <w:r w:rsidR="00D42FBA" w:rsidRPr="00D471CB">
        <w:rPr>
          <w:rFonts w:ascii="Arial" w:eastAsia="Times New Roman" w:hAnsi="Arial" w:cs="Arial"/>
          <w:color w:val="auto"/>
          <w:kern w:val="0"/>
          <w:sz w:val="24"/>
          <w:szCs w:val="24"/>
          <w:lang w:eastAsia="en-GB"/>
          <w14:ligatures w14:val="none"/>
        </w:rPr>
        <w:t>that is forecast to increase</w:t>
      </w:r>
      <w:r w:rsidR="00BF6740" w:rsidRPr="00D471CB">
        <w:rPr>
          <w:rFonts w:ascii="Arial" w:eastAsia="Times New Roman" w:hAnsi="Arial" w:cs="Arial"/>
          <w:color w:val="auto"/>
          <w:kern w:val="0"/>
          <w:sz w:val="24"/>
          <w:szCs w:val="24"/>
          <w:lang w:eastAsia="en-GB"/>
          <w14:ligatures w14:val="none"/>
        </w:rPr>
        <w:t xml:space="preserve"> further in 2025/26</w:t>
      </w:r>
      <w:r w:rsidR="00D42FBA" w:rsidRPr="00D471CB">
        <w:rPr>
          <w:rFonts w:ascii="Arial" w:eastAsia="Times New Roman" w:hAnsi="Arial" w:cs="Arial"/>
          <w:color w:val="auto"/>
          <w:kern w:val="0"/>
          <w:sz w:val="24"/>
          <w:szCs w:val="24"/>
          <w:lang w:eastAsia="en-GB"/>
          <w14:ligatures w14:val="none"/>
        </w:rPr>
        <w:t xml:space="preserve">.  </w:t>
      </w:r>
      <w:r w:rsidR="0064702D" w:rsidRPr="00D471CB">
        <w:rPr>
          <w:rFonts w:ascii="Arial" w:eastAsia="Times New Roman" w:hAnsi="Arial" w:cs="Arial"/>
          <w:color w:val="auto"/>
          <w:kern w:val="0"/>
          <w:sz w:val="24"/>
          <w:szCs w:val="24"/>
          <w:lang w:eastAsia="en-GB"/>
          <w14:ligatures w14:val="none"/>
        </w:rPr>
        <w:t xml:space="preserve">A detailed review of </w:t>
      </w:r>
      <w:r w:rsidR="006972BD" w:rsidRPr="00D471CB">
        <w:rPr>
          <w:rFonts w:ascii="Arial" w:eastAsia="Times New Roman" w:hAnsi="Arial" w:cs="Arial"/>
          <w:color w:val="auto"/>
          <w:kern w:val="0"/>
          <w:sz w:val="24"/>
          <w:szCs w:val="24"/>
          <w:lang w:eastAsia="en-GB"/>
          <w14:ligatures w14:val="none"/>
        </w:rPr>
        <w:t xml:space="preserve">the funding and expenditure requirements will be undertaken </w:t>
      </w:r>
      <w:r w:rsidR="00F37AF5" w:rsidRPr="00D471CB">
        <w:rPr>
          <w:rFonts w:ascii="Arial" w:eastAsia="Times New Roman" w:hAnsi="Arial" w:cs="Arial"/>
          <w:color w:val="auto"/>
          <w:kern w:val="0"/>
          <w:sz w:val="24"/>
          <w:szCs w:val="24"/>
          <w:lang w:eastAsia="en-GB"/>
          <w14:ligatures w14:val="none"/>
        </w:rPr>
        <w:t xml:space="preserve">during budget setting and an update of the </w:t>
      </w:r>
      <w:r w:rsidR="005E3C76" w:rsidRPr="00D471CB">
        <w:rPr>
          <w:rFonts w:ascii="Arial" w:eastAsia="Times New Roman" w:hAnsi="Arial" w:cs="Arial"/>
          <w:color w:val="auto"/>
          <w:kern w:val="0"/>
          <w:sz w:val="24"/>
          <w:szCs w:val="24"/>
          <w:lang w:eastAsia="en-GB"/>
          <w14:ligatures w14:val="none"/>
        </w:rPr>
        <w:t xml:space="preserve">expected deficit </w:t>
      </w:r>
      <w:r w:rsidR="00B50FF4" w:rsidRPr="00D471CB">
        <w:rPr>
          <w:rFonts w:ascii="Arial" w:eastAsia="Times New Roman" w:hAnsi="Arial" w:cs="Arial"/>
          <w:color w:val="auto"/>
          <w:kern w:val="0"/>
          <w:sz w:val="24"/>
          <w:szCs w:val="24"/>
          <w:lang w:eastAsia="en-GB"/>
          <w14:ligatures w14:val="none"/>
        </w:rPr>
        <w:t xml:space="preserve">will be presented at the next </w:t>
      </w:r>
      <w:r w:rsidR="00EB7E94" w:rsidRPr="00D471CB">
        <w:rPr>
          <w:rFonts w:ascii="Arial" w:eastAsia="Times New Roman" w:hAnsi="Arial" w:cs="Arial"/>
          <w:color w:val="auto"/>
          <w:kern w:val="0"/>
          <w:sz w:val="24"/>
          <w:szCs w:val="24"/>
          <w:lang w:eastAsia="en-GB"/>
          <w14:ligatures w14:val="none"/>
        </w:rPr>
        <w:t>schools forum.</w:t>
      </w:r>
    </w:p>
    <w:p w14:paraId="4299E8FF" w14:textId="77777777" w:rsidR="00224926" w:rsidRPr="00AB3538" w:rsidRDefault="00224926" w:rsidP="001D1930">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B3538">
        <w:rPr>
          <w:rFonts w:ascii="Arial" w:eastAsia="Times New Roman" w:hAnsi="Arial" w:cs="Arial"/>
          <w:color w:val="auto"/>
          <w:kern w:val="0"/>
          <w:sz w:val="24"/>
          <w:szCs w:val="24"/>
          <w:lang w:eastAsia="en-GB"/>
          <w14:ligatures w14:val="none"/>
        </w:rPr>
        <w:t>The further £1.3 billion will cover the remaining costs of the 2024 teachers’ pay award in mainstream schools, so that the full 12 months of salary costs are fully funded at a national level; an increase to the mainstream schools national funding formula (NFF</w:t>
      </w:r>
      <w:proofErr w:type="gramStart"/>
      <w:r w:rsidRPr="00AB3538">
        <w:rPr>
          <w:rFonts w:ascii="Arial" w:eastAsia="Times New Roman" w:hAnsi="Arial" w:cs="Arial"/>
          <w:color w:val="auto"/>
          <w:kern w:val="0"/>
          <w:sz w:val="24"/>
          <w:szCs w:val="24"/>
          <w:lang w:eastAsia="en-GB"/>
          <w14:ligatures w14:val="none"/>
        </w:rPr>
        <w:t>), and</w:t>
      </w:r>
      <w:proofErr w:type="gramEnd"/>
      <w:r w:rsidRPr="00AB3538">
        <w:rPr>
          <w:rFonts w:ascii="Arial" w:eastAsia="Times New Roman" w:hAnsi="Arial" w:cs="Arial"/>
          <w:color w:val="auto"/>
          <w:kern w:val="0"/>
          <w:sz w:val="24"/>
          <w:szCs w:val="24"/>
          <w:lang w:eastAsia="en-GB"/>
          <w14:ligatures w14:val="none"/>
        </w:rPr>
        <w:t xml:space="preserve"> increases to the pupil premium and other elements of core funding.</w:t>
      </w:r>
    </w:p>
    <w:p w14:paraId="1D74C4ED" w14:textId="61FDA88E" w:rsidR="00C43523" w:rsidRPr="00AD3799" w:rsidRDefault="00ED55ED" w:rsidP="001D1930">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BA59D3">
        <w:rPr>
          <w:rFonts w:ascii="Arial" w:eastAsia="Times New Roman" w:hAnsi="Arial" w:cs="Arial"/>
          <w:color w:val="auto"/>
          <w:kern w:val="0"/>
          <w:sz w:val="24"/>
          <w:szCs w:val="24"/>
          <w:lang w:eastAsia="en-GB"/>
          <w14:ligatures w14:val="none"/>
        </w:rPr>
        <w:t xml:space="preserve">The provisional schools block allocation </w:t>
      </w:r>
      <w:r w:rsidR="00B11E7E" w:rsidRPr="00BA59D3">
        <w:rPr>
          <w:rFonts w:ascii="Arial" w:eastAsia="Times New Roman" w:hAnsi="Arial" w:cs="Arial"/>
          <w:color w:val="auto"/>
          <w:kern w:val="0"/>
          <w:sz w:val="24"/>
          <w:szCs w:val="24"/>
          <w:lang w:eastAsia="en-GB"/>
          <w14:ligatures w14:val="none"/>
        </w:rPr>
        <w:t xml:space="preserve">for HCC </w:t>
      </w:r>
      <w:r w:rsidR="00514946">
        <w:rPr>
          <w:rFonts w:ascii="Arial" w:eastAsia="Times New Roman" w:hAnsi="Arial" w:cs="Arial"/>
          <w:color w:val="auto"/>
          <w:kern w:val="0"/>
          <w:sz w:val="24"/>
          <w:szCs w:val="24"/>
          <w:lang w:eastAsia="en-GB"/>
          <w14:ligatures w14:val="none"/>
        </w:rPr>
        <w:t xml:space="preserve">(excluding the growth allocation) </w:t>
      </w:r>
      <w:r w:rsidR="00B11E7E" w:rsidRPr="00BA59D3">
        <w:rPr>
          <w:rFonts w:ascii="Arial" w:eastAsia="Times New Roman" w:hAnsi="Arial" w:cs="Arial"/>
          <w:color w:val="auto"/>
          <w:kern w:val="0"/>
          <w:sz w:val="24"/>
          <w:szCs w:val="24"/>
          <w:lang w:eastAsia="en-GB"/>
          <w14:ligatures w14:val="none"/>
        </w:rPr>
        <w:t xml:space="preserve">is showing an 8.2% increase </w:t>
      </w:r>
      <w:r w:rsidR="000F2F24">
        <w:rPr>
          <w:rFonts w:ascii="Arial" w:eastAsia="Times New Roman" w:hAnsi="Arial" w:cs="Arial"/>
          <w:color w:val="auto"/>
          <w:kern w:val="0"/>
          <w:sz w:val="24"/>
          <w:szCs w:val="24"/>
          <w:lang w:eastAsia="en-GB"/>
          <w14:ligatures w14:val="none"/>
        </w:rPr>
        <w:t>in</w:t>
      </w:r>
      <w:r w:rsidR="00B11E7E" w:rsidRPr="00BA59D3">
        <w:rPr>
          <w:rFonts w:ascii="Arial" w:eastAsia="Times New Roman" w:hAnsi="Arial" w:cs="Arial"/>
          <w:color w:val="auto"/>
          <w:kern w:val="0"/>
          <w:sz w:val="24"/>
          <w:szCs w:val="24"/>
          <w:lang w:eastAsia="en-GB"/>
          <w14:ligatures w14:val="none"/>
        </w:rPr>
        <w:t xml:space="preserve"> 2025</w:t>
      </w:r>
      <w:r w:rsidR="00321897">
        <w:rPr>
          <w:rFonts w:ascii="Arial" w:eastAsia="Times New Roman" w:hAnsi="Arial" w:cs="Arial"/>
          <w:color w:val="auto"/>
          <w:kern w:val="0"/>
          <w:sz w:val="24"/>
          <w:szCs w:val="24"/>
          <w:lang w:eastAsia="en-GB"/>
          <w14:ligatures w14:val="none"/>
        </w:rPr>
        <w:t>/26</w:t>
      </w:r>
      <w:r w:rsidR="00D62542" w:rsidRPr="00BA59D3">
        <w:rPr>
          <w:rFonts w:ascii="Arial" w:eastAsia="Times New Roman" w:hAnsi="Arial" w:cs="Arial"/>
          <w:color w:val="auto"/>
          <w:kern w:val="0"/>
          <w:sz w:val="24"/>
          <w:szCs w:val="24"/>
          <w:lang w:eastAsia="en-GB"/>
          <w14:ligatures w14:val="none"/>
        </w:rPr>
        <w:t xml:space="preserve">.  A significant element of the increased </w:t>
      </w:r>
      <w:r w:rsidR="003C746D" w:rsidRPr="00BA59D3">
        <w:rPr>
          <w:rFonts w:ascii="Arial" w:eastAsia="Times New Roman" w:hAnsi="Arial" w:cs="Arial"/>
          <w:color w:val="auto"/>
          <w:kern w:val="0"/>
          <w:sz w:val="24"/>
          <w:szCs w:val="24"/>
          <w:lang w:eastAsia="en-GB"/>
          <w14:ligatures w14:val="none"/>
        </w:rPr>
        <w:t xml:space="preserve">2025/26 </w:t>
      </w:r>
      <w:r w:rsidR="00D62542" w:rsidRPr="00BA59D3">
        <w:rPr>
          <w:rFonts w:ascii="Arial" w:eastAsia="Times New Roman" w:hAnsi="Arial" w:cs="Arial"/>
          <w:color w:val="auto"/>
          <w:kern w:val="0"/>
          <w:sz w:val="24"/>
          <w:szCs w:val="24"/>
          <w:lang w:eastAsia="en-GB"/>
          <w14:ligatures w14:val="none"/>
        </w:rPr>
        <w:t>allocation relates to t</w:t>
      </w:r>
      <w:r w:rsidR="005B3B38" w:rsidRPr="00BA59D3">
        <w:rPr>
          <w:rFonts w:ascii="Arial" w:eastAsia="Times New Roman" w:hAnsi="Arial" w:cs="Arial"/>
          <w:color w:val="auto"/>
          <w:kern w:val="0"/>
          <w:sz w:val="24"/>
          <w:szCs w:val="24"/>
          <w:lang w:eastAsia="en-GB"/>
          <w14:ligatures w14:val="none"/>
        </w:rPr>
        <w:t>he mainstream schools’ elements of the Teachers’ Pay Additional Grant (TPAG), the Teachers’ Pension Employer Contribution Grant (TPECG) 2024 and the</w:t>
      </w:r>
      <w:r w:rsidR="005B3B38" w:rsidRPr="00BA59D3">
        <w:rPr>
          <w:color w:val="auto"/>
          <w14:ligatures w14:val="none"/>
        </w:rPr>
        <w:t xml:space="preserve"> </w:t>
      </w:r>
      <w:r w:rsidR="005B3B38" w:rsidRPr="00BA59D3">
        <w:rPr>
          <w:rFonts w:ascii="Arial" w:eastAsia="Times New Roman" w:hAnsi="Arial" w:cs="Arial"/>
          <w:color w:val="auto"/>
          <w:kern w:val="0"/>
          <w:sz w:val="24"/>
          <w:szCs w:val="24"/>
          <w:lang w:eastAsia="en-GB"/>
          <w14:ligatures w14:val="none"/>
        </w:rPr>
        <w:t xml:space="preserve">Core Schools Budget Grant (CSBG) </w:t>
      </w:r>
      <w:r w:rsidR="00D62542" w:rsidRPr="00BA59D3">
        <w:rPr>
          <w:rFonts w:ascii="Arial" w:eastAsia="Times New Roman" w:hAnsi="Arial" w:cs="Arial"/>
          <w:color w:val="auto"/>
          <w:kern w:val="0"/>
          <w:sz w:val="24"/>
          <w:szCs w:val="24"/>
          <w:lang w:eastAsia="en-GB"/>
          <w14:ligatures w14:val="none"/>
        </w:rPr>
        <w:lastRenderedPageBreak/>
        <w:t>being</w:t>
      </w:r>
      <w:r w:rsidR="005B3B38" w:rsidRPr="00BA59D3">
        <w:rPr>
          <w:rFonts w:ascii="Arial" w:eastAsia="Times New Roman" w:hAnsi="Arial" w:cs="Arial"/>
          <w:color w:val="auto"/>
          <w:kern w:val="0"/>
          <w:sz w:val="24"/>
          <w:szCs w:val="24"/>
          <w:lang w:eastAsia="en-GB"/>
          <w14:ligatures w14:val="none"/>
        </w:rPr>
        <w:t xml:space="preserve"> rolled into the schools NFF for 2025 to 2026. </w:t>
      </w:r>
      <w:r w:rsidR="00C61E9F" w:rsidRPr="00BA59D3">
        <w:rPr>
          <w:rFonts w:ascii="Arial" w:eastAsia="Times New Roman" w:hAnsi="Arial" w:cs="Arial"/>
          <w:color w:val="auto"/>
          <w:kern w:val="0"/>
          <w:sz w:val="24"/>
          <w:szCs w:val="24"/>
          <w:lang w:eastAsia="en-GB"/>
          <w14:ligatures w14:val="none"/>
        </w:rPr>
        <w:t xml:space="preserve">This includes </w:t>
      </w:r>
      <w:r w:rsidR="0058118D" w:rsidRPr="00BA59D3">
        <w:rPr>
          <w:rFonts w:ascii="Arial" w:eastAsia="Times New Roman" w:hAnsi="Arial" w:cs="Arial"/>
          <w:color w:val="auto"/>
          <w:kern w:val="0"/>
          <w:sz w:val="24"/>
          <w:szCs w:val="24"/>
          <w:lang w:eastAsia="en-GB"/>
          <w14:ligatures w14:val="none"/>
        </w:rPr>
        <w:t>a</w:t>
      </w:r>
      <w:r w:rsidR="005B3B38" w:rsidRPr="00BA59D3">
        <w:rPr>
          <w:rFonts w:ascii="Arial" w:eastAsia="Times New Roman" w:hAnsi="Arial" w:cs="Arial"/>
          <w:color w:val="auto"/>
          <w:kern w:val="0"/>
          <w:sz w:val="24"/>
          <w:szCs w:val="24"/>
          <w:lang w:eastAsia="en-GB"/>
          <w14:ligatures w14:val="none"/>
        </w:rPr>
        <w:t xml:space="preserve">dditional funding to cover the </w:t>
      </w:r>
      <w:r w:rsidR="0058118D" w:rsidRPr="00BA59D3">
        <w:rPr>
          <w:rFonts w:ascii="Arial" w:eastAsia="Times New Roman" w:hAnsi="Arial" w:cs="Arial"/>
          <w:color w:val="auto"/>
          <w:kern w:val="0"/>
          <w:sz w:val="24"/>
          <w:szCs w:val="24"/>
          <w:lang w:eastAsia="en-GB"/>
          <w14:ligatures w14:val="none"/>
        </w:rPr>
        <w:t xml:space="preserve">full year effect </w:t>
      </w:r>
      <w:r w:rsidR="005B3B38" w:rsidRPr="00BA59D3">
        <w:rPr>
          <w:rFonts w:ascii="Arial" w:eastAsia="Times New Roman" w:hAnsi="Arial" w:cs="Arial"/>
          <w:color w:val="auto"/>
          <w:kern w:val="0"/>
          <w:sz w:val="24"/>
          <w:szCs w:val="24"/>
          <w:lang w:eastAsia="en-GB"/>
          <w14:ligatures w14:val="none"/>
        </w:rPr>
        <w:t>of the 2024 teachers’ pay award in mainstream schools - the “CSBG uplift”. Factor values have been increased to take account of the rolling in of these grants (and the CSBG uplift)</w:t>
      </w:r>
      <w:r w:rsidR="008F4885">
        <w:rPr>
          <w:rFonts w:ascii="Arial" w:eastAsia="Times New Roman" w:hAnsi="Arial" w:cs="Arial"/>
          <w:color w:val="auto"/>
          <w:kern w:val="0"/>
          <w:sz w:val="24"/>
          <w:szCs w:val="24"/>
          <w:lang w:eastAsia="en-GB"/>
          <w14:ligatures w14:val="none"/>
        </w:rPr>
        <w:t xml:space="preserve"> therefore, whilst unit </w:t>
      </w:r>
      <w:r w:rsidR="008F4885" w:rsidRPr="00AD3799">
        <w:rPr>
          <w:rFonts w:ascii="Arial" w:eastAsia="Times New Roman" w:hAnsi="Arial" w:cs="Arial"/>
          <w:color w:val="auto"/>
          <w:kern w:val="0"/>
          <w:sz w:val="24"/>
          <w:szCs w:val="24"/>
          <w:lang w:eastAsia="en-GB"/>
          <w14:ligatures w14:val="none"/>
        </w:rPr>
        <w:t xml:space="preserve">values have increased </w:t>
      </w:r>
      <w:r w:rsidR="00C43523" w:rsidRPr="00AD3799">
        <w:rPr>
          <w:rFonts w:ascii="Arial" w:eastAsia="Times New Roman" w:hAnsi="Arial" w:cs="Arial"/>
          <w:color w:val="auto"/>
          <w:kern w:val="0"/>
          <w:sz w:val="24"/>
          <w:szCs w:val="24"/>
          <w:lang w:eastAsia="en-GB"/>
          <w14:ligatures w14:val="none"/>
        </w:rPr>
        <w:t>substantially, this does not represent an increase in funding</w:t>
      </w:r>
      <w:r w:rsidR="005118A3">
        <w:rPr>
          <w:rFonts w:ascii="Arial" w:eastAsia="Times New Roman" w:hAnsi="Arial" w:cs="Arial"/>
          <w:color w:val="auto"/>
          <w:kern w:val="0"/>
          <w:sz w:val="24"/>
          <w:szCs w:val="24"/>
          <w:lang w:eastAsia="en-GB"/>
          <w14:ligatures w14:val="none"/>
        </w:rPr>
        <w:t xml:space="preserve"> beyond what </w:t>
      </w:r>
      <w:r w:rsidR="00AB3538">
        <w:rPr>
          <w:rFonts w:ascii="Arial" w:eastAsia="Times New Roman" w:hAnsi="Arial" w:cs="Arial"/>
          <w:color w:val="auto"/>
          <w:kern w:val="0"/>
          <w:sz w:val="24"/>
          <w:szCs w:val="24"/>
          <w:lang w:eastAsia="en-GB"/>
          <w14:ligatures w14:val="none"/>
        </w:rPr>
        <w:t>has already been provided or announced</w:t>
      </w:r>
      <w:r w:rsidR="00C43523" w:rsidRPr="00AD3799">
        <w:rPr>
          <w:rFonts w:ascii="Arial" w:eastAsia="Times New Roman" w:hAnsi="Arial" w:cs="Arial"/>
          <w:color w:val="auto"/>
          <w:kern w:val="0"/>
          <w:sz w:val="24"/>
          <w:szCs w:val="24"/>
          <w:lang w:eastAsia="en-GB"/>
          <w14:ligatures w14:val="none"/>
        </w:rPr>
        <w:t>.</w:t>
      </w:r>
    </w:p>
    <w:p w14:paraId="4043C52D" w14:textId="26B46BCB" w:rsidR="00F5550A" w:rsidRPr="00AD3799" w:rsidRDefault="000A1492" w:rsidP="001D1930">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D3799">
        <w:rPr>
          <w:rFonts w:ascii="Arial" w:eastAsia="Times New Roman" w:hAnsi="Arial" w:cs="Arial"/>
          <w:color w:val="auto"/>
          <w:kern w:val="0"/>
          <w:sz w:val="24"/>
          <w:szCs w:val="24"/>
          <w:lang w:eastAsia="en-GB"/>
          <w14:ligatures w14:val="none"/>
        </w:rPr>
        <w:t xml:space="preserve">A small </w:t>
      </w:r>
      <w:r w:rsidR="005B3B38" w:rsidRPr="00AD3799">
        <w:rPr>
          <w:rFonts w:ascii="Arial" w:eastAsia="Times New Roman" w:hAnsi="Arial" w:cs="Arial"/>
          <w:color w:val="auto"/>
          <w:kern w:val="0"/>
          <w:sz w:val="24"/>
          <w:szCs w:val="24"/>
          <w:lang w:eastAsia="en-GB"/>
          <w14:ligatures w14:val="none"/>
        </w:rPr>
        <w:t xml:space="preserve">uplift </w:t>
      </w:r>
      <w:r w:rsidRPr="00AD3799">
        <w:rPr>
          <w:rFonts w:ascii="Arial" w:eastAsia="Times New Roman" w:hAnsi="Arial" w:cs="Arial"/>
          <w:color w:val="auto"/>
          <w:kern w:val="0"/>
          <w:sz w:val="24"/>
          <w:szCs w:val="24"/>
          <w:lang w:eastAsia="en-GB"/>
          <w14:ligatures w14:val="none"/>
        </w:rPr>
        <w:t xml:space="preserve">has been </w:t>
      </w:r>
      <w:r w:rsidR="005B3B38" w:rsidRPr="00AD3799">
        <w:rPr>
          <w:rFonts w:ascii="Arial" w:eastAsia="Times New Roman" w:hAnsi="Arial" w:cs="Arial"/>
          <w:color w:val="auto"/>
          <w:kern w:val="0"/>
          <w:sz w:val="24"/>
          <w:szCs w:val="24"/>
          <w:lang w:eastAsia="en-GB"/>
          <w14:ligatures w14:val="none"/>
        </w:rPr>
        <w:t>applied on top of th</w:t>
      </w:r>
      <w:r w:rsidRPr="00AD3799">
        <w:rPr>
          <w:rFonts w:ascii="Arial" w:eastAsia="Times New Roman" w:hAnsi="Arial" w:cs="Arial"/>
          <w:color w:val="auto"/>
          <w:kern w:val="0"/>
          <w:sz w:val="24"/>
          <w:szCs w:val="24"/>
          <w:lang w:eastAsia="en-GB"/>
          <w14:ligatures w14:val="none"/>
        </w:rPr>
        <w:t xml:space="preserve">e mainstreamed unit values </w:t>
      </w:r>
      <w:r w:rsidR="00657059" w:rsidRPr="00AD3799">
        <w:rPr>
          <w:rFonts w:ascii="Arial" w:eastAsia="Times New Roman" w:hAnsi="Arial" w:cs="Arial"/>
          <w:color w:val="auto"/>
          <w:kern w:val="0"/>
          <w:sz w:val="24"/>
          <w:szCs w:val="24"/>
          <w:lang w:eastAsia="en-GB"/>
          <w14:ligatures w14:val="none"/>
        </w:rPr>
        <w:t xml:space="preserve">and </w:t>
      </w:r>
      <w:r w:rsidR="00976A6C">
        <w:rPr>
          <w:rFonts w:ascii="Arial" w:eastAsia="Times New Roman" w:hAnsi="Arial" w:cs="Arial"/>
          <w:color w:val="auto"/>
          <w:kern w:val="0"/>
          <w:sz w:val="24"/>
          <w:szCs w:val="24"/>
          <w:lang w:eastAsia="en-GB"/>
          <w14:ligatures w14:val="none"/>
        </w:rPr>
        <w:t>the</w:t>
      </w:r>
      <w:r w:rsidR="00657059" w:rsidRPr="00AD3799">
        <w:rPr>
          <w:rFonts w:ascii="Arial" w:eastAsia="Times New Roman" w:hAnsi="Arial" w:cs="Arial"/>
          <w:color w:val="auto"/>
          <w:kern w:val="0"/>
          <w:sz w:val="24"/>
          <w:szCs w:val="24"/>
          <w:lang w:eastAsia="en-GB"/>
          <w14:ligatures w14:val="none"/>
        </w:rPr>
        <w:t xml:space="preserve"> </w:t>
      </w:r>
      <w:r w:rsidR="00E4095A">
        <w:rPr>
          <w:rFonts w:ascii="Arial" w:eastAsia="Times New Roman" w:hAnsi="Arial" w:cs="Arial"/>
          <w:color w:val="auto"/>
          <w:kern w:val="0"/>
          <w:sz w:val="24"/>
          <w:szCs w:val="24"/>
          <w:lang w:eastAsia="en-GB"/>
          <w14:ligatures w14:val="none"/>
        </w:rPr>
        <w:t xml:space="preserve">DfE have set the </w:t>
      </w:r>
      <w:r w:rsidR="00436EFA" w:rsidRPr="00AD3799">
        <w:rPr>
          <w:rFonts w:ascii="Arial" w:eastAsia="Times New Roman" w:hAnsi="Arial" w:cs="Arial"/>
          <w:color w:val="auto"/>
          <w:kern w:val="0"/>
          <w:sz w:val="24"/>
          <w:szCs w:val="24"/>
          <w:lang w:eastAsia="en-GB"/>
          <w14:ligatures w14:val="none"/>
        </w:rPr>
        <w:t>minimum funding guarantee</w:t>
      </w:r>
      <w:r w:rsidR="001913D8">
        <w:rPr>
          <w:rFonts w:ascii="Arial" w:eastAsia="Times New Roman" w:hAnsi="Arial" w:cs="Arial"/>
          <w:color w:val="auto"/>
          <w:kern w:val="0"/>
          <w:sz w:val="24"/>
          <w:szCs w:val="24"/>
          <w:lang w:eastAsia="en-GB"/>
          <w14:ligatures w14:val="none"/>
        </w:rPr>
        <w:t xml:space="preserve"> (MFG)</w:t>
      </w:r>
      <w:r w:rsidR="00976A6C">
        <w:rPr>
          <w:rFonts w:ascii="Arial" w:eastAsia="Times New Roman" w:hAnsi="Arial" w:cs="Arial"/>
          <w:color w:val="auto"/>
          <w:kern w:val="0"/>
          <w:sz w:val="24"/>
          <w:szCs w:val="24"/>
          <w:lang w:eastAsia="en-GB"/>
          <w14:ligatures w14:val="none"/>
        </w:rPr>
        <w:t xml:space="preserve"> allowable</w:t>
      </w:r>
      <w:r w:rsidR="00436EFA" w:rsidRPr="00AD3799">
        <w:rPr>
          <w:rFonts w:ascii="Arial" w:eastAsia="Times New Roman" w:hAnsi="Arial" w:cs="Arial"/>
          <w:color w:val="auto"/>
          <w:kern w:val="0"/>
          <w:sz w:val="24"/>
          <w:szCs w:val="24"/>
          <w:lang w:eastAsia="en-GB"/>
          <w14:ligatures w14:val="none"/>
        </w:rPr>
        <w:t xml:space="preserve"> </w:t>
      </w:r>
      <w:r w:rsidR="001263F2" w:rsidRPr="00AD3799">
        <w:rPr>
          <w:rFonts w:ascii="Arial" w:eastAsia="Times New Roman" w:hAnsi="Arial" w:cs="Arial"/>
          <w:color w:val="auto"/>
          <w:kern w:val="0"/>
          <w:sz w:val="24"/>
          <w:szCs w:val="24"/>
          <w:lang w:eastAsia="en-GB"/>
          <w14:ligatures w14:val="none"/>
        </w:rPr>
        <w:t>at</w:t>
      </w:r>
      <w:r w:rsidR="00E4745F" w:rsidRPr="00AD3799">
        <w:rPr>
          <w:rFonts w:ascii="Arial" w:eastAsia="Times New Roman" w:hAnsi="Arial" w:cs="Arial"/>
          <w:color w:val="auto"/>
          <w:kern w:val="0"/>
          <w:sz w:val="24"/>
          <w:szCs w:val="24"/>
          <w:lang w:eastAsia="en-GB"/>
          <w14:ligatures w14:val="none"/>
        </w:rPr>
        <w:t xml:space="preserve"> </w:t>
      </w:r>
      <w:r w:rsidR="00976A6C">
        <w:rPr>
          <w:rFonts w:ascii="Arial" w:eastAsia="Times New Roman" w:hAnsi="Arial" w:cs="Arial"/>
          <w:color w:val="auto"/>
          <w:kern w:val="0"/>
          <w:sz w:val="24"/>
          <w:szCs w:val="24"/>
          <w:lang w:eastAsia="en-GB"/>
          <w14:ligatures w14:val="none"/>
        </w:rPr>
        <w:t xml:space="preserve">between </w:t>
      </w:r>
      <w:r w:rsidR="00617B4D">
        <w:rPr>
          <w:rFonts w:ascii="Arial" w:eastAsia="Times New Roman" w:hAnsi="Arial" w:cs="Arial"/>
          <w:color w:val="auto"/>
          <w:kern w:val="0"/>
          <w:sz w:val="24"/>
          <w:szCs w:val="24"/>
          <w:lang w:eastAsia="en-GB"/>
          <w14:ligatures w14:val="none"/>
        </w:rPr>
        <w:t xml:space="preserve">minus 0.5% and </w:t>
      </w:r>
      <w:r w:rsidR="00E4745F" w:rsidRPr="00AD3799">
        <w:rPr>
          <w:rFonts w:ascii="Arial" w:eastAsia="Times New Roman" w:hAnsi="Arial" w:cs="Arial"/>
          <w:color w:val="auto"/>
          <w:kern w:val="0"/>
          <w:sz w:val="24"/>
          <w:szCs w:val="24"/>
          <w:lang w:eastAsia="en-GB"/>
          <w14:ligatures w14:val="none"/>
        </w:rPr>
        <w:t>0</w:t>
      </w:r>
      <w:r w:rsidR="00617B4D">
        <w:rPr>
          <w:rFonts w:ascii="Arial" w:eastAsia="Times New Roman" w:hAnsi="Arial" w:cs="Arial"/>
          <w:color w:val="auto"/>
          <w:kern w:val="0"/>
          <w:sz w:val="24"/>
          <w:szCs w:val="24"/>
          <w:lang w:eastAsia="en-GB"/>
          <w14:ligatures w14:val="none"/>
        </w:rPr>
        <w:t>.0</w:t>
      </w:r>
      <w:r w:rsidR="00E4745F" w:rsidRPr="00AD3799">
        <w:rPr>
          <w:rFonts w:ascii="Arial" w:eastAsia="Times New Roman" w:hAnsi="Arial" w:cs="Arial"/>
          <w:color w:val="auto"/>
          <w:kern w:val="0"/>
          <w:sz w:val="24"/>
          <w:szCs w:val="24"/>
          <w:lang w:eastAsia="en-GB"/>
          <w14:ligatures w14:val="none"/>
        </w:rPr>
        <w:t>%</w:t>
      </w:r>
      <w:r w:rsidR="005B3B38" w:rsidRPr="00AD3799">
        <w:rPr>
          <w:rFonts w:ascii="Arial" w:eastAsia="Times New Roman" w:hAnsi="Arial" w:cs="Arial"/>
          <w:color w:val="auto"/>
          <w:kern w:val="0"/>
          <w:sz w:val="24"/>
          <w:szCs w:val="24"/>
          <w:lang w:eastAsia="en-GB"/>
          <w14:ligatures w14:val="none"/>
        </w:rPr>
        <w:t>.</w:t>
      </w:r>
    </w:p>
    <w:p w14:paraId="037658AF" w14:textId="6FC2B8DD" w:rsidR="00F5550A" w:rsidRDefault="00555A54" w:rsidP="00B21866">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AD3799">
        <w:rPr>
          <w:rFonts w:ascii="Arial" w:eastAsia="Times New Roman" w:hAnsi="Arial" w:cs="Arial"/>
          <w:color w:val="auto"/>
          <w:kern w:val="0"/>
          <w:sz w:val="24"/>
          <w:szCs w:val="24"/>
          <w:lang w:eastAsia="en-GB"/>
          <w14:ligatures w14:val="none"/>
        </w:rPr>
        <w:t xml:space="preserve">The following table shows the provisional DSG allocations </w:t>
      </w:r>
      <w:r w:rsidRPr="00555A54">
        <w:rPr>
          <w:rFonts w:ascii="Arial" w:eastAsia="Times New Roman" w:hAnsi="Arial" w:cs="Arial"/>
          <w:color w:val="auto"/>
          <w:kern w:val="0"/>
          <w:sz w:val="24"/>
          <w:szCs w:val="24"/>
          <w:lang w:eastAsia="en-GB"/>
          <w14:ligatures w14:val="none"/>
        </w:rPr>
        <w:t>for Hampshire compared with the current allocations for 202</w:t>
      </w:r>
      <w:r>
        <w:rPr>
          <w:rFonts w:ascii="Arial" w:eastAsia="Times New Roman" w:hAnsi="Arial" w:cs="Arial"/>
          <w:color w:val="auto"/>
          <w:kern w:val="0"/>
          <w:sz w:val="24"/>
          <w:szCs w:val="24"/>
          <w:lang w:eastAsia="en-GB"/>
          <w14:ligatures w14:val="none"/>
        </w:rPr>
        <w:t>4</w:t>
      </w:r>
      <w:r w:rsidRPr="00555A54">
        <w:rPr>
          <w:rFonts w:ascii="Arial" w:eastAsia="Times New Roman" w:hAnsi="Arial" w:cs="Arial"/>
          <w:color w:val="auto"/>
          <w:kern w:val="0"/>
          <w:sz w:val="24"/>
          <w:szCs w:val="24"/>
          <w:lang w:eastAsia="en-GB"/>
          <w14:ligatures w14:val="none"/>
        </w:rPr>
        <w:t>/2</w:t>
      </w:r>
      <w:r>
        <w:rPr>
          <w:rFonts w:ascii="Arial" w:eastAsia="Times New Roman" w:hAnsi="Arial" w:cs="Arial"/>
          <w:color w:val="auto"/>
          <w:kern w:val="0"/>
          <w:sz w:val="24"/>
          <w:szCs w:val="24"/>
          <w:lang w:eastAsia="en-GB"/>
          <w14:ligatures w14:val="none"/>
        </w:rPr>
        <w:t>5</w:t>
      </w:r>
      <w:r w:rsidRPr="00555A54">
        <w:rPr>
          <w:rFonts w:ascii="Arial" w:eastAsia="Times New Roman" w:hAnsi="Arial" w:cs="Arial"/>
          <w:color w:val="auto"/>
          <w:kern w:val="0"/>
          <w:sz w:val="24"/>
          <w:szCs w:val="24"/>
          <w:lang w:eastAsia="en-GB"/>
          <w14:ligatures w14:val="none"/>
        </w:rPr>
        <w:t>:</w:t>
      </w:r>
    </w:p>
    <w:tbl>
      <w:tblPr>
        <w:tblStyle w:val="TableGrid"/>
        <w:tblW w:w="0" w:type="auto"/>
        <w:tblInd w:w="425" w:type="dxa"/>
        <w:tblLook w:val="04A0" w:firstRow="1" w:lastRow="0" w:firstColumn="1" w:lastColumn="0" w:noHBand="0" w:noVBand="1"/>
      </w:tblPr>
      <w:tblGrid>
        <w:gridCol w:w="1700"/>
        <w:gridCol w:w="1751"/>
        <w:gridCol w:w="1751"/>
        <w:gridCol w:w="1703"/>
        <w:gridCol w:w="1686"/>
      </w:tblGrid>
      <w:tr w:rsidR="005E2578" w:rsidRPr="00884318" w14:paraId="355E1726" w14:textId="77777777" w:rsidTr="005D07D9">
        <w:tc>
          <w:tcPr>
            <w:tcW w:w="1718" w:type="dxa"/>
            <w:vAlign w:val="bottom"/>
          </w:tcPr>
          <w:p w14:paraId="155CB5C5" w14:textId="77777777" w:rsidR="005E2578" w:rsidRPr="00884318" w:rsidRDefault="005E2578" w:rsidP="005D07D9">
            <w:pPr>
              <w:pStyle w:val="Heading2"/>
              <w:keepNext w:val="0"/>
              <w:keepLines w:val="0"/>
              <w:spacing w:before="0" w:after="120"/>
              <w:rPr>
                <w:rFonts w:ascii="Arial" w:eastAsia="Times New Roman" w:hAnsi="Arial" w:cs="Arial"/>
                <w:color w:val="auto"/>
                <w:kern w:val="0"/>
                <w:sz w:val="24"/>
                <w:szCs w:val="24"/>
                <w:lang w:eastAsia="en-GB"/>
                <w14:ligatures w14:val="none"/>
              </w:rPr>
            </w:pPr>
            <w:r w:rsidRPr="00884318">
              <w:rPr>
                <w:rFonts w:ascii="Arial" w:eastAsia="Times New Roman" w:hAnsi="Arial" w:cs="Arial"/>
                <w:color w:val="auto"/>
                <w:kern w:val="0"/>
                <w:sz w:val="24"/>
                <w:szCs w:val="24"/>
                <w:lang w:eastAsia="en-GB"/>
                <w14:ligatures w14:val="none"/>
              </w:rPr>
              <w:br w:type="page"/>
            </w:r>
            <w:r w:rsidRPr="002F4AAC">
              <w:rPr>
                <w:rFonts w:ascii="Arial" w:eastAsia="Times New Roman" w:hAnsi="Arial" w:cs="Arial"/>
                <w:b/>
                <w:bCs/>
                <w:color w:val="000000"/>
                <w:kern w:val="0"/>
                <w:sz w:val="24"/>
                <w:szCs w:val="24"/>
                <w:lang w:eastAsia="en-GB"/>
                <w14:ligatures w14:val="none"/>
              </w:rPr>
              <w:t>Block</w:t>
            </w:r>
          </w:p>
        </w:tc>
        <w:tc>
          <w:tcPr>
            <w:tcW w:w="1718" w:type="dxa"/>
            <w:vAlign w:val="center"/>
          </w:tcPr>
          <w:p w14:paraId="20B60AFA"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000000"/>
                <w:kern w:val="0"/>
                <w:sz w:val="24"/>
                <w:szCs w:val="24"/>
                <w:lang w:eastAsia="en-GB"/>
                <w14:ligatures w14:val="none"/>
              </w:rPr>
              <w:t>Current DSG Allocations 2024/25</w:t>
            </w:r>
          </w:p>
        </w:tc>
        <w:tc>
          <w:tcPr>
            <w:tcW w:w="1718" w:type="dxa"/>
            <w:vAlign w:val="center"/>
          </w:tcPr>
          <w:p w14:paraId="02CFEC72"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000000"/>
                <w:kern w:val="0"/>
                <w:sz w:val="24"/>
                <w:szCs w:val="24"/>
                <w:lang w:eastAsia="en-GB"/>
                <w14:ligatures w14:val="none"/>
              </w:rPr>
              <w:t>Provisional DSG Allocations 2025/26</w:t>
            </w:r>
          </w:p>
        </w:tc>
        <w:tc>
          <w:tcPr>
            <w:tcW w:w="1718" w:type="dxa"/>
            <w:vAlign w:val="center"/>
          </w:tcPr>
          <w:p w14:paraId="7DAE79CC"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000000"/>
                <w:kern w:val="0"/>
                <w:sz w:val="24"/>
                <w:szCs w:val="24"/>
                <w:lang w:eastAsia="en-GB"/>
                <w14:ligatures w14:val="none"/>
              </w:rPr>
              <w:t>Change</w:t>
            </w:r>
          </w:p>
        </w:tc>
        <w:tc>
          <w:tcPr>
            <w:tcW w:w="1719" w:type="dxa"/>
            <w:vAlign w:val="center"/>
          </w:tcPr>
          <w:p w14:paraId="298383A5"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000000"/>
                <w:kern w:val="0"/>
                <w:sz w:val="24"/>
                <w:szCs w:val="24"/>
                <w:lang w:eastAsia="en-GB"/>
                <w14:ligatures w14:val="none"/>
              </w:rPr>
              <w:t>% change</w:t>
            </w:r>
          </w:p>
        </w:tc>
      </w:tr>
      <w:tr w:rsidR="005E2578" w:rsidRPr="00884318" w14:paraId="0ABF5D84" w14:textId="77777777" w:rsidTr="005D07D9">
        <w:tc>
          <w:tcPr>
            <w:tcW w:w="1718" w:type="dxa"/>
            <w:vAlign w:val="bottom"/>
          </w:tcPr>
          <w:p w14:paraId="75AAEE35" w14:textId="77777777" w:rsidR="005E2578" w:rsidRPr="00884318" w:rsidRDefault="005E2578" w:rsidP="005D07D9">
            <w:pPr>
              <w:pStyle w:val="Heading2"/>
              <w:keepNext w:val="0"/>
              <w:keepLines w:val="0"/>
              <w:spacing w:before="0" w:after="120"/>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000000"/>
                <w:kern w:val="0"/>
                <w:sz w:val="24"/>
                <w:szCs w:val="24"/>
                <w:lang w:eastAsia="en-GB"/>
                <w14:ligatures w14:val="none"/>
              </w:rPr>
              <w:t>Early Years*</w:t>
            </w:r>
          </w:p>
        </w:tc>
        <w:tc>
          <w:tcPr>
            <w:tcW w:w="1718" w:type="dxa"/>
            <w:vAlign w:val="bottom"/>
          </w:tcPr>
          <w:p w14:paraId="39816C8D"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152,246,463 </w:t>
            </w:r>
          </w:p>
        </w:tc>
        <w:tc>
          <w:tcPr>
            <w:tcW w:w="1718" w:type="dxa"/>
            <w:vAlign w:val="bottom"/>
          </w:tcPr>
          <w:p w14:paraId="352E3C75"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152,246,463 </w:t>
            </w:r>
          </w:p>
        </w:tc>
        <w:tc>
          <w:tcPr>
            <w:tcW w:w="1718" w:type="dxa"/>
            <w:vAlign w:val="bottom"/>
          </w:tcPr>
          <w:p w14:paraId="49D2292C"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w:t>
            </w:r>
          </w:p>
        </w:tc>
        <w:tc>
          <w:tcPr>
            <w:tcW w:w="1719" w:type="dxa"/>
            <w:vAlign w:val="bottom"/>
          </w:tcPr>
          <w:p w14:paraId="1E826091"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0.0%</w:t>
            </w:r>
          </w:p>
        </w:tc>
      </w:tr>
      <w:tr w:rsidR="005E2578" w:rsidRPr="00884318" w14:paraId="65E239B7" w14:textId="77777777" w:rsidTr="005D07D9">
        <w:tc>
          <w:tcPr>
            <w:tcW w:w="1718" w:type="dxa"/>
            <w:vAlign w:val="bottom"/>
          </w:tcPr>
          <w:p w14:paraId="6A734553" w14:textId="77777777" w:rsidR="005E2578" w:rsidRPr="00884318" w:rsidRDefault="005E2578" w:rsidP="005D07D9">
            <w:pPr>
              <w:pStyle w:val="Heading2"/>
              <w:keepNext w:val="0"/>
              <w:keepLines w:val="0"/>
              <w:spacing w:before="0" w:after="120"/>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000000"/>
                <w:kern w:val="0"/>
                <w:sz w:val="24"/>
                <w:szCs w:val="24"/>
                <w:lang w:eastAsia="en-GB"/>
                <w14:ligatures w14:val="none"/>
              </w:rPr>
              <w:t>Schools**</w:t>
            </w:r>
          </w:p>
        </w:tc>
        <w:tc>
          <w:tcPr>
            <w:tcW w:w="1718" w:type="dxa"/>
            <w:vAlign w:val="bottom"/>
          </w:tcPr>
          <w:p w14:paraId="63378014"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986,925,112 </w:t>
            </w:r>
          </w:p>
        </w:tc>
        <w:tc>
          <w:tcPr>
            <w:tcW w:w="1718" w:type="dxa"/>
            <w:vAlign w:val="bottom"/>
          </w:tcPr>
          <w:p w14:paraId="633973ED"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1,067,994,728 </w:t>
            </w:r>
          </w:p>
        </w:tc>
        <w:tc>
          <w:tcPr>
            <w:tcW w:w="1718" w:type="dxa"/>
            <w:vAlign w:val="bottom"/>
          </w:tcPr>
          <w:p w14:paraId="2E21442F"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81,069,616 </w:t>
            </w:r>
          </w:p>
        </w:tc>
        <w:tc>
          <w:tcPr>
            <w:tcW w:w="1719" w:type="dxa"/>
            <w:vAlign w:val="bottom"/>
          </w:tcPr>
          <w:p w14:paraId="4D4186EE"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8.2%</w:t>
            </w:r>
          </w:p>
        </w:tc>
      </w:tr>
      <w:tr w:rsidR="005E2578" w:rsidRPr="00884318" w14:paraId="00879D46" w14:textId="77777777" w:rsidTr="005D07D9">
        <w:tc>
          <w:tcPr>
            <w:tcW w:w="1718" w:type="dxa"/>
            <w:vAlign w:val="bottom"/>
          </w:tcPr>
          <w:p w14:paraId="32CD18D8" w14:textId="77777777" w:rsidR="005E2578" w:rsidRPr="00884318" w:rsidRDefault="005E2578" w:rsidP="005D07D9">
            <w:pPr>
              <w:pStyle w:val="Heading2"/>
              <w:keepNext w:val="0"/>
              <w:keepLines w:val="0"/>
              <w:spacing w:before="0" w:after="120"/>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000000"/>
                <w:kern w:val="0"/>
                <w:sz w:val="24"/>
                <w:szCs w:val="24"/>
                <w:lang w:eastAsia="en-GB"/>
                <w14:ligatures w14:val="none"/>
              </w:rPr>
              <w:t>High Needs</w:t>
            </w:r>
          </w:p>
        </w:tc>
        <w:tc>
          <w:tcPr>
            <w:tcW w:w="1718" w:type="dxa"/>
            <w:vAlign w:val="bottom"/>
          </w:tcPr>
          <w:p w14:paraId="013ED783"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207,041,186 </w:t>
            </w:r>
          </w:p>
        </w:tc>
        <w:tc>
          <w:tcPr>
            <w:tcW w:w="1718" w:type="dxa"/>
            <w:vAlign w:val="bottom"/>
          </w:tcPr>
          <w:p w14:paraId="62DE632D"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222,422,409 </w:t>
            </w:r>
          </w:p>
        </w:tc>
        <w:tc>
          <w:tcPr>
            <w:tcW w:w="1718" w:type="dxa"/>
            <w:vAlign w:val="bottom"/>
          </w:tcPr>
          <w:p w14:paraId="088FA419"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15,381,223 </w:t>
            </w:r>
          </w:p>
        </w:tc>
        <w:tc>
          <w:tcPr>
            <w:tcW w:w="1719" w:type="dxa"/>
            <w:vAlign w:val="bottom"/>
          </w:tcPr>
          <w:p w14:paraId="0996FD7F"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7.4%</w:t>
            </w:r>
          </w:p>
        </w:tc>
      </w:tr>
      <w:tr w:rsidR="005E2578" w:rsidRPr="00884318" w14:paraId="71A5ABDE" w14:textId="77777777" w:rsidTr="005D07D9">
        <w:tc>
          <w:tcPr>
            <w:tcW w:w="1718" w:type="dxa"/>
            <w:vAlign w:val="bottom"/>
          </w:tcPr>
          <w:p w14:paraId="6DA93961" w14:textId="77777777" w:rsidR="005E2578" w:rsidRPr="00884318" w:rsidRDefault="005E2578" w:rsidP="005D07D9">
            <w:pPr>
              <w:pStyle w:val="Heading2"/>
              <w:keepNext w:val="0"/>
              <w:keepLines w:val="0"/>
              <w:spacing w:before="0" w:after="120"/>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000000"/>
                <w:kern w:val="0"/>
                <w:sz w:val="24"/>
                <w:szCs w:val="24"/>
                <w:lang w:eastAsia="en-GB"/>
                <w14:ligatures w14:val="none"/>
              </w:rPr>
              <w:t>Central</w:t>
            </w:r>
          </w:p>
        </w:tc>
        <w:tc>
          <w:tcPr>
            <w:tcW w:w="1718" w:type="dxa"/>
            <w:vAlign w:val="bottom"/>
          </w:tcPr>
          <w:p w14:paraId="100B2BDD"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8,036,980 </w:t>
            </w:r>
          </w:p>
        </w:tc>
        <w:tc>
          <w:tcPr>
            <w:tcW w:w="1718" w:type="dxa"/>
            <w:vAlign w:val="bottom"/>
          </w:tcPr>
          <w:p w14:paraId="179E726A"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8,988,731 </w:t>
            </w:r>
          </w:p>
        </w:tc>
        <w:tc>
          <w:tcPr>
            <w:tcW w:w="1718" w:type="dxa"/>
            <w:vAlign w:val="bottom"/>
          </w:tcPr>
          <w:p w14:paraId="3497F7AB"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 xml:space="preserve">             951,751 </w:t>
            </w:r>
          </w:p>
        </w:tc>
        <w:tc>
          <w:tcPr>
            <w:tcW w:w="1719" w:type="dxa"/>
            <w:vAlign w:val="bottom"/>
          </w:tcPr>
          <w:p w14:paraId="45052693"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color w:val="auto"/>
                <w:kern w:val="0"/>
                <w:sz w:val="24"/>
                <w:szCs w:val="24"/>
                <w:lang w:eastAsia="en-GB"/>
                <w14:ligatures w14:val="none"/>
              </w:rPr>
              <w:t>11.8%</w:t>
            </w:r>
          </w:p>
        </w:tc>
      </w:tr>
      <w:tr w:rsidR="005E2578" w:rsidRPr="00884318" w14:paraId="2C274FD0" w14:textId="77777777" w:rsidTr="005D07D9">
        <w:tc>
          <w:tcPr>
            <w:tcW w:w="1718" w:type="dxa"/>
            <w:vAlign w:val="bottom"/>
          </w:tcPr>
          <w:p w14:paraId="7BBF5503" w14:textId="77777777" w:rsidR="005E2578" w:rsidRPr="00884318" w:rsidRDefault="005E2578" w:rsidP="005D07D9">
            <w:pPr>
              <w:pStyle w:val="Heading2"/>
              <w:keepNext w:val="0"/>
              <w:keepLines w:val="0"/>
              <w:spacing w:before="0" w:after="120"/>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000000"/>
                <w:kern w:val="0"/>
                <w:sz w:val="24"/>
                <w:szCs w:val="24"/>
                <w:lang w:eastAsia="en-GB"/>
                <w14:ligatures w14:val="none"/>
              </w:rPr>
              <w:t>Total DSG</w:t>
            </w:r>
          </w:p>
        </w:tc>
        <w:tc>
          <w:tcPr>
            <w:tcW w:w="1718" w:type="dxa"/>
            <w:vAlign w:val="bottom"/>
          </w:tcPr>
          <w:p w14:paraId="762D4D8C"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auto"/>
                <w:kern w:val="0"/>
                <w:sz w:val="24"/>
                <w:szCs w:val="24"/>
                <w:lang w:eastAsia="en-GB"/>
                <w14:ligatures w14:val="none"/>
              </w:rPr>
              <w:t xml:space="preserve">           1,354,249,741 </w:t>
            </w:r>
          </w:p>
        </w:tc>
        <w:tc>
          <w:tcPr>
            <w:tcW w:w="1718" w:type="dxa"/>
            <w:vAlign w:val="bottom"/>
          </w:tcPr>
          <w:p w14:paraId="4304DEA2"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auto"/>
                <w:kern w:val="0"/>
                <w:sz w:val="24"/>
                <w:szCs w:val="24"/>
                <w:lang w:eastAsia="en-GB"/>
                <w14:ligatures w14:val="none"/>
              </w:rPr>
              <w:t xml:space="preserve">       1,451,652,330 </w:t>
            </w:r>
          </w:p>
        </w:tc>
        <w:tc>
          <w:tcPr>
            <w:tcW w:w="1718" w:type="dxa"/>
            <w:vAlign w:val="bottom"/>
          </w:tcPr>
          <w:p w14:paraId="2CDDC08C" w14:textId="77777777" w:rsidR="005E2578" w:rsidRPr="00884318" w:rsidRDefault="005E2578" w:rsidP="005D07D9">
            <w:pPr>
              <w:pStyle w:val="Heading2"/>
              <w:keepNext w:val="0"/>
              <w:keepLines w:val="0"/>
              <w:spacing w:before="0" w:after="120"/>
              <w:jc w:val="right"/>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auto"/>
                <w:kern w:val="0"/>
                <w:sz w:val="24"/>
                <w:szCs w:val="24"/>
                <w:lang w:eastAsia="en-GB"/>
                <w14:ligatures w14:val="none"/>
              </w:rPr>
              <w:t xml:space="preserve">97,402,589 </w:t>
            </w:r>
          </w:p>
        </w:tc>
        <w:tc>
          <w:tcPr>
            <w:tcW w:w="1719" w:type="dxa"/>
            <w:vAlign w:val="bottom"/>
          </w:tcPr>
          <w:p w14:paraId="52309094" w14:textId="77777777" w:rsidR="005E2578" w:rsidRPr="00884318" w:rsidRDefault="005E2578" w:rsidP="005D07D9">
            <w:pPr>
              <w:pStyle w:val="Heading2"/>
              <w:keepNext w:val="0"/>
              <w:keepLines w:val="0"/>
              <w:spacing w:before="0" w:after="120"/>
              <w:jc w:val="center"/>
              <w:rPr>
                <w:rFonts w:ascii="Arial" w:eastAsia="Times New Roman" w:hAnsi="Arial" w:cs="Arial"/>
                <w:color w:val="auto"/>
                <w:kern w:val="0"/>
                <w:sz w:val="24"/>
                <w:szCs w:val="24"/>
                <w:lang w:eastAsia="en-GB"/>
                <w14:ligatures w14:val="none"/>
              </w:rPr>
            </w:pPr>
            <w:r w:rsidRPr="002F4AAC">
              <w:rPr>
                <w:rFonts w:ascii="Arial" w:eastAsia="Times New Roman" w:hAnsi="Arial" w:cs="Arial"/>
                <w:b/>
                <w:bCs/>
                <w:color w:val="auto"/>
                <w:kern w:val="0"/>
                <w:sz w:val="24"/>
                <w:szCs w:val="24"/>
                <w:lang w:eastAsia="en-GB"/>
                <w14:ligatures w14:val="none"/>
              </w:rPr>
              <w:t>7.2%</w:t>
            </w:r>
          </w:p>
        </w:tc>
      </w:tr>
    </w:tbl>
    <w:p w14:paraId="51290AD7" w14:textId="77777777" w:rsidR="005E6440" w:rsidRPr="005E6440" w:rsidRDefault="005E6440" w:rsidP="005E6440">
      <w:pPr>
        <w:rPr>
          <w:lang w:eastAsia="en-GB"/>
        </w:rPr>
      </w:pPr>
    </w:p>
    <w:p w14:paraId="7932841F" w14:textId="77777777" w:rsidR="00BB2B9E" w:rsidRPr="00F865D6" w:rsidRDefault="00BB2B9E" w:rsidP="00BB2B9E">
      <w:pPr>
        <w:pStyle w:val="Heading2"/>
        <w:spacing w:after="120"/>
        <w:ind w:left="360"/>
        <w:rPr>
          <w:rFonts w:ascii="Arial" w:eastAsia="Times New Roman" w:hAnsi="Arial" w:cs="Arial"/>
          <w:color w:val="auto"/>
          <w:kern w:val="0"/>
          <w:sz w:val="24"/>
          <w:szCs w:val="24"/>
          <w:lang w:eastAsia="en-GB"/>
          <w14:ligatures w14:val="none"/>
        </w:rPr>
      </w:pPr>
      <w:r w:rsidRPr="00884318">
        <w:rPr>
          <w:rFonts w:ascii="Arial" w:eastAsia="Times New Roman" w:hAnsi="Arial" w:cs="Arial"/>
          <w:color w:val="auto"/>
          <w:kern w:val="0"/>
          <w:sz w:val="24"/>
          <w:szCs w:val="24"/>
          <w:lang w:eastAsia="en-GB"/>
          <w14:ligatures w14:val="none"/>
        </w:rPr>
        <w:t>*Provisional 25/26 allocations for Early Years Block not yet provided, allocations</w:t>
      </w:r>
      <w:r w:rsidRPr="00F865D6">
        <w:rPr>
          <w:rFonts w:ascii="Arial" w:eastAsia="Times New Roman" w:hAnsi="Arial" w:cs="Arial"/>
          <w:color w:val="auto"/>
          <w:kern w:val="0"/>
          <w:sz w:val="24"/>
          <w:szCs w:val="24"/>
          <w:lang w:eastAsia="en-GB"/>
          <w14:ligatures w14:val="none"/>
        </w:rPr>
        <w:t xml:space="preserve"> will also increase due to supplementary grant once confirmed</w:t>
      </w:r>
    </w:p>
    <w:p w14:paraId="22038682" w14:textId="77777777" w:rsidR="00BB2B9E" w:rsidRDefault="00BB2B9E" w:rsidP="00BB2B9E">
      <w:pPr>
        <w:pStyle w:val="Heading2"/>
        <w:keepNext w:val="0"/>
        <w:keepLines w:val="0"/>
        <w:spacing w:before="0" w:after="120"/>
        <w:ind w:left="360"/>
        <w:rPr>
          <w:rFonts w:ascii="Arial" w:eastAsia="Times New Roman" w:hAnsi="Arial" w:cs="Arial"/>
          <w:color w:val="auto"/>
          <w:kern w:val="0"/>
          <w:sz w:val="24"/>
          <w:szCs w:val="24"/>
          <w:lang w:eastAsia="en-GB"/>
          <w14:ligatures w14:val="none"/>
        </w:rPr>
      </w:pPr>
      <w:r w:rsidRPr="00F865D6">
        <w:rPr>
          <w:rFonts w:ascii="Arial" w:eastAsia="Times New Roman" w:hAnsi="Arial" w:cs="Arial"/>
          <w:color w:val="auto"/>
          <w:kern w:val="0"/>
          <w:sz w:val="24"/>
          <w:szCs w:val="24"/>
          <w:lang w:eastAsia="en-GB"/>
          <w14:ligatures w14:val="none"/>
        </w:rPr>
        <w:t>**Excludes 2024/25 growth allocation (£5,054,387) as not yet provided for 2025/26</w:t>
      </w:r>
    </w:p>
    <w:p w14:paraId="598703C0" w14:textId="2C70EE65" w:rsidR="0007206D" w:rsidRPr="004521D2" w:rsidRDefault="00097D1D" w:rsidP="00B21866">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Pr>
          <w:rFonts w:ascii="Arial" w:eastAsia="Times New Roman" w:hAnsi="Arial" w:cs="Arial"/>
          <w:color w:val="auto"/>
          <w:kern w:val="0"/>
          <w:sz w:val="24"/>
          <w:szCs w:val="24"/>
          <w:lang w:eastAsia="en-GB"/>
          <w14:ligatures w14:val="none"/>
        </w:rPr>
        <w:t>As above, w</w:t>
      </w:r>
      <w:r w:rsidR="0007206D" w:rsidRPr="004521D2">
        <w:rPr>
          <w:rFonts w:ascii="Arial" w:eastAsia="Times New Roman" w:hAnsi="Arial" w:cs="Arial"/>
          <w:color w:val="auto"/>
          <w:kern w:val="0"/>
          <w:sz w:val="24"/>
          <w:szCs w:val="24"/>
          <w:lang w:eastAsia="en-GB"/>
          <w14:ligatures w14:val="none"/>
        </w:rPr>
        <w:t xml:space="preserve">e are still waiting for the DfE to publish the </w:t>
      </w:r>
      <w:r w:rsidR="004521D2" w:rsidRPr="004521D2">
        <w:rPr>
          <w:rFonts w:ascii="Arial" w:eastAsia="Times New Roman" w:hAnsi="Arial" w:cs="Arial"/>
          <w:color w:val="auto"/>
          <w:kern w:val="0"/>
          <w:sz w:val="24"/>
          <w:szCs w:val="24"/>
          <w:lang w:eastAsia="en-GB"/>
          <w14:ligatures w14:val="none"/>
        </w:rPr>
        <w:t xml:space="preserve">updated </w:t>
      </w:r>
      <w:r w:rsidR="0007206D" w:rsidRPr="004521D2">
        <w:rPr>
          <w:rFonts w:ascii="Arial" w:eastAsia="Times New Roman" w:hAnsi="Arial" w:cs="Arial"/>
          <w:color w:val="auto"/>
          <w:kern w:val="0"/>
          <w:sz w:val="24"/>
          <w:szCs w:val="24"/>
          <w:lang w:eastAsia="en-GB"/>
          <w14:ligatures w14:val="none"/>
        </w:rPr>
        <w:t xml:space="preserve">Early Years </w:t>
      </w:r>
      <w:r w:rsidR="004521D2" w:rsidRPr="004521D2">
        <w:rPr>
          <w:rFonts w:ascii="Arial" w:eastAsia="Times New Roman" w:hAnsi="Arial" w:cs="Arial"/>
          <w:color w:val="auto"/>
          <w:kern w:val="0"/>
          <w:sz w:val="24"/>
          <w:szCs w:val="24"/>
          <w:lang w:eastAsia="en-GB"/>
          <w14:ligatures w14:val="none"/>
        </w:rPr>
        <w:t>rates and allocation for 2025/26</w:t>
      </w:r>
      <w:r w:rsidR="0007206D" w:rsidRPr="004521D2">
        <w:rPr>
          <w:rFonts w:ascii="Arial" w:eastAsia="Times New Roman" w:hAnsi="Arial" w:cs="Arial"/>
          <w:color w:val="auto"/>
          <w:kern w:val="0"/>
          <w:sz w:val="24"/>
          <w:szCs w:val="24"/>
          <w:lang w:eastAsia="en-GB"/>
          <w14:ligatures w14:val="none"/>
        </w:rPr>
        <w:t xml:space="preserve">. </w:t>
      </w:r>
      <w:r w:rsidR="00B44E82">
        <w:rPr>
          <w:rFonts w:ascii="Arial" w:eastAsia="Times New Roman" w:hAnsi="Arial" w:cs="Arial"/>
          <w:color w:val="auto"/>
          <w:kern w:val="0"/>
          <w:sz w:val="24"/>
          <w:szCs w:val="24"/>
          <w:lang w:eastAsia="en-GB"/>
          <w14:ligatures w14:val="none"/>
        </w:rPr>
        <w:t>For Early Years, f</w:t>
      </w:r>
      <w:r w:rsidR="0007206D" w:rsidRPr="004521D2">
        <w:rPr>
          <w:rFonts w:ascii="Arial" w:eastAsia="Times New Roman" w:hAnsi="Arial" w:cs="Arial"/>
          <w:color w:val="auto"/>
          <w:kern w:val="0"/>
          <w:sz w:val="24"/>
          <w:szCs w:val="24"/>
          <w:lang w:eastAsia="en-GB"/>
          <w14:ligatures w14:val="none"/>
        </w:rPr>
        <w:t xml:space="preserve">ollowing </w:t>
      </w:r>
      <w:r w:rsidR="001D5B47">
        <w:rPr>
          <w:rFonts w:ascii="Arial" w:eastAsia="Times New Roman" w:hAnsi="Arial" w:cs="Arial"/>
          <w:color w:val="auto"/>
          <w:kern w:val="0"/>
          <w:sz w:val="24"/>
          <w:szCs w:val="24"/>
          <w:lang w:eastAsia="en-GB"/>
          <w14:ligatures w14:val="none"/>
        </w:rPr>
        <w:t xml:space="preserve">DfE </w:t>
      </w:r>
      <w:r w:rsidR="0007206D" w:rsidRPr="004521D2">
        <w:rPr>
          <w:rFonts w:ascii="Arial" w:eastAsia="Times New Roman" w:hAnsi="Arial" w:cs="Arial"/>
          <w:color w:val="auto"/>
          <w:kern w:val="0"/>
          <w:sz w:val="24"/>
          <w:szCs w:val="24"/>
          <w:lang w:eastAsia="en-GB"/>
          <w14:ligatures w14:val="none"/>
        </w:rPr>
        <w:t>confirmation any impact on rates will be based on January 202</w:t>
      </w:r>
      <w:r w:rsidR="004521D2" w:rsidRPr="004521D2">
        <w:rPr>
          <w:rFonts w:ascii="Arial" w:eastAsia="Times New Roman" w:hAnsi="Arial" w:cs="Arial"/>
          <w:color w:val="auto"/>
          <w:kern w:val="0"/>
          <w:sz w:val="24"/>
          <w:szCs w:val="24"/>
          <w:lang w:eastAsia="en-GB"/>
          <w14:ligatures w14:val="none"/>
        </w:rPr>
        <w:t>4</w:t>
      </w:r>
      <w:r w:rsidR="0007206D" w:rsidRPr="004521D2">
        <w:rPr>
          <w:rFonts w:ascii="Arial" w:eastAsia="Times New Roman" w:hAnsi="Arial" w:cs="Arial"/>
          <w:color w:val="auto"/>
          <w:kern w:val="0"/>
          <w:sz w:val="24"/>
          <w:szCs w:val="24"/>
          <w:lang w:eastAsia="en-GB"/>
          <w14:ligatures w14:val="none"/>
        </w:rPr>
        <w:t xml:space="preserve"> census data therefore 2</w:t>
      </w:r>
      <w:r w:rsidR="00C30CA4" w:rsidRPr="004521D2">
        <w:rPr>
          <w:rFonts w:ascii="Arial" w:eastAsia="Times New Roman" w:hAnsi="Arial" w:cs="Arial"/>
          <w:color w:val="auto"/>
          <w:kern w:val="0"/>
          <w:sz w:val="24"/>
          <w:szCs w:val="24"/>
          <w:lang w:eastAsia="en-GB"/>
          <w14:ligatures w14:val="none"/>
        </w:rPr>
        <w:t>5</w:t>
      </w:r>
      <w:r w:rsidR="0007206D" w:rsidRPr="004521D2">
        <w:rPr>
          <w:rFonts w:ascii="Arial" w:eastAsia="Times New Roman" w:hAnsi="Arial" w:cs="Arial"/>
          <w:color w:val="auto"/>
          <w:kern w:val="0"/>
          <w:sz w:val="24"/>
          <w:szCs w:val="24"/>
          <w:lang w:eastAsia="en-GB"/>
          <w14:ligatures w14:val="none"/>
        </w:rPr>
        <w:t>/2</w:t>
      </w:r>
      <w:r w:rsidR="004521D2" w:rsidRPr="004521D2">
        <w:rPr>
          <w:rFonts w:ascii="Arial" w:eastAsia="Times New Roman" w:hAnsi="Arial" w:cs="Arial"/>
          <w:color w:val="auto"/>
          <w:kern w:val="0"/>
          <w:sz w:val="24"/>
          <w:szCs w:val="24"/>
          <w:lang w:eastAsia="en-GB"/>
          <w14:ligatures w14:val="none"/>
        </w:rPr>
        <w:t>6</w:t>
      </w:r>
      <w:r w:rsidR="0007206D" w:rsidRPr="004521D2">
        <w:rPr>
          <w:rFonts w:ascii="Arial" w:eastAsia="Times New Roman" w:hAnsi="Arial" w:cs="Arial"/>
          <w:color w:val="auto"/>
          <w:kern w:val="0"/>
          <w:sz w:val="24"/>
          <w:szCs w:val="24"/>
          <w:lang w:eastAsia="en-GB"/>
          <w14:ligatures w14:val="none"/>
        </w:rPr>
        <w:t xml:space="preserve"> rates will be subject to change following the January 202</w:t>
      </w:r>
      <w:r w:rsidR="004521D2" w:rsidRPr="004521D2">
        <w:rPr>
          <w:rFonts w:ascii="Arial" w:eastAsia="Times New Roman" w:hAnsi="Arial" w:cs="Arial"/>
          <w:color w:val="auto"/>
          <w:kern w:val="0"/>
          <w:sz w:val="24"/>
          <w:szCs w:val="24"/>
          <w:lang w:eastAsia="en-GB"/>
          <w14:ligatures w14:val="none"/>
        </w:rPr>
        <w:t>5</w:t>
      </w:r>
      <w:r w:rsidR="0007206D" w:rsidRPr="004521D2">
        <w:rPr>
          <w:rFonts w:ascii="Arial" w:eastAsia="Times New Roman" w:hAnsi="Arial" w:cs="Arial"/>
          <w:color w:val="auto"/>
          <w:kern w:val="0"/>
          <w:sz w:val="24"/>
          <w:szCs w:val="24"/>
          <w:lang w:eastAsia="en-GB"/>
          <w14:ligatures w14:val="none"/>
        </w:rPr>
        <w:t xml:space="preserve"> census. </w:t>
      </w:r>
    </w:p>
    <w:p w14:paraId="5C65A29B" w14:textId="51280AD6" w:rsidR="0007206D" w:rsidRPr="00480197" w:rsidRDefault="0007206D" w:rsidP="0081476F">
      <w:pPr>
        <w:pStyle w:val="Heading1"/>
        <w:numPr>
          <w:ilvl w:val="0"/>
          <w:numId w:val="20"/>
        </w:numPr>
        <w:tabs>
          <w:tab w:val="num" w:pos="426"/>
          <w:tab w:val="num" w:pos="2843"/>
        </w:tabs>
        <w:spacing w:before="240" w:after="120"/>
        <w:ind w:left="431" w:hanging="431"/>
        <w:rPr>
          <w:rFonts w:eastAsia="Times New Roman"/>
          <w:bCs w:val="0"/>
          <w:noProof w:val="0"/>
          <w:color w:val="auto"/>
          <w:kern w:val="28"/>
          <w:sz w:val="24"/>
          <w:szCs w:val="24"/>
          <w:lang w:eastAsia="en-GB"/>
          <w14:ligatures w14:val="none"/>
        </w:rPr>
      </w:pPr>
      <w:bookmarkStart w:id="2" w:name="_Toc151016897"/>
      <w:r w:rsidRPr="00480197">
        <w:rPr>
          <w:rFonts w:eastAsia="Times New Roman"/>
          <w:bCs w:val="0"/>
          <w:noProof w:val="0"/>
          <w:color w:val="auto"/>
          <w:kern w:val="28"/>
          <w:sz w:val="24"/>
          <w:szCs w:val="24"/>
          <w:lang w:eastAsia="en-GB"/>
          <w14:ligatures w14:val="none"/>
        </w:rPr>
        <w:t>202</w:t>
      </w:r>
      <w:r w:rsidR="00DB5A10" w:rsidRPr="00480197">
        <w:rPr>
          <w:rFonts w:eastAsia="Times New Roman"/>
          <w:bCs w:val="0"/>
          <w:noProof w:val="0"/>
          <w:color w:val="auto"/>
          <w:kern w:val="28"/>
          <w:sz w:val="24"/>
          <w:szCs w:val="24"/>
          <w:lang w:eastAsia="en-GB"/>
          <w14:ligatures w14:val="none"/>
        </w:rPr>
        <w:t>5</w:t>
      </w:r>
      <w:r w:rsidRPr="00480197">
        <w:rPr>
          <w:rFonts w:eastAsia="Times New Roman"/>
          <w:bCs w:val="0"/>
          <w:noProof w:val="0"/>
          <w:color w:val="auto"/>
          <w:kern w:val="28"/>
          <w:sz w:val="24"/>
          <w:szCs w:val="24"/>
          <w:lang w:eastAsia="en-GB"/>
          <w14:ligatures w14:val="none"/>
        </w:rPr>
        <w:t>/2</w:t>
      </w:r>
      <w:r w:rsidR="00DB5A10" w:rsidRPr="00480197">
        <w:rPr>
          <w:rFonts w:eastAsia="Times New Roman"/>
          <w:bCs w:val="0"/>
          <w:noProof w:val="0"/>
          <w:color w:val="auto"/>
          <w:kern w:val="28"/>
          <w:sz w:val="24"/>
          <w:szCs w:val="24"/>
          <w:lang w:eastAsia="en-GB"/>
          <w14:ligatures w14:val="none"/>
        </w:rPr>
        <w:t>6</w:t>
      </w:r>
      <w:r w:rsidRPr="00480197">
        <w:rPr>
          <w:rFonts w:eastAsia="Times New Roman"/>
          <w:bCs w:val="0"/>
          <w:noProof w:val="0"/>
          <w:color w:val="auto"/>
          <w:kern w:val="28"/>
          <w:sz w:val="24"/>
          <w:szCs w:val="24"/>
          <w:lang w:eastAsia="en-GB"/>
          <w14:ligatures w14:val="none"/>
        </w:rPr>
        <w:t xml:space="preserve"> Budget</w:t>
      </w:r>
      <w:bookmarkEnd w:id="2"/>
    </w:p>
    <w:p w14:paraId="37309ADB" w14:textId="6F109A90" w:rsidR="00105C10" w:rsidRPr="007276C7" w:rsidRDefault="0007206D" w:rsidP="007276C7">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bookmarkStart w:id="3" w:name="OLE_LINK2"/>
      <w:bookmarkStart w:id="4" w:name="OLE_LINK3"/>
      <w:proofErr w:type="gramStart"/>
      <w:r w:rsidRPr="00480197">
        <w:rPr>
          <w:rFonts w:ascii="Arial" w:eastAsia="Times New Roman" w:hAnsi="Arial" w:cs="Arial"/>
          <w:color w:val="auto"/>
          <w:kern w:val="0"/>
          <w:sz w:val="24"/>
          <w:szCs w:val="24"/>
          <w:lang w:eastAsia="en-GB"/>
          <w14:ligatures w14:val="none"/>
        </w:rPr>
        <w:t>A number of</w:t>
      </w:r>
      <w:proofErr w:type="gramEnd"/>
      <w:r w:rsidRPr="00480197">
        <w:rPr>
          <w:rFonts w:ascii="Arial" w:eastAsia="Times New Roman" w:hAnsi="Arial" w:cs="Arial"/>
          <w:color w:val="auto"/>
          <w:kern w:val="0"/>
          <w:sz w:val="24"/>
          <w:szCs w:val="24"/>
          <w:lang w:eastAsia="en-GB"/>
          <w14:ligatures w14:val="none"/>
        </w:rPr>
        <w:t xml:space="preserve"> important decisions on the budget setting for 202</w:t>
      </w:r>
      <w:r w:rsidR="00480197" w:rsidRPr="00480197">
        <w:rPr>
          <w:rFonts w:ascii="Arial" w:eastAsia="Times New Roman" w:hAnsi="Arial" w:cs="Arial"/>
          <w:color w:val="auto"/>
          <w:kern w:val="0"/>
          <w:sz w:val="24"/>
          <w:szCs w:val="24"/>
          <w:lang w:eastAsia="en-GB"/>
          <w14:ligatures w14:val="none"/>
        </w:rPr>
        <w:t>5</w:t>
      </w:r>
      <w:r w:rsidRPr="00480197">
        <w:rPr>
          <w:rFonts w:ascii="Arial" w:eastAsia="Times New Roman" w:hAnsi="Arial" w:cs="Arial"/>
          <w:color w:val="auto"/>
          <w:kern w:val="0"/>
          <w:sz w:val="24"/>
          <w:szCs w:val="24"/>
          <w:lang w:eastAsia="en-GB"/>
          <w14:ligatures w14:val="none"/>
        </w:rPr>
        <w:t>/2</w:t>
      </w:r>
      <w:r w:rsidR="00480197" w:rsidRPr="00480197">
        <w:rPr>
          <w:rFonts w:ascii="Arial" w:eastAsia="Times New Roman" w:hAnsi="Arial" w:cs="Arial"/>
          <w:color w:val="auto"/>
          <w:kern w:val="0"/>
          <w:sz w:val="24"/>
          <w:szCs w:val="24"/>
          <w:lang w:eastAsia="en-GB"/>
          <w14:ligatures w14:val="none"/>
        </w:rPr>
        <w:t>6</w:t>
      </w:r>
      <w:r w:rsidRPr="00480197">
        <w:rPr>
          <w:rFonts w:ascii="Arial" w:eastAsia="Times New Roman" w:hAnsi="Arial" w:cs="Arial"/>
          <w:color w:val="auto"/>
          <w:kern w:val="0"/>
          <w:sz w:val="24"/>
          <w:szCs w:val="24"/>
          <w:lang w:eastAsia="en-GB"/>
          <w14:ligatures w14:val="none"/>
        </w:rPr>
        <w:t xml:space="preserve"> need to be </w:t>
      </w:r>
      <w:r w:rsidRPr="00997CDB">
        <w:rPr>
          <w:rFonts w:ascii="Arial" w:eastAsia="Times New Roman" w:hAnsi="Arial" w:cs="Arial"/>
          <w:color w:val="auto"/>
          <w:kern w:val="0"/>
          <w:sz w:val="24"/>
          <w:szCs w:val="24"/>
          <w:lang w:eastAsia="en-GB"/>
          <w14:ligatures w14:val="none"/>
        </w:rPr>
        <w:t>agreed now, as the DfE don’t usually confirm the DSG allocations until the middle of December and 202</w:t>
      </w:r>
      <w:r w:rsidR="00480197" w:rsidRPr="00997CDB">
        <w:rPr>
          <w:rFonts w:ascii="Arial" w:eastAsia="Times New Roman" w:hAnsi="Arial" w:cs="Arial"/>
          <w:color w:val="auto"/>
          <w:kern w:val="0"/>
          <w:sz w:val="24"/>
          <w:szCs w:val="24"/>
          <w:lang w:eastAsia="en-GB"/>
          <w14:ligatures w14:val="none"/>
        </w:rPr>
        <w:t>5</w:t>
      </w:r>
      <w:r w:rsidRPr="00997CDB">
        <w:rPr>
          <w:rFonts w:ascii="Arial" w:eastAsia="Times New Roman" w:hAnsi="Arial" w:cs="Arial"/>
          <w:color w:val="auto"/>
          <w:kern w:val="0"/>
          <w:sz w:val="24"/>
          <w:szCs w:val="24"/>
          <w:lang w:eastAsia="en-GB"/>
          <w14:ligatures w14:val="none"/>
        </w:rPr>
        <w:t>/2</w:t>
      </w:r>
      <w:r w:rsidR="00480197" w:rsidRPr="00997CDB">
        <w:rPr>
          <w:rFonts w:ascii="Arial" w:eastAsia="Times New Roman" w:hAnsi="Arial" w:cs="Arial"/>
          <w:color w:val="auto"/>
          <w:kern w:val="0"/>
          <w:sz w:val="24"/>
          <w:szCs w:val="24"/>
          <w:lang w:eastAsia="en-GB"/>
          <w14:ligatures w14:val="none"/>
        </w:rPr>
        <w:t>6</w:t>
      </w:r>
      <w:r w:rsidRPr="00997CDB">
        <w:rPr>
          <w:rFonts w:ascii="Arial" w:eastAsia="Times New Roman" w:hAnsi="Arial" w:cs="Arial"/>
          <w:color w:val="auto"/>
          <w:kern w:val="0"/>
          <w:sz w:val="24"/>
          <w:szCs w:val="24"/>
          <w:lang w:eastAsia="en-GB"/>
          <w14:ligatures w14:val="none"/>
        </w:rPr>
        <w:t xml:space="preserve"> budgets will need to be approved by Schools</w:t>
      </w:r>
      <w:r w:rsidR="006838FB">
        <w:rPr>
          <w:rFonts w:ascii="Arial" w:eastAsia="Times New Roman" w:hAnsi="Arial" w:cs="Arial"/>
          <w:color w:val="auto"/>
          <w:kern w:val="0"/>
          <w:sz w:val="24"/>
          <w:szCs w:val="24"/>
          <w:lang w:eastAsia="en-GB"/>
          <w14:ligatures w14:val="none"/>
        </w:rPr>
        <w:t xml:space="preserve"> </w:t>
      </w:r>
      <w:r w:rsidRPr="007B2724">
        <w:rPr>
          <w:rFonts w:ascii="Arial" w:eastAsia="Times New Roman" w:hAnsi="Arial" w:cs="Arial"/>
          <w:color w:val="auto"/>
          <w:kern w:val="0"/>
          <w:sz w:val="24"/>
          <w:szCs w:val="24"/>
          <w:lang w:eastAsia="en-GB"/>
          <w14:ligatures w14:val="none"/>
        </w:rPr>
        <w:t>Forum and the Executive Lead Member of Children’s Services in January.</w:t>
      </w:r>
      <w:r w:rsidR="004157A7">
        <w:rPr>
          <w:rFonts w:ascii="Arial" w:eastAsia="Times New Roman" w:hAnsi="Arial" w:cs="Arial"/>
          <w:color w:val="auto"/>
          <w:kern w:val="0"/>
          <w:sz w:val="24"/>
          <w:szCs w:val="24"/>
          <w:lang w:eastAsia="en-GB"/>
          <w14:ligatures w14:val="none"/>
        </w:rPr>
        <w:t xml:space="preserve"> </w:t>
      </w:r>
      <w:r w:rsidR="004157A7" w:rsidRPr="00EC5A2A">
        <w:rPr>
          <w:rFonts w:ascii="Arial" w:eastAsia="Times New Roman" w:hAnsi="Arial" w:cs="Arial"/>
          <w:color w:val="auto"/>
          <w:kern w:val="0"/>
          <w:sz w:val="24"/>
          <w:szCs w:val="24"/>
          <w:lang w:eastAsia="en-GB"/>
          <w14:ligatures w14:val="none"/>
        </w:rPr>
        <w:t>Decisions made at this meeting will be incorporated into the budgets that will be approved in January</w:t>
      </w:r>
      <w:bookmarkStart w:id="5" w:name="_Toc151016898"/>
    </w:p>
    <w:p w14:paraId="6D425310" w14:textId="32B07977" w:rsidR="00A86F75" w:rsidRDefault="00A86F75" w:rsidP="00C679BB">
      <w:pPr>
        <w:pStyle w:val="Heading2"/>
        <w:keepNext w:val="0"/>
        <w:keepLines w:val="0"/>
        <w:spacing w:before="0" w:after="120"/>
        <w:rPr>
          <w:rFonts w:ascii="Arial" w:eastAsia="Times New Roman" w:hAnsi="Arial" w:cs="Arial"/>
          <w:color w:val="FF0000"/>
          <w:kern w:val="0"/>
          <w:sz w:val="24"/>
          <w:szCs w:val="24"/>
          <w:lang w:eastAsia="en-GB"/>
          <w14:ligatures w14:val="none"/>
        </w:rPr>
      </w:pPr>
    </w:p>
    <w:p w14:paraId="1FA5EBE2" w14:textId="51197795" w:rsidR="003A7F00" w:rsidRPr="00480197" w:rsidRDefault="0007206D" w:rsidP="002D6930">
      <w:pPr>
        <w:pStyle w:val="Heading1"/>
        <w:tabs>
          <w:tab w:val="num" w:pos="2843"/>
        </w:tabs>
        <w:spacing w:before="240" w:after="120"/>
        <w:ind w:left="431"/>
        <w:rPr>
          <w:rFonts w:eastAsia="Times New Roman"/>
          <w:bCs w:val="0"/>
          <w:noProof w:val="0"/>
          <w:color w:val="auto"/>
          <w:kern w:val="28"/>
          <w:sz w:val="24"/>
          <w:szCs w:val="24"/>
          <w:lang w:eastAsia="en-GB"/>
          <w14:ligatures w14:val="none"/>
        </w:rPr>
      </w:pPr>
      <w:r w:rsidRPr="00480197">
        <w:rPr>
          <w:rFonts w:eastAsia="Times New Roman"/>
          <w:bCs w:val="0"/>
          <w:noProof w:val="0"/>
          <w:color w:val="auto"/>
          <w:kern w:val="28"/>
          <w:sz w:val="24"/>
          <w:szCs w:val="24"/>
          <w:lang w:eastAsia="en-GB"/>
          <w14:ligatures w14:val="none"/>
        </w:rPr>
        <w:lastRenderedPageBreak/>
        <w:t>Schools Block</w:t>
      </w:r>
      <w:bookmarkEnd w:id="5"/>
    </w:p>
    <w:p w14:paraId="54B992D7" w14:textId="77777777" w:rsidR="0007206D" w:rsidRPr="00480197" w:rsidRDefault="0007206D" w:rsidP="007E5F6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480197">
        <w:rPr>
          <w:rFonts w:ascii="Arial" w:eastAsia="Times New Roman" w:hAnsi="Arial" w:cs="Arial"/>
          <w:color w:val="auto"/>
          <w:kern w:val="0"/>
          <w:sz w:val="24"/>
          <w:szCs w:val="24"/>
          <w:lang w:eastAsia="en-GB"/>
          <w14:ligatures w14:val="none"/>
        </w:rPr>
        <w:t>The budget for this block will be set in line with the overall allocation confirmed in December.</w:t>
      </w:r>
    </w:p>
    <w:p w14:paraId="204217BF" w14:textId="11C5E863" w:rsidR="0007206D" w:rsidRPr="00B00A40" w:rsidRDefault="0007206D" w:rsidP="007E5F6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B00A40">
        <w:rPr>
          <w:rFonts w:ascii="Arial" w:eastAsia="Times New Roman" w:hAnsi="Arial" w:cs="Arial"/>
          <w:color w:val="auto"/>
          <w:kern w:val="0"/>
          <w:sz w:val="24"/>
          <w:szCs w:val="24"/>
          <w:lang w:eastAsia="en-GB"/>
          <w14:ligatures w14:val="none"/>
        </w:rPr>
        <w:t>A consultation was published via the school communications on the principles for setting the mainstream schools funding formula for 202</w:t>
      </w:r>
      <w:r w:rsidR="00213A20" w:rsidRPr="00B00A40">
        <w:rPr>
          <w:rFonts w:ascii="Arial" w:eastAsia="Times New Roman" w:hAnsi="Arial" w:cs="Arial"/>
          <w:color w:val="auto"/>
          <w:kern w:val="0"/>
          <w:sz w:val="24"/>
          <w:szCs w:val="24"/>
          <w:lang w:eastAsia="en-GB"/>
          <w14:ligatures w14:val="none"/>
        </w:rPr>
        <w:t>5</w:t>
      </w:r>
      <w:r w:rsidRPr="00B00A40">
        <w:rPr>
          <w:rFonts w:ascii="Arial" w:eastAsia="Times New Roman" w:hAnsi="Arial" w:cs="Arial"/>
          <w:color w:val="auto"/>
          <w:kern w:val="0"/>
          <w:sz w:val="24"/>
          <w:szCs w:val="24"/>
          <w:lang w:eastAsia="en-GB"/>
          <w14:ligatures w14:val="none"/>
        </w:rPr>
        <w:t>/2</w:t>
      </w:r>
      <w:r w:rsidR="00213A20" w:rsidRPr="00B00A40">
        <w:rPr>
          <w:rFonts w:ascii="Arial" w:eastAsia="Times New Roman" w:hAnsi="Arial" w:cs="Arial"/>
          <w:color w:val="auto"/>
          <w:kern w:val="0"/>
          <w:sz w:val="24"/>
          <w:szCs w:val="24"/>
          <w:lang w:eastAsia="en-GB"/>
          <w14:ligatures w14:val="none"/>
        </w:rPr>
        <w:t>6</w:t>
      </w:r>
      <w:r w:rsidRPr="00B00A40">
        <w:rPr>
          <w:rFonts w:ascii="Arial" w:eastAsia="Times New Roman" w:hAnsi="Arial" w:cs="Arial"/>
          <w:color w:val="auto"/>
          <w:kern w:val="0"/>
          <w:sz w:val="24"/>
          <w:szCs w:val="24"/>
          <w:lang w:eastAsia="en-GB"/>
          <w14:ligatures w14:val="none"/>
        </w:rPr>
        <w:t>. The consultation close</w:t>
      </w:r>
      <w:r w:rsidR="00CB6F55" w:rsidRPr="00B00A40">
        <w:rPr>
          <w:rFonts w:ascii="Arial" w:eastAsia="Times New Roman" w:hAnsi="Arial" w:cs="Arial"/>
          <w:color w:val="auto"/>
          <w:kern w:val="0"/>
          <w:sz w:val="24"/>
          <w:szCs w:val="24"/>
          <w:lang w:eastAsia="en-GB"/>
          <w14:ligatures w14:val="none"/>
        </w:rPr>
        <w:t>s</w:t>
      </w:r>
      <w:r w:rsidRPr="00B00A40">
        <w:rPr>
          <w:rFonts w:ascii="Arial" w:eastAsia="Times New Roman" w:hAnsi="Arial" w:cs="Arial"/>
          <w:color w:val="auto"/>
          <w:kern w:val="0"/>
          <w:sz w:val="24"/>
          <w:szCs w:val="24"/>
          <w:lang w:eastAsia="en-GB"/>
          <w14:ligatures w14:val="none"/>
        </w:rPr>
        <w:t xml:space="preserve"> on </w:t>
      </w:r>
      <w:r w:rsidR="00213A20" w:rsidRPr="00B00A40">
        <w:rPr>
          <w:rFonts w:ascii="Arial" w:eastAsia="Times New Roman" w:hAnsi="Arial" w:cs="Arial"/>
          <w:color w:val="auto"/>
          <w:kern w:val="0"/>
          <w:sz w:val="24"/>
          <w:szCs w:val="24"/>
          <w:lang w:eastAsia="en-GB"/>
          <w14:ligatures w14:val="none"/>
        </w:rPr>
        <w:t>6</w:t>
      </w:r>
      <w:r w:rsidR="00CB6F55" w:rsidRPr="00B00A40">
        <w:rPr>
          <w:rFonts w:ascii="Arial" w:eastAsia="Times New Roman" w:hAnsi="Arial" w:cs="Arial"/>
          <w:color w:val="auto"/>
          <w:kern w:val="0"/>
          <w:sz w:val="24"/>
          <w:szCs w:val="24"/>
          <w:lang w:eastAsia="en-GB"/>
          <w14:ligatures w14:val="none"/>
        </w:rPr>
        <w:t>th</w:t>
      </w:r>
      <w:r w:rsidRPr="00B00A40">
        <w:rPr>
          <w:rFonts w:ascii="Arial" w:eastAsia="Times New Roman" w:hAnsi="Arial" w:cs="Arial"/>
          <w:color w:val="auto"/>
          <w:kern w:val="0"/>
          <w:sz w:val="24"/>
          <w:szCs w:val="24"/>
          <w:lang w:eastAsia="en-GB"/>
          <w14:ligatures w14:val="none"/>
        </w:rPr>
        <w:t xml:space="preserve"> </w:t>
      </w:r>
      <w:r w:rsidR="00213A20" w:rsidRPr="00B00A40">
        <w:rPr>
          <w:rFonts w:ascii="Arial" w:eastAsia="Times New Roman" w:hAnsi="Arial" w:cs="Arial"/>
          <w:color w:val="auto"/>
          <w:kern w:val="0"/>
          <w:sz w:val="24"/>
          <w:szCs w:val="24"/>
          <w:lang w:eastAsia="en-GB"/>
          <w14:ligatures w14:val="none"/>
        </w:rPr>
        <w:t>December</w:t>
      </w:r>
      <w:r w:rsidRPr="00B00A40">
        <w:rPr>
          <w:rFonts w:ascii="Arial" w:eastAsia="Times New Roman" w:hAnsi="Arial" w:cs="Arial"/>
          <w:color w:val="auto"/>
          <w:kern w:val="0"/>
          <w:sz w:val="24"/>
          <w:szCs w:val="24"/>
          <w:lang w:eastAsia="en-GB"/>
          <w14:ligatures w14:val="none"/>
        </w:rPr>
        <w:t xml:space="preserve"> 202</w:t>
      </w:r>
      <w:r w:rsidR="00213A20" w:rsidRPr="00B00A40">
        <w:rPr>
          <w:rFonts w:ascii="Arial" w:eastAsia="Times New Roman" w:hAnsi="Arial" w:cs="Arial"/>
          <w:color w:val="auto"/>
          <w:kern w:val="0"/>
          <w:sz w:val="24"/>
          <w:szCs w:val="24"/>
          <w:lang w:eastAsia="en-GB"/>
          <w14:ligatures w14:val="none"/>
        </w:rPr>
        <w:t>4</w:t>
      </w:r>
      <w:r w:rsidRPr="00B00A40">
        <w:rPr>
          <w:rFonts w:ascii="Arial" w:eastAsia="Times New Roman" w:hAnsi="Arial" w:cs="Arial"/>
          <w:color w:val="auto"/>
          <w:kern w:val="0"/>
          <w:sz w:val="24"/>
          <w:szCs w:val="24"/>
          <w:lang w:eastAsia="en-GB"/>
          <w14:ligatures w14:val="none"/>
        </w:rPr>
        <w:t>, with no feedback provided to date.</w:t>
      </w:r>
    </w:p>
    <w:p w14:paraId="76C1D644" w14:textId="77777777" w:rsidR="0007206D" w:rsidRPr="00301B3C" w:rsidRDefault="0007206D" w:rsidP="007E5F6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301B3C">
        <w:rPr>
          <w:rFonts w:ascii="Arial" w:eastAsia="Times New Roman" w:hAnsi="Arial" w:cs="Arial"/>
          <w:color w:val="auto"/>
          <w:kern w:val="0"/>
          <w:sz w:val="24"/>
          <w:szCs w:val="24"/>
          <w:lang w:eastAsia="en-GB"/>
          <w14:ligatures w14:val="none"/>
        </w:rPr>
        <w:t>The local formula will be based on the DfE’s national funding formula as far as possible. It may not be possible to fully mirror the national funding formula as:</w:t>
      </w:r>
    </w:p>
    <w:p w14:paraId="004CA8E0" w14:textId="4051C855" w:rsidR="0007206D" w:rsidRPr="00301B3C" w:rsidRDefault="0007206D" w:rsidP="002C54D9">
      <w:pPr>
        <w:pStyle w:val="ListParagraph"/>
        <w:numPr>
          <w:ilvl w:val="0"/>
          <w:numId w:val="22"/>
        </w:numPr>
        <w:spacing w:after="120"/>
        <w:ind w:left="851" w:hanging="357"/>
      </w:pPr>
      <w:r w:rsidRPr="00301B3C">
        <w:t>The DSG funding allocation provides funding for premises costs at the previous year cost, but schools are funded based on the expected cost in 202</w:t>
      </w:r>
      <w:r w:rsidR="00584BE1" w:rsidRPr="00301B3C">
        <w:t>5</w:t>
      </w:r>
      <w:r w:rsidRPr="00301B3C">
        <w:t>/2</w:t>
      </w:r>
      <w:r w:rsidR="00584BE1" w:rsidRPr="00301B3C">
        <w:t>6</w:t>
      </w:r>
      <w:r w:rsidRPr="00301B3C">
        <w:t>. These costs generally increase each year.</w:t>
      </w:r>
    </w:p>
    <w:p w14:paraId="1BC0C26B" w14:textId="43606BCE" w:rsidR="0007206D" w:rsidRPr="00301B3C" w:rsidRDefault="0007206D" w:rsidP="002C54D9">
      <w:pPr>
        <w:pStyle w:val="ListParagraph"/>
        <w:numPr>
          <w:ilvl w:val="0"/>
          <w:numId w:val="22"/>
        </w:numPr>
        <w:spacing w:after="120"/>
        <w:ind w:left="851" w:hanging="357"/>
      </w:pPr>
      <w:r w:rsidRPr="00301B3C">
        <w:t>The allocation provides funding based on the characteristics of pupils on the October 202</w:t>
      </w:r>
      <w:r w:rsidR="00301B3C" w:rsidRPr="00301B3C">
        <w:t>3</w:t>
      </w:r>
      <w:r w:rsidRPr="00301B3C">
        <w:t xml:space="preserve"> census, but the funding formula allocates funding to schools based on the characteristics of their pupils on the October 202</w:t>
      </w:r>
      <w:r w:rsidR="00301B3C" w:rsidRPr="00301B3C">
        <w:t>4</w:t>
      </w:r>
      <w:r w:rsidRPr="00301B3C">
        <w:t xml:space="preserve"> census. If there is a change in the level of additional needs, this will not be reflected in the level of funding received for 202</w:t>
      </w:r>
      <w:r w:rsidR="00301B3C" w:rsidRPr="00301B3C">
        <w:t>5</w:t>
      </w:r>
      <w:r w:rsidRPr="00301B3C">
        <w:t>/2</w:t>
      </w:r>
      <w:r w:rsidR="00301B3C" w:rsidRPr="00301B3C">
        <w:t>6</w:t>
      </w:r>
      <w:r w:rsidRPr="00301B3C">
        <w:t>.</w:t>
      </w:r>
    </w:p>
    <w:p w14:paraId="74DF528C" w14:textId="1031D65B" w:rsidR="000A4172" w:rsidRPr="006A22C1" w:rsidRDefault="0007206D" w:rsidP="007E5F6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A22C1">
        <w:rPr>
          <w:rFonts w:ascii="Arial" w:eastAsia="Times New Roman" w:hAnsi="Arial" w:cs="Arial"/>
          <w:color w:val="auto"/>
          <w:kern w:val="0"/>
          <w:sz w:val="24"/>
          <w:szCs w:val="24"/>
          <w:lang w:eastAsia="en-GB"/>
          <w14:ligatures w14:val="none"/>
        </w:rPr>
        <w:t>The variance in funding will not be known until December when the DSG allocations are confirmed and the DfE provide the school budget share tool for 202</w:t>
      </w:r>
      <w:r w:rsidR="0070161C" w:rsidRPr="006A22C1">
        <w:rPr>
          <w:rFonts w:ascii="Arial" w:eastAsia="Times New Roman" w:hAnsi="Arial" w:cs="Arial"/>
          <w:color w:val="auto"/>
          <w:kern w:val="0"/>
          <w:sz w:val="24"/>
          <w:szCs w:val="24"/>
          <w:lang w:eastAsia="en-GB"/>
          <w14:ligatures w14:val="none"/>
        </w:rPr>
        <w:t>5</w:t>
      </w:r>
      <w:r w:rsidRPr="006A22C1">
        <w:rPr>
          <w:rFonts w:ascii="Arial" w:eastAsia="Times New Roman" w:hAnsi="Arial" w:cs="Arial"/>
          <w:color w:val="auto"/>
          <w:kern w:val="0"/>
          <w:sz w:val="24"/>
          <w:szCs w:val="24"/>
          <w:lang w:eastAsia="en-GB"/>
          <w14:ligatures w14:val="none"/>
        </w:rPr>
        <w:t>/2</w:t>
      </w:r>
      <w:r w:rsidR="0070161C" w:rsidRPr="006A22C1">
        <w:rPr>
          <w:rFonts w:ascii="Arial" w:eastAsia="Times New Roman" w:hAnsi="Arial" w:cs="Arial"/>
          <w:color w:val="auto"/>
          <w:kern w:val="0"/>
          <w:sz w:val="24"/>
          <w:szCs w:val="24"/>
          <w:lang w:eastAsia="en-GB"/>
          <w14:ligatures w14:val="none"/>
        </w:rPr>
        <w:t>6</w:t>
      </w:r>
      <w:r w:rsidRPr="006A22C1">
        <w:rPr>
          <w:rFonts w:ascii="Arial" w:eastAsia="Times New Roman" w:hAnsi="Arial" w:cs="Arial"/>
          <w:color w:val="auto"/>
          <w:kern w:val="0"/>
          <w:sz w:val="24"/>
          <w:szCs w:val="24"/>
          <w:lang w:eastAsia="en-GB"/>
          <w14:ligatures w14:val="none"/>
        </w:rPr>
        <w:t xml:space="preserve"> with the updated pupil characteristics. We have consulted on the principles in advance, as there is only a small window between receiving the information from the DfE and the schools funding formula and budgets for 202</w:t>
      </w:r>
      <w:r w:rsidR="0070161C" w:rsidRPr="006A22C1">
        <w:rPr>
          <w:rFonts w:ascii="Arial" w:eastAsia="Times New Roman" w:hAnsi="Arial" w:cs="Arial"/>
          <w:color w:val="auto"/>
          <w:kern w:val="0"/>
          <w:sz w:val="24"/>
          <w:szCs w:val="24"/>
          <w:lang w:eastAsia="en-GB"/>
          <w14:ligatures w14:val="none"/>
        </w:rPr>
        <w:t>5</w:t>
      </w:r>
      <w:r w:rsidRPr="006A22C1">
        <w:rPr>
          <w:rFonts w:ascii="Arial" w:eastAsia="Times New Roman" w:hAnsi="Arial" w:cs="Arial"/>
          <w:color w:val="auto"/>
          <w:kern w:val="0"/>
          <w:sz w:val="24"/>
          <w:szCs w:val="24"/>
          <w:lang w:eastAsia="en-GB"/>
          <w14:ligatures w14:val="none"/>
        </w:rPr>
        <w:t>/2</w:t>
      </w:r>
      <w:r w:rsidR="0070161C" w:rsidRPr="006A22C1">
        <w:rPr>
          <w:rFonts w:ascii="Arial" w:eastAsia="Times New Roman" w:hAnsi="Arial" w:cs="Arial"/>
          <w:color w:val="auto"/>
          <w:kern w:val="0"/>
          <w:sz w:val="24"/>
          <w:szCs w:val="24"/>
          <w:lang w:eastAsia="en-GB"/>
          <w14:ligatures w14:val="none"/>
        </w:rPr>
        <w:t>6</w:t>
      </w:r>
      <w:r w:rsidRPr="006A22C1">
        <w:rPr>
          <w:rFonts w:ascii="Arial" w:eastAsia="Times New Roman" w:hAnsi="Arial" w:cs="Arial"/>
          <w:color w:val="auto"/>
          <w:kern w:val="0"/>
          <w:sz w:val="24"/>
          <w:szCs w:val="24"/>
          <w:lang w:eastAsia="en-GB"/>
          <w14:ligatures w14:val="none"/>
        </w:rPr>
        <w:t xml:space="preserve"> being approved by Schools Forum and Executive Member for Children’s Services in January 202</w:t>
      </w:r>
      <w:r w:rsidR="0070161C" w:rsidRPr="006A22C1">
        <w:rPr>
          <w:rFonts w:ascii="Arial" w:eastAsia="Times New Roman" w:hAnsi="Arial" w:cs="Arial"/>
          <w:color w:val="auto"/>
          <w:kern w:val="0"/>
          <w:sz w:val="24"/>
          <w:szCs w:val="24"/>
          <w:lang w:eastAsia="en-GB"/>
          <w14:ligatures w14:val="none"/>
        </w:rPr>
        <w:t>5</w:t>
      </w:r>
      <w:r w:rsidRPr="006A22C1">
        <w:rPr>
          <w:rFonts w:ascii="Arial" w:eastAsia="Times New Roman" w:hAnsi="Arial" w:cs="Arial"/>
          <w:color w:val="auto"/>
          <w:kern w:val="0"/>
          <w:sz w:val="24"/>
          <w:szCs w:val="24"/>
          <w:lang w:eastAsia="en-GB"/>
          <w14:ligatures w14:val="none"/>
        </w:rPr>
        <w:t xml:space="preserve">. </w:t>
      </w:r>
    </w:p>
    <w:p w14:paraId="6366015E" w14:textId="77777777" w:rsidR="009C72C0" w:rsidRPr="00DB5A10" w:rsidRDefault="009C72C0" w:rsidP="009C72C0">
      <w:pPr>
        <w:pStyle w:val="ListParagraph"/>
        <w:ind w:left="792"/>
        <w:rPr>
          <w:color w:val="FF0000"/>
        </w:rPr>
      </w:pPr>
    </w:p>
    <w:p w14:paraId="1C132F22" w14:textId="7F3F4029" w:rsidR="0069509C" w:rsidRPr="006A22C1" w:rsidRDefault="0007206D"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A22C1">
        <w:rPr>
          <w:rFonts w:ascii="Arial" w:eastAsia="Times New Roman" w:hAnsi="Arial" w:cs="Arial"/>
          <w:color w:val="auto"/>
          <w:kern w:val="0"/>
          <w:sz w:val="24"/>
          <w:szCs w:val="24"/>
          <w:lang w:eastAsia="en-GB"/>
          <w14:ligatures w14:val="none"/>
        </w:rPr>
        <w:t xml:space="preserve">The proposed approach for the </w:t>
      </w:r>
      <w:r w:rsidR="005B3089" w:rsidRPr="006A22C1">
        <w:rPr>
          <w:rFonts w:ascii="Arial" w:eastAsia="Times New Roman" w:hAnsi="Arial" w:cs="Arial"/>
          <w:color w:val="auto"/>
          <w:kern w:val="0"/>
          <w:sz w:val="24"/>
          <w:szCs w:val="24"/>
          <w:lang w:eastAsia="en-GB"/>
          <w14:ligatures w14:val="none"/>
        </w:rPr>
        <w:t>202</w:t>
      </w:r>
      <w:r w:rsidR="00833265" w:rsidRPr="006A22C1">
        <w:rPr>
          <w:rFonts w:ascii="Arial" w:eastAsia="Times New Roman" w:hAnsi="Arial" w:cs="Arial"/>
          <w:color w:val="auto"/>
          <w:kern w:val="0"/>
          <w:sz w:val="24"/>
          <w:szCs w:val="24"/>
          <w:lang w:eastAsia="en-GB"/>
          <w14:ligatures w14:val="none"/>
        </w:rPr>
        <w:t>5</w:t>
      </w:r>
      <w:r w:rsidR="005B3089" w:rsidRPr="006A22C1">
        <w:rPr>
          <w:rFonts w:ascii="Arial" w:eastAsia="Times New Roman" w:hAnsi="Arial" w:cs="Arial"/>
          <w:color w:val="auto"/>
          <w:kern w:val="0"/>
          <w:sz w:val="24"/>
          <w:szCs w:val="24"/>
          <w:lang w:eastAsia="en-GB"/>
          <w14:ligatures w14:val="none"/>
        </w:rPr>
        <w:t>/2</w:t>
      </w:r>
      <w:r w:rsidR="00833265" w:rsidRPr="006A22C1">
        <w:rPr>
          <w:rFonts w:ascii="Arial" w:eastAsia="Times New Roman" w:hAnsi="Arial" w:cs="Arial"/>
          <w:color w:val="auto"/>
          <w:kern w:val="0"/>
          <w:sz w:val="24"/>
          <w:szCs w:val="24"/>
          <w:lang w:eastAsia="en-GB"/>
          <w14:ligatures w14:val="none"/>
        </w:rPr>
        <w:t>6</w:t>
      </w:r>
      <w:r w:rsidRPr="006A22C1">
        <w:rPr>
          <w:rFonts w:ascii="Arial" w:eastAsia="Times New Roman" w:hAnsi="Arial" w:cs="Arial"/>
          <w:color w:val="auto"/>
          <w:kern w:val="0"/>
          <w:sz w:val="24"/>
          <w:szCs w:val="24"/>
          <w:lang w:eastAsia="en-GB"/>
          <w14:ligatures w14:val="none"/>
        </w:rPr>
        <w:t xml:space="preserve"> mainstream school funding formula is:</w:t>
      </w:r>
    </w:p>
    <w:p w14:paraId="24D202BC" w14:textId="77777777" w:rsidR="0007206D" w:rsidRPr="006A22C1" w:rsidRDefault="0007206D" w:rsidP="00865777">
      <w:pPr>
        <w:pStyle w:val="ListParagraph"/>
        <w:numPr>
          <w:ilvl w:val="0"/>
          <w:numId w:val="22"/>
        </w:numPr>
        <w:spacing w:after="120"/>
        <w:ind w:left="851" w:hanging="357"/>
      </w:pPr>
      <w:r w:rsidRPr="006A22C1">
        <w:t>use the growth fund; either to meet the additional cost or to increase the budget for any surplus if the variance is not material.</w:t>
      </w:r>
    </w:p>
    <w:p w14:paraId="250ADC38" w14:textId="2CFE6072" w:rsidR="0007206D" w:rsidRPr="006A22C1" w:rsidRDefault="0007206D" w:rsidP="00865777">
      <w:pPr>
        <w:pStyle w:val="ListParagraph"/>
        <w:numPr>
          <w:ilvl w:val="0"/>
          <w:numId w:val="22"/>
        </w:numPr>
        <w:spacing w:after="120"/>
        <w:ind w:left="851" w:hanging="357"/>
      </w:pPr>
      <w:r w:rsidRPr="006A22C1">
        <w:t>adjust the local funding formula by adjusting all unit values on a proportional basis, except the minimum per pupil funding level</w:t>
      </w:r>
      <w:r w:rsidR="00827EDA" w:rsidRPr="006A22C1">
        <w:t xml:space="preserve"> and </w:t>
      </w:r>
      <w:r w:rsidR="00827EDA" w:rsidRPr="006A22C1">
        <w:rPr>
          <w:lang w:eastAsia="en-GB"/>
        </w:rPr>
        <w:t>minimum funding guarantee</w:t>
      </w:r>
      <w:r w:rsidRPr="006A22C1">
        <w:t>, where the variance is more material and cannot be met by an adjustment to the growth fund.</w:t>
      </w:r>
    </w:p>
    <w:p w14:paraId="434FD72D" w14:textId="38AC9F59" w:rsidR="0007206D" w:rsidRPr="005B6FE3" w:rsidRDefault="0007206D"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5B6FE3">
        <w:rPr>
          <w:rFonts w:ascii="Arial" w:eastAsia="Times New Roman" w:hAnsi="Arial" w:cs="Arial"/>
          <w:color w:val="auto"/>
          <w:kern w:val="0"/>
          <w:sz w:val="24"/>
          <w:szCs w:val="24"/>
          <w:lang w:eastAsia="en-GB"/>
          <w14:ligatures w14:val="none"/>
        </w:rPr>
        <w:t xml:space="preserve">This is the approach used </w:t>
      </w:r>
      <w:r w:rsidR="00296016" w:rsidRPr="005B6FE3">
        <w:rPr>
          <w:rFonts w:ascii="Arial" w:eastAsia="Times New Roman" w:hAnsi="Arial" w:cs="Arial"/>
          <w:color w:val="auto"/>
          <w:kern w:val="0"/>
          <w:sz w:val="24"/>
          <w:szCs w:val="24"/>
          <w:lang w:eastAsia="en-GB"/>
          <w14:ligatures w14:val="none"/>
        </w:rPr>
        <w:t>between</w:t>
      </w:r>
      <w:r w:rsidRPr="005B6FE3">
        <w:rPr>
          <w:rFonts w:ascii="Arial" w:eastAsia="Times New Roman" w:hAnsi="Arial" w:cs="Arial"/>
          <w:color w:val="auto"/>
          <w:kern w:val="0"/>
          <w:sz w:val="24"/>
          <w:szCs w:val="24"/>
          <w:lang w:eastAsia="en-GB"/>
          <w14:ligatures w14:val="none"/>
        </w:rPr>
        <w:t xml:space="preserve"> 2021/22 and </w:t>
      </w:r>
      <w:r w:rsidR="00296016" w:rsidRPr="005B6FE3">
        <w:rPr>
          <w:rFonts w:ascii="Arial" w:eastAsia="Times New Roman" w:hAnsi="Arial" w:cs="Arial"/>
          <w:color w:val="auto"/>
          <w:kern w:val="0"/>
          <w:sz w:val="24"/>
          <w:szCs w:val="24"/>
          <w:lang w:eastAsia="en-GB"/>
          <w14:ligatures w14:val="none"/>
        </w:rPr>
        <w:t>202</w:t>
      </w:r>
      <w:r w:rsidR="005B6FE3" w:rsidRPr="005B6FE3">
        <w:rPr>
          <w:rFonts w:ascii="Arial" w:eastAsia="Times New Roman" w:hAnsi="Arial" w:cs="Arial"/>
          <w:color w:val="auto"/>
          <w:kern w:val="0"/>
          <w:sz w:val="24"/>
          <w:szCs w:val="24"/>
          <w:lang w:eastAsia="en-GB"/>
          <w14:ligatures w14:val="none"/>
        </w:rPr>
        <w:t>4</w:t>
      </w:r>
      <w:r w:rsidR="00296016" w:rsidRPr="005B6FE3">
        <w:rPr>
          <w:rFonts w:ascii="Arial" w:eastAsia="Times New Roman" w:hAnsi="Arial" w:cs="Arial"/>
          <w:color w:val="auto"/>
          <w:kern w:val="0"/>
          <w:sz w:val="24"/>
          <w:szCs w:val="24"/>
          <w:lang w:eastAsia="en-GB"/>
          <w14:ligatures w14:val="none"/>
        </w:rPr>
        <w:t>/2</w:t>
      </w:r>
      <w:r w:rsidR="005B6FE3" w:rsidRPr="005B6FE3">
        <w:rPr>
          <w:rFonts w:ascii="Arial" w:eastAsia="Times New Roman" w:hAnsi="Arial" w:cs="Arial"/>
          <w:color w:val="auto"/>
          <w:kern w:val="0"/>
          <w:sz w:val="24"/>
          <w:szCs w:val="24"/>
          <w:lang w:eastAsia="en-GB"/>
          <w14:ligatures w14:val="none"/>
        </w:rPr>
        <w:t>5</w:t>
      </w:r>
      <w:r w:rsidRPr="005B6FE3">
        <w:rPr>
          <w:rFonts w:ascii="Arial" w:eastAsia="Times New Roman" w:hAnsi="Arial" w:cs="Arial"/>
          <w:color w:val="auto"/>
          <w:kern w:val="0"/>
          <w:sz w:val="24"/>
          <w:szCs w:val="24"/>
          <w:lang w:eastAsia="en-GB"/>
          <w14:ligatures w14:val="none"/>
        </w:rPr>
        <w:t>.</w:t>
      </w:r>
    </w:p>
    <w:p w14:paraId="46DA95C9" w14:textId="6BC74AA7" w:rsidR="007A1429" w:rsidRPr="0055514E" w:rsidRDefault="0007206D"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117794">
        <w:rPr>
          <w:rFonts w:ascii="Arial" w:eastAsia="Times New Roman" w:hAnsi="Arial" w:cs="Arial"/>
          <w:color w:val="auto"/>
          <w:kern w:val="0"/>
          <w:sz w:val="24"/>
          <w:szCs w:val="24"/>
          <w:lang w:eastAsia="en-GB"/>
          <w14:ligatures w14:val="none"/>
        </w:rPr>
        <w:t xml:space="preserve">Funding for the growth fund is calculated based on a national funding formula and funding </w:t>
      </w:r>
      <w:r w:rsidRPr="00C8635C">
        <w:rPr>
          <w:rFonts w:ascii="Arial" w:eastAsia="Times New Roman" w:hAnsi="Arial" w:cs="Arial"/>
          <w:color w:val="auto"/>
          <w:kern w:val="0"/>
          <w:sz w:val="24"/>
          <w:szCs w:val="24"/>
          <w:lang w:eastAsia="en-GB"/>
          <w14:ligatures w14:val="none"/>
        </w:rPr>
        <w:t>varies each year.</w:t>
      </w:r>
    </w:p>
    <w:p w14:paraId="0763F0D6" w14:textId="6518B417" w:rsidR="00F1650C" w:rsidRPr="0055514E" w:rsidRDefault="0007206D" w:rsidP="0055514E">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330DF0">
        <w:rPr>
          <w:rFonts w:ascii="Arial" w:eastAsia="Times New Roman" w:hAnsi="Arial" w:cs="Arial"/>
          <w:color w:val="auto"/>
          <w:kern w:val="0"/>
          <w:sz w:val="24"/>
          <w:szCs w:val="24"/>
          <w:lang w:eastAsia="en-GB"/>
          <w14:ligatures w14:val="none"/>
        </w:rPr>
        <w:t xml:space="preserve">If the variance in funding is too significant and it either exceeds the level that can be supported from the growth fund where there is a funding </w:t>
      </w:r>
      <w:proofErr w:type="gramStart"/>
      <w:r w:rsidRPr="00330DF0">
        <w:rPr>
          <w:rFonts w:ascii="Arial" w:eastAsia="Times New Roman" w:hAnsi="Arial" w:cs="Arial"/>
          <w:color w:val="auto"/>
          <w:kern w:val="0"/>
          <w:sz w:val="24"/>
          <w:szCs w:val="24"/>
          <w:lang w:eastAsia="en-GB"/>
          <w14:ligatures w14:val="none"/>
        </w:rPr>
        <w:t>shortfall, or</w:t>
      </w:r>
      <w:proofErr w:type="gramEnd"/>
      <w:r w:rsidRPr="00330DF0">
        <w:rPr>
          <w:rFonts w:ascii="Arial" w:eastAsia="Times New Roman" w:hAnsi="Arial" w:cs="Arial"/>
          <w:color w:val="auto"/>
          <w:kern w:val="0"/>
          <w:sz w:val="24"/>
          <w:szCs w:val="24"/>
          <w:lang w:eastAsia="en-GB"/>
          <w14:ligatures w14:val="none"/>
        </w:rPr>
        <w:t xml:space="preserve"> would have a positive impact on the school funding formula where there is an excess of funding, then the school funding formula would be adjusted on a proportional basis by amending unit values. The only unit value</w:t>
      </w:r>
      <w:r w:rsidR="00036D59" w:rsidRPr="00330DF0">
        <w:rPr>
          <w:rFonts w:ascii="Arial" w:eastAsia="Times New Roman" w:hAnsi="Arial" w:cs="Arial"/>
          <w:color w:val="auto"/>
          <w:kern w:val="0"/>
          <w:sz w:val="24"/>
          <w:szCs w:val="24"/>
          <w:lang w:eastAsia="en-GB"/>
          <w14:ligatures w14:val="none"/>
        </w:rPr>
        <w:t>s</w:t>
      </w:r>
      <w:r w:rsidRPr="00330DF0">
        <w:rPr>
          <w:rFonts w:ascii="Arial" w:eastAsia="Times New Roman" w:hAnsi="Arial" w:cs="Arial"/>
          <w:color w:val="auto"/>
          <w:kern w:val="0"/>
          <w:sz w:val="24"/>
          <w:szCs w:val="24"/>
          <w:lang w:eastAsia="en-GB"/>
          <w14:ligatures w14:val="none"/>
        </w:rPr>
        <w:t xml:space="preserve"> </w:t>
      </w:r>
      <w:r w:rsidR="00C509CD" w:rsidRPr="00330DF0">
        <w:rPr>
          <w:rFonts w:ascii="Arial" w:eastAsia="Times New Roman" w:hAnsi="Arial" w:cs="Arial"/>
          <w:color w:val="auto"/>
          <w:kern w:val="0"/>
          <w:sz w:val="24"/>
          <w:szCs w:val="24"/>
          <w:lang w:eastAsia="en-GB"/>
          <w14:ligatures w14:val="none"/>
        </w:rPr>
        <w:t>not</w:t>
      </w:r>
      <w:r w:rsidRPr="00330DF0">
        <w:rPr>
          <w:rFonts w:ascii="Arial" w:eastAsia="Times New Roman" w:hAnsi="Arial" w:cs="Arial"/>
          <w:color w:val="auto"/>
          <w:kern w:val="0"/>
          <w:sz w:val="24"/>
          <w:szCs w:val="24"/>
          <w:lang w:eastAsia="en-GB"/>
          <w14:ligatures w14:val="none"/>
        </w:rPr>
        <w:t xml:space="preserve"> adjusted </w:t>
      </w:r>
      <w:r w:rsidR="00036D59" w:rsidRPr="00330DF0">
        <w:rPr>
          <w:rFonts w:ascii="Arial" w:eastAsia="Times New Roman" w:hAnsi="Arial" w:cs="Arial"/>
          <w:color w:val="auto"/>
          <w:kern w:val="0"/>
          <w:sz w:val="24"/>
          <w:szCs w:val="24"/>
          <w:lang w:eastAsia="en-GB"/>
          <w14:ligatures w14:val="none"/>
        </w:rPr>
        <w:t>are</w:t>
      </w:r>
      <w:r w:rsidRPr="00330DF0">
        <w:rPr>
          <w:rFonts w:ascii="Arial" w:eastAsia="Times New Roman" w:hAnsi="Arial" w:cs="Arial"/>
          <w:color w:val="auto"/>
          <w:kern w:val="0"/>
          <w:sz w:val="24"/>
          <w:szCs w:val="24"/>
          <w:lang w:eastAsia="en-GB"/>
          <w14:ligatures w14:val="none"/>
        </w:rPr>
        <w:t xml:space="preserve"> the minimum per pupil funding level</w:t>
      </w:r>
      <w:r w:rsidR="00036D59" w:rsidRPr="00330DF0">
        <w:rPr>
          <w:rFonts w:ascii="Arial" w:eastAsia="Times New Roman" w:hAnsi="Arial" w:cs="Arial"/>
          <w:color w:val="auto"/>
          <w:kern w:val="0"/>
          <w:sz w:val="24"/>
          <w:szCs w:val="24"/>
          <w:lang w:eastAsia="en-GB"/>
          <w14:ligatures w14:val="none"/>
        </w:rPr>
        <w:t xml:space="preserve"> and</w:t>
      </w:r>
      <w:r w:rsidR="00EB62E0" w:rsidRPr="00330DF0">
        <w:rPr>
          <w:rFonts w:ascii="Arial" w:eastAsia="Times New Roman" w:hAnsi="Arial" w:cs="Arial"/>
          <w:color w:val="auto"/>
          <w:kern w:val="0"/>
          <w:sz w:val="24"/>
          <w:szCs w:val="24"/>
          <w:lang w:eastAsia="en-GB"/>
          <w14:ligatures w14:val="none"/>
        </w:rPr>
        <w:t xml:space="preserve"> minimum funding guarantee</w:t>
      </w:r>
      <w:r w:rsidRPr="00330DF0">
        <w:rPr>
          <w:rFonts w:ascii="Arial" w:eastAsia="Times New Roman" w:hAnsi="Arial" w:cs="Arial"/>
          <w:color w:val="auto"/>
          <w:kern w:val="0"/>
          <w:sz w:val="24"/>
          <w:szCs w:val="24"/>
          <w:lang w:eastAsia="en-GB"/>
          <w14:ligatures w14:val="none"/>
        </w:rPr>
        <w:t>, as th</w:t>
      </w:r>
      <w:r w:rsidR="00E90211" w:rsidRPr="00330DF0">
        <w:rPr>
          <w:rFonts w:ascii="Arial" w:eastAsia="Times New Roman" w:hAnsi="Arial" w:cs="Arial"/>
          <w:color w:val="auto"/>
          <w:kern w:val="0"/>
          <w:sz w:val="24"/>
          <w:szCs w:val="24"/>
          <w:lang w:eastAsia="en-GB"/>
          <w14:ligatures w14:val="none"/>
        </w:rPr>
        <w:t>ese</w:t>
      </w:r>
      <w:r w:rsidRPr="00330DF0">
        <w:rPr>
          <w:rFonts w:ascii="Arial" w:eastAsia="Times New Roman" w:hAnsi="Arial" w:cs="Arial"/>
          <w:color w:val="auto"/>
          <w:kern w:val="0"/>
          <w:sz w:val="24"/>
          <w:szCs w:val="24"/>
          <w:lang w:eastAsia="en-GB"/>
          <w14:ligatures w14:val="none"/>
        </w:rPr>
        <w:t xml:space="preserve"> </w:t>
      </w:r>
      <w:r w:rsidR="00E90211" w:rsidRPr="00330DF0">
        <w:rPr>
          <w:rFonts w:ascii="Arial" w:eastAsia="Times New Roman" w:hAnsi="Arial" w:cs="Arial"/>
          <w:color w:val="auto"/>
          <w:kern w:val="0"/>
          <w:sz w:val="24"/>
          <w:szCs w:val="24"/>
          <w:lang w:eastAsia="en-GB"/>
          <w14:ligatures w14:val="none"/>
        </w:rPr>
        <w:t>are</w:t>
      </w:r>
      <w:r w:rsidRPr="00330DF0">
        <w:rPr>
          <w:rFonts w:ascii="Arial" w:eastAsia="Times New Roman" w:hAnsi="Arial" w:cs="Arial"/>
          <w:color w:val="auto"/>
          <w:kern w:val="0"/>
          <w:sz w:val="24"/>
          <w:szCs w:val="24"/>
          <w:lang w:eastAsia="en-GB"/>
          <w14:ligatures w14:val="none"/>
        </w:rPr>
        <w:t xml:space="preserve"> statutory value</w:t>
      </w:r>
      <w:r w:rsidR="00E90211" w:rsidRPr="00330DF0">
        <w:rPr>
          <w:rFonts w:ascii="Arial" w:eastAsia="Times New Roman" w:hAnsi="Arial" w:cs="Arial"/>
          <w:color w:val="auto"/>
          <w:kern w:val="0"/>
          <w:sz w:val="24"/>
          <w:szCs w:val="24"/>
          <w:lang w:eastAsia="en-GB"/>
          <w14:ligatures w14:val="none"/>
        </w:rPr>
        <w:t>s</w:t>
      </w:r>
      <w:r w:rsidRPr="00330DF0">
        <w:rPr>
          <w:rFonts w:ascii="Arial" w:eastAsia="Times New Roman" w:hAnsi="Arial" w:cs="Arial"/>
          <w:color w:val="auto"/>
          <w:kern w:val="0"/>
          <w:sz w:val="24"/>
          <w:szCs w:val="24"/>
          <w:lang w:eastAsia="en-GB"/>
          <w14:ligatures w14:val="none"/>
        </w:rPr>
        <w:t xml:space="preserve"> set </w:t>
      </w:r>
      <w:r w:rsidR="00DF3463" w:rsidRPr="00330DF0">
        <w:rPr>
          <w:rFonts w:ascii="Arial" w:eastAsia="Times New Roman" w:hAnsi="Arial" w:cs="Arial"/>
          <w:color w:val="auto"/>
          <w:kern w:val="0"/>
          <w:sz w:val="24"/>
          <w:szCs w:val="24"/>
          <w:lang w:eastAsia="en-GB"/>
          <w14:ligatures w14:val="none"/>
        </w:rPr>
        <w:t xml:space="preserve">or limited </w:t>
      </w:r>
      <w:r w:rsidRPr="00330DF0">
        <w:rPr>
          <w:rFonts w:ascii="Arial" w:eastAsia="Times New Roman" w:hAnsi="Arial" w:cs="Arial"/>
          <w:color w:val="auto"/>
          <w:kern w:val="0"/>
          <w:sz w:val="24"/>
          <w:szCs w:val="24"/>
          <w:lang w:eastAsia="en-GB"/>
          <w14:ligatures w14:val="none"/>
        </w:rPr>
        <w:t>by government.</w:t>
      </w:r>
    </w:p>
    <w:p w14:paraId="0A0852FA" w14:textId="40B084EF" w:rsidR="00F1650C" w:rsidRPr="00F214F0" w:rsidRDefault="00F1650C" w:rsidP="00F214F0">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bookmarkStart w:id="6" w:name="_Toc151016899"/>
      <w:r w:rsidRPr="00F214F0">
        <w:rPr>
          <w:rFonts w:ascii="Arial" w:eastAsia="Times New Roman" w:hAnsi="Arial" w:cs="Arial"/>
          <w:color w:val="auto"/>
          <w:kern w:val="0"/>
          <w:sz w:val="24"/>
          <w:szCs w:val="24"/>
          <w:lang w:eastAsia="en-GB"/>
          <w14:ligatures w14:val="none"/>
        </w:rPr>
        <w:t>As per 2024/25, following the DfE changes to Falling Rolls guidance and changes to mandatory criteria</w:t>
      </w:r>
      <w:r w:rsidR="00053CE5" w:rsidRPr="00F214F0">
        <w:rPr>
          <w:rFonts w:ascii="Arial" w:eastAsia="Times New Roman" w:hAnsi="Arial" w:cs="Arial"/>
          <w:color w:val="auto"/>
          <w:kern w:val="0"/>
          <w:sz w:val="24"/>
          <w:szCs w:val="24"/>
          <w:lang w:eastAsia="en-GB"/>
          <w14:ligatures w14:val="none"/>
        </w:rPr>
        <w:t xml:space="preserve">, a small number of </w:t>
      </w:r>
      <w:r w:rsidR="00B40FB3" w:rsidRPr="00F214F0">
        <w:rPr>
          <w:rFonts w:ascii="Arial" w:eastAsia="Times New Roman" w:hAnsi="Arial" w:cs="Arial"/>
          <w:color w:val="auto"/>
          <w:kern w:val="0"/>
          <w:sz w:val="24"/>
          <w:szCs w:val="24"/>
          <w:lang w:eastAsia="en-GB"/>
          <w14:ligatures w14:val="none"/>
        </w:rPr>
        <w:t xml:space="preserve">additional </w:t>
      </w:r>
      <w:r w:rsidR="00722489" w:rsidRPr="00F214F0">
        <w:rPr>
          <w:rFonts w:ascii="Arial" w:eastAsia="Times New Roman" w:hAnsi="Arial" w:cs="Arial"/>
          <w:color w:val="auto"/>
          <w:kern w:val="0"/>
          <w:sz w:val="24"/>
          <w:szCs w:val="24"/>
          <w:lang w:eastAsia="en-GB"/>
          <w14:ligatures w14:val="none"/>
        </w:rPr>
        <w:t xml:space="preserve">Hampshire schools </w:t>
      </w:r>
      <w:r w:rsidR="00B40FB3" w:rsidRPr="00F214F0">
        <w:rPr>
          <w:rFonts w:ascii="Arial" w:eastAsia="Times New Roman" w:hAnsi="Arial" w:cs="Arial"/>
          <w:color w:val="auto"/>
          <w:kern w:val="0"/>
          <w:sz w:val="24"/>
          <w:szCs w:val="24"/>
          <w:lang w:eastAsia="en-GB"/>
          <w14:ligatures w14:val="none"/>
        </w:rPr>
        <w:t xml:space="preserve">are now eligible as well as a few </w:t>
      </w:r>
      <w:r w:rsidR="00722489" w:rsidRPr="00F214F0">
        <w:rPr>
          <w:rFonts w:ascii="Arial" w:eastAsia="Times New Roman" w:hAnsi="Arial" w:cs="Arial"/>
          <w:color w:val="auto"/>
          <w:kern w:val="0"/>
          <w:sz w:val="24"/>
          <w:szCs w:val="24"/>
          <w:lang w:eastAsia="en-GB"/>
          <w14:ligatures w14:val="none"/>
        </w:rPr>
        <w:t>ceas</w:t>
      </w:r>
      <w:r w:rsidR="00B40FB3" w:rsidRPr="00F214F0">
        <w:rPr>
          <w:rFonts w:ascii="Arial" w:eastAsia="Times New Roman" w:hAnsi="Arial" w:cs="Arial"/>
          <w:color w:val="auto"/>
          <w:kern w:val="0"/>
          <w:sz w:val="24"/>
          <w:szCs w:val="24"/>
          <w:lang w:eastAsia="en-GB"/>
          <w14:ligatures w14:val="none"/>
        </w:rPr>
        <w:t>ing</w:t>
      </w:r>
      <w:r w:rsidR="00722489" w:rsidRPr="00F214F0">
        <w:rPr>
          <w:rFonts w:ascii="Arial" w:eastAsia="Times New Roman" w:hAnsi="Arial" w:cs="Arial"/>
          <w:color w:val="auto"/>
          <w:kern w:val="0"/>
          <w:sz w:val="24"/>
          <w:szCs w:val="24"/>
          <w:lang w:eastAsia="en-GB"/>
          <w14:ligatures w14:val="none"/>
        </w:rPr>
        <w:t xml:space="preserve"> to be eligible</w:t>
      </w:r>
      <w:r w:rsidRPr="00F214F0">
        <w:rPr>
          <w:rFonts w:ascii="Arial" w:eastAsia="Times New Roman" w:hAnsi="Arial" w:cs="Arial"/>
          <w:color w:val="auto"/>
          <w:kern w:val="0"/>
          <w:sz w:val="24"/>
          <w:szCs w:val="24"/>
          <w:lang w:eastAsia="en-GB"/>
          <w14:ligatures w14:val="none"/>
        </w:rPr>
        <w:t xml:space="preserve">. </w:t>
      </w:r>
    </w:p>
    <w:p w14:paraId="6758C57F" w14:textId="73C15763" w:rsidR="00F1650C" w:rsidRPr="00F214F0" w:rsidRDefault="00F1650C" w:rsidP="00F214F0">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F214F0">
        <w:rPr>
          <w:rFonts w:ascii="Arial" w:eastAsia="Times New Roman" w:hAnsi="Arial" w:cs="Arial"/>
          <w:color w:val="auto"/>
          <w:kern w:val="0"/>
          <w:sz w:val="24"/>
          <w:szCs w:val="24"/>
          <w:lang w:eastAsia="en-GB"/>
          <w14:ligatures w14:val="none"/>
        </w:rPr>
        <w:lastRenderedPageBreak/>
        <w:t>Whil</w:t>
      </w:r>
      <w:r w:rsidR="00B65A4D" w:rsidRPr="00F214F0">
        <w:rPr>
          <w:rFonts w:ascii="Arial" w:eastAsia="Times New Roman" w:hAnsi="Arial" w:cs="Arial"/>
          <w:color w:val="auto"/>
          <w:kern w:val="0"/>
          <w:sz w:val="24"/>
          <w:szCs w:val="24"/>
          <w:lang w:eastAsia="en-GB"/>
          <w14:ligatures w14:val="none"/>
        </w:rPr>
        <w:t>st</w:t>
      </w:r>
      <w:r w:rsidRPr="00F214F0">
        <w:rPr>
          <w:rFonts w:ascii="Arial" w:eastAsia="Times New Roman" w:hAnsi="Arial" w:cs="Arial"/>
          <w:color w:val="auto"/>
          <w:kern w:val="0"/>
          <w:sz w:val="24"/>
          <w:szCs w:val="24"/>
          <w:lang w:eastAsia="en-GB"/>
          <w14:ligatures w14:val="none"/>
        </w:rPr>
        <w:t xml:space="preserve"> falling roll funding to an individual school cannot be guaranteed in future years due to school level data changes, this change is </w:t>
      </w:r>
      <w:proofErr w:type="gramStart"/>
      <w:r w:rsidRPr="00F214F0">
        <w:rPr>
          <w:rFonts w:ascii="Arial" w:eastAsia="Times New Roman" w:hAnsi="Arial" w:cs="Arial"/>
          <w:color w:val="auto"/>
          <w:kern w:val="0"/>
          <w:sz w:val="24"/>
          <w:szCs w:val="24"/>
          <w:lang w:eastAsia="en-GB"/>
          <w14:ligatures w14:val="none"/>
        </w:rPr>
        <w:t>as a result of</w:t>
      </w:r>
      <w:proofErr w:type="gramEnd"/>
      <w:r w:rsidRPr="00F214F0">
        <w:rPr>
          <w:rFonts w:ascii="Arial" w:eastAsia="Times New Roman" w:hAnsi="Arial" w:cs="Arial"/>
          <w:color w:val="auto"/>
          <w:kern w:val="0"/>
          <w:sz w:val="24"/>
          <w:szCs w:val="24"/>
          <w:lang w:eastAsia="en-GB"/>
          <w14:ligatures w14:val="none"/>
        </w:rPr>
        <w:t xml:space="preserve"> an external event. </w:t>
      </w:r>
      <w:r w:rsidR="00DD0D4D" w:rsidRPr="00F214F0">
        <w:rPr>
          <w:rFonts w:ascii="Arial" w:eastAsia="Times New Roman" w:hAnsi="Arial" w:cs="Arial"/>
          <w:color w:val="auto"/>
          <w:kern w:val="0"/>
          <w:sz w:val="24"/>
          <w:szCs w:val="24"/>
          <w:lang w:eastAsia="en-GB"/>
          <w14:ligatures w14:val="none"/>
        </w:rPr>
        <w:t>Bearing this in mind, along with the fact</w:t>
      </w:r>
      <w:r w:rsidR="00DD60F1" w:rsidRPr="00F214F0">
        <w:rPr>
          <w:rFonts w:ascii="Arial" w:eastAsia="Times New Roman" w:hAnsi="Arial" w:cs="Arial"/>
          <w:color w:val="auto"/>
          <w:kern w:val="0"/>
          <w:sz w:val="24"/>
          <w:szCs w:val="24"/>
          <w:lang w:eastAsia="en-GB"/>
          <w14:ligatures w14:val="none"/>
        </w:rPr>
        <w:t xml:space="preserve"> we are yet to receive updated allocations or guidance for</w:t>
      </w:r>
      <w:r w:rsidR="003B2C62" w:rsidRPr="00F214F0">
        <w:rPr>
          <w:rFonts w:ascii="Arial" w:eastAsia="Times New Roman" w:hAnsi="Arial" w:cs="Arial"/>
          <w:color w:val="auto"/>
          <w:kern w:val="0"/>
          <w:sz w:val="24"/>
          <w:szCs w:val="24"/>
          <w:lang w:eastAsia="en-GB"/>
          <w14:ligatures w14:val="none"/>
        </w:rPr>
        <w:t xml:space="preserve"> </w:t>
      </w:r>
      <w:r w:rsidR="00B20112">
        <w:rPr>
          <w:rFonts w:ascii="Arial" w:eastAsia="Times New Roman" w:hAnsi="Arial" w:cs="Arial"/>
          <w:color w:val="auto"/>
          <w:kern w:val="0"/>
          <w:sz w:val="24"/>
          <w:szCs w:val="24"/>
          <w:lang w:eastAsia="en-GB"/>
          <w14:ligatures w14:val="none"/>
        </w:rPr>
        <w:t>s</w:t>
      </w:r>
      <w:r w:rsidR="00DD0D4D" w:rsidRPr="00F214F0">
        <w:rPr>
          <w:rFonts w:ascii="Arial" w:eastAsia="Times New Roman" w:hAnsi="Arial" w:cs="Arial"/>
          <w:color w:val="auto"/>
          <w:kern w:val="0"/>
          <w:sz w:val="24"/>
          <w:szCs w:val="24"/>
          <w:lang w:eastAsia="en-GB"/>
          <w14:ligatures w14:val="none"/>
        </w:rPr>
        <w:t>chools, and the falling roll policy, for 2025/26</w:t>
      </w:r>
      <w:r w:rsidRPr="00F214F0">
        <w:rPr>
          <w:rFonts w:ascii="Arial" w:eastAsia="Times New Roman" w:hAnsi="Arial" w:cs="Arial"/>
          <w:color w:val="auto"/>
          <w:kern w:val="0"/>
          <w:sz w:val="24"/>
          <w:szCs w:val="24"/>
          <w:lang w:eastAsia="en-GB"/>
          <w14:ligatures w14:val="none"/>
        </w:rPr>
        <w:t xml:space="preserve"> Schools Forum are recommended to agree transitional protection </w:t>
      </w:r>
      <w:r w:rsidR="00303EFD" w:rsidRPr="00F214F0">
        <w:rPr>
          <w:rFonts w:ascii="Arial" w:eastAsia="Times New Roman" w:hAnsi="Arial" w:cs="Arial"/>
          <w:color w:val="auto"/>
          <w:kern w:val="0"/>
          <w:sz w:val="24"/>
          <w:szCs w:val="24"/>
          <w:lang w:eastAsia="en-GB"/>
          <w14:ligatures w14:val="none"/>
        </w:rPr>
        <w:t xml:space="preserve">again </w:t>
      </w:r>
      <w:r w:rsidRPr="00F214F0">
        <w:rPr>
          <w:rFonts w:ascii="Arial" w:eastAsia="Times New Roman" w:hAnsi="Arial" w:cs="Arial"/>
          <w:color w:val="auto"/>
          <w:kern w:val="0"/>
          <w:sz w:val="24"/>
          <w:szCs w:val="24"/>
          <w:lang w:eastAsia="en-GB"/>
          <w14:ligatures w14:val="none"/>
        </w:rPr>
        <w:t>for impacted maintained schools</w:t>
      </w:r>
      <w:r w:rsidR="00322540" w:rsidRPr="00F214F0">
        <w:rPr>
          <w:rFonts w:ascii="Arial" w:eastAsia="Times New Roman" w:hAnsi="Arial" w:cs="Arial"/>
          <w:color w:val="auto"/>
          <w:kern w:val="0"/>
          <w:sz w:val="24"/>
          <w:szCs w:val="24"/>
          <w:lang w:eastAsia="en-GB"/>
          <w14:ligatures w14:val="none"/>
        </w:rPr>
        <w:t>. The protection would be in line with 2024/25,</w:t>
      </w:r>
      <w:r w:rsidRPr="00F214F0">
        <w:rPr>
          <w:rFonts w:ascii="Arial" w:eastAsia="Times New Roman" w:hAnsi="Arial" w:cs="Arial"/>
          <w:color w:val="auto"/>
          <w:kern w:val="0"/>
          <w:sz w:val="24"/>
          <w:szCs w:val="24"/>
          <w:lang w:eastAsia="en-GB"/>
          <w14:ligatures w14:val="none"/>
        </w:rPr>
        <w:t xml:space="preserve"> at 50% of their historic funding from the de-delegated contingency to allow for any necessary management action to be taken. Protection is only available to maintained primary and </w:t>
      </w:r>
      <w:r w:rsidR="009E2276">
        <w:rPr>
          <w:rFonts w:ascii="Arial" w:eastAsia="Times New Roman" w:hAnsi="Arial" w:cs="Arial"/>
          <w:color w:val="auto"/>
          <w:kern w:val="0"/>
          <w:sz w:val="24"/>
          <w:szCs w:val="24"/>
          <w:lang w:eastAsia="en-GB"/>
          <w14:ligatures w14:val="none"/>
        </w:rPr>
        <w:t xml:space="preserve">secondary </w:t>
      </w:r>
      <w:r w:rsidRPr="00F214F0">
        <w:rPr>
          <w:rFonts w:ascii="Arial" w:eastAsia="Times New Roman" w:hAnsi="Arial" w:cs="Arial"/>
          <w:color w:val="auto"/>
          <w:kern w:val="0"/>
          <w:sz w:val="24"/>
          <w:szCs w:val="24"/>
          <w:lang w:eastAsia="en-GB"/>
          <w14:ligatures w14:val="none"/>
        </w:rPr>
        <w:t>schools as they contribute to the contingency from their individual budgets.</w:t>
      </w:r>
    </w:p>
    <w:p w14:paraId="7DD37B21" w14:textId="3317FD29" w:rsidR="002E3E9E" w:rsidRPr="00F214F0" w:rsidRDefault="007A30C1" w:rsidP="0068461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F214F0">
        <w:rPr>
          <w:rFonts w:ascii="Arial" w:eastAsia="Times New Roman" w:hAnsi="Arial" w:cs="Arial"/>
          <w:color w:val="auto"/>
          <w:kern w:val="0"/>
          <w:sz w:val="24"/>
          <w:szCs w:val="24"/>
          <w:lang w:eastAsia="en-GB"/>
          <w14:ligatures w14:val="none"/>
        </w:rPr>
        <w:t xml:space="preserve">Once we have updated guidance </w:t>
      </w:r>
      <w:r w:rsidR="00AF5B29" w:rsidRPr="00F214F0">
        <w:rPr>
          <w:rFonts w:ascii="Arial" w:eastAsia="Times New Roman" w:hAnsi="Arial" w:cs="Arial"/>
          <w:color w:val="auto"/>
          <w:kern w:val="0"/>
          <w:sz w:val="24"/>
          <w:szCs w:val="24"/>
          <w:lang w:eastAsia="en-GB"/>
          <w14:ligatures w14:val="none"/>
        </w:rPr>
        <w:t>and</w:t>
      </w:r>
      <w:r w:rsidR="00261A40" w:rsidRPr="00F214F0">
        <w:rPr>
          <w:rFonts w:ascii="Arial" w:eastAsia="Times New Roman" w:hAnsi="Arial" w:cs="Arial"/>
          <w:color w:val="auto"/>
          <w:kern w:val="0"/>
          <w:sz w:val="24"/>
          <w:szCs w:val="24"/>
          <w:lang w:eastAsia="en-GB"/>
          <w14:ligatures w14:val="none"/>
        </w:rPr>
        <w:t xml:space="preserve"> can </w:t>
      </w:r>
      <w:r w:rsidR="00AF5B29" w:rsidRPr="00F214F0">
        <w:rPr>
          <w:rFonts w:ascii="Arial" w:eastAsia="Times New Roman" w:hAnsi="Arial" w:cs="Arial"/>
          <w:color w:val="auto"/>
          <w:kern w:val="0"/>
          <w:sz w:val="24"/>
          <w:szCs w:val="24"/>
          <w:lang w:eastAsia="en-GB"/>
          <w14:ligatures w14:val="none"/>
        </w:rPr>
        <w:t xml:space="preserve">therefore </w:t>
      </w:r>
      <w:r w:rsidR="00261A40" w:rsidRPr="00F214F0">
        <w:rPr>
          <w:rFonts w:ascii="Arial" w:eastAsia="Times New Roman" w:hAnsi="Arial" w:cs="Arial"/>
          <w:color w:val="auto"/>
          <w:kern w:val="0"/>
          <w:sz w:val="24"/>
          <w:szCs w:val="24"/>
          <w:lang w:eastAsia="en-GB"/>
          <w14:ligatures w14:val="none"/>
        </w:rPr>
        <w:t xml:space="preserve">be </w:t>
      </w:r>
      <w:r w:rsidR="00AF5B29" w:rsidRPr="00F214F0">
        <w:rPr>
          <w:rFonts w:ascii="Arial" w:eastAsia="Times New Roman" w:hAnsi="Arial" w:cs="Arial"/>
          <w:color w:val="auto"/>
          <w:kern w:val="0"/>
          <w:sz w:val="24"/>
          <w:szCs w:val="24"/>
          <w:lang w:eastAsia="en-GB"/>
          <w14:ligatures w14:val="none"/>
        </w:rPr>
        <w:t xml:space="preserve">more </w:t>
      </w:r>
      <w:r w:rsidR="00261A40" w:rsidRPr="00F214F0">
        <w:rPr>
          <w:rFonts w:ascii="Arial" w:eastAsia="Times New Roman" w:hAnsi="Arial" w:cs="Arial"/>
          <w:color w:val="auto"/>
          <w:kern w:val="0"/>
          <w:sz w:val="24"/>
          <w:szCs w:val="24"/>
          <w:lang w:eastAsia="en-GB"/>
          <w14:ligatures w14:val="none"/>
        </w:rPr>
        <w:t xml:space="preserve">confident in </w:t>
      </w:r>
      <w:r w:rsidR="00AF5B29" w:rsidRPr="00F214F0">
        <w:rPr>
          <w:rFonts w:ascii="Arial" w:eastAsia="Times New Roman" w:hAnsi="Arial" w:cs="Arial"/>
          <w:color w:val="auto"/>
          <w:kern w:val="0"/>
          <w:sz w:val="24"/>
          <w:szCs w:val="24"/>
          <w:lang w:eastAsia="en-GB"/>
          <w14:ligatures w14:val="none"/>
        </w:rPr>
        <w:t>a consistent approach to Falling Rolls funding from the DfE,</w:t>
      </w:r>
      <w:r w:rsidR="00F1650C" w:rsidRPr="00F214F0">
        <w:rPr>
          <w:rFonts w:ascii="Arial" w:eastAsia="Times New Roman" w:hAnsi="Arial" w:cs="Arial"/>
          <w:color w:val="auto"/>
          <w:kern w:val="0"/>
          <w:sz w:val="24"/>
          <w:szCs w:val="24"/>
          <w:lang w:eastAsia="en-GB"/>
          <w14:ligatures w14:val="none"/>
        </w:rPr>
        <w:t xml:space="preserve"> there will be a more detailed review of the Falling Rolls fund in year to determine if this remains an effective use of the Growth Fund.</w:t>
      </w:r>
    </w:p>
    <w:p w14:paraId="576DBF78" w14:textId="34B6C545" w:rsidR="00EC35AC" w:rsidRPr="00EC35AC" w:rsidRDefault="00B90AF1" w:rsidP="00510669">
      <w:pPr>
        <w:pStyle w:val="Heading2"/>
        <w:keepNext w:val="0"/>
        <w:keepLines w:val="0"/>
        <w:numPr>
          <w:ilvl w:val="1"/>
          <w:numId w:val="20"/>
        </w:numPr>
        <w:tabs>
          <w:tab w:val="num" w:pos="426"/>
        </w:tabs>
        <w:spacing w:before="0" w:after="120"/>
        <w:ind w:left="425" w:hanging="567"/>
        <w:rPr>
          <w:lang w:eastAsia="en-GB"/>
        </w:rPr>
      </w:pPr>
      <w:r w:rsidRPr="00665236">
        <w:rPr>
          <w:rFonts w:ascii="Arial" w:eastAsia="Times New Roman" w:hAnsi="Arial" w:cs="Arial"/>
          <w:color w:val="auto"/>
          <w:kern w:val="0"/>
          <w:sz w:val="24"/>
          <w:szCs w:val="24"/>
          <w:lang w:eastAsia="en-GB"/>
          <w14:ligatures w14:val="none"/>
        </w:rPr>
        <w:t xml:space="preserve">The DfE have confirmed that for 2025/26 they will tightening the allowable circumstances in the exceptional circumstances factor </w:t>
      </w:r>
      <w:r w:rsidR="002F0E8D" w:rsidRPr="00665236">
        <w:rPr>
          <w:rFonts w:ascii="Arial" w:eastAsia="Times New Roman" w:hAnsi="Arial" w:cs="Arial"/>
          <w:color w:val="auto"/>
          <w:kern w:val="0"/>
          <w:sz w:val="24"/>
          <w:szCs w:val="24"/>
          <w:lang w:eastAsia="en-GB"/>
          <w14:ligatures w14:val="none"/>
        </w:rPr>
        <w:t xml:space="preserve">relating to school premises </w:t>
      </w:r>
      <w:r w:rsidRPr="00665236">
        <w:rPr>
          <w:rFonts w:ascii="Arial" w:eastAsia="Times New Roman" w:hAnsi="Arial" w:cs="Arial"/>
          <w:color w:val="auto"/>
          <w:kern w:val="0"/>
          <w:sz w:val="24"/>
          <w:szCs w:val="24"/>
          <w:lang w:eastAsia="en-GB"/>
          <w14:ligatures w14:val="none"/>
        </w:rPr>
        <w:t xml:space="preserve">and </w:t>
      </w:r>
      <w:r w:rsidR="00FD2D9C">
        <w:rPr>
          <w:rFonts w:ascii="Arial" w:eastAsia="Times New Roman" w:hAnsi="Arial" w:cs="Arial"/>
          <w:color w:val="auto"/>
          <w:kern w:val="0"/>
          <w:sz w:val="24"/>
          <w:szCs w:val="24"/>
          <w:lang w:eastAsia="en-GB"/>
          <w14:ligatures w14:val="none"/>
        </w:rPr>
        <w:t xml:space="preserve">will </w:t>
      </w:r>
      <w:r w:rsidRPr="00665236">
        <w:rPr>
          <w:rFonts w:ascii="Arial" w:eastAsia="Times New Roman" w:hAnsi="Arial" w:cs="Arial"/>
          <w:color w:val="auto"/>
          <w:kern w:val="0"/>
          <w:sz w:val="24"/>
          <w:szCs w:val="24"/>
          <w:lang w:eastAsia="en-GB"/>
          <w14:ligatures w14:val="none"/>
        </w:rPr>
        <w:t>be asking for an annual disapplication request to be submitted for these. In Hampshire</w:t>
      </w:r>
      <w:r w:rsidR="00C85E45">
        <w:rPr>
          <w:rFonts w:ascii="Arial" w:eastAsia="Times New Roman" w:hAnsi="Arial" w:cs="Arial"/>
          <w:color w:val="auto"/>
          <w:kern w:val="0"/>
          <w:sz w:val="24"/>
          <w:szCs w:val="24"/>
          <w:lang w:eastAsia="en-GB"/>
          <w14:ligatures w14:val="none"/>
        </w:rPr>
        <w:t>,</w:t>
      </w:r>
      <w:r w:rsidRPr="00665236">
        <w:rPr>
          <w:rFonts w:ascii="Arial" w:eastAsia="Times New Roman" w:hAnsi="Arial" w:cs="Arial"/>
          <w:color w:val="auto"/>
          <w:kern w:val="0"/>
          <w:sz w:val="24"/>
          <w:szCs w:val="24"/>
          <w:lang w:eastAsia="en-GB"/>
          <w14:ligatures w14:val="none"/>
        </w:rPr>
        <w:t xml:space="preserve"> w</w:t>
      </w:r>
      <w:r w:rsidR="00925147" w:rsidRPr="00665236">
        <w:rPr>
          <w:rFonts w:ascii="Arial" w:eastAsia="Times New Roman" w:hAnsi="Arial" w:cs="Arial"/>
          <w:color w:val="auto"/>
          <w:kern w:val="0"/>
          <w:sz w:val="24"/>
          <w:szCs w:val="24"/>
          <w:lang w:eastAsia="en-GB"/>
          <w14:ligatures w14:val="none"/>
        </w:rPr>
        <w:t xml:space="preserve">e have a small number of schools that are eligible for </w:t>
      </w:r>
      <w:r w:rsidR="00136891" w:rsidRPr="00665236">
        <w:rPr>
          <w:rFonts w:ascii="Arial" w:eastAsia="Times New Roman" w:hAnsi="Arial" w:cs="Arial"/>
          <w:color w:val="auto"/>
          <w:kern w:val="0"/>
          <w:sz w:val="24"/>
          <w:szCs w:val="24"/>
          <w:lang w:eastAsia="en-GB"/>
          <w14:ligatures w14:val="none"/>
        </w:rPr>
        <w:t>this</w:t>
      </w:r>
      <w:r w:rsidR="00B665F1" w:rsidRPr="00665236">
        <w:rPr>
          <w:rFonts w:ascii="Arial" w:eastAsia="Times New Roman" w:hAnsi="Arial" w:cs="Arial"/>
          <w:color w:val="auto"/>
          <w:kern w:val="0"/>
          <w:sz w:val="24"/>
          <w:szCs w:val="24"/>
          <w:lang w:eastAsia="en-GB"/>
          <w14:ligatures w14:val="none"/>
        </w:rPr>
        <w:t xml:space="preserve"> funding</w:t>
      </w:r>
      <w:r w:rsidR="002B3C42" w:rsidRPr="00665236">
        <w:rPr>
          <w:rFonts w:ascii="Arial" w:eastAsia="Times New Roman" w:hAnsi="Arial" w:cs="Arial"/>
          <w:color w:val="auto"/>
          <w:kern w:val="0"/>
          <w:sz w:val="24"/>
          <w:szCs w:val="24"/>
          <w:lang w:eastAsia="en-GB"/>
          <w14:ligatures w14:val="none"/>
        </w:rPr>
        <w:t xml:space="preserve"> at a total estimated cost of</w:t>
      </w:r>
      <w:r w:rsidR="008D226B">
        <w:rPr>
          <w:rFonts w:ascii="Arial" w:eastAsia="Times New Roman" w:hAnsi="Arial" w:cs="Arial"/>
          <w:color w:val="auto"/>
          <w:kern w:val="0"/>
          <w:sz w:val="24"/>
          <w:szCs w:val="24"/>
          <w:lang w:eastAsia="en-GB"/>
          <w14:ligatures w14:val="none"/>
        </w:rPr>
        <w:t xml:space="preserve"> </w:t>
      </w:r>
      <w:r w:rsidR="00D12D0C">
        <w:rPr>
          <w:rFonts w:ascii="Arial" w:eastAsia="Times New Roman" w:hAnsi="Arial" w:cs="Arial"/>
          <w:color w:val="auto"/>
          <w:kern w:val="0"/>
          <w:sz w:val="24"/>
          <w:szCs w:val="24"/>
          <w:lang w:eastAsia="en-GB"/>
          <w14:ligatures w14:val="none"/>
        </w:rPr>
        <w:t>around £350,000</w:t>
      </w:r>
      <w:r w:rsidR="006D4C1D">
        <w:rPr>
          <w:rFonts w:ascii="Arial" w:eastAsia="Times New Roman" w:hAnsi="Arial" w:cs="Arial"/>
          <w:color w:val="auto"/>
          <w:kern w:val="0"/>
          <w:sz w:val="24"/>
          <w:szCs w:val="24"/>
          <w:lang w:eastAsia="en-GB"/>
          <w14:ligatures w14:val="none"/>
        </w:rPr>
        <w:t xml:space="preserve">. These cases relate to exceptional </w:t>
      </w:r>
      <w:r w:rsidR="004C6410">
        <w:rPr>
          <w:rFonts w:ascii="Arial" w:eastAsia="Times New Roman" w:hAnsi="Arial" w:cs="Arial"/>
          <w:color w:val="auto"/>
          <w:kern w:val="0"/>
          <w:sz w:val="24"/>
          <w:szCs w:val="24"/>
          <w:lang w:eastAsia="en-GB"/>
          <w14:ligatures w14:val="none"/>
        </w:rPr>
        <w:t>costs relating to the</w:t>
      </w:r>
      <w:r w:rsidR="00257180" w:rsidRPr="00665236">
        <w:rPr>
          <w:rFonts w:ascii="Arial" w:eastAsia="Times New Roman" w:hAnsi="Arial" w:cs="Arial"/>
          <w:color w:val="auto"/>
          <w:kern w:val="0"/>
          <w:sz w:val="24"/>
          <w:szCs w:val="24"/>
          <w:lang w:eastAsia="en-GB"/>
          <w14:ligatures w14:val="none"/>
        </w:rPr>
        <w:t xml:space="preserve"> rent </w:t>
      </w:r>
      <w:r w:rsidR="004C6410">
        <w:rPr>
          <w:rFonts w:ascii="Arial" w:eastAsia="Times New Roman" w:hAnsi="Arial" w:cs="Arial"/>
          <w:color w:val="auto"/>
          <w:kern w:val="0"/>
          <w:sz w:val="24"/>
          <w:szCs w:val="24"/>
          <w:lang w:eastAsia="en-GB"/>
          <w14:ligatures w14:val="none"/>
        </w:rPr>
        <w:t xml:space="preserve">of </w:t>
      </w:r>
      <w:r w:rsidR="00D62A63" w:rsidRPr="00665236">
        <w:rPr>
          <w:rFonts w:ascii="Arial" w:eastAsia="Times New Roman" w:hAnsi="Arial" w:cs="Arial"/>
          <w:color w:val="auto"/>
          <w:kern w:val="0"/>
          <w:sz w:val="24"/>
          <w:szCs w:val="24"/>
          <w:lang w:eastAsia="en-GB"/>
          <w14:ligatures w14:val="none"/>
        </w:rPr>
        <w:t>additional premises/share use of a facility</w:t>
      </w:r>
      <w:r w:rsidR="00136891" w:rsidRPr="00665236">
        <w:rPr>
          <w:rFonts w:ascii="Arial" w:eastAsia="Times New Roman" w:hAnsi="Arial" w:cs="Arial"/>
          <w:color w:val="auto"/>
          <w:kern w:val="0"/>
          <w:sz w:val="24"/>
          <w:szCs w:val="24"/>
          <w:lang w:eastAsia="en-GB"/>
          <w14:ligatures w14:val="none"/>
        </w:rPr>
        <w:t xml:space="preserve">/hire PE facilities </w:t>
      </w:r>
      <w:r w:rsidR="007D5174" w:rsidRPr="00665236">
        <w:rPr>
          <w:rFonts w:ascii="Arial" w:eastAsia="Times New Roman" w:hAnsi="Arial" w:cs="Arial"/>
          <w:color w:val="auto"/>
          <w:kern w:val="0"/>
          <w:sz w:val="24"/>
          <w:szCs w:val="24"/>
          <w:lang w:eastAsia="en-GB"/>
          <w14:ligatures w14:val="none"/>
        </w:rPr>
        <w:t xml:space="preserve">to deliver their curriculum due to </w:t>
      </w:r>
      <w:r w:rsidR="000C14C2" w:rsidRPr="00665236">
        <w:rPr>
          <w:rFonts w:ascii="Arial" w:eastAsia="Times New Roman" w:hAnsi="Arial" w:cs="Arial"/>
          <w:color w:val="auto"/>
          <w:kern w:val="0"/>
          <w:sz w:val="24"/>
          <w:szCs w:val="24"/>
          <w:lang w:eastAsia="en-GB"/>
          <w14:ligatures w14:val="none"/>
        </w:rPr>
        <w:t>inadequate</w:t>
      </w:r>
      <w:r w:rsidR="007D5174" w:rsidRPr="00665236">
        <w:rPr>
          <w:rFonts w:ascii="Arial" w:eastAsia="Times New Roman" w:hAnsi="Arial" w:cs="Arial"/>
          <w:color w:val="auto"/>
          <w:kern w:val="0"/>
          <w:sz w:val="24"/>
          <w:szCs w:val="24"/>
          <w:lang w:eastAsia="en-GB"/>
          <w14:ligatures w14:val="none"/>
        </w:rPr>
        <w:t xml:space="preserve"> </w:t>
      </w:r>
      <w:r w:rsidR="000C14C2" w:rsidRPr="00665236">
        <w:rPr>
          <w:rFonts w:ascii="Arial" w:eastAsia="Times New Roman" w:hAnsi="Arial" w:cs="Arial"/>
          <w:color w:val="auto"/>
          <w:kern w:val="0"/>
          <w:sz w:val="24"/>
          <w:szCs w:val="24"/>
          <w:lang w:eastAsia="en-GB"/>
          <w14:ligatures w14:val="none"/>
        </w:rPr>
        <w:t>facilities at the school site</w:t>
      </w:r>
      <w:r w:rsidR="000C14C2">
        <w:rPr>
          <w:rFonts w:ascii="Arial" w:eastAsia="Times New Roman" w:hAnsi="Arial" w:cs="Arial"/>
          <w:color w:val="auto"/>
          <w:kern w:val="0"/>
          <w:sz w:val="24"/>
          <w:szCs w:val="24"/>
          <w:lang w:eastAsia="en-GB"/>
          <w14:ligatures w14:val="none"/>
        </w:rPr>
        <w:t xml:space="preserve">. </w:t>
      </w:r>
      <w:r w:rsidR="00CA2942">
        <w:rPr>
          <w:rFonts w:ascii="Arial" w:eastAsia="Times New Roman" w:hAnsi="Arial" w:cs="Arial"/>
          <w:color w:val="auto"/>
          <w:kern w:val="0"/>
          <w:sz w:val="24"/>
          <w:szCs w:val="24"/>
          <w:lang w:eastAsia="en-GB"/>
          <w14:ligatures w14:val="none"/>
        </w:rPr>
        <w:t xml:space="preserve">It is proposed that </w:t>
      </w:r>
      <w:r w:rsidR="007521C0">
        <w:rPr>
          <w:rFonts w:ascii="Arial" w:eastAsia="Times New Roman" w:hAnsi="Arial" w:cs="Arial"/>
          <w:color w:val="auto"/>
          <w:kern w:val="0"/>
          <w:sz w:val="24"/>
          <w:szCs w:val="24"/>
          <w:lang w:eastAsia="en-GB"/>
          <w14:ligatures w14:val="none"/>
        </w:rPr>
        <w:t xml:space="preserve">we continue </w:t>
      </w:r>
      <w:r w:rsidR="00293071">
        <w:rPr>
          <w:rFonts w:ascii="Arial" w:eastAsia="Times New Roman" w:hAnsi="Arial" w:cs="Arial"/>
          <w:color w:val="auto"/>
          <w:kern w:val="0"/>
          <w:sz w:val="24"/>
          <w:szCs w:val="24"/>
          <w:lang w:eastAsia="en-GB"/>
          <w14:ligatures w14:val="none"/>
        </w:rPr>
        <w:t>the provision of additional funding to these schools, as we have done in previous years</w:t>
      </w:r>
      <w:r w:rsidR="001F51BA">
        <w:rPr>
          <w:rFonts w:ascii="Arial" w:eastAsia="Times New Roman" w:hAnsi="Arial" w:cs="Arial"/>
          <w:color w:val="auto"/>
          <w:kern w:val="0"/>
          <w:sz w:val="24"/>
          <w:szCs w:val="24"/>
          <w:lang w:eastAsia="en-GB"/>
          <w14:ligatures w14:val="none"/>
        </w:rPr>
        <w:t xml:space="preserve">, recognising the unavoidable additional costs incurred in delivering core education activities. </w:t>
      </w:r>
    </w:p>
    <w:p w14:paraId="1AC01DDD" w14:textId="77777777" w:rsidR="0007206D" w:rsidRPr="00480197" w:rsidRDefault="0007206D" w:rsidP="002C54D9">
      <w:pPr>
        <w:pStyle w:val="Heading1"/>
        <w:tabs>
          <w:tab w:val="num" w:pos="2843"/>
        </w:tabs>
        <w:spacing w:before="240" w:after="120"/>
        <w:ind w:left="431"/>
        <w:rPr>
          <w:rFonts w:eastAsia="Times New Roman"/>
          <w:bCs w:val="0"/>
          <w:noProof w:val="0"/>
          <w:color w:val="auto"/>
          <w:kern w:val="28"/>
          <w:sz w:val="24"/>
          <w:szCs w:val="24"/>
          <w:lang w:eastAsia="en-GB"/>
          <w14:ligatures w14:val="none"/>
        </w:rPr>
      </w:pPr>
      <w:r w:rsidRPr="00480197">
        <w:rPr>
          <w:rFonts w:eastAsia="Times New Roman"/>
          <w:bCs w:val="0"/>
          <w:noProof w:val="0"/>
          <w:color w:val="auto"/>
          <w:kern w:val="28"/>
          <w:sz w:val="24"/>
          <w:szCs w:val="24"/>
          <w:lang w:eastAsia="en-GB"/>
          <w14:ligatures w14:val="none"/>
        </w:rPr>
        <w:t>High Needs Block</w:t>
      </w:r>
      <w:bookmarkEnd w:id="6"/>
    </w:p>
    <w:p w14:paraId="2007BE0C" w14:textId="77777777" w:rsidR="00570B8D" w:rsidRPr="00E5513F" w:rsidRDefault="0007206D" w:rsidP="002C54D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E5513F">
        <w:rPr>
          <w:rFonts w:ascii="Arial" w:eastAsia="Times New Roman" w:hAnsi="Arial" w:cs="Arial"/>
          <w:color w:val="auto"/>
          <w:kern w:val="0"/>
          <w:sz w:val="24"/>
          <w:szCs w:val="24"/>
          <w:lang w:eastAsia="en-GB"/>
          <w14:ligatures w14:val="none"/>
        </w:rPr>
        <w:t>The additional High Needs Block funding will be used to:</w:t>
      </w:r>
    </w:p>
    <w:p w14:paraId="22A14904" w14:textId="03B8CDD2" w:rsidR="0007206D" w:rsidRPr="00462139" w:rsidRDefault="007461AE" w:rsidP="00865777">
      <w:pPr>
        <w:pStyle w:val="ListParagraph"/>
        <w:numPr>
          <w:ilvl w:val="0"/>
          <w:numId w:val="22"/>
        </w:numPr>
        <w:spacing w:after="120"/>
        <w:ind w:left="851" w:hanging="357"/>
      </w:pPr>
      <w:r w:rsidRPr="00462139">
        <w:t>P</w:t>
      </w:r>
      <w:r w:rsidR="0007206D" w:rsidRPr="00462139">
        <w:t>rovide place funding for new provisions and those that have grown.</w:t>
      </w:r>
    </w:p>
    <w:p w14:paraId="5AB33A5D" w14:textId="2A3C9DDE" w:rsidR="0007206D" w:rsidRPr="00462139" w:rsidRDefault="00276644" w:rsidP="00865777">
      <w:pPr>
        <w:pStyle w:val="ListParagraph"/>
        <w:numPr>
          <w:ilvl w:val="0"/>
          <w:numId w:val="22"/>
        </w:numPr>
        <w:spacing w:after="120"/>
        <w:ind w:left="851" w:hanging="357"/>
      </w:pPr>
      <w:r w:rsidRPr="00462139">
        <w:t>A</w:t>
      </w:r>
      <w:r w:rsidR="0007206D" w:rsidRPr="00462139">
        <w:t xml:space="preserve">djust the funding values for early years SEN hubs, </w:t>
      </w:r>
      <w:r w:rsidR="00F65BC8" w:rsidRPr="00462139">
        <w:t>and</w:t>
      </w:r>
      <w:r w:rsidR="0007206D" w:rsidRPr="00462139">
        <w:t xml:space="preserve"> </w:t>
      </w:r>
      <w:r w:rsidR="00CA6D15" w:rsidRPr="00462139">
        <w:t>top-up</w:t>
      </w:r>
      <w:r w:rsidR="0007206D" w:rsidRPr="00462139">
        <w:t xml:space="preserve"> </w:t>
      </w:r>
      <w:r w:rsidR="000A082F" w:rsidRPr="00462139">
        <w:t>values for</w:t>
      </w:r>
      <w:r w:rsidR="0007206D" w:rsidRPr="00462139">
        <w:t xml:space="preserve"> special schools, resourced provisions, education centres</w:t>
      </w:r>
      <w:r w:rsidR="00BA27E6" w:rsidRPr="00462139">
        <w:t>,</w:t>
      </w:r>
      <w:r w:rsidR="0007206D" w:rsidRPr="00462139">
        <w:t xml:space="preserve"> mainstream schools top up </w:t>
      </w:r>
      <w:r w:rsidR="00C74FD6" w:rsidRPr="00462139">
        <w:t xml:space="preserve">and </w:t>
      </w:r>
      <w:r w:rsidR="004135DE" w:rsidRPr="00462139">
        <w:t>post 16</w:t>
      </w:r>
      <w:r w:rsidR="00AD1003" w:rsidRPr="00462139">
        <w:t xml:space="preserve"> in line with </w:t>
      </w:r>
      <w:r w:rsidR="0059426E" w:rsidRPr="00462139">
        <w:t>an affordable</w:t>
      </w:r>
      <w:r w:rsidR="004135DE" w:rsidRPr="00462139">
        <w:t xml:space="preserve"> </w:t>
      </w:r>
      <w:r w:rsidR="0007206D" w:rsidRPr="00462139">
        <w:t xml:space="preserve">increase in </w:t>
      </w:r>
      <w:r w:rsidR="00B303A1" w:rsidRPr="00462139">
        <w:t>placement</w:t>
      </w:r>
      <w:r w:rsidR="0007206D" w:rsidRPr="00462139">
        <w:t xml:space="preserve"> funding</w:t>
      </w:r>
      <w:r w:rsidR="00B303A1" w:rsidRPr="00462139">
        <w:t>.</w:t>
      </w:r>
    </w:p>
    <w:p w14:paraId="0421E3B4" w14:textId="77777777" w:rsidR="00790AEA" w:rsidRDefault="00EA59B8" w:rsidP="00865777">
      <w:pPr>
        <w:pStyle w:val="ListParagraph"/>
        <w:numPr>
          <w:ilvl w:val="0"/>
          <w:numId w:val="22"/>
        </w:numPr>
        <w:spacing w:after="120"/>
        <w:ind w:left="851" w:hanging="357"/>
      </w:pPr>
      <w:r w:rsidRPr="00462139">
        <w:t xml:space="preserve">Support additional </w:t>
      </w:r>
      <w:r w:rsidR="001A4B15" w:rsidRPr="00462139">
        <w:t xml:space="preserve">staff </w:t>
      </w:r>
      <w:r w:rsidR="00D6323F" w:rsidRPr="00462139">
        <w:t xml:space="preserve">recruited </w:t>
      </w:r>
      <w:r w:rsidR="001A4B15" w:rsidRPr="00462139">
        <w:t xml:space="preserve">in </w:t>
      </w:r>
      <w:r w:rsidR="002B4771" w:rsidRPr="00462139">
        <w:t xml:space="preserve">the </w:t>
      </w:r>
      <w:r w:rsidR="008553AF" w:rsidRPr="00462139">
        <w:t>Therapy</w:t>
      </w:r>
      <w:r w:rsidR="00FB177D" w:rsidRPr="00462139">
        <w:t xml:space="preserve"> </w:t>
      </w:r>
      <w:r w:rsidR="002B4771" w:rsidRPr="00462139">
        <w:t>Serv</w:t>
      </w:r>
      <w:r w:rsidR="004D75F2" w:rsidRPr="00462139">
        <w:t>ice</w:t>
      </w:r>
      <w:r w:rsidR="00FB177D" w:rsidRPr="00462139">
        <w:t xml:space="preserve"> </w:t>
      </w:r>
      <w:r w:rsidR="001776A4" w:rsidRPr="00462139">
        <w:t>in relation</w:t>
      </w:r>
      <w:r w:rsidR="005A5353" w:rsidRPr="00462139">
        <w:t xml:space="preserve"> to</w:t>
      </w:r>
      <w:r w:rsidR="0007206D" w:rsidRPr="00462139">
        <w:t xml:space="preserve"> growth</w:t>
      </w:r>
      <w:r w:rsidR="00FF7051" w:rsidRPr="00462139">
        <w:t xml:space="preserve"> in demand for therapists</w:t>
      </w:r>
      <w:r w:rsidR="00A14697" w:rsidRPr="00462139">
        <w:t>.</w:t>
      </w:r>
    </w:p>
    <w:p w14:paraId="224F03D9" w14:textId="2178C4E5" w:rsidR="0007206D" w:rsidRPr="00462139" w:rsidRDefault="00E34220" w:rsidP="00865777">
      <w:pPr>
        <w:pStyle w:val="ListParagraph"/>
        <w:numPr>
          <w:ilvl w:val="0"/>
          <w:numId w:val="22"/>
        </w:numPr>
        <w:spacing w:after="120"/>
        <w:ind w:left="851" w:hanging="357"/>
      </w:pPr>
      <w:r>
        <w:t xml:space="preserve">Continue </w:t>
      </w:r>
      <w:r w:rsidR="00785E20" w:rsidRPr="00785E20">
        <w:t>Post-16 SEND employability project</w:t>
      </w:r>
      <w:r w:rsidR="00D94CF6">
        <w:t xml:space="preserve"> work in relation to </w:t>
      </w:r>
      <w:proofErr w:type="gramStart"/>
      <w:r w:rsidR="00EA2D70">
        <w:t>su</w:t>
      </w:r>
      <w:r w:rsidR="00822BFD">
        <w:t>pported</w:t>
      </w:r>
      <w:proofErr w:type="gramEnd"/>
      <w:r w:rsidR="00822BFD">
        <w:t xml:space="preserve"> intern</w:t>
      </w:r>
      <w:r w:rsidR="00E43783">
        <w:t>ships</w:t>
      </w:r>
      <w:r w:rsidR="0036124F">
        <w:t>.</w:t>
      </w:r>
    </w:p>
    <w:p w14:paraId="4555C166" w14:textId="7A896773" w:rsidR="00F31E48" w:rsidRDefault="0009244B" w:rsidP="00865777">
      <w:pPr>
        <w:pStyle w:val="ListParagraph"/>
        <w:numPr>
          <w:ilvl w:val="0"/>
          <w:numId w:val="22"/>
        </w:numPr>
        <w:spacing w:after="120"/>
        <w:ind w:left="851" w:hanging="357"/>
      </w:pPr>
      <w:r w:rsidRPr="00462139">
        <w:t xml:space="preserve">Contribute to </w:t>
      </w:r>
      <w:r w:rsidR="00DD37A2" w:rsidRPr="00462139">
        <w:t>an additional</w:t>
      </w:r>
      <w:r w:rsidR="00DD37A2">
        <w:t xml:space="preserve"> member of staff in </w:t>
      </w:r>
      <w:r w:rsidR="0075743E">
        <w:t xml:space="preserve">the complex </w:t>
      </w:r>
      <w:r w:rsidR="00D97CE3">
        <w:t>admissions</w:t>
      </w:r>
      <w:r w:rsidR="0075743E">
        <w:t xml:space="preserve"> team</w:t>
      </w:r>
      <w:r w:rsidR="00D97CE3">
        <w:t xml:space="preserve"> </w:t>
      </w:r>
      <w:r w:rsidR="00780DC1">
        <w:t xml:space="preserve">in relation to </w:t>
      </w:r>
      <w:r w:rsidR="00015CC5">
        <w:t xml:space="preserve">continued high levels </w:t>
      </w:r>
      <w:r w:rsidR="00780DC1">
        <w:t>of demand.</w:t>
      </w:r>
    </w:p>
    <w:p w14:paraId="4F40E5EB" w14:textId="5D8E8497" w:rsidR="00173373" w:rsidRPr="00E5513F" w:rsidRDefault="00173373" w:rsidP="00865777">
      <w:pPr>
        <w:pStyle w:val="ListParagraph"/>
        <w:numPr>
          <w:ilvl w:val="0"/>
          <w:numId w:val="22"/>
        </w:numPr>
        <w:spacing w:after="120"/>
        <w:ind w:left="851" w:hanging="357"/>
      </w:pPr>
      <w:r>
        <w:t xml:space="preserve">Support </w:t>
      </w:r>
      <w:r w:rsidR="00D9264C">
        <w:t xml:space="preserve">increased staff costs across </w:t>
      </w:r>
      <w:r w:rsidR="0011686D">
        <w:t xml:space="preserve">teams </w:t>
      </w:r>
      <w:r w:rsidR="00185111">
        <w:t>working</w:t>
      </w:r>
      <w:r w:rsidR="003A3AD9">
        <w:t xml:space="preserve"> for</w:t>
      </w:r>
      <w:r w:rsidR="0011686D">
        <w:t xml:space="preserve"> the high needs block</w:t>
      </w:r>
      <w:r w:rsidR="00F31E48">
        <w:t>.</w:t>
      </w:r>
    </w:p>
    <w:p w14:paraId="2E50C320" w14:textId="598BA14D" w:rsidR="00D1467F" w:rsidRDefault="00FA2F7F" w:rsidP="00980BF5">
      <w:pPr>
        <w:pStyle w:val="ListParagraph"/>
        <w:numPr>
          <w:ilvl w:val="0"/>
          <w:numId w:val="22"/>
        </w:numPr>
        <w:spacing w:after="120"/>
        <w:ind w:left="850" w:hanging="357"/>
        <w:contextualSpacing w:val="0"/>
      </w:pPr>
      <w:r w:rsidRPr="00E5513F">
        <w:t xml:space="preserve">Support </w:t>
      </w:r>
      <w:r w:rsidR="00461D45" w:rsidRPr="00E5513F">
        <w:t xml:space="preserve">further </w:t>
      </w:r>
      <w:r w:rsidR="0077100A" w:rsidRPr="00E5513F">
        <w:t xml:space="preserve">investment in cost avoidance </w:t>
      </w:r>
      <w:r w:rsidR="004B19EE" w:rsidRPr="00E5513F">
        <w:t>activity</w:t>
      </w:r>
      <w:r w:rsidR="00B61166" w:rsidRPr="00E5513F">
        <w:t xml:space="preserve"> </w:t>
      </w:r>
      <w:r w:rsidR="004841F4" w:rsidRPr="00E5513F">
        <w:t xml:space="preserve">identified by the </w:t>
      </w:r>
      <w:r w:rsidR="00284C57" w:rsidRPr="00E5513F">
        <w:t xml:space="preserve">Transforming SEND </w:t>
      </w:r>
      <w:r w:rsidR="008606EF">
        <w:t xml:space="preserve">(TSEND) </w:t>
      </w:r>
      <w:r w:rsidR="00873679" w:rsidRPr="00E5513F">
        <w:t xml:space="preserve">Hampshire </w:t>
      </w:r>
      <w:r w:rsidR="00D34BE8" w:rsidRPr="00E5513F">
        <w:t>work.</w:t>
      </w:r>
    </w:p>
    <w:p w14:paraId="2B02C1DF" w14:textId="15BDEC1F" w:rsidR="00BE4A5B" w:rsidRPr="00F5725D" w:rsidRDefault="007B5B66" w:rsidP="00980BF5">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F5725D">
        <w:rPr>
          <w:rFonts w:ascii="Arial" w:eastAsia="Times New Roman" w:hAnsi="Arial" w:cs="Arial"/>
          <w:color w:val="auto"/>
          <w:kern w:val="0"/>
          <w:sz w:val="24"/>
          <w:szCs w:val="24"/>
          <w:lang w:eastAsia="en-GB"/>
          <w14:ligatures w14:val="none"/>
        </w:rPr>
        <w:t xml:space="preserve">The additional requirements will be partially offset by the following </w:t>
      </w:r>
      <w:r w:rsidR="000A07DF" w:rsidRPr="00F5725D">
        <w:rPr>
          <w:rFonts w:ascii="Arial" w:eastAsia="Times New Roman" w:hAnsi="Arial" w:cs="Arial"/>
          <w:color w:val="auto"/>
          <w:kern w:val="0"/>
          <w:sz w:val="24"/>
          <w:szCs w:val="24"/>
          <w:lang w:eastAsia="en-GB"/>
          <w14:ligatures w14:val="none"/>
        </w:rPr>
        <w:t>budget reductions</w:t>
      </w:r>
      <w:r w:rsidR="00980BF5" w:rsidRPr="00F5725D">
        <w:rPr>
          <w:rFonts w:ascii="Arial" w:eastAsia="Times New Roman" w:hAnsi="Arial" w:cs="Arial"/>
          <w:color w:val="auto"/>
          <w:kern w:val="0"/>
          <w:sz w:val="24"/>
          <w:szCs w:val="24"/>
          <w:lang w:eastAsia="en-GB"/>
          <w14:ligatures w14:val="none"/>
        </w:rPr>
        <w:t>:</w:t>
      </w:r>
    </w:p>
    <w:p w14:paraId="3FC3EA53" w14:textId="4A3A6426" w:rsidR="00E82076" w:rsidRDefault="00E82076" w:rsidP="00980BF5">
      <w:pPr>
        <w:pStyle w:val="ListParagraph"/>
        <w:numPr>
          <w:ilvl w:val="0"/>
          <w:numId w:val="22"/>
        </w:numPr>
        <w:spacing w:after="120"/>
        <w:ind w:left="851" w:hanging="357"/>
      </w:pPr>
      <w:r w:rsidRPr="00363C0A">
        <w:t>Reduction in discretionary</w:t>
      </w:r>
      <w:r w:rsidR="004C7F52" w:rsidRPr="00363C0A">
        <w:t xml:space="preserve"> funding pressures in relation to externally commissioned therapists.</w:t>
      </w:r>
    </w:p>
    <w:p w14:paraId="6A20389C" w14:textId="24EE3936" w:rsidR="00223D55" w:rsidRPr="00363C0A" w:rsidRDefault="00F63C03" w:rsidP="006A0878">
      <w:pPr>
        <w:pStyle w:val="ListParagraph"/>
        <w:numPr>
          <w:ilvl w:val="0"/>
          <w:numId w:val="22"/>
        </w:numPr>
        <w:spacing w:after="120"/>
        <w:ind w:left="851" w:hanging="357"/>
      </w:pPr>
      <w:r>
        <w:t xml:space="preserve">Reduction of discretionary budgets </w:t>
      </w:r>
      <w:r w:rsidR="0032288D">
        <w:t>in relation to printing</w:t>
      </w:r>
      <w:r w:rsidR="0077747E">
        <w:t>/ photoco</w:t>
      </w:r>
      <w:r w:rsidR="00C97FF9">
        <w:t>pying</w:t>
      </w:r>
      <w:r w:rsidR="005C3F5D">
        <w:t xml:space="preserve">/ </w:t>
      </w:r>
      <w:r w:rsidR="00E13245">
        <w:t>travel/ other general non pay expenses</w:t>
      </w:r>
      <w:r w:rsidR="00996538">
        <w:t xml:space="preserve"> across </w:t>
      </w:r>
      <w:r w:rsidR="000448EA">
        <w:t>centralised services.</w:t>
      </w:r>
    </w:p>
    <w:p w14:paraId="7D91E4A3" w14:textId="1F4A842E" w:rsidR="0007206D" w:rsidRPr="000F6CD2" w:rsidRDefault="00AA53CC" w:rsidP="00980BF5">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Pr>
          <w:rFonts w:ascii="Arial" w:eastAsia="Times New Roman" w:hAnsi="Arial" w:cs="Arial"/>
          <w:color w:val="auto"/>
          <w:kern w:val="0"/>
          <w:sz w:val="24"/>
          <w:szCs w:val="24"/>
          <w:lang w:eastAsia="en-GB"/>
          <w14:ligatures w14:val="none"/>
        </w:rPr>
        <w:lastRenderedPageBreak/>
        <w:t xml:space="preserve">Budget areas that are currently </w:t>
      </w:r>
      <w:r w:rsidR="00AC199D">
        <w:rPr>
          <w:rFonts w:ascii="Arial" w:eastAsia="Times New Roman" w:hAnsi="Arial" w:cs="Arial"/>
          <w:color w:val="auto"/>
          <w:kern w:val="0"/>
          <w:sz w:val="24"/>
          <w:szCs w:val="24"/>
          <w:lang w:eastAsia="en-GB"/>
          <w14:ligatures w14:val="none"/>
        </w:rPr>
        <w:t>showing a reduced budget in line with the avai</w:t>
      </w:r>
      <w:r w:rsidR="00167909">
        <w:rPr>
          <w:rFonts w:ascii="Arial" w:eastAsia="Times New Roman" w:hAnsi="Arial" w:cs="Arial"/>
          <w:color w:val="auto"/>
          <w:kern w:val="0"/>
          <w:sz w:val="24"/>
          <w:szCs w:val="24"/>
          <w:lang w:eastAsia="en-GB"/>
          <w14:ligatures w14:val="none"/>
        </w:rPr>
        <w:t xml:space="preserve">lable allocation will be </w:t>
      </w:r>
      <w:r w:rsidR="00800843">
        <w:rPr>
          <w:rFonts w:ascii="Arial" w:eastAsia="Times New Roman" w:hAnsi="Arial" w:cs="Arial"/>
          <w:color w:val="auto"/>
          <w:kern w:val="0"/>
          <w:sz w:val="24"/>
          <w:szCs w:val="24"/>
          <w:lang w:eastAsia="en-GB"/>
          <w14:ligatures w14:val="none"/>
        </w:rPr>
        <w:t>adjusted to reflect a more reali</w:t>
      </w:r>
      <w:r w:rsidR="0046694E">
        <w:rPr>
          <w:rFonts w:ascii="Arial" w:eastAsia="Times New Roman" w:hAnsi="Arial" w:cs="Arial"/>
          <w:color w:val="auto"/>
          <w:kern w:val="0"/>
          <w:sz w:val="24"/>
          <w:szCs w:val="24"/>
          <w:lang w:eastAsia="en-GB"/>
          <w14:ligatures w14:val="none"/>
        </w:rPr>
        <w:t>stic budget to provide more meaningful in year reporting</w:t>
      </w:r>
      <w:r w:rsidR="00393F35">
        <w:rPr>
          <w:rFonts w:ascii="Arial" w:eastAsia="Times New Roman" w:hAnsi="Arial" w:cs="Arial"/>
          <w:color w:val="auto"/>
          <w:kern w:val="0"/>
          <w:sz w:val="24"/>
          <w:szCs w:val="24"/>
          <w:lang w:eastAsia="en-GB"/>
          <w14:ligatures w14:val="none"/>
        </w:rPr>
        <w:t xml:space="preserve">.  These increases will be offset in the new </w:t>
      </w:r>
      <w:r w:rsidR="00886362">
        <w:rPr>
          <w:rFonts w:ascii="Arial" w:eastAsia="Times New Roman" w:hAnsi="Arial" w:cs="Arial"/>
          <w:color w:val="auto"/>
          <w:kern w:val="0"/>
          <w:sz w:val="24"/>
          <w:szCs w:val="24"/>
          <w:lang w:eastAsia="en-GB"/>
          <w14:ligatures w14:val="none"/>
        </w:rPr>
        <w:t xml:space="preserve">known pressures </w:t>
      </w:r>
      <w:r w:rsidR="00430E04">
        <w:rPr>
          <w:rFonts w:ascii="Arial" w:eastAsia="Times New Roman" w:hAnsi="Arial" w:cs="Arial"/>
          <w:color w:val="auto"/>
          <w:kern w:val="0"/>
          <w:sz w:val="24"/>
          <w:szCs w:val="24"/>
          <w:lang w:eastAsia="en-GB"/>
          <w14:ligatures w14:val="none"/>
        </w:rPr>
        <w:t>budget</w:t>
      </w:r>
      <w:r w:rsidR="00694AB1">
        <w:rPr>
          <w:rFonts w:ascii="Arial" w:eastAsia="Times New Roman" w:hAnsi="Arial" w:cs="Arial"/>
          <w:color w:val="auto"/>
          <w:kern w:val="0"/>
          <w:sz w:val="24"/>
          <w:szCs w:val="24"/>
          <w:lang w:eastAsia="en-GB"/>
          <w14:ligatures w14:val="none"/>
        </w:rPr>
        <w:t xml:space="preserve">.  As part of our statutory reporting this budget will be apportioned </w:t>
      </w:r>
      <w:r w:rsidR="00D5606C">
        <w:rPr>
          <w:rFonts w:ascii="Arial" w:eastAsia="Times New Roman" w:hAnsi="Arial" w:cs="Arial"/>
          <w:color w:val="auto"/>
          <w:kern w:val="0"/>
          <w:sz w:val="24"/>
          <w:szCs w:val="24"/>
          <w:lang w:eastAsia="en-GB"/>
          <w14:ligatures w14:val="none"/>
        </w:rPr>
        <w:t>between</w:t>
      </w:r>
      <w:r w:rsidR="00694AB1">
        <w:rPr>
          <w:rFonts w:ascii="Arial" w:eastAsia="Times New Roman" w:hAnsi="Arial" w:cs="Arial"/>
          <w:color w:val="auto"/>
          <w:kern w:val="0"/>
          <w:sz w:val="24"/>
          <w:szCs w:val="24"/>
          <w:lang w:eastAsia="en-GB"/>
          <w14:ligatures w14:val="none"/>
        </w:rPr>
        <w:t xml:space="preserve"> </w:t>
      </w:r>
      <w:r w:rsidR="002F083E">
        <w:rPr>
          <w:rFonts w:ascii="Arial" w:eastAsia="Times New Roman" w:hAnsi="Arial" w:cs="Arial"/>
          <w:color w:val="auto"/>
          <w:kern w:val="0"/>
          <w:sz w:val="24"/>
          <w:szCs w:val="24"/>
          <w:lang w:eastAsia="en-GB"/>
          <w14:ligatures w14:val="none"/>
        </w:rPr>
        <w:t xml:space="preserve">top up budgets </w:t>
      </w:r>
      <w:r w:rsidR="00D173CE">
        <w:rPr>
          <w:rFonts w:ascii="Arial" w:eastAsia="Times New Roman" w:hAnsi="Arial" w:cs="Arial"/>
          <w:color w:val="auto"/>
          <w:kern w:val="0"/>
          <w:sz w:val="24"/>
          <w:szCs w:val="24"/>
          <w:lang w:eastAsia="en-GB"/>
          <w14:ligatures w14:val="none"/>
        </w:rPr>
        <w:t xml:space="preserve">as these have </w:t>
      </w:r>
      <w:r w:rsidR="00EF735C">
        <w:rPr>
          <w:rFonts w:ascii="Arial" w:eastAsia="Times New Roman" w:hAnsi="Arial" w:cs="Arial"/>
          <w:color w:val="auto"/>
          <w:kern w:val="0"/>
          <w:sz w:val="24"/>
          <w:szCs w:val="24"/>
          <w:lang w:eastAsia="en-GB"/>
          <w14:ligatures w14:val="none"/>
        </w:rPr>
        <w:t>historic</w:t>
      </w:r>
      <w:r w:rsidR="00A0773B">
        <w:rPr>
          <w:rFonts w:ascii="Arial" w:eastAsia="Times New Roman" w:hAnsi="Arial" w:cs="Arial"/>
          <w:color w:val="auto"/>
          <w:kern w:val="0"/>
          <w:sz w:val="24"/>
          <w:szCs w:val="24"/>
          <w:lang w:eastAsia="en-GB"/>
          <w14:ligatures w14:val="none"/>
        </w:rPr>
        <w:t xml:space="preserve">ally been the </w:t>
      </w:r>
      <w:r w:rsidR="00B64B07">
        <w:rPr>
          <w:rFonts w:ascii="Arial" w:eastAsia="Times New Roman" w:hAnsi="Arial" w:cs="Arial"/>
          <w:color w:val="auto"/>
          <w:kern w:val="0"/>
          <w:sz w:val="24"/>
          <w:szCs w:val="24"/>
          <w:lang w:eastAsia="en-GB"/>
          <w14:ligatures w14:val="none"/>
        </w:rPr>
        <w:t>expected</w:t>
      </w:r>
      <w:r w:rsidR="00EF735C">
        <w:rPr>
          <w:rFonts w:ascii="Arial" w:eastAsia="Times New Roman" w:hAnsi="Arial" w:cs="Arial"/>
          <w:color w:val="auto"/>
          <w:kern w:val="0"/>
          <w:sz w:val="24"/>
          <w:szCs w:val="24"/>
          <w:lang w:eastAsia="en-GB"/>
          <w14:ligatures w14:val="none"/>
        </w:rPr>
        <w:t xml:space="preserve"> areas of pressure</w:t>
      </w:r>
      <w:r w:rsidR="00B7482F">
        <w:rPr>
          <w:rFonts w:ascii="Arial" w:eastAsia="Times New Roman" w:hAnsi="Arial" w:cs="Arial"/>
          <w:color w:val="auto"/>
          <w:kern w:val="0"/>
          <w:sz w:val="24"/>
          <w:szCs w:val="24"/>
          <w:lang w:eastAsia="en-GB"/>
          <w14:ligatures w14:val="none"/>
        </w:rPr>
        <w:t>.</w:t>
      </w:r>
    </w:p>
    <w:p w14:paraId="290EF5B2" w14:textId="67294C70" w:rsidR="0007206D" w:rsidRPr="00EE3BA7" w:rsidRDefault="0007206D" w:rsidP="00980BF5">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EE3BA7">
        <w:rPr>
          <w:rFonts w:ascii="Arial" w:eastAsia="Times New Roman" w:hAnsi="Arial" w:cs="Arial"/>
          <w:color w:val="auto"/>
          <w:kern w:val="0"/>
          <w:sz w:val="24"/>
          <w:szCs w:val="24"/>
          <w:lang w:eastAsia="en-GB"/>
          <w14:ligatures w14:val="none"/>
        </w:rPr>
        <w:t>The DSG Deficit Management Plan shows that despite an increase in funding, a</w:t>
      </w:r>
      <w:r w:rsidR="00E8267C" w:rsidRPr="00EE3BA7">
        <w:rPr>
          <w:rFonts w:ascii="Arial" w:eastAsia="Times New Roman" w:hAnsi="Arial" w:cs="Arial"/>
          <w:color w:val="auto"/>
          <w:kern w:val="0"/>
          <w:sz w:val="24"/>
          <w:szCs w:val="24"/>
          <w:lang w:eastAsia="en-GB"/>
          <w14:ligatures w14:val="none"/>
        </w:rPr>
        <w:t>n in-year</w:t>
      </w:r>
      <w:r w:rsidRPr="00EE3BA7">
        <w:rPr>
          <w:rFonts w:ascii="Arial" w:eastAsia="Times New Roman" w:hAnsi="Arial" w:cs="Arial"/>
          <w:color w:val="auto"/>
          <w:kern w:val="0"/>
          <w:sz w:val="24"/>
          <w:szCs w:val="24"/>
          <w:lang w:eastAsia="en-GB"/>
          <w14:ligatures w14:val="none"/>
        </w:rPr>
        <w:t xml:space="preserve"> pressure of £</w:t>
      </w:r>
      <w:r w:rsidR="00EE3BA7" w:rsidRPr="00EE3BA7">
        <w:rPr>
          <w:rFonts w:ascii="Arial" w:eastAsia="Times New Roman" w:hAnsi="Arial" w:cs="Arial"/>
          <w:color w:val="auto"/>
          <w:kern w:val="0"/>
          <w:sz w:val="24"/>
          <w:szCs w:val="24"/>
          <w:lang w:eastAsia="en-GB"/>
          <w14:ligatures w14:val="none"/>
        </w:rPr>
        <w:t>88.8</w:t>
      </w:r>
      <w:r w:rsidRPr="00EE3BA7">
        <w:rPr>
          <w:rFonts w:ascii="Arial" w:eastAsia="Times New Roman" w:hAnsi="Arial" w:cs="Arial"/>
          <w:color w:val="auto"/>
          <w:kern w:val="0"/>
          <w:sz w:val="24"/>
          <w:szCs w:val="24"/>
          <w:lang w:eastAsia="en-GB"/>
          <w14:ligatures w14:val="none"/>
        </w:rPr>
        <w:t xml:space="preserve">m </w:t>
      </w:r>
      <w:r w:rsidR="00E8267C" w:rsidRPr="00EE3BA7">
        <w:rPr>
          <w:rFonts w:ascii="Arial" w:eastAsia="Times New Roman" w:hAnsi="Arial" w:cs="Arial"/>
          <w:color w:val="auto"/>
          <w:kern w:val="0"/>
          <w:sz w:val="24"/>
          <w:szCs w:val="24"/>
          <w:lang w:eastAsia="en-GB"/>
          <w14:ligatures w14:val="none"/>
        </w:rPr>
        <w:t>is</w:t>
      </w:r>
      <w:r w:rsidRPr="00EE3BA7">
        <w:rPr>
          <w:rFonts w:ascii="Arial" w:eastAsia="Times New Roman" w:hAnsi="Arial" w:cs="Arial"/>
          <w:color w:val="auto"/>
          <w:kern w:val="0"/>
          <w:sz w:val="24"/>
          <w:szCs w:val="24"/>
          <w:lang w:eastAsia="en-GB"/>
          <w14:ligatures w14:val="none"/>
        </w:rPr>
        <w:t xml:space="preserve"> expected in </w:t>
      </w:r>
      <w:r w:rsidR="000F6CD2" w:rsidRPr="00EE3BA7">
        <w:rPr>
          <w:rFonts w:ascii="Arial" w:eastAsia="Times New Roman" w:hAnsi="Arial" w:cs="Arial"/>
          <w:color w:val="auto"/>
          <w:kern w:val="0"/>
          <w:sz w:val="24"/>
          <w:szCs w:val="24"/>
          <w:lang w:eastAsia="en-GB"/>
          <w14:ligatures w14:val="none"/>
        </w:rPr>
        <w:t>2025/26</w:t>
      </w:r>
      <w:r w:rsidR="006912EC" w:rsidRPr="00EE3BA7">
        <w:rPr>
          <w:rFonts w:ascii="Arial" w:eastAsia="Times New Roman" w:hAnsi="Arial" w:cs="Arial"/>
          <w:color w:val="auto"/>
          <w:kern w:val="0"/>
          <w:sz w:val="24"/>
          <w:szCs w:val="24"/>
          <w:lang w:eastAsia="en-GB"/>
          <w14:ligatures w14:val="none"/>
        </w:rPr>
        <w:t xml:space="preserve">.  </w:t>
      </w:r>
      <w:r w:rsidR="001337E8" w:rsidRPr="00EE3BA7">
        <w:rPr>
          <w:rFonts w:ascii="Arial" w:eastAsia="Times New Roman" w:hAnsi="Arial" w:cs="Arial"/>
          <w:color w:val="auto"/>
          <w:kern w:val="0"/>
          <w:sz w:val="24"/>
          <w:szCs w:val="24"/>
          <w:lang w:eastAsia="en-GB"/>
          <w14:ligatures w14:val="none"/>
        </w:rPr>
        <w:t xml:space="preserve">We continue to meet regularly with the DfE </w:t>
      </w:r>
      <w:r w:rsidR="000F355A" w:rsidRPr="00EE3BA7">
        <w:rPr>
          <w:rFonts w:ascii="Arial" w:eastAsia="Times New Roman" w:hAnsi="Arial" w:cs="Arial"/>
          <w:color w:val="auto"/>
          <w:kern w:val="0"/>
          <w:sz w:val="24"/>
          <w:szCs w:val="24"/>
          <w:lang w:eastAsia="en-GB"/>
          <w14:ligatures w14:val="none"/>
        </w:rPr>
        <w:t xml:space="preserve">in relation to our TSEND programme and the </w:t>
      </w:r>
      <w:r w:rsidR="00691AFE" w:rsidRPr="00EE3BA7">
        <w:rPr>
          <w:rFonts w:ascii="Arial" w:eastAsia="Times New Roman" w:hAnsi="Arial" w:cs="Arial"/>
          <w:color w:val="auto"/>
          <w:kern w:val="0"/>
          <w:sz w:val="24"/>
          <w:szCs w:val="24"/>
          <w:lang w:eastAsia="en-GB"/>
          <w14:ligatures w14:val="none"/>
        </w:rPr>
        <w:t xml:space="preserve">cost avoidance </w:t>
      </w:r>
      <w:r w:rsidR="00662BED" w:rsidRPr="00EE3BA7">
        <w:rPr>
          <w:rFonts w:ascii="Arial" w:eastAsia="Times New Roman" w:hAnsi="Arial" w:cs="Arial"/>
          <w:color w:val="auto"/>
          <w:kern w:val="0"/>
          <w:sz w:val="24"/>
          <w:szCs w:val="24"/>
          <w:lang w:eastAsia="en-GB"/>
          <w14:ligatures w14:val="none"/>
        </w:rPr>
        <w:t>impact it is ha</w:t>
      </w:r>
      <w:r w:rsidR="00691AFE" w:rsidRPr="00EE3BA7">
        <w:rPr>
          <w:rFonts w:ascii="Arial" w:eastAsia="Times New Roman" w:hAnsi="Arial" w:cs="Arial"/>
          <w:color w:val="auto"/>
          <w:kern w:val="0"/>
          <w:sz w:val="24"/>
          <w:szCs w:val="24"/>
          <w:lang w:eastAsia="en-GB"/>
          <w14:ligatures w14:val="none"/>
        </w:rPr>
        <w:t xml:space="preserve">ving. </w:t>
      </w:r>
    </w:p>
    <w:p w14:paraId="03022478" w14:textId="77777777" w:rsidR="0007206D" w:rsidRPr="00480197" w:rsidRDefault="0007206D" w:rsidP="00D47C64">
      <w:pPr>
        <w:pStyle w:val="Heading1"/>
        <w:tabs>
          <w:tab w:val="num" w:pos="2843"/>
        </w:tabs>
        <w:spacing w:before="240" w:after="120"/>
        <w:ind w:left="431"/>
        <w:rPr>
          <w:rFonts w:eastAsia="Times New Roman"/>
          <w:bCs w:val="0"/>
          <w:noProof w:val="0"/>
          <w:color w:val="auto"/>
          <w:kern w:val="28"/>
          <w:sz w:val="24"/>
          <w:szCs w:val="24"/>
          <w:lang w:eastAsia="en-GB"/>
          <w14:ligatures w14:val="none"/>
        </w:rPr>
      </w:pPr>
      <w:bookmarkStart w:id="7" w:name="_Toc151016900"/>
      <w:r w:rsidRPr="00480197">
        <w:rPr>
          <w:rFonts w:eastAsia="Times New Roman"/>
          <w:bCs w:val="0"/>
          <w:noProof w:val="0"/>
          <w:color w:val="auto"/>
          <w:kern w:val="28"/>
          <w:sz w:val="24"/>
          <w:szCs w:val="24"/>
          <w:lang w:eastAsia="en-GB"/>
          <w14:ligatures w14:val="none"/>
        </w:rPr>
        <w:t>Central School Services Block</w:t>
      </w:r>
      <w:bookmarkEnd w:id="7"/>
    </w:p>
    <w:p w14:paraId="51E9EA45" w14:textId="77777777" w:rsidR="0007206D" w:rsidRPr="00EF44F9" w:rsidRDefault="0007206D" w:rsidP="00D47C6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EF44F9">
        <w:rPr>
          <w:rFonts w:ascii="Arial" w:eastAsia="Times New Roman" w:hAnsi="Arial" w:cs="Arial"/>
          <w:color w:val="auto"/>
          <w:kern w:val="0"/>
          <w:sz w:val="24"/>
          <w:szCs w:val="24"/>
          <w:lang w:eastAsia="en-GB"/>
          <w14:ligatures w14:val="none"/>
        </w:rPr>
        <w:t>The Central Schools Services Block (CSSB) provides funding for local authorities to carry out central functions on behalf of maintained schools and academies, comprising of two distinct elements:</w:t>
      </w:r>
    </w:p>
    <w:p w14:paraId="7D761605" w14:textId="77777777" w:rsidR="0007206D" w:rsidRPr="00EF44F9" w:rsidRDefault="0007206D" w:rsidP="00D47C64">
      <w:pPr>
        <w:pStyle w:val="ListParagraph"/>
        <w:numPr>
          <w:ilvl w:val="0"/>
          <w:numId w:val="22"/>
        </w:numPr>
        <w:spacing w:after="120"/>
        <w:ind w:left="851" w:hanging="357"/>
      </w:pPr>
      <w:r w:rsidRPr="00EF44F9">
        <w:t>funding for on-going responsibilities</w:t>
      </w:r>
    </w:p>
    <w:p w14:paraId="1E5F848E" w14:textId="77777777" w:rsidR="0007206D" w:rsidRPr="00EF44F9" w:rsidRDefault="0007206D" w:rsidP="00D47C64">
      <w:pPr>
        <w:pStyle w:val="ListParagraph"/>
        <w:numPr>
          <w:ilvl w:val="0"/>
          <w:numId w:val="22"/>
        </w:numPr>
        <w:spacing w:after="120"/>
        <w:ind w:left="850" w:hanging="357"/>
        <w:contextualSpacing w:val="0"/>
      </w:pPr>
      <w:r w:rsidRPr="00EF44F9">
        <w:t>residual funding for historic commitments</w:t>
      </w:r>
    </w:p>
    <w:p w14:paraId="0917924D" w14:textId="77777777" w:rsidR="0007206D" w:rsidRPr="00EF44F9" w:rsidRDefault="0007206D" w:rsidP="006A751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proofErr w:type="gramStart"/>
      <w:r w:rsidRPr="00EF44F9">
        <w:rPr>
          <w:rFonts w:ascii="Arial" w:eastAsia="Times New Roman" w:hAnsi="Arial" w:cs="Arial"/>
          <w:color w:val="auto"/>
          <w:kern w:val="0"/>
          <w:sz w:val="24"/>
          <w:szCs w:val="24"/>
          <w:lang w:eastAsia="en-GB"/>
          <w14:ligatures w14:val="none"/>
        </w:rPr>
        <w:t>Schools</w:t>
      </w:r>
      <w:proofErr w:type="gramEnd"/>
      <w:r w:rsidRPr="00EF44F9">
        <w:rPr>
          <w:rFonts w:ascii="Arial" w:eastAsia="Times New Roman" w:hAnsi="Arial" w:cs="Arial"/>
          <w:color w:val="auto"/>
          <w:kern w:val="0"/>
          <w:sz w:val="24"/>
          <w:szCs w:val="24"/>
          <w:lang w:eastAsia="en-GB"/>
          <w14:ligatures w14:val="none"/>
        </w:rPr>
        <w:t xml:space="preserve"> Forum approval is required each year for the budgets held centrally.</w:t>
      </w:r>
    </w:p>
    <w:p w14:paraId="7D7473E6" w14:textId="29ACA5FB" w:rsidR="0007206D" w:rsidRPr="00F144DB" w:rsidRDefault="00F144DB" w:rsidP="006A751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Pr>
          <w:rFonts w:ascii="Arial" w:eastAsia="Times New Roman" w:hAnsi="Arial" w:cs="Arial"/>
          <w:color w:val="auto"/>
          <w:kern w:val="0"/>
          <w:sz w:val="24"/>
          <w:szCs w:val="24"/>
          <w:lang w:eastAsia="en-GB"/>
          <w14:ligatures w14:val="none"/>
        </w:rPr>
        <w:t>The DfE</w:t>
      </w:r>
      <w:r w:rsidR="00A824DC" w:rsidRPr="00F144DB">
        <w:rPr>
          <w:rFonts w:ascii="Arial" w:eastAsia="Times New Roman" w:hAnsi="Arial" w:cs="Arial"/>
          <w:color w:val="auto"/>
          <w:kern w:val="0"/>
          <w:sz w:val="24"/>
          <w:szCs w:val="24"/>
          <w:lang w:eastAsia="en-GB"/>
          <w14:ligatures w14:val="none"/>
        </w:rPr>
        <w:t xml:space="preserve"> have not yet </w:t>
      </w:r>
      <w:r w:rsidR="006862E0">
        <w:rPr>
          <w:rFonts w:ascii="Arial" w:eastAsia="Times New Roman" w:hAnsi="Arial" w:cs="Arial"/>
          <w:color w:val="auto"/>
          <w:kern w:val="0"/>
          <w:sz w:val="24"/>
          <w:szCs w:val="24"/>
          <w:lang w:eastAsia="en-GB"/>
          <w14:ligatures w14:val="none"/>
        </w:rPr>
        <w:t>published</w:t>
      </w:r>
      <w:r w:rsidR="0007206D" w:rsidRPr="00F144DB">
        <w:rPr>
          <w:rFonts w:ascii="Arial" w:eastAsia="Times New Roman" w:hAnsi="Arial" w:cs="Arial"/>
          <w:color w:val="auto"/>
          <w:kern w:val="0"/>
          <w:sz w:val="24"/>
          <w:szCs w:val="24"/>
          <w:lang w:eastAsia="en-GB"/>
          <w14:ligatures w14:val="none"/>
        </w:rPr>
        <w:t xml:space="preserve"> </w:t>
      </w:r>
      <w:r w:rsidR="009312B7">
        <w:rPr>
          <w:rFonts w:ascii="Arial" w:eastAsia="Times New Roman" w:hAnsi="Arial" w:cs="Arial"/>
          <w:color w:val="auto"/>
          <w:kern w:val="0"/>
          <w:sz w:val="24"/>
          <w:szCs w:val="24"/>
          <w:lang w:eastAsia="en-GB"/>
          <w14:ligatures w14:val="none"/>
        </w:rPr>
        <w:t xml:space="preserve">2025/26 </w:t>
      </w:r>
      <w:r w:rsidR="0007206D" w:rsidRPr="00F144DB">
        <w:rPr>
          <w:rFonts w:ascii="Arial" w:eastAsia="Times New Roman" w:hAnsi="Arial" w:cs="Arial"/>
          <w:color w:val="auto"/>
          <w:kern w:val="0"/>
          <w:sz w:val="24"/>
          <w:szCs w:val="24"/>
          <w:lang w:eastAsia="en-GB"/>
          <w14:ligatures w14:val="none"/>
        </w:rPr>
        <w:t>allocations</w:t>
      </w:r>
      <w:r w:rsidR="0087729D" w:rsidRPr="00F144DB">
        <w:rPr>
          <w:rFonts w:ascii="Arial" w:eastAsia="Times New Roman" w:hAnsi="Arial" w:cs="Arial"/>
          <w:color w:val="auto"/>
          <w:kern w:val="0"/>
          <w:sz w:val="24"/>
          <w:szCs w:val="24"/>
          <w:lang w:eastAsia="en-GB"/>
          <w14:ligatures w14:val="none"/>
        </w:rPr>
        <w:t>,</w:t>
      </w:r>
      <w:r w:rsidR="0007206D" w:rsidRPr="00F144DB">
        <w:rPr>
          <w:rFonts w:ascii="Arial" w:eastAsia="Times New Roman" w:hAnsi="Arial" w:cs="Arial"/>
          <w:color w:val="auto"/>
          <w:kern w:val="0"/>
          <w:sz w:val="24"/>
          <w:szCs w:val="24"/>
          <w:lang w:eastAsia="en-GB"/>
          <w14:ligatures w14:val="none"/>
        </w:rPr>
        <w:t xml:space="preserve"> </w:t>
      </w:r>
      <w:r w:rsidR="00814B20" w:rsidRPr="00F144DB">
        <w:rPr>
          <w:rFonts w:ascii="Arial" w:eastAsia="Times New Roman" w:hAnsi="Arial" w:cs="Arial"/>
          <w:color w:val="auto"/>
          <w:kern w:val="0"/>
          <w:sz w:val="24"/>
          <w:szCs w:val="24"/>
          <w:lang w:eastAsia="en-GB"/>
          <w14:ligatures w14:val="none"/>
        </w:rPr>
        <w:t xml:space="preserve">but </w:t>
      </w:r>
      <w:r w:rsidR="00DF5B09">
        <w:rPr>
          <w:rFonts w:ascii="Arial" w:eastAsia="Times New Roman" w:hAnsi="Arial" w:cs="Arial"/>
          <w:color w:val="auto"/>
          <w:kern w:val="0"/>
          <w:sz w:val="24"/>
          <w:szCs w:val="24"/>
          <w:lang w:eastAsia="en-GB"/>
          <w14:ligatures w14:val="none"/>
        </w:rPr>
        <w:t xml:space="preserve">Hampshire are </w:t>
      </w:r>
      <w:r w:rsidR="00814B20" w:rsidRPr="00F144DB">
        <w:rPr>
          <w:rFonts w:ascii="Arial" w:eastAsia="Times New Roman" w:hAnsi="Arial" w:cs="Arial"/>
          <w:color w:val="auto"/>
          <w:kern w:val="0"/>
          <w:sz w:val="24"/>
          <w:szCs w:val="24"/>
          <w:lang w:eastAsia="en-GB"/>
          <w14:ligatures w14:val="none"/>
        </w:rPr>
        <w:t xml:space="preserve">working on the basis that the allocation will be </w:t>
      </w:r>
      <w:proofErr w:type="gramStart"/>
      <w:r w:rsidR="00832B24">
        <w:rPr>
          <w:rFonts w:ascii="Arial" w:eastAsia="Times New Roman" w:hAnsi="Arial" w:cs="Arial"/>
          <w:color w:val="auto"/>
          <w:kern w:val="0"/>
          <w:sz w:val="24"/>
          <w:szCs w:val="24"/>
          <w:lang w:eastAsia="en-GB"/>
          <w14:ligatures w14:val="none"/>
        </w:rPr>
        <w:t>similar to</w:t>
      </w:r>
      <w:proofErr w:type="gramEnd"/>
      <w:r w:rsidR="00814B20" w:rsidRPr="00F144DB">
        <w:rPr>
          <w:rFonts w:ascii="Arial" w:eastAsia="Times New Roman" w:hAnsi="Arial" w:cs="Arial"/>
          <w:color w:val="auto"/>
          <w:kern w:val="0"/>
          <w:sz w:val="24"/>
          <w:szCs w:val="24"/>
          <w:lang w:eastAsia="en-GB"/>
          <w14:ligatures w14:val="none"/>
        </w:rPr>
        <w:t xml:space="preserve"> this financial year as there was minimal change between 2023/</w:t>
      </w:r>
      <w:r w:rsidR="00ED312D" w:rsidRPr="00F144DB">
        <w:rPr>
          <w:rFonts w:ascii="Arial" w:eastAsia="Times New Roman" w:hAnsi="Arial" w:cs="Arial"/>
          <w:color w:val="auto"/>
          <w:kern w:val="0"/>
          <w:sz w:val="24"/>
          <w:szCs w:val="24"/>
          <w:lang w:eastAsia="en-GB"/>
          <w14:ligatures w14:val="none"/>
        </w:rPr>
        <w:t>24</w:t>
      </w:r>
      <w:r w:rsidR="0007206D" w:rsidRPr="00F144DB">
        <w:rPr>
          <w:rFonts w:ascii="Arial" w:eastAsia="Times New Roman" w:hAnsi="Arial" w:cs="Arial"/>
          <w:color w:val="auto"/>
          <w:kern w:val="0"/>
          <w:sz w:val="24"/>
          <w:szCs w:val="24"/>
          <w:lang w:eastAsia="en-GB"/>
          <w14:ligatures w14:val="none"/>
        </w:rPr>
        <w:t xml:space="preserve"> to </w:t>
      </w:r>
      <w:r w:rsidR="00ED312D" w:rsidRPr="00F144DB">
        <w:rPr>
          <w:rFonts w:ascii="Arial" w:eastAsia="Times New Roman" w:hAnsi="Arial" w:cs="Arial"/>
          <w:color w:val="auto"/>
          <w:kern w:val="0"/>
          <w:sz w:val="24"/>
          <w:szCs w:val="24"/>
          <w:lang w:eastAsia="en-GB"/>
          <w14:ligatures w14:val="none"/>
        </w:rPr>
        <w:t xml:space="preserve">2024-25. </w:t>
      </w:r>
    </w:p>
    <w:p w14:paraId="3ECD957C" w14:textId="4B63B82E" w:rsidR="0007206D" w:rsidRPr="00F144DB" w:rsidRDefault="0007206D" w:rsidP="006A7519">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F144DB">
        <w:rPr>
          <w:rFonts w:ascii="Arial" w:eastAsia="Times New Roman" w:hAnsi="Arial" w:cs="Arial"/>
          <w:color w:val="auto"/>
          <w:kern w:val="0"/>
          <w:sz w:val="24"/>
          <w:szCs w:val="24"/>
          <w:lang w:eastAsia="en-GB"/>
          <w14:ligatures w14:val="none"/>
        </w:rPr>
        <w:t>Overall, the budget for the block will be set in line with the allocation provided</w:t>
      </w:r>
      <w:r w:rsidR="009C7391">
        <w:rPr>
          <w:rFonts w:ascii="Arial" w:eastAsia="Times New Roman" w:hAnsi="Arial" w:cs="Arial"/>
          <w:color w:val="auto"/>
          <w:kern w:val="0"/>
          <w:sz w:val="24"/>
          <w:szCs w:val="24"/>
          <w:lang w:eastAsia="en-GB"/>
          <w14:ligatures w14:val="none"/>
        </w:rPr>
        <w:t>. Any</w:t>
      </w:r>
      <w:r w:rsidR="00D700BD" w:rsidRPr="00922272">
        <w:rPr>
          <w:rFonts w:ascii="Arial" w:eastAsia="Times New Roman" w:hAnsi="Arial" w:cs="Arial"/>
          <w:color w:val="auto"/>
          <w:kern w:val="0"/>
          <w:sz w:val="24"/>
          <w:szCs w:val="24"/>
          <w:lang w:eastAsia="en-GB"/>
          <w14:ligatures w14:val="none"/>
        </w:rPr>
        <w:t xml:space="preserve"> budget requirements </w:t>
      </w:r>
      <w:r w:rsidR="00BB56B1">
        <w:rPr>
          <w:rFonts w:ascii="Arial" w:eastAsia="Times New Roman" w:hAnsi="Arial" w:cs="Arial"/>
          <w:color w:val="auto"/>
          <w:kern w:val="0"/>
          <w:sz w:val="24"/>
          <w:szCs w:val="24"/>
          <w:lang w:eastAsia="en-GB"/>
          <w14:ligatures w14:val="none"/>
        </w:rPr>
        <w:t xml:space="preserve">for 2025/26 </w:t>
      </w:r>
      <w:proofErr w:type="gramStart"/>
      <w:r w:rsidR="00807914">
        <w:rPr>
          <w:rFonts w:ascii="Arial" w:eastAsia="Times New Roman" w:hAnsi="Arial" w:cs="Arial"/>
          <w:color w:val="auto"/>
          <w:kern w:val="0"/>
          <w:sz w:val="24"/>
          <w:szCs w:val="24"/>
          <w:lang w:eastAsia="en-GB"/>
          <w14:ligatures w14:val="none"/>
        </w:rPr>
        <w:t>in excess of</w:t>
      </w:r>
      <w:proofErr w:type="gramEnd"/>
      <w:r w:rsidR="00807914">
        <w:rPr>
          <w:rFonts w:ascii="Arial" w:eastAsia="Times New Roman" w:hAnsi="Arial" w:cs="Arial"/>
          <w:color w:val="auto"/>
          <w:kern w:val="0"/>
          <w:sz w:val="24"/>
          <w:szCs w:val="24"/>
          <w:lang w:eastAsia="en-GB"/>
          <w14:ligatures w14:val="none"/>
        </w:rPr>
        <w:t xml:space="preserve"> this contribution will be met</w:t>
      </w:r>
      <w:r w:rsidR="00D700BD" w:rsidRPr="00922272">
        <w:rPr>
          <w:rFonts w:ascii="Arial" w:eastAsia="Times New Roman" w:hAnsi="Arial" w:cs="Arial"/>
          <w:color w:val="auto"/>
          <w:kern w:val="0"/>
          <w:sz w:val="24"/>
          <w:szCs w:val="24"/>
          <w:lang w:eastAsia="en-GB"/>
          <w14:ligatures w14:val="none"/>
        </w:rPr>
        <w:t xml:space="preserve"> from the LA general fund</w:t>
      </w:r>
      <w:r w:rsidR="007C6EB8">
        <w:rPr>
          <w:rFonts w:ascii="Arial" w:eastAsia="Times New Roman" w:hAnsi="Arial" w:cs="Arial"/>
          <w:color w:val="auto"/>
          <w:kern w:val="0"/>
          <w:sz w:val="24"/>
          <w:szCs w:val="24"/>
          <w:lang w:eastAsia="en-GB"/>
          <w14:ligatures w14:val="none"/>
        </w:rPr>
        <w:t xml:space="preserve"> resulting </w:t>
      </w:r>
      <w:r w:rsidR="00912E6C">
        <w:rPr>
          <w:rFonts w:ascii="Arial" w:eastAsia="Times New Roman" w:hAnsi="Arial" w:cs="Arial"/>
          <w:color w:val="auto"/>
          <w:kern w:val="0"/>
          <w:sz w:val="24"/>
          <w:szCs w:val="24"/>
          <w:lang w:eastAsia="en-GB"/>
          <w14:ligatures w14:val="none"/>
        </w:rPr>
        <w:t>in the reduction or remov</w:t>
      </w:r>
      <w:r w:rsidR="000D5EC8">
        <w:rPr>
          <w:rFonts w:ascii="Arial" w:eastAsia="Times New Roman" w:hAnsi="Arial" w:cs="Arial"/>
          <w:color w:val="auto"/>
          <w:kern w:val="0"/>
          <w:sz w:val="24"/>
          <w:szCs w:val="24"/>
          <w:lang w:eastAsia="en-GB"/>
          <w14:ligatures w14:val="none"/>
        </w:rPr>
        <w:t xml:space="preserve">al of a number of service </w:t>
      </w:r>
      <w:r w:rsidR="003B5D8C">
        <w:rPr>
          <w:rFonts w:ascii="Arial" w:eastAsia="Times New Roman" w:hAnsi="Arial" w:cs="Arial"/>
          <w:color w:val="auto"/>
          <w:kern w:val="0"/>
          <w:sz w:val="24"/>
          <w:szCs w:val="24"/>
          <w:lang w:eastAsia="en-GB"/>
          <w14:ligatures w14:val="none"/>
        </w:rPr>
        <w:t>budget</w:t>
      </w:r>
      <w:r w:rsidR="003E0303">
        <w:rPr>
          <w:rFonts w:ascii="Arial" w:eastAsia="Times New Roman" w:hAnsi="Arial" w:cs="Arial"/>
          <w:color w:val="auto"/>
          <w:kern w:val="0"/>
          <w:sz w:val="24"/>
          <w:szCs w:val="24"/>
          <w:lang w:eastAsia="en-GB"/>
          <w14:ligatures w14:val="none"/>
        </w:rPr>
        <w:t xml:space="preserve"> allocations</w:t>
      </w:r>
      <w:r w:rsidRPr="00F144DB">
        <w:rPr>
          <w:rFonts w:ascii="Arial" w:eastAsia="Times New Roman" w:hAnsi="Arial" w:cs="Arial"/>
          <w:color w:val="auto"/>
          <w:kern w:val="0"/>
          <w:sz w:val="24"/>
          <w:szCs w:val="24"/>
          <w:lang w:eastAsia="en-GB"/>
          <w14:ligatures w14:val="none"/>
        </w:rPr>
        <w:t xml:space="preserve">. </w:t>
      </w:r>
    </w:p>
    <w:p w14:paraId="08433D0D" w14:textId="1689C815" w:rsidR="0007206D" w:rsidRPr="00EF44F9" w:rsidRDefault="0007206D" w:rsidP="003039DC">
      <w:pPr>
        <w:spacing w:after="120"/>
        <w:ind w:firstLine="425"/>
        <w:contextualSpacing/>
        <w:rPr>
          <w:u w:val="single"/>
        </w:rPr>
      </w:pPr>
      <w:r w:rsidRPr="00EF44F9">
        <w:rPr>
          <w:u w:val="single"/>
        </w:rPr>
        <w:t>On-going responsibilities</w:t>
      </w:r>
    </w:p>
    <w:p w14:paraId="5973D92F" w14:textId="4EC18610" w:rsidR="00CA7F82" w:rsidRPr="00430A3F" w:rsidRDefault="0007206D">
      <w:pPr>
        <w:pStyle w:val="Heading2"/>
        <w:keepNext w:val="0"/>
        <w:keepLines w:val="0"/>
        <w:numPr>
          <w:ilvl w:val="1"/>
          <w:numId w:val="20"/>
        </w:numPr>
        <w:tabs>
          <w:tab w:val="num" w:pos="426"/>
        </w:tabs>
        <w:spacing w:before="0" w:after="160" w:line="259" w:lineRule="auto"/>
        <w:ind w:left="425" w:hanging="567"/>
        <w:rPr>
          <w:rFonts w:eastAsia="Times New Roman"/>
          <w:kern w:val="0"/>
          <w:lang w:eastAsia="en-GB"/>
          <w14:ligatures w14:val="none"/>
        </w:rPr>
      </w:pPr>
      <w:r w:rsidRPr="00430A3F">
        <w:rPr>
          <w:rFonts w:ascii="Arial" w:eastAsia="Times New Roman" w:hAnsi="Arial" w:cs="Arial"/>
          <w:color w:val="auto"/>
          <w:kern w:val="0"/>
          <w:sz w:val="24"/>
          <w:szCs w:val="24"/>
          <w:lang w:eastAsia="en-GB"/>
          <w14:ligatures w14:val="none"/>
        </w:rPr>
        <w:t>This element funds local authorities for the statutory functions they are required to deliver for all pupils in maintained schools and academies.</w:t>
      </w:r>
    </w:p>
    <w:p w14:paraId="2683DFB7" w14:textId="3150055B" w:rsidR="00B265BD" w:rsidRPr="00EF44F9" w:rsidRDefault="0007206D" w:rsidP="003039DC">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EF44F9">
        <w:rPr>
          <w:rFonts w:ascii="Arial" w:eastAsia="Times New Roman" w:hAnsi="Arial" w:cs="Arial"/>
          <w:color w:val="auto"/>
          <w:kern w:val="0"/>
          <w:sz w:val="24"/>
          <w:szCs w:val="24"/>
          <w:lang w:eastAsia="en-GB"/>
          <w14:ligatures w14:val="none"/>
        </w:rPr>
        <w:t>The following table provides a breakdown of on-going responsibilities:</w:t>
      </w:r>
    </w:p>
    <w:tbl>
      <w:tblPr>
        <w:tblW w:w="82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5"/>
        <w:gridCol w:w="1502"/>
        <w:gridCol w:w="1323"/>
      </w:tblGrid>
      <w:tr w:rsidR="00DB5A10" w:rsidRPr="00DB5A10" w14:paraId="6173E0D3" w14:textId="77777777">
        <w:trPr>
          <w:trHeight w:val="454"/>
        </w:trPr>
        <w:tc>
          <w:tcPr>
            <w:tcW w:w="5465" w:type="dxa"/>
            <w:shd w:val="clear" w:color="auto" w:fill="auto"/>
          </w:tcPr>
          <w:p w14:paraId="6B6A3AC0" w14:textId="77777777" w:rsidR="002D43AC" w:rsidRPr="00F93121" w:rsidRDefault="002D43AC" w:rsidP="00C53404">
            <w:pPr>
              <w:rPr>
                <w:b/>
              </w:rPr>
            </w:pPr>
            <w:r w:rsidRPr="00F93121">
              <w:rPr>
                <w:b/>
              </w:rPr>
              <w:t>Service</w:t>
            </w:r>
          </w:p>
        </w:tc>
        <w:tc>
          <w:tcPr>
            <w:tcW w:w="1502" w:type="dxa"/>
          </w:tcPr>
          <w:p w14:paraId="655CB9C1" w14:textId="308B165C" w:rsidR="002D43AC" w:rsidRPr="00406595" w:rsidRDefault="002D43AC" w:rsidP="00897E6C">
            <w:pPr>
              <w:jc w:val="center"/>
              <w:rPr>
                <w:b/>
              </w:rPr>
            </w:pPr>
            <w:r w:rsidRPr="00406595">
              <w:rPr>
                <w:b/>
              </w:rPr>
              <w:t>202</w:t>
            </w:r>
            <w:r w:rsidR="00E37C59" w:rsidRPr="00406595">
              <w:rPr>
                <w:b/>
              </w:rPr>
              <w:t>4</w:t>
            </w:r>
            <w:r w:rsidRPr="00406595">
              <w:rPr>
                <w:b/>
              </w:rPr>
              <w:t>/2</w:t>
            </w:r>
            <w:r w:rsidR="00E37C59" w:rsidRPr="00406595">
              <w:rPr>
                <w:b/>
              </w:rPr>
              <w:t>5</w:t>
            </w:r>
            <w:r w:rsidRPr="00406595">
              <w:rPr>
                <w:b/>
              </w:rPr>
              <w:t xml:space="preserve"> Budget</w:t>
            </w:r>
          </w:p>
          <w:p w14:paraId="314F116F" w14:textId="77777777" w:rsidR="002D43AC" w:rsidRPr="00406595" w:rsidRDefault="002D43AC" w:rsidP="00897E6C">
            <w:pPr>
              <w:jc w:val="center"/>
              <w:rPr>
                <w:b/>
              </w:rPr>
            </w:pPr>
          </w:p>
          <w:p w14:paraId="415C8D84" w14:textId="77777777" w:rsidR="002D43AC" w:rsidRPr="00DB5A10" w:rsidRDefault="002D43AC" w:rsidP="00897E6C">
            <w:pPr>
              <w:jc w:val="center"/>
              <w:rPr>
                <w:b/>
                <w:iCs/>
                <w:color w:val="FF0000"/>
              </w:rPr>
            </w:pPr>
            <w:r w:rsidRPr="00406595">
              <w:rPr>
                <w:b/>
              </w:rPr>
              <w:t>£000</w:t>
            </w:r>
          </w:p>
        </w:tc>
        <w:tc>
          <w:tcPr>
            <w:tcW w:w="1323" w:type="dxa"/>
          </w:tcPr>
          <w:p w14:paraId="16ADD1A7" w14:textId="2293F910" w:rsidR="002D43AC" w:rsidRPr="00CB53E6" w:rsidRDefault="002D43AC" w:rsidP="00897E6C">
            <w:pPr>
              <w:jc w:val="center"/>
              <w:rPr>
                <w:b/>
              </w:rPr>
            </w:pPr>
            <w:r w:rsidRPr="00CB53E6">
              <w:rPr>
                <w:b/>
              </w:rPr>
              <w:t>202</w:t>
            </w:r>
            <w:r w:rsidR="00E37C59" w:rsidRPr="00CB53E6">
              <w:rPr>
                <w:b/>
              </w:rPr>
              <w:t>5</w:t>
            </w:r>
            <w:r w:rsidRPr="00CB53E6">
              <w:rPr>
                <w:b/>
              </w:rPr>
              <w:t>/2</w:t>
            </w:r>
            <w:r w:rsidR="00E37C59" w:rsidRPr="00CB53E6">
              <w:rPr>
                <w:b/>
              </w:rPr>
              <w:t>6</w:t>
            </w:r>
          </w:p>
          <w:p w14:paraId="2550BF33" w14:textId="1D2777F6" w:rsidR="002D43AC" w:rsidRPr="00CB53E6" w:rsidRDefault="002D43AC" w:rsidP="00897E6C">
            <w:pPr>
              <w:jc w:val="center"/>
              <w:rPr>
                <w:b/>
              </w:rPr>
            </w:pPr>
            <w:r w:rsidRPr="00CB53E6">
              <w:rPr>
                <w:b/>
              </w:rPr>
              <w:t>Proposed Budget</w:t>
            </w:r>
          </w:p>
          <w:p w14:paraId="25C3BE9A" w14:textId="77777777" w:rsidR="002D43AC" w:rsidRPr="00CB53E6" w:rsidRDefault="002D43AC" w:rsidP="00897E6C">
            <w:pPr>
              <w:jc w:val="center"/>
              <w:rPr>
                <w:b/>
              </w:rPr>
            </w:pPr>
            <w:r w:rsidRPr="00CB53E6">
              <w:rPr>
                <w:b/>
              </w:rPr>
              <w:t>£000</w:t>
            </w:r>
          </w:p>
        </w:tc>
      </w:tr>
      <w:tr w:rsidR="00DB5A10" w:rsidRPr="00DB5A10" w14:paraId="7FBF5C70" w14:textId="77777777">
        <w:trPr>
          <w:trHeight w:val="20"/>
        </w:trPr>
        <w:tc>
          <w:tcPr>
            <w:tcW w:w="5465" w:type="dxa"/>
            <w:tcBorders>
              <w:bottom w:val="single" w:sz="4" w:space="0" w:color="auto"/>
            </w:tcBorders>
            <w:shd w:val="clear" w:color="auto" w:fill="auto"/>
          </w:tcPr>
          <w:p w14:paraId="3584F869" w14:textId="77777777" w:rsidR="002D43AC" w:rsidRPr="00F93121" w:rsidRDefault="002D43AC">
            <w:r w:rsidRPr="00F93121">
              <w:t>Admissions</w:t>
            </w:r>
          </w:p>
        </w:tc>
        <w:tc>
          <w:tcPr>
            <w:tcW w:w="1502" w:type="dxa"/>
            <w:tcBorders>
              <w:bottom w:val="single" w:sz="4" w:space="0" w:color="auto"/>
            </w:tcBorders>
          </w:tcPr>
          <w:p w14:paraId="493AB45A" w14:textId="1CF43C97" w:rsidR="002D43AC" w:rsidRPr="00DB5A10" w:rsidRDefault="002D43AC" w:rsidP="00FF5F30">
            <w:pPr>
              <w:jc w:val="right"/>
              <w:rPr>
                <w:color w:val="FF0000"/>
              </w:rPr>
            </w:pPr>
            <w:r w:rsidRPr="008F54AB">
              <w:t>1,</w:t>
            </w:r>
            <w:r w:rsidR="00406595" w:rsidRPr="008F54AB">
              <w:t>507</w:t>
            </w:r>
          </w:p>
        </w:tc>
        <w:tc>
          <w:tcPr>
            <w:tcW w:w="1323" w:type="dxa"/>
            <w:tcBorders>
              <w:bottom w:val="single" w:sz="4" w:space="0" w:color="auto"/>
            </w:tcBorders>
          </w:tcPr>
          <w:p w14:paraId="6C25C339" w14:textId="3D4A23B5" w:rsidR="002D43AC" w:rsidRPr="00CB53E6" w:rsidRDefault="002D43AC" w:rsidP="00FF5F30">
            <w:pPr>
              <w:jc w:val="right"/>
            </w:pPr>
            <w:r w:rsidRPr="00CB53E6">
              <w:t>1,</w:t>
            </w:r>
            <w:r w:rsidR="00A835DB" w:rsidRPr="00CB53E6">
              <w:t>3</w:t>
            </w:r>
            <w:r w:rsidR="002A7024">
              <w:t>2</w:t>
            </w:r>
            <w:r w:rsidR="00A835DB" w:rsidRPr="00CB53E6">
              <w:t>6</w:t>
            </w:r>
          </w:p>
        </w:tc>
      </w:tr>
      <w:tr w:rsidR="00DB5A10" w:rsidRPr="00DB5A10" w14:paraId="069C7D28"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6B4A22E8" w14:textId="77777777" w:rsidR="002D43AC" w:rsidRPr="00F93121" w:rsidRDefault="002D43AC">
            <w:r w:rsidRPr="00F93121">
              <w:t>Fees to independent schools for pupils without SEN</w:t>
            </w:r>
          </w:p>
        </w:tc>
        <w:tc>
          <w:tcPr>
            <w:tcW w:w="1502" w:type="dxa"/>
            <w:tcBorders>
              <w:top w:val="single" w:sz="4" w:space="0" w:color="auto"/>
              <w:left w:val="single" w:sz="4" w:space="0" w:color="auto"/>
              <w:bottom w:val="single" w:sz="4" w:space="0" w:color="auto"/>
              <w:right w:val="single" w:sz="4" w:space="0" w:color="auto"/>
            </w:tcBorders>
          </w:tcPr>
          <w:p w14:paraId="1629FF9E" w14:textId="06F75D3A" w:rsidR="002D43AC" w:rsidRPr="00DB5A10" w:rsidRDefault="00406595" w:rsidP="00FF5F30">
            <w:pPr>
              <w:jc w:val="right"/>
              <w:rPr>
                <w:color w:val="FF0000"/>
              </w:rPr>
            </w:pPr>
            <w:r w:rsidRPr="008F54AB">
              <w:t>140</w:t>
            </w:r>
          </w:p>
        </w:tc>
        <w:tc>
          <w:tcPr>
            <w:tcW w:w="1323" w:type="dxa"/>
            <w:tcBorders>
              <w:top w:val="single" w:sz="4" w:space="0" w:color="auto"/>
              <w:left w:val="single" w:sz="4" w:space="0" w:color="auto"/>
              <w:bottom w:val="single" w:sz="4" w:space="0" w:color="auto"/>
              <w:right w:val="single" w:sz="4" w:space="0" w:color="auto"/>
            </w:tcBorders>
          </w:tcPr>
          <w:p w14:paraId="64400213" w14:textId="35CBE1A1" w:rsidR="002D43AC" w:rsidRPr="00CB53E6" w:rsidRDefault="002D43AC" w:rsidP="00FF5F30">
            <w:pPr>
              <w:jc w:val="right"/>
            </w:pPr>
            <w:r w:rsidRPr="00CB53E6">
              <w:t>1</w:t>
            </w:r>
            <w:r w:rsidR="009452EB" w:rsidRPr="00CB53E6">
              <w:t>4</w:t>
            </w:r>
            <w:r w:rsidRPr="00CB53E6">
              <w:t>0</w:t>
            </w:r>
          </w:p>
        </w:tc>
      </w:tr>
      <w:tr w:rsidR="00DB5A10" w:rsidRPr="00DB5A10" w14:paraId="6821C59F"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3C7A0A60" w14:textId="77777777" w:rsidR="002D43AC" w:rsidRPr="00F93121" w:rsidRDefault="002D43AC">
            <w:r w:rsidRPr="00F93121">
              <w:t>Central copyright licences</w:t>
            </w:r>
          </w:p>
        </w:tc>
        <w:tc>
          <w:tcPr>
            <w:tcW w:w="1502" w:type="dxa"/>
            <w:tcBorders>
              <w:top w:val="single" w:sz="4" w:space="0" w:color="auto"/>
              <w:left w:val="single" w:sz="4" w:space="0" w:color="auto"/>
              <w:bottom w:val="single" w:sz="4" w:space="0" w:color="auto"/>
              <w:right w:val="single" w:sz="4" w:space="0" w:color="auto"/>
            </w:tcBorders>
          </w:tcPr>
          <w:p w14:paraId="30ECCA1C" w14:textId="174A406F" w:rsidR="002D43AC" w:rsidRPr="00DB5A10" w:rsidRDefault="00406595" w:rsidP="00FF5F30">
            <w:pPr>
              <w:jc w:val="right"/>
              <w:rPr>
                <w:color w:val="FF0000"/>
              </w:rPr>
            </w:pPr>
            <w:r w:rsidRPr="008F54AB">
              <w:t>1,145</w:t>
            </w:r>
          </w:p>
        </w:tc>
        <w:tc>
          <w:tcPr>
            <w:tcW w:w="1323" w:type="dxa"/>
            <w:tcBorders>
              <w:top w:val="single" w:sz="4" w:space="0" w:color="auto"/>
              <w:left w:val="single" w:sz="4" w:space="0" w:color="auto"/>
              <w:bottom w:val="single" w:sz="4" w:space="0" w:color="auto"/>
              <w:right w:val="single" w:sz="4" w:space="0" w:color="auto"/>
            </w:tcBorders>
          </w:tcPr>
          <w:p w14:paraId="071267B9" w14:textId="3173F2F4" w:rsidR="002D43AC" w:rsidRPr="00DB5A10" w:rsidRDefault="002D43AC" w:rsidP="00FF5F30">
            <w:pPr>
              <w:jc w:val="right"/>
              <w:rPr>
                <w:color w:val="FF0000"/>
              </w:rPr>
            </w:pPr>
            <w:r w:rsidRPr="007B3368">
              <w:t>1</w:t>
            </w:r>
            <w:r w:rsidR="00006834" w:rsidRPr="007B3368">
              <w:t>,</w:t>
            </w:r>
            <w:r w:rsidR="004F060B" w:rsidRPr="007B3368">
              <w:t>349</w:t>
            </w:r>
          </w:p>
        </w:tc>
      </w:tr>
      <w:tr w:rsidR="00DB5A10" w:rsidRPr="00DB5A10" w14:paraId="39B20DA4"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72A76569" w14:textId="77777777" w:rsidR="002D43AC" w:rsidRPr="00F93121" w:rsidRDefault="002D43AC">
            <w:r w:rsidRPr="00F93121">
              <w:t>Servicing of Schools Forum</w:t>
            </w:r>
          </w:p>
        </w:tc>
        <w:tc>
          <w:tcPr>
            <w:tcW w:w="1502" w:type="dxa"/>
            <w:tcBorders>
              <w:top w:val="single" w:sz="4" w:space="0" w:color="auto"/>
              <w:left w:val="single" w:sz="4" w:space="0" w:color="auto"/>
              <w:bottom w:val="single" w:sz="4" w:space="0" w:color="auto"/>
              <w:right w:val="single" w:sz="4" w:space="0" w:color="auto"/>
            </w:tcBorders>
          </w:tcPr>
          <w:p w14:paraId="1AEA68A1" w14:textId="2BE65529" w:rsidR="002D43AC" w:rsidRPr="00DB5A10" w:rsidRDefault="002D43AC" w:rsidP="00FF5F30">
            <w:pPr>
              <w:jc w:val="right"/>
              <w:rPr>
                <w:color w:val="FF0000"/>
              </w:rPr>
            </w:pPr>
            <w:r w:rsidRPr="008F54AB">
              <w:t>39</w:t>
            </w:r>
          </w:p>
        </w:tc>
        <w:tc>
          <w:tcPr>
            <w:tcW w:w="1323" w:type="dxa"/>
            <w:tcBorders>
              <w:top w:val="single" w:sz="4" w:space="0" w:color="auto"/>
              <w:left w:val="single" w:sz="4" w:space="0" w:color="auto"/>
              <w:bottom w:val="single" w:sz="4" w:space="0" w:color="auto"/>
              <w:right w:val="single" w:sz="4" w:space="0" w:color="auto"/>
            </w:tcBorders>
          </w:tcPr>
          <w:p w14:paraId="2DBCA927" w14:textId="660C3C11" w:rsidR="002D43AC" w:rsidRPr="00B51005" w:rsidRDefault="009B3590" w:rsidP="00FF5F30">
            <w:pPr>
              <w:jc w:val="right"/>
            </w:pPr>
            <w:r>
              <w:t>40</w:t>
            </w:r>
          </w:p>
        </w:tc>
      </w:tr>
      <w:tr w:rsidR="00DB5A10" w:rsidRPr="00DB5A10" w14:paraId="36B1BC48"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7EC22990" w14:textId="77777777" w:rsidR="002D43AC" w:rsidRPr="00F93121" w:rsidRDefault="002D43AC">
            <w:r w:rsidRPr="00F93121">
              <w:t>Education welfare</w:t>
            </w:r>
          </w:p>
        </w:tc>
        <w:tc>
          <w:tcPr>
            <w:tcW w:w="1502" w:type="dxa"/>
            <w:tcBorders>
              <w:top w:val="single" w:sz="4" w:space="0" w:color="auto"/>
              <w:left w:val="single" w:sz="4" w:space="0" w:color="auto"/>
              <w:bottom w:val="single" w:sz="4" w:space="0" w:color="auto"/>
              <w:right w:val="single" w:sz="4" w:space="0" w:color="auto"/>
            </w:tcBorders>
          </w:tcPr>
          <w:p w14:paraId="79C1631C" w14:textId="30CA9313" w:rsidR="002D43AC" w:rsidRPr="00DB5A10" w:rsidRDefault="002D43AC" w:rsidP="00FF5F30">
            <w:pPr>
              <w:jc w:val="right"/>
              <w:rPr>
                <w:color w:val="FF0000"/>
              </w:rPr>
            </w:pPr>
            <w:r w:rsidRPr="008F54AB">
              <w:t>1,</w:t>
            </w:r>
            <w:r w:rsidR="00406595" w:rsidRPr="008F54AB">
              <w:t>700</w:t>
            </w:r>
          </w:p>
        </w:tc>
        <w:tc>
          <w:tcPr>
            <w:tcW w:w="1323" w:type="dxa"/>
            <w:tcBorders>
              <w:top w:val="single" w:sz="4" w:space="0" w:color="auto"/>
              <w:left w:val="single" w:sz="4" w:space="0" w:color="auto"/>
              <w:bottom w:val="single" w:sz="4" w:space="0" w:color="auto"/>
              <w:right w:val="single" w:sz="4" w:space="0" w:color="auto"/>
            </w:tcBorders>
          </w:tcPr>
          <w:p w14:paraId="0B04154C" w14:textId="440DD4E2" w:rsidR="002D43AC" w:rsidRPr="00DB5A10" w:rsidRDefault="00DA7BAB" w:rsidP="00FF5F30">
            <w:pPr>
              <w:jc w:val="right"/>
              <w:rPr>
                <w:color w:val="FF0000"/>
              </w:rPr>
            </w:pPr>
            <w:r w:rsidRPr="00DA7BAB">
              <w:t>2,</w:t>
            </w:r>
            <w:r w:rsidR="002D58A5">
              <w:t>511</w:t>
            </w:r>
          </w:p>
        </w:tc>
      </w:tr>
      <w:tr w:rsidR="00DB5A10" w:rsidRPr="00DB5A10" w14:paraId="596B8F52"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5B90EE6C" w14:textId="77777777" w:rsidR="002D43AC" w:rsidRPr="00F93121" w:rsidRDefault="002D43AC">
            <w:r w:rsidRPr="00F93121">
              <w:t>Asset management</w:t>
            </w:r>
          </w:p>
        </w:tc>
        <w:tc>
          <w:tcPr>
            <w:tcW w:w="1502" w:type="dxa"/>
            <w:tcBorders>
              <w:top w:val="single" w:sz="4" w:space="0" w:color="auto"/>
              <w:left w:val="single" w:sz="4" w:space="0" w:color="auto"/>
              <w:bottom w:val="single" w:sz="4" w:space="0" w:color="auto"/>
              <w:right w:val="single" w:sz="4" w:space="0" w:color="auto"/>
            </w:tcBorders>
          </w:tcPr>
          <w:p w14:paraId="62177E06" w14:textId="4F059DE2" w:rsidR="002D43AC" w:rsidRPr="00DB5A10" w:rsidRDefault="00406595" w:rsidP="00FF5F30">
            <w:pPr>
              <w:jc w:val="right"/>
              <w:rPr>
                <w:color w:val="FF0000"/>
              </w:rPr>
            </w:pPr>
            <w:r w:rsidRPr="008F54AB">
              <w:t>924</w:t>
            </w:r>
          </w:p>
        </w:tc>
        <w:tc>
          <w:tcPr>
            <w:tcW w:w="1323" w:type="dxa"/>
            <w:tcBorders>
              <w:top w:val="single" w:sz="4" w:space="0" w:color="auto"/>
              <w:left w:val="single" w:sz="4" w:space="0" w:color="auto"/>
              <w:bottom w:val="single" w:sz="4" w:space="0" w:color="auto"/>
              <w:right w:val="single" w:sz="4" w:space="0" w:color="auto"/>
            </w:tcBorders>
          </w:tcPr>
          <w:p w14:paraId="3A4A8F63" w14:textId="2DD5A4E9" w:rsidR="002D43AC" w:rsidRPr="00DB5A10" w:rsidRDefault="00ED4CA7" w:rsidP="00FF5F30">
            <w:pPr>
              <w:jc w:val="right"/>
              <w:rPr>
                <w:color w:val="FF0000"/>
              </w:rPr>
            </w:pPr>
            <w:r w:rsidRPr="00ED4CA7">
              <w:t>4</w:t>
            </w:r>
            <w:r w:rsidR="00655EAF">
              <w:t>8</w:t>
            </w:r>
            <w:r w:rsidR="007F13C2">
              <w:t>1</w:t>
            </w:r>
          </w:p>
        </w:tc>
      </w:tr>
      <w:tr w:rsidR="00DB5A10" w:rsidRPr="00DB5A10" w14:paraId="451A5EF1" w14:textId="77777777">
        <w:trPr>
          <w:trHeight w:val="20"/>
        </w:trPr>
        <w:tc>
          <w:tcPr>
            <w:tcW w:w="5465" w:type="dxa"/>
            <w:tcBorders>
              <w:top w:val="single" w:sz="4" w:space="0" w:color="auto"/>
              <w:left w:val="single" w:sz="4" w:space="0" w:color="auto"/>
              <w:bottom w:val="single" w:sz="4" w:space="0" w:color="auto"/>
              <w:right w:val="single" w:sz="4" w:space="0" w:color="auto"/>
            </w:tcBorders>
            <w:shd w:val="clear" w:color="auto" w:fill="auto"/>
          </w:tcPr>
          <w:p w14:paraId="0E662C23" w14:textId="77777777" w:rsidR="002D43AC" w:rsidRPr="00F93121" w:rsidRDefault="002D43AC">
            <w:r w:rsidRPr="00F93121">
              <w:t>Statutory and regulatory</w:t>
            </w:r>
          </w:p>
        </w:tc>
        <w:tc>
          <w:tcPr>
            <w:tcW w:w="1502" w:type="dxa"/>
            <w:tcBorders>
              <w:top w:val="single" w:sz="4" w:space="0" w:color="auto"/>
              <w:left w:val="single" w:sz="4" w:space="0" w:color="auto"/>
              <w:bottom w:val="single" w:sz="4" w:space="0" w:color="auto"/>
              <w:right w:val="single" w:sz="4" w:space="0" w:color="auto"/>
            </w:tcBorders>
          </w:tcPr>
          <w:p w14:paraId="00B7EB0C" w14:textId="406D8F26" w:rsidR="002D43AC" w:rsidRPr="00DB5A10" w:rsidRDefault="002D43AC" w:rsidP="00FF5F30">
            <w:pPr>
              <w:jc w:val="right"/>
              <w:rPr>
                <w:color w:val="FF0000"/>
              </w:rPr>
            </w:pPr>
            <w:r w:rsidRPr="008F54AB">
              <w:t>1,</w:t>
            </w:r>
            <w:r w:rsidR="00406595" w:rsidRPr="008F54AB">
              <w:t>157</w:t>
            </w:r>
          </w:p>
        </w:tc>
        <w:tc>
          <w:tcPr>
            <w:tcW w:w="1323" w:type="dxa"/>
            <w:tcBorders>
              <w:top w:val="single" w:sz="4" w:space="0" w:color="auto"/>
              <w:left w:val="single" w:sz="4" w:space="0" w:color="auto"/>
              <w:bottom w:val="single" w:sz="4" w:space="0" w:color="auto"/>
              <w:right w:val="single" w:sz="4" w:space="0" w:color="auto"/>
            </w:tcBorders>
          </w:tcPr>
          <w:p w14:paraId="2AC0E4E8" w14:textId="4A825D5B" w:rsidR="002D43AC" w:rsidRPr="00DB5A10" w:rsidRDefault="002D43AC" w:rsidP="00FF5F30">
            <w:pPr>
              <w:jc w:val="right"/>
              <w:rPr>
                <w:color w:val="FF0000"/>
              </w:rPr>
            </w:pPr>
            <w:r w:rsidRPr="000C1EB7">
              <w:t>1,</w:t>
            </w:r>
            <w:r w:rsidR="0058618C">
              <w:t>210</w:t>
            </w:r>
          </w:p>
        </w:tc>
      </w:tr>
      <w:tr w:rsidR="00DB5A10" w:rsidRPr="00DB5A10" w14:paraId="4C7D76B9" w14:textId="77777777">
        <w:trPr>
          <w:trHeight w:val="20"/>
        </w:trPr>
        <w:tc>
          <w:tcPr>
            <w:tcW w:w="5465" w:type="dxa"/>
            <w:tcBorders>
              <w:top w:val="single" w:sz="4" w:space="0" w:color="auto"/>
            </w:tcBorders>
            <w:shd w:val="clear" w:color="auto" w:fill="auto"/>
          </w:tcPr>
          <w:p w14:paraId="1FB90D8B" w14:textId="77777777" w:rsidR="002D43AC" w:rsidRPr="00F93121" w:rsidRDefault="002D43AC">
            <w:r w:rsidRPr="00F93121">
              <w:t xml:space="preserve">Centrally employed </w:t>
            </w:r>
            <w:proofErr w:type="spellStart"/>
            <w:r w:rsidRPr="00F93121">
              <w:t>teachers</w:t>
            </w:r>
            <w:proofErr w:type="spellEnd"/>
            <w:r w:rsidRPr="00F93121">
              <w:t xml:space="preserve"> pension grant</w:t>
            </w:r>
          </w:p>
        </w:tc>
        <w:tc>
          <w:tcPr>
            <w:tcW w:w="1502" w:type="dxa"/>
            <w:tcBorders>
              <w:top w:val="single" w:sz="4" w:space="0" w:color="auto"/>
            </w:tcBorders>
          </w:tcPr>
          <w:p w14:paraId="19496251" w14:textId="5D1BFA97" w:rsidR="002D43AC" w:rsidRPr="00DB5A10" w:rsidRDefault="002D43AC" w:rsidP="00FF5F30">
            <w:pPr>
              <w:jc w:val="right"/>
              <w:rPr>
                <w:bCs/>
                <w:color w:val="FF0000"/>
              </w:rPr>
            </w:pPr>
            <w:r w:rsidRPr="008F54AB">
              <w:t>489</w:t>
            </w:r>
          </w:p>
        </w:tc>
        <w:tc>
          <w:tcPr>
            <w:tcW w:w="1323" w:type="dxa"/>
            <w:tcBorders>
              <w:top w:val="single" w:sz="4" w:space="0" w:color="auto"/>
            </w:tcBorders>
          </w:tcPr>
          <w:p w14:paraId="2F4D8895" w14:textId="52329CD6" w:rsidR="002D43AC" w:rsidRPr="00DB5A10" w:rsidRDefault="008D0926" w:rsidP="00FF5F30">
            <w:pPr>
              <w:jc w:val="right"/>
              <w:rPr>
                <w:color w:val="FF0000"/>
              </w:rPr>
            </w:pPr>
            <w:r w:rsidRPr="008D0926">
              <w:t>244</w:t>
            </w:r>
          </w:p>
        </w:tc>
      </w:tr>
      <w:tr w:rsidR="00DB5A10" w:rsidRPr="00DB5A10" w14:paraId="4933B54C" w14:textId="77777777">
        <w:trPr>
          <w:trHeight w:val="20"/>
        </w:trPr>
        <w:tc>
          <w:tcPr>
            <w:tcW w:w="5465" w:type="dxa"/>
            <w:tcBorders>
              <w:top w:val="single" w:sz="4" w:space="0" w:color="auto"/>
            </w:tcBorders>
            <w:shd w:val="clear" w:color="auto" w:fill="auto"/>
          </w:tcPr>
          <w:p w14:paraId="044072B3" w14:textId="77777777" w:rsidR="002D43AC" w:rsidRPr="00F93121" w:rsidRDefault="002D43AC">
            <w:r w:rsidRPr="00F93121">
              <w:rPr>
                <w:b/>
              </w:rPr>
              <w:t>Total</w:t>
            </w:r>
          </w:p>
        </w:tc>
        <w:tc>
          <w:tcPr>
            <w:tcW w:w="1502" w:type="dxa"/>
            <w:tcBorders>
              <w:top w:val="single" w:sz="4" w:space="0" w:color="auto"/>
            </w:tcBorders>
          </w:tcPr>
          <w:p w14:paraId="377CE830" w14:textId="08AC60EB" w:rsidR="002D43AC" w:rsidRPr="00DB5A10" w:rsidRDefault="002D43AC" w:rsidP="00FF5F30">
            <w:pPr>
              <w:jc w:val="right"/>
              <w:rPr>
                <w:b/>
                <w:color w:val="FF0000"/>
              </w:rPr>
            </w:pPr>
            <w:r w:rsidRPr="008F54AB">
              <w:rPr>
                <w:b/>
              </w:rPr>
              <w:t>7,</w:t>
            </w:r>
            <w:r w:rsidR="00406595" w:rsidRPr="008F54AB">
              <w:rPr>
                <w:b/>
                <w:bCs/>
              </w:rPr>
              <w:t>101</w:t>
            </w:r>
          </w:p>
        </w:tc>
        <w:tc>
          <w:tcPr>
            <w:tcW w:w="1323" w:type="dxa"/>
            <w:tcBorders>
              <w:top w:val="single" w:sz="4" w:space="0" w:color="auto"/>
            </w:tcBorders>
          </w:tcPr>
          <w:p w14:paraId="4DE444E4" w14:textId="698EB6C4" w:rsidR="002D43AC" w:rsidRPr="00DB5A10" w:rsidRDefault="002D43AC" w:rsidP="00FF5F30">
            <w:pPr>
              <w:jc w:val="right"/>
              <w:rPr>
                <w:b/>
                <w:color w:val="FF0000"/>
              </w:rPr>
            </w:pPr>
            <w:r w:rsidRPr="00AB7C19">
              <w:rPr>
                <w:b/>
              </w:rPr>
              <w:t>7,</w:t>
            </w:r>
            <w:r w:rsidR="00174319">
              <w:rPr>
                <w:b/>
              </w:rPr>
              <w:t>301</w:t>
            </w:r>
          </w:p>
        </w:tc>
      </w:tr>
    </w:tbl>
    <w:p w14:paraId="3DBCDDB2" w14:textId="77777777" w:rsidR="002D43AC" w:rsidRPr="00DB5A10" w:rsidRDefault="002D43AC" w:rsidP="00C53404">
      <w:pPr>
        <w:rPr>
          <w:color w:val="FF0000"/>
        </w:rPr>
      </w:pPr>
    </w:p>
    <w:p w14:paraId="19CBB732" w14:textId="77777777" w:rsidR="00B265BD" w:rsidRPr="00F93121" w:rsidRDefault="00B265BD" w:rsidP="00CA7F82">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F93121">
        <w:rPr>
          <w:rFonts w:ascii="Arial" w:eastAsia="Times New Roman" w:hAnsi="Arial" w:cs="Arial"/>
          <w:color w:val="auto"/>
          <w:kern w:val="0"/>
          <w:sz w:val="24"/>
          <w:szCs w:val="24"/>
          <w:lang w:eastAsia="en-GB"/>
          <w14:ligatures w14:val="none"/>
        </w:rPr>
        <w:lastRenderedPageBreak/>
        <w:t>The budgets are reviewed annually and adjusted for inflationary pressures, increases in demand and any savings.</w:t>
      </w:r>
    </w:p>
    <w:p w14:paraId="34CCEDC9" w14:textId="53A00BC0" w:rsidR="00C87985" w:rsidRPr="00C87985" w:rsidRDefault="004A6A48" w:rsidP="00C87985">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481250">
        <w:rPr>
          <w:rFonts w:ascii="Arial" w:eastAsia="Times New Roman" w:hAnsi="Arial" w:cs="Arial"/>
          <w:color w:val="auto"/>
          <w:kern w:val="0"/>
          <w:sz w:val="24"/>
          <w:szCs w:val="24"/>
          <w:lang w:eastAsia="en-GB"/>
          <w14:ligatures w14:val="none"/>
        </w:rPr>
        <w:t>The largest</w:t>
      </w:r>
      <w:r w:rsidR="0007206D" w:rsidRPr="00481250">
        <w:rPr>
          <w:rFonts w:ascii="Arial" w:eastAsia="Times New Roman" w:hAnsi="Arial" w:cs="Arial"/>
          <w:color w:val="auto"/>
          <w:kern w:val="0"/>
          <w:sz w:val="24"/>
          <w:szCs w:val="24"/>
          <w:lang w:eastAsia="en-GB"/>
          <w14:ligatures w14:val="none"/>
        </w:rPr>
        <w:t xml:space="preserve"> </w:t>
      </w:r>
      <w:r w:rsidR="004A56AB" w:rsidRPr="00481250">
        <w:rPr>
          <w:rFonts w:ascii="Arial" w:eastAsia="Times New Roman" w:hAnsi="Arial" w:cs="Arial"/>
          <w:color w:val="auto"/>
          <w:kern w:val="0"/>
          <w:sz w:val="24"/>
          <w:szCs w:val="24"/>
          <w:lang w:eastAsia="en-GB"/>
          <w14:ligatures w14:val="none"/>
        </w:rPr>
        <w:t xml:space="preserve">proposed increases relate to the following </w:t>
      </w:r>
      <w:r w:rsidR="0007206D" w:rsidRPr="00481250">
        <w:rPr>
          <w:rFonts w:ascii="Arial" w:eastAsia="Times New Roman" w:hAnsi="Arial" w:cs="Arial"/>
          <w:color w:val="auto"/>
          <w:kern w:val="0"/>
          <w:sz w:val="24"/>
          <w:szCs w:val="24"/>
          <w:lang w:eastAsia="en-GB"/>
          <w14:ligatures w14:val="none"/>
        </w:rPr>
        <w:t>services:</w:t>
      </w:r>
    </w:p>
    <w:p w14:paraId="190E3E6E" w14:textId="307A5D72" w:rsidR="00C87985" w:rsidRDefault="00C87985" w:rsidP="004001A2">
      <w:pPr>
        <w:pStyle w:val="ListParagraph"/>
        <w:spacing w:after="120"/>
        <w:ind w:left="431"/>
        <w:contextualSpacing w:val="0"/>
      </w:pPr>
      <w:r w:rsidRPr="003A27FE">
        <w:t>Inclusion Support Service</w:t>
      </w:r>
      <w:r w:rsidR="001139F7" w:rsidRPr="003A27FE">
        <w:t xml:space="preserve"> (ISS)</w:t>
      </w:r>
      <w:r w:rsidRPr="003A64DA">
        <w:t xml:space="preserve"> </w:t>
      </w:r>
      <w:r w:rsidR="00FB24C8" w:rsidRPr="003A64DA">
        <w:t>–</w:t>
      </w:r>
      <w:r w:rsidRPr="003A64DA">
        <w:t xml:space="preserve"> </w:t>
      </w:r>
      <w:r w:rsidR="00FB24C8" w:rsidRPr="003A64DA">
        <w:t xml:space="preserve">The growth in the </w:t>
      </w:r>
      <w:r w:rsidR="00AA51B0" w:rsidRPr="003A64DA">
        <w:t xml:space="preserve">education welfare service relates to </w:t>
      </w:r>
      <w:r w:rsidR="00C53387" w:rsidRPr="003A64DA">
        <w:t xml:space="preserve">growth in the </w:t>
      </w:r>
      <w:r w:rsidR="001139F7" w:rsidRPr="003A64DA">
        <w:t xml:space="preserve">ISS team </w:t>
      </w:r>
      <w:r w:rsidR="00720619" w:rsidRPr="003A64DA">
        <w:t>to support</w:t>
      </w:r>
      <w:r w:rsidR="003A64DA" w:rsidRPr="003A64DA">
        <w:t xml:space="preserve"> </w:t>
      </w:r>
      <w:r w:rsidR="005D08A1">
        <w:t xml:space="preserve">both attendance and </w:t>
      </w:r>
      <w:r w:rsidR="007A00DD">
        <w:t xml:space="preserve">exclusion related </w:t>
      </w:r>
      <w:r w:rsidR="00486738">
        <w:t>activities</w:t>
      </w:r>
      <w:r w:rsidR="008E4FF0">
        <w:t>.</w:t>
      </w:r>
    </w:p>
    <w:p w14:paraId="4C836EE5" w14:textId="6E941E3B" w:rsidR="00330307" w:rsidRPr="00330307" w:rsidRDefault="00330307" w:rsidP="00330307">
      <w:pPr>
        <w:pStyle w:val="Heading2"/>
        <w:keepNext w:val="0"/>
        <w:keepLines w:val="0"/>
        <w:spacing w:before="0" w:after="120"/>
        <w:ind w:left="425"/>
        <w:rPr>
          <w:rFonts w:ascii="Arial" w:eastAsia="Times New Roman" w:hAnsi="Arial" w:cs="Arial"/>
          <w:color w:val="auto"/>
          <w:kern w:val="0"/>
          <w:sz w:val="24"/>
          <w:szCs w:val="24"/>
          <w:lang w:eastAsia="en-GB"/>
          <w14:ligatures w14:val="none"/>
        </w:rPr>
      </w:pPr>
      <w:r w:rsidRPr="003A27FE">
        <w:rPr>
          <w:rFonts w:ascii="Arial" w:eastAsia="Times New Roman" w:hAnsi="Arial" w:cs="Arial"/>
          <w:color w:val="auto"/>
          <w:kern w:val="0"/>
          <w:sz w:val="24"/>
          <w:szCs w:val="24"/>
          <w:lang w:eastAsia="en-GB"/>
          <w14:ligatures w14:val="none"/>
        </w:rPr>
        <w:t>Central copyright licenses</w:t>
      </w:r>
      <w:r w:rsidRPr="00481250">
        <w:rPr>
          <w:rFonts w:ascii="Arial" w:eastAsia="Times New Roman" w:hAnsi="Arial" w:cs="Arial"/>
          <w:color w:val="auto"/>
          <w:kern w:val="0"/>
          <w:sz w:val="24"/>
          <w:szCs w:val="24"/>
          <w:lang w:eastAsia="en-GB"/>
          <w14:ligatures w14:val="none"/>
        </w:rPr>
        <w:t xml:space="preserve"> </w:t>
      </w:r>
      <w:r>
        <w:rPr>
          <w:rFonts w:ascii="Arial" w:eastAsia="Times New Roman" w:hAnsi="Arial" w:cs="Arial"/>
          <w:color w:val="auto"/>
          <w:kern w:val="0"/>
          <w:sz w:val="24"/>
          <w:szCs w:val="24"/>
          <w:lang w:eastAsia="en-GB"/>
          <w14:ligatures w14:val="none"/>
        </w:rPr>
        <w:t xml:space="preserve">– These </w:t>
      </w:r>
      <w:r w:rsidRPr="00481250">
        <w:rPr>
          <w:rFonts w:ascii="Arial" w:eastAsia="Times New Roman" w:hAnsi="Arial" w:cs="Arial"/>
          <w:color w:val="auto"/>
          <w:kern w:val="0"/>
          <w:sz w:val="24"/>
          <w:szCs w:val="24"/>
          <w:lang w:eastAsia="en-GB"/>
          <w14:ligatures w14:val="none"/>
        </w:rPr>
        <w:t xml:space="preserve">are negotiated by the Secretary of State on behalf of all mainstream schools and academies and confirmation of the 2025/26 </w:t>
      </w:r>
      <w:r w:rsidRPr="00B51005">
        <w:rPr>
          <w:rFonts w:ascii="Arial" w:eastAsia="Times New Roman" w:hAnsi="Arial" w:cs="Arial"/>
          <w:color w:val="auto"/>
          <w:kern w:val="0"/>
          <w:sz w:val="24"/>
          <w:szCs w:val="24"/>
          <w:lang w:eastAsia="en-GB"/>
          <w14:ligatures w14:val="none"/>
        </w:rPr>
        <w:t>charge should be provided in December. The provisional budget includes an estimated increase of £204,000, based on an average of the previous 5 years increases.</w:t>
      </w:r>
    </w:p>
    <w:p w14:paraId="5AEEB094" w14:textId="68CC1003" w:rsidR="00D54665" w:rsidRPr="00B6774B" w:rsidRDefault="00886151" w:rsidP="004001A2">
      <w:pPr>
        <w:pStyle w:val="ListParagraph"/>
        <w:spacing w:after="120"/>
        <w:ind w:left="431"/>
        <w:contextualSpacing w:val="0"/>
      </w:pPr>
      <w:r w:rsidRPr="003A27FE">
        <w:t xml:space="preserve">Pay </w:t>
      </w:r>
      <w:r w:rsidR="002C3E35" w:rsidRPr="003A27FE">
        <w:t>Inflation</w:t>
      </w:r>
      <w:r w:rsidR="0007206D" w:rsidRPr="00B6774B">
        <w:t xml:space="preserve"> – </w:t>
      </w:r>
      <w:r w:rsidR="002C3E35">
        <w:t>Budgets have been increased, where applicable, to be in line with 2024/25 agreed pay scales.</w:t>
      </w:r>
      <w:r w:rsidR="0007206D" w:rsidRPr="00B6774B">
        <w:t xml:space="preserve"> </w:t>
      </w:r>
      <w:r w:rsidR="00F9166C" w:rsidRPr="00B6774B">
        <w:t xml:space="preserve">An </w:t>
      </w:r>
      <w:r w:rsidR="00B6774B">
        <w:t>a</w:t>
      </w:r>
      <w:r w:rsidR="00F9166C" w:rsidRPr="00B6774B">
        <w:t xml:space="preserve">llowance of 3% </w:t>
      </w:r>
      <w:r w:rsidR="002C3E35">
        <w:t xml:space="preserve">has also been applied, where applicable, </w:t>
      </w:r>
      <w:r w:rsidR="00F9166C" w:rsidRPr="00B6774B">
        <w:t>for</w:t>
      </w:r>
      <w:r w:rsidR="00B6774B">
        <w:t xml:space="preserve"> </w:t>
      </w:r>
      <w:r w:rsidR="00F9166C" w:rsidRPr="00B6774B">
        <w:t>2025/26</w:t>
      </w:r>
      <w:r w:rsidR="00B6774B">
        <w:t xml:space="preserve"> pay inflation</w:t>
      </w:r>
      <w:r w:rsidR="00F9166C" w:rsidRPr="00B6774B">
        <w:t xml:space="preserve"> </w:t>
      </w:r>
      <w:r w:rsidR="002C3E35">
        <w:t>(c</w:t>
      </w:r>
      <w:r w:rsidR="00F9166C" w:rsidRPr="00B6774B">
        <w:t>£</w:t>
      </w:r>
      <w:r w:rsidR="00B6774B" w:rsidRPr="00B6774B">
        <w:t>1</w:t>
      </w:r>
      <w:r w:rsidR="00C5228E">
        <w:t>45</w:t>
      </w:r>
      <w:r w:rsidR="00B6774B" w:rsidRPr="00B6774B">
        <w:t>,000</w:t>
      </w:r>
      <w:r w:rsidR="002C3E35">
        <w:t>)</w:t>
      </w:r>
      <w:r w:rsidR="00B6774B" w:rsidRPr="00B6774B">
        <w:t xml:space="preserve">. </w:t>
      </w:r>
    </w:p>
    <w:p w14:paraId="52FD23D7" w14:textId="77777777" w:rsidR="00403539" w:rsidRDefault="00403539" w:rsidP="00AE3B36">
      <w:pPr>
        <w:spacing w:after="120"/>
        <w:ind w:firstLine="425"/>
        <w:contextualSpacing/>
        <w:rPr>
          <w:u w:val="single"/>
        </w:rPr>
      </w:pPr>
    </w:p>
    <w:p w14:paraId="4F140FC4" w14:textId="7334FDE5" w:rsidR="0007206D" w:rsidRPr="00EF44F9" w:rsidRDefault="0007206D" w:rsidP="00AE3B36">
      <w:pPr>
        <w:spacing w:after="120"/>
        <w:ind w:firstLine="425"/>
        <w:contextualSpacing/>
        <w:rPr>
          <w:u w:val="single"/>
        </w:rPr>
      </w:pPr>
      <w:r w:rsidRPr="00EF44F9">
        <w:rPr>
          <w:u w:val="single"/>
        </w:rPr>
        <w:t>Historic Commitments</w:t>
      </w:r>
    </w:p>
    <w:p w14:paraId="0A69A1CD" w14:textId="77777777" w:rsidR="0007206D" w:rsidRPr="0089618B" w:rsidRDefault="0007206D" w:rsidP="00AE3B36">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89618B">
        <w:rPr>
          <w:rFonts w:ascii="Arial" w:eastAsia="Times New Roman" w:hAnsi="Arial" w:cs="Arial"/>
          <w:color w:val="auto"/>
          <w:kern w:val="0"/>
          <w:sz w:val="24"/>
          <w:szCs w:val="24"/>
          <w:lang w:eastAsia="en-GB"/>
          <w14:ligatures w14:val="none"/>
        </w:rPr>
        <w:t xml:space="preserve">The DfE continues to reduce funding year on year by 20% for commitments made prior to 2013/14 that some local authorities still have. </w:t>
      </w:r>
    </w:p>
    <w:p w14:paraId="72292110" w14:textId="5E3E6446" w:rsidR="00CE2A2B" w:rsidRPr="0089618B" w:rsidRDefault="0007206D" w:rsidP="00AE3B36">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89618B">
        <w:rPr>
          <w:rFonts w:ascii="Arial" w:eastAsia="Times New Roman" w:hAnsi="Arial" w:cs="Arial"/>
          <w:color w:val="auto"/>
          <w:kern w:val="0"/>
          <w:sz w:val="24"/>
          <w:szCs w:val="24"/>
          <w:lang w:eastAsia="en-GB"/>
          <w14:ligatures w14:val="none"/>
        </w:rPr>
        <w:t>As a result of the reduction in funding, many of the activities previously funded through this element of the funding have been ceased or are now funded through a different means.</w:t>
      </w:r>
    </w:p>
    <w:p w14:paraId="3E6E7E66" w14:textId="2563FC51" w:rsidR="0007206D" w:rsidRPr="00BA6EDA" w:rsidRDefault="0007206D" w:rsidP="0097175C">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BA6EDA">
        <w:rPr>
          <w:rFonts w:ascii="Arial" w:eastAsia="Times New Roman" w:hAnsi="Arial" w:cs="Arial"/>
          <w:color w:val="auto"/>
          <w:kern w:val="0"/>
          <w:sz w:val="24"/>
          <w:szCs w:val="24"/>
          <w:lang w:eastAsia="en-GB"/>
          <w14:ligatures w14:val="none"/>
        </w:rPr>
        <w:t>The following table provides a breakdown of historic commitments:</w:t>
      </w:r>
    </w:p>
    <w:tbl>
      <w:tblPr>
        <w:tblW w:w="8438"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1323"/>
        <w:gridCol w:w="1461"/>
      </w:tblGrid>
      <w:tr w:rsidR="00DB5A10" w:rsidRPr="00DB5A10" w14:paraId="7A1D878E" w14:textId="77777777" w:rsidTr="0077633E">
        <w:tc>
          <w:tcPr>
            <w:tcW w:w="5654" w:type="dxa"/>
            <w:shd w:val="clear" w:color="auto" w:fill="auto"/>
          </w:tcPr>
          <w:p w14:paraId="2FF3E5BF" w14:textId="77777777" w:rsidR="0007206D" w:rsidRPr="00BA6EDA" w:rsidRDefault="0007206D" w:rsidP="00D04A08">
            <w:pPr>
              <w:rPr>
                <w:b/>
              </w:rPr>
            </w:pPr>
            <w:r w:rsidRPr="00BA6EDA">
              <w:rPr>
                <w:b/>
              </w:rPr>
              <w:t>Service</w:t>
            </w:r>
          </w:p>
        </w:tc>
        <w:tc>
          <w:tcPr>
            <w:tcW w:w="1323" w:type="dxa"/>
          </w:tcPr>
          <w:p w14:paraId="476885C0" w14:textId="3137AA82" w:rsidR="00395E4A" w:rsidRPr="00BA6EDA" w:rsidRDefault="00395E4A" w:rsidP="00F86E5A">
            <w:pPr>
              <w:jc w:val="center"/>
              <w:rPr>
                <w:b/>
              </w:rPr>
            </w:pPr>
            <w:r w:rsidRPr="00BA6EDA">
              <w:rPr>
                <w:b/>
                <w:bCs/>
              </w:rPr>
              <w:t>202</w:t>
            </w:r>
            <w:r w:rsidR="00BA6EDA" w:rsidRPr="00BA6EDA">
              <w:rPr>
                <w:b/>
                <w:bCs/>
              </w:rPr>
              <w:t>4</w:t>
            </w:r>
            <w:r w:rsidRPr="00BA6EDA">
              <w:rPr>
                <w:b/>
                <w:bCs/>
              </w:rPr>
              <w:t>/2</w:t>
            </w:r>
            <w:r w:rsidR="00BA6EDA" w:rsidRPr="00BA6EDA">
              <w:rPr>
                <w:b/>
                <w:bCs/>
              </w:rPr>
              <w:t>5</w:t>
            </w:r>
            <w:r w:rsidRPr="00BA6EDA">
              <w:rPr>
                <w:b/>
              </w:rPr>
              <w:t xml:space="preserve"> Budget £000</w:t>
            </w:r>
          </w:p>
        </w:tc>
        <w:tc>
          <w:tcPr>
            <w:tcW w:w="1461" w:type="dxa"/>
            <w:shd w:val="clear" w:color="auto" w:fill="auto"/>
          </w:tcPr>
          <w:p w14:paraId="33951A45" w14:textId="577CFFC3" w:rsidR="0007206D" w:rsidRPr="00BA6EDA" w:rsidRDefault="00395E4A" w:rsidP="00F86E5A">
            <w:pPr>
              <w:jc w:val="center"/>
              <w:rPr>
                <w:b/>
              </w:rPr>
            </w:pPr>
            <w:r w:rsidRPr="00BA6EDA">
              <w:rPr>
                <w:b/>
                <w:bCs/>
              </w:rPr>
              <w:t>202</w:t>
            </w:r>
            <w:r w:rsidR="00BA6EDA" w:rsidRPr="00BA6EDA">
              <w:rPr>
                <w:b/>
                <w:bCs/>
              </w:rPr>
              <w:t>5</w:t>
            </w:r>
            <w:r w:rsidRPr="00BA6EDA">
              <w:rPr>
                <w:b/>
                <w:bCs/>
              </w:rPr>
              <w:t>/2</w:t>
            </w:r>
            <w:r w:rsidR="00BA6EDA" w:rsidRPr="00BA6EDA">
              <w:rPr>
                <w:b/>
                <w:bCs/>
              </w:rPr>
              <w:t>6</w:t>
            </w:r>
            <w:r w:rsidR="0007206D" w:rsidRPr="00BA6EDA">
              <w:rPr>
                <w:b/>
              </w:rPr>
              <w:t xml:space="preserve"> Budget £000</w:t>
            </w:r>
          </w:p>
        </w:tc>
      </w:tr>
      <w:tr w:rsidR="00DB5A10" w:rsidRPr="00DB5A10" w14:paraId="356B1447" w14:textId="77777777" w:rsidTr="0077633E">
        <w:tc>
          <w:tcPr>
            <w:tcW w:w="5654" w:type="dxa"/>
            <w:shd w:val="clear" w:color="auto" w:fill="auto"/>
          </w:tcPr>
          <w:p w14:paraId="199D1124" w14:textId="3926345C" w:rsidR="0007206D" w:rsidRPr="00BA6EDA" w:rsidRDefault="0007206D" w:rsidP="00D04A08">
            <w:r w:rsidRPr="00BA6EDA">
              <w:t xml:space="preserve">Contribution to combined budget </w:t>
            </w:r>
            <w:r w:rsidR="00045F67" w:rsidRPr="00BA6EDA">
              <w:t>–</w:t>
            </w:r>
            <w:r w:rsidRPr="00BA6EDA">
              <w:t xml:space="preserve"> NEET</w:t>
            </w:r>
            <w:r w:rsidR="00045F67" w:rsidRPr="00BA6EDA">
              <w:t xml:space="preserve"> services</w:t>
            </w:r>
          </w:p>
        </w:tc>
        <w:tc>
          <w:tcPr>
            <w:tcW w:w="1323" w:type="dxa"/>
          </w:tcPr>
          <w:p w14:paraId="1F032069" w14:textId="6EA52984" w:rsidR="00395E4A" w:rsidRPr="00BA6EDA" w:rsidRDefault="00395E4A" w:rsidP="00F86E5A">
            <w:pPr>
              <w:jc w:val="right"/>
            </w:pPr>
            <w:r w:rsidRPr="00BA6EDA">
              <w:t>200</w:t>
            </w:r>
          </w:p>
        </w:tc>
        <w:tc>
          <w:tcPr>
            <w:tcW w:w="1461" w:type="dxa"/>
            <w:shd w:val="clear" w:color="auto" w:fill="auto"/>
          </w:tcPr>
          <w:p w14:paraId="62B0D869" w14:textId="32A9FE4C" w:rsidR="0007206D" w:rsidRPr="00BA6EDA" w:rsidRDefault="00BA6EDA" w:rsidP="00F86E5A">
            <w:pPr>
              <w:jc w:val="right"/>
            </w:pPr>
            <w:r w:rsidRPr="00BA6EDA">
              <w:t>0</w:t>
            </w:r>
          </w:p>
        </w:tc>
      </w:tr>
      <w:tr w:rsidR="00DB5A10" w:rsidRPr="00DB5A10" w14:paraId="59A1C86D" w14:textId="77777777" w:rsidTr="0077633E">
        <w:tc>
          <w:tcPr>
            <w:tcW w:w="5654" w:type="dxa"/>
            <w:shd w:val="clear" w:color="auto" w:fill="auto"/>
          </w:tcPr>
          <w:p w14:paraId="67F5C35A" w14:textId="77777777" w:rsidR="0007206D" w:rsidRPr="00BA6EDA" w:rsidRDefault="0007206D" w:rsidP="00D04A08">
            <w:r w:rsidRPr="00BA6EDA">
              <w:t>Termination of employment costs</w:t>
            </w:r>
          </w:p>
        </w:tc>
        <w:tc>
          <w:tcPr>
            <w:tcW w:w="1323" w:type="dxa"/>
          </w:tcPr>
          <w:p w14:paraId="7FFB5FB1" w14:textId="51369F71" w:rsidR="00395E4A" w:rsidRPr="00BA6EDA" w:rsidRDefault="00395E4A" w:rsidP="00F86E5A">
            <w:pPr>
              <w:jc w:val="right"/>
            </w:pPr>
            <w:r w:rsidRPr="00BA6EDA">
              <w:t>658</w:t>
            </w:r>
          </w:p>
        </w:tc>
        <w:tc>
          <w:tcPr>
            <w:tcW w:w="1461" w:type="dxa"/>
            <w:shd w:val="clear" w:color="auto" w:fill="auto"/>
          </w:tcPr>
          <w:p w14:paraId="6FEFB28D" w14:textId="77777777" w:rsidR="0007206D" w:rsidRPr="00BA6EDA" w:rsidRDefault="0007206D" w:rsidP="00F86E5A">
            <w:pPr>
              <w:jc w:val="right"/>
            </w:pPr>
            <w:r w:rsidRPr="00BA6EDA">
              <w:t>658</w:t>
            </w:r>
          </w:p>
        </w:tc>
      </w:tr>
      <w:tr w:rsidR="0007206D" w:rsidRPr="00DB5A10" w14:paraId="3C8EE721" w14:textId="77777777" w:rsidTr="0077633E">
        <w:tc>
          <w:tcPr>
            <w:tcW w:w="5654" w:type="dxa"/>
            <w:shd w:val="clear" w:color="auto" w:fill="auto"/>
          </w:tcPr>
          <w:p w14:paraId="2E92EB85" w14:textId="77777777" w:rsidR="0007206D" w:rsidRPr="00BA6EDA" w:rsidRDefault="0007206D" w:rsidP="00D04A08">
            <w:pPr>
              <w:rPr>
                <w:b/>
              </w:rPr>
            </w:pPr>
            <w:r w:rsidRPr="00BA6EDA">
              <w:rPr>
                <w:b/>
              </w:rPr>
              <w:t>Total</w:t>
            </w:r>
          </w:p>
        </w:tc>
        <w:tc>
          <w:tcPr>
            <w:tcW w:w="1323" w:type="dxa"/>
          </w:tcPr>
          <w:p w14:paraId="1F682225" w14:textId="378FA0DF" w:rsidR="00395E4A" w:rsidRPr="00BA6EDA" w:rsidRDefault="00395E4A" w:rsidP="00F86E5A">
            <w:pPr>
              <w:jc w:val="right"/>
              <w:rPr>
                <w:b/>
              </w:rPr>
            </w:pPr>
            <w:r w:rsidRPr="00BA6EDA">
              <w:rPr>
                <w:b/>
              </w:rPr>
              <w:t>858</w:t>
            </w:r>
          </w:p>
        </w:tc>
        <w:tc>
          <w:tcPr>
            <w:tcW w:w="1461" w:type="dxa"/>
            <w:shd w:val="clear" w:color="auto" w:fill="auto"/>
          </w:tcPr>
          <w:p w14:paraId="2E743E83" w14:textId="71AB0F94" w:rsidR="0007206D" w:rsidRPr="00BA6EDA" w:rsidRDefault="00BA6EDA" w:rsidP="00F86E5A">
            <w:pPr>
              <w:jc w:val="right"/>
              <w:rPr>
                <w:b/>
              </w:rPr>
            </w:pPr>
            <w:r w:rsidRPr="00BA6EDA">
              <w:rPr>
                <w:b/>
              </w:rPr>
              <w:t>6</w:t>
            </w:r>
            <w:r w:rsidR="0007206D" w:rsidRPr="00BA6EDA">
              <w:rPr>
                <w:b/>
              </w:rPr>
              <w:t>58</w:t>
            </w:r>
          </w:p>
        </w:tc>
      </w:tr>
    </w:tbl>
    <w:p w14:paraId="5145B807" w14:textId="77777777" w:rsidR="0007206D" w:rsidRPr="00DB5A10" w:rsidRDefault="0007206D" w:rsidP="00D40536">
      <w:pPr>
        <w:rPr>
          <w:color w:val="FF0000"/>
        </w:rPr>
      </w:pPr>
    </w:p>
    <w:p w14:paraId="2247CBE6" w14:textId="65F3FFD2" w:rsidR="00CE3F27" w:rsidRPr="00922272" w:rsidRDefault="0007206D" w:rsidP="00CE3F27">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DF5D4D">
        <w:rPr>
          <w:rFonts w:ascii="Arial" w:eastAsia="Times New Roman" w:hAnsi="Arial" w:cs="Arial"/>
          <w:color w:val="auto"/>
          <w:kern w:val="0"/>
          <w:sz w:val="24"/>
          <w:szCs w:val="24"/>
          <w:lang w:eastAsia="en-GB"/>
          <w14:ligatures w14:val="none"/>
        </w:rPr>
        <w:t>It is not possible to reduce the budget for the termination of employment costs, as the pension commitments against this have yet not reduced. In recognition of this, the DfE will provide funding protection to local authorities where the overall allocation for historic commitments falls below the current value of the termination of employment costs.</w:t>
      </w:r>
    </w:p>
    <w:p w14:paraId="38E07110" w14:textId="77777777" w:rsidR="0007206D" w:rsidRPr="00EF44F9" w:rsidRDefault="0007206D" w:rsidP="004C0D14">
      <w:pPr>
        <w:pStyle w:val="Heading1"/>
        <w:tabs>
          <w:tab w:val="num" w:pos="2843"/>
        </w:tabs>
        <w:spacing w:before="240" w:after="120"/>
        <w:ind w:left="431"/>
        <w:rPr>
          <w:rFonts w:eastAsia="Times New Roman"/>
          <w:bCs w:val="0"/>
          <w:noProof w:val="0"/>
          <w:color w:val="auto"/>
          <w:kern w:val="28"/>
          <w:sz w:val="24"/>
          <w:szCs w:val="24"/>
          <w:lang w:eastAsia="en-GB"/>
          <w14:ligatures w14:val="none"/>
        </w:rPr>
      </w:pPr>
      <w:r w:rsidRPr="00EF44F9">
        <w:rPr>
          <w:rFonts w:eastAsia="Times New Roman"/>
          <w:bCs w:val="0"/>
          <w:noProof w:val="0"/>
          <w:color w:val="auto"/>
          <w:kern w:val="28"/>
          <w:sz w:val="24"/>
          <w:szCs w:val="24"/>
          <w:lang w:eastAsia="en-GB"/>
          <w14:ligatures w14:val="none"/>
        </w:rPr>
        <w:t>Services for maintained schools</w:t>
      </w:r>
    </w:p>
    <w:p w14:paraId="155E338E" w14:textId="77777777" w:rsidR="0007206D" w:rsidRPr="00EF44F9" w:rsidRDefault="0007206D" w:rsidP="004C0D14">
      <w:pPr>
        <w:spacing w:after="120"/>
        <w:ind w:firstLine="425"/>
        <w:contextualSpacing/>
        <w:rPr>
          <w:u w:val="single"/>
        </w:rPr>
      </w:pPr>
      <w:r w:rsidRPr="00EF44F9">
        <w:rPr>
          <w:u w:val="single"/>
        </w:rPr>
        <w:t>Central Provision Funded by Maintained Schools</w:t>
      </w:r>
    </w:p>
    <w:p w14:paraId="59EC7FAA" w14:textId="77777777" w:rsidR="0007206D" w:rsidRPr="006433AB" w:rsidRDefault="0007206D" w:rsidP="004C0D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6433AB">
        <w:rPr>
          <w:rFonts w:ascii="Arial" w:eastAsia="Times New Roman" w:hAnsi="Arial" w:cs="Arial"/>
          <w:color w:val="auto"/>
          <w:kern w:val="0"/>
          <w:sz w:val="24"/>
          <w:szCs w:val="24"/>
          <w:lang w:eastAsia="en-GB"/>
          <w14:ligatures w14:val="none"/>
        </w:rPr>
        <w:t>From September 2017, funding for statutory functions relating to maintained schools, previously received through the general services element of the Education Services Grant, ceased and have been funded from maintained schools budget shares.</w:t>
      </w:r>
    </w:p>
    <w:p w14:paraId="3AD717DC" w14:textId="4C2E1E79" w:rsidR="00AE0D24" w:rsidRPr="005B00EA" w:rsidRDefault="0007206D" w:rsidP="005B00EA">
      <w:pPr>
        <w:pStyle w:val="Heading2"/>
        <w:keepNext w:val="0"/>
        <w:keepLines w:val="0"/>
        <w:numPr>
          <w:ilvl w:val="1"/>
          <w:numId w:val="20"/>
        </w:numPr>
        <w:tabs>
          <w:tab w:val="num" w:pos="426"/>
        </w:tabs>
        <w:spacing w:before="0" w:after="120"/>
        <w:ind w:left="425" w:hanging="567"/>
        <w:rPr>
          <w:color w:val="FF0000"/>
        </w:rPr>
      </w:pPr>
      <w:r w:rsidRPr="00BD1F82">
        <w:rPr>
          <w:rFonts w:ascii="Arial" w:eastAsia="Times New Roman" w:hAnsi="Arial" w:cs="Arial"/>
          <w:color w:val="auto"/>
          <w:kern w:val="0"/>
          <w:sz w:val="24"/>
          <w:szCs w:val="24"/>
          <w:lang w:eastAsia="en-GB"/>
          <w14:ligatures w14:val="none"/>
        </w:rPr>
        <w:t>The local authority has sought to identify only core statutory activities. To keep the cost to schools as low as possible, these activities have been extensively challenged to ensure efficiency and where interactions and dependencies have been identified with other services, these have been excluded from the top slice.</w:t>
      </w:r>
    </w:p>
    <w:p w14:paraId="1DAF3EF0" w14:textId="42DB7574" w:rsidR="0007206D" w:rsidRPr="00BD718B" w:rsidRDefault="0007206D" w:rsidP="00E45B57">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BD718B">
        <w:rPr>
          <w:rFonts w:ascii="Arial" w:eastAsia="Times New Roman" w:hAnsi="Arial" w:cs="Arial"/>
          <w:color w:val="auto"/>
          <w:kern w:val="0"/>
          <w:sz w:val="24"/>
          <w:szCs w:val="24"/>
          <w:lang w:eastAsia="en-GB"/>
          <w14:ligatures w14:val="none"/>
        </w:rPr>
        <w:lastRenderedPageBreak/>
        <w:t xml:space="preserve">The table below sets out the </w:t>
      </w:r>
      <w:r w:rsidR="00B94D84" w:rsidRPr="00BD718B">
        <w:rPr>
          <w:rFonts w:ascii="Arial" w:eastAsia="Times New Roman" w:hAnsi="Arial" w:cs="Arial"/>
          <w:color w:val="auto"/>
          <w:kern w:val="0"/>
          <w:sz w:val="24"/>
          <w:szCs w:val="24"/>
          <w:lang w:eastAsia="en-GB"/>
          <w14:ligatures w14:val="none"/>
        </w:rPr>
        <w:t>202</w:t>
      </w:r>
      <w:r w:rsidR="00BD718B" w:rsidRPr="00BD718B">
        <w:rPr>
          <w:rFonts w:ascii="Arial" w:eastAsia="Times New Roman" w:hAnsi="Arial" w:cs="Arial"/>
          <w:color w:val="auto"/>
          <w:kern w:val="0"/>
          <w:sz w:val="24"/>
          <w:szCs w:val="24"/>
          <w:lang w:eastAsia="en-GB"/>
          <w14:ligatures w14:val="none"/>
        </w:rPr>
        <w:t>4</w:t>
      </w:r>
      <w:r w:rsidR="00B94D84" w:rsidRPr="00BD718B">
        <w:rPr>
          <w:rFonts w:ascii="Arial" w:eastAsia="Times New Roman" w:hAnsi="Arial" w:cs="Arial"/>
          <w:color w:val="auto"/>
          <w:kern w:val="0"/>
          <w:sz w:val="24"/>
          <w:szCs w:val="24"/>
          <w:lang w:eastAsia="en-GB"/>
          <w14:ligatures w14:val="none"/>
        </w:rPr>
        <w:t>/2</w:t>
      </w:r>
      <w:r w:rsidR="00BD718B" w:rsidRPr="00BD718B">
        <w:rPr>
          <w:rFonts w:ascii="Arial" w:eastAsia="Times New Roman" w:hAnsi="Arial" w:cs="Arial"/>
          <w:color w:val="auto"/>
          <w:kern w:val="0"/>
          <w:sz w:val="24"/>
          <w:szCs w:val="24"/>
          <w:lang w:eastAsia="en-GB"/>
          <w14:ligatures w14:val="none"/>
        </w:rPr>
        <w:t>5</w:t>
      </w:r>
      <w:r w:rsidRPr="00BD718B">
        <w:rPr>
          <w:rFonts w:ascii="Arial" w:eastAsia="Times New Roman" w:hAnsi="Arial" w:cs="Arial"/>
          <w:color w:val="auto"/>
          <w:kern w:val="0"/>
          <w:sz w:val="24"/>
          <w:szCs w:val="24"/>
          <w:lang w:eastAsia="en-GB"/>
          <w14:ligatures w14:val="none"/>
        </w:rPr>
        <w:t xml:space="preserve"> budgets and proposed budgets for </w:t>
      </w:r>
      <w:r w:rsidR="00B94D84" w:rsidRPr="00BD718B">
        <w:rPr>
          <w:rFonts w:ascii="Arial" w:eastAsia="Times New Roman" w:hAnsi="Arial" w:cs="Arial"/>
          <w:color w:val="auto"/>
          <w:kern w:val="0"/>
          <w:sz w:val="24"/>
          <w:szCs w:val="24"/>
          <w:lang w:eastAsia="en-GB"/>
          <w14:ligatures w14:val="none"/>
        </w:rPr>
        <w:t>202</w:t>
      </w:r>
      <w:r w:rsidR="00BD718B" w:rsidRPr="00BD718B">
        <w:rPr>
          <w:rFonts w:ascii="Arial" w:eastAsia="Times New Roman" w:hAnsi="Arial" w:cs="Arial"/>
          <w:color w:val="auto"/>
          <w:kern w:val="0"/>
          <w:sz w:val="24"/>
          <w:szCs w:val="24"/>
          <w:lang w:eastAsia="en-GB"/>
          <w14:ligatures w14:val="none"/>
        </w:rPr>
        <w:t>5</w:t>
      </w:r>
      <w:r w:rsidR="00B94D84" w:rsidRPr="00BD718B">
        <w:rPr>
          <w:rFonts w:ascii="Arial" w:eastAsia="Times New Roman" w:hAnsi="Arial" w:cs="Arial"/>
          <w:color w:val="auto"/>
          <w:kern w:val="0"/>
          <w:sz w:val="24"/>
          <w:szCs w:val="24"/>
          <w:lang w:eastAsia="en-GB"/>
          <w14:ligatures w14:val="none"/>
        </w:rPr>
        <w:t>/2</w:t>
      </w:r>
      <w:r w:rsidR="00BD718B" w:rsidRPr="00BD718B">
        <w:rPr>
          <w:rFonts w:ascii="Arial" w:eastAsia="Times New Roman" w:hAnsi="Arial" w:cs="Arial"/>
          <w:color w:val="auto"/>
          <w:kern w:val="0"/>
          <w:sz w:val="24"/>
          <w:szCs w:val="24"/>
          <w:lang w:eastAsia="en-GB"/>
          <w14:ligatures w14:val="none"/>
        </w:rPr>
        <w:t>6</w:t>
      </w:r>
      <w:r w:rsidRPr="00BD718B">
        <w:rPr>
          <w:rFonts w:ascii="Arial" w:eastAsia="Times New Roman" w:hAnsi="Arial" w:cs="Arial"/>
          <w:color w:val="auto"/>
          <w:kern w:val="0"/>
          <w:sz w:val="24"/>
          <w:szCs w:val="24"/>
          <w:lang w:eastAsia="en-GB"/>
          <w14:ligatures w14:val="none"/>
        </w:rPr>
        <w:t>:</w:t>
      </w:r>
    </w:p>
    <w:tbl>
      <w:tblPr>
        <w:tblW w:w="7894"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1559"/>
        <w:gridCol w:w="1560"/>
      </w:tblGrid>
      <w:tr w:rsidR="00DB5A10" w:rsidRPr="00DB5A10" w14:paraId="0D50B6DE" w14:textId="77777777" w:rsidTr="00B94D84">
        <w:trPr>
          <w:trHeight w:val="915"/>
        </w:trPr>
        <w:tc>
          <w:tcPr>
            <w:tcW w:w="4775" w:type="dxa"/>
            <w:shd w:val="clear" w:color="auto" w:fill="auto"/>
          </w:tcPr>
          <w:p w14:paraId="670E3F6C" w14:textId="77777777" w:rsidR="0007206D" w:rsidRPr="00DB5A10" w:rsidRDefault="0007206D" w:rsidP="00D04A08">
            <w:pPr>
              <w:rPr>
                <w:b/>
                <w:color w:val="FF0000"/>
              </w:rPr>
            </w:pPr>
            <w:r w:rsidRPr="00DB5A10">
              <w:rPr>
                <w:color w:val="FF0000"/>
              </w:rPr>
              <w:br w:type="page"/>
            </w:r>
            <w:r w:rsidRPr="00E72021">
              <w:rPr>
                <w:b/>
              </w:rPr>
              <w:t>Service</w:t>
            </w:r>
          </w:p>
        </w:tc>
        <w:tc>
          <w:tcPr>
            <w:tcW w:w="1559" w:type="dxa"/>
          </w:tcPr>
          <w:p w14:paraId="0E4FF354" w14:textId="03DCEEA9" w:rsidR="00B94D84" w:rsidRPr="00DB5A10" w:rsidRDefault="0036599E" w:rsidP="002D3D45">
            <w:pPr>
              <w:jc w:val="center"/>
              <w:rPr>
                <w:b/>
                <w:iCs/>
                <w:color w:val="FF0000"/>
              </w:rPr>
            </w:pPr>
            <w:r w:rsidRPr="0036599E">
              <w:rPr>
                <w:b/>
                <w:iCs/>
              </w:rPr>
              <w:t>2024/25</w:t>
            </w:r>
            <w:r w:rsidR="00B94D84" w:rsidRPr="0036599E">
              <w:rPr>
                <w:b/>
                <w:iCs/>
              </w:rPr>
              <w:t xml:space="preserve"> Budget £000</w:t>
            </w:r>
          </w:p>
        </w:tc>
        <w:tc>
          <w:tcPr>
            <w:tcW w:w="1560" w:type="dxa"/>
          </w:tcPr>
          <w:p w14:paraId="36EBC0D0" w14:textId="1B806181" w:rsidR="0007206D" w:rsidRPr="00DB5A10" w:rsidRDefault="00E72021" w:rsidP="002D3D45">
            <w:pPr>
              <w:jc w:val="center"/>
              <w:rPr>
                <w:b/>
                <w:color w:val="FF0000"/>
              </w:rPr>
            </w:pPr>
            <w:r>
              <w:rPr>
                <w:b/>
                <w:iCs/>
              </w:rPr>
              <w:t>2025/26</w:t>
            </w:r>
            <w:r w:rsidRPr="0036599E">
              <w:rPr>
                <w:b/>
                <w:iCs/>
              </w:rPr>
              <w:t xml:space="preserve"> Budget £000</w:t>
            </w:r>
          </w:p>
        </w:tc>
      </w:tr>
      <w:tr w:rsidR="0036599E" w:rsidRPr="00DB5A10" w14:paraId="01319314" w14:textId="77777777" w:rsidTr="00B94D84">
        <w:tc>
          <w:tcPr>
            <w:tcW w:w="4775" w:type="dxa"/>
            <w:shd w:val="clear" w:color="auto" w:fill="auto"/>
          </w:tcPr>
          <w:p w14:paraId="6C842B2D" w14:textId="77777777" w:rsidR="0036599E" w:rsidRPr="00FC1283" w:rsidRDefault="0036599E" w:rsidP="0036599E">
            <w:r w:rsidRPr="00FC1283">
              <w:t>Central management</w:t>
            </w:r>
          </w:p>
        </w:tc>
        <w:tc>
          <w:tcPr>
            <w:tcW w:w="1559" w:type="dxa"/>
          </w:tcPr>
          <w:p w14:paraId="5D9932C5" w14:textId="17B76D89" w:rsidR="0036599E" w:rsidRPr="00FC1283" w:rsidRDefault="0036599E" w:rsidP="0036599E">
            <w:pPr>
              <w:jc w:val="right"/>
            </w:pPr>
            <w:r w:rsidRPr="00FC1283">
              <w:t>194</w:t>
            </w:r>
          </w:p>
        </w:tc>
        <w:tc>
          <w:tcPr>
            <w:tcW w:w="1560" w:type="dxa"/>
          </w:tcPr>
          <w:p w14:paraId="3B09C75A" w14:textId="5AB698B9" w:rsidR="0036599E" w:rsidRPr="00DB5A10" w:rsidRDefault="00070F64" w:rsidP="0036599E">
            <w:pPr>
              <w:jc w:val="right"/>
              <w:rPr>
                <w:color w:val="FF0000"/>
              </w:rPr>
            </w:pPr>
            <w:r w:rsidRPr="006907B0">
              <w:t>200</w:t>
            </w:r>
          </w:p>
        </w:tc>
      </w:tr>
      <w:tr w:rsidR="0036599E" w:rsidRPr="00DB5A10" w14:paraId="61ECBC8A" w14:textId="77777777" w:rsidTr="00B94D84">
        <w:tc>
          <w:tcPr>
            <w:tcW w:w="4775" w:type="dxa"/>
            <w:shd w:val="clear" w:color="auto" w:fill="auto"/>
          </w:tcPr>
          <w:p w14:paraId="65E40F66" w14:textId="77777777" w:rsidR="0036599E" w:rsidRPr="00C7325C" w:rsidRDefault="0036599E" w:rsidP="0036599E">
            <w:r w:rsidRPr="00C7325C">
              <w:t>Asset management</w:t>
            </w:r>
          </w:p>
        </w:tc>
        <w:tc>
          <w:tcPr>
            <w:tcW w:w="1559" w:type="dxa"/>
          </w:tcPr>
          <w:p w14:paraId="0DFE8579" w14:textId="424B87DA" w:rsidR="0036599E" w:rsidRPr="00C7325C" w:rsidRDefault="0036599E" w:rsidP="0036599E">
            <w:pPr>
              <w:jc w:val="right"/>
            </w:pPr>
            <w:r w:rsidRPr="00C7325C">
              <w:t>607</w:t>
            </w:r>
          </w:p>
        </w:tc>
        <w:tc>
          <w:tcPr>
            <w:tcW w:w="1560" w:type="dxa"/>
          </w:tcPr>
          <w:p w14:paraId="35BAFF9B" w14:textId="4D5A046F" w:rsidR="0036599E" w:rsidRPr="00DB5A10" w:rsidRDefault="00F90D48" w:rsidP="0036599E">
            <w:pPr>
              <w:jc w:val="right"/>
              <w:rPr>
                <w:color w:val="FF0000"/>
              </w:rPr>
            </w:pPr>
            <w:r>
              <w:t>625</w:t>
            </w:r>
          </w:p>
        </w:tc>
      </w:tr>
      <w:tr w:rsidR="0036599E" w:rsidRPr="00DB5A10" w14:paraId="3542B14A" w14:textId="77777777" w:rsidTr="00B94D84">
        <w:tc>
          <w:tcPr>
            <w:tcW w:w="4775" w:type="dxa"/>
            <w:shd w:val="clear" w:color="auto" w:fill="auto"/>
          </w:tcPr>
          <w:p w14:paraId="5209F52A" w14:textId="77777777" w:rsidR="0036599E" w:rsidRPr="00841541" w:rsidRDefault="0036599E" w:rsidP="0036599E">
            <w:r w:rsidRPr="00841541">
              <w:t>Statutory and regulatory</w:t>
            </w:r>
          </w:p>
        </w:tc>
        <w:tc>
          <w:tcPr>
            <w:tcW w:w="1559" w:type="dxa"/>
          </w:tcPr>
          <w:p w14:paraId="60D7E83A" w14:textId="45A976CE" w:rsidR="0036599E" w:rsidRPr="00841541" w:rsidRDefault="0036599E" w:rsidP="0036599E">
            <w:pPr>
              <w:jc w:val="right"/>
            </w:pPr>
            <w:r w:rsidRPr="00841541">
              <w:t>1,391</w:t>
            </w:r>
          </w:p>
        </w:tc>
        <w:tc>
          <w:tcPr>
            <w:tcW w:w="1560" w:type="dxa"/>
          </w:tcPr>
          <w:p w14:paraId="58AB0DF1" w14:textId="45AACF15" w:rsidR="0036599E" w:rsidRPr="00163CA6" w:rsidRDefault="0036599E" w:rsidP="0036599E">
            <w:pPr>
              <w:jc w:val="right"/>
            </w:pPr>
            <w:r w:rsidRPr="00163CA6">
              <w:t>1,</w:t>
            </w:r>
            <w:r w:rsidR="007855A5" w:rsidRPr="00163CA6">
              <w:t>3</w:t>
            </w:r>
            <w:r w:rsidR="00270BD6">
              <w:t>59</w:t>
            </w:r>
          </w:p>
        </w:tc>
      </w:tr>
      <w:tr w:rsidR="0036599E" w:rsidRPr="00DB5A10" w14:paraId="5EC8A4C4" w14:textId="77777777" w:rsidTr="00B94D84">
        <w:tc>
          <w:tcPr>
            <w:tcW w:w="4775" w:type="dxa"/>
            <w:shd w:val="clear" w:color="auto" w:fill="auto"/>
          </w:tcPr>
          <w:p w14:paraId="5A983C72" w14:textId="77777777" w:rsidR="0036599E" w:rsidRPr="00841541" w:rsidRDefault="0036599E" w:rsidP="0036599E">
            <w:r w:rsidRPr="00841541">
              <w:t>Premature retirement / redundancy</w:t>
            </w:r>
          </w:p>
        </w:tc>
        <w:tc>
          <w:tcPr>
            <w:tcW w:w="1559" w:type="dxa"/>
          </w:tcPr>
          <w:p w14:paraId="2CD6BB55" w14:textId="4CEF1A44" w:rsidR="0036599E" w:rsidRPr="00841541" w:rsidRDefault="0036599E" w:rsidP="0036599E">
            <w:pPr>
              <w:jc w:val="right"/>
            </w:pPr>
            <w:r w:rsidRPr="00841541">
              <w:t>759</w:t>
            </w:r>
          </w:p>
        </w:tc>
        <w:tc>
          <w:tcPr>
            <w:tcW w:w="1560" w:type="dxa"/>
          </w:tcPr>
          <w:p w14:paraId="34488FFD" w14:textId="1A9F584B" w:rsidR="0036599E" w:rsidRPr="00122A93" w:rsidRDefault="0036599E" w:rsidP="0036599E">
            <w:pPr>
              <w:jc w:val="right"/>
            </w:pPr>
            <w:r w:rsidRPr="00122A93">
              <w:t>759</w:t>
            </w:r>
          </w:p>
        </w:tc>
      </w:tr>
      <w:tr w:rsidR="0036599E" w:rsidRPr="00DB5A10" w14:paraId="44EED8E4" w14:textId="77777777" w:rsidTr="00B94D84">
        <w:tc>
          <w:tcPr>
            <w:tcW w:w="4775" w:type="dxa"/>
            <w:shd w:val="clear" w:color="auto" w:fill="auto"/>
          </w:tcPr>
          <w:p w14:paraId="5265D476" w14:textId="77777777" w:rsidR="0036599E" w:rsidRPr="00175650" w:rsidRDefault="0036599E" w:rsidP="0036599E">
            <w:r w:rsidRPr="00175650">
              <w:t>Monitoring of national curriculum assessments</w:t>
            </w:r>
          </w:p>
        </w:tc>
        <w:tc>
          <w:tcPr>
            <w:tcW w:w="1559" w:type="dxa"/>
          </w:tcPr>
          <w:p w14:paraId="6F787E50" w14:textId="30294658" w:rsidR="0036599E" w:rsidRPr="00175650" w:rsidRDefault="0036599E" w:rsidP="0036599E">
            <w:pPr>
              <w:jc w:val="right"/>
            </w:pPr>
            <w:r w:rsidRPr="00175650">
              <w:t>85</w:t>
            </w:r>
          </w:p>
        </w:tc>
        <w:tc>
          <w:tcPr>
            <w:tcW w:w="1560" w:type="dxa"/>
          </w:tcPr>
          <w:p w14:paraId="07939CB1" w14:textId="609802A5" w:rsidR="0036599E" w:rsidRPr="00DB5A10" w:rsidRDefault="00167E59" w:rsidP="0036599E">
            <w:pPr>
              <w:jc w:val="right"/>
              <w:rPr>
                <w:color w:val="FF0000"/>
              </w:rPr>
            </w:pPr>
            <w:r w:rsidRPr="00167E59">
              <w:t>76</w:t>
            </w:r>
          </w:p>
        </w:tc>
      </w:tr>
      <w:tr w:rsidR="0036599E" w:rsidRPr="00DB5A10" w14:paraId="562043B2" w14:textId="77777777" w:rsidTr="00B94D84">
        <w:tc>
          <w:tcPr>
            <w:tcW w:w="4775" w:type="dxa"/>
            <w:shd w:val="clear" w:color="auto" w:fill="auto"/>
          </w:tcPr>
          <w:p w14:paraId="1A036B36" w14:textId="77777777" w:rsidR="0036599E" w:rsidRPr="0036599E" w:rsidRDefault="0036599E" w:rsidP="0036599E">
            <w:r w:rsidRPr="0036599E">
              <w:t>School Improvement</w:t>
            </w:r>
          </w:p>
        </w:tc>
        <w:tc>
          <w:tcPr>
            <w:tcW w:w="1559" w:type="dxa"/>
          </w:tcPr>
          <w:p w14:paraId="2F2D2E95" w14:textId="529762AF" w:rsidR="0036599E" w:rsidRPr="0036599E" w:rsidRDefault="0036599E" w:rsidP="0036599E">
            <w:pPr>
              <w:jc w:val="right"/>
              <w:rPr>
                <w:bCs/>
              </w:rPr>
            </w:pPr>
            <w:r w:rsidRPr="0036599E">
              <w:t>3,474</w:t>
            </w:r>
          </w:p>
        </w:tc>
        <w:tc>
          <w:tcPr>
            <w:tcW w:w="1560" w:type="dxa"/>
          </w:tcPr>
          <w:p w14:paraId="521A4D9C" w14:textId="2E3A3D8B" w:rsidR="0036599E" w:rsidRPr="00DB5A10" w:rsidRDefault="0036599E" w:rsidP="0036599E">
            <w:pPr>
              <w:jc w:val="right"/>
              <w:rPr>
                <w:color w:val="FF0000"/>
              </w:rPr>
            </w:pPr>
            <w:r w:rsidRPr="00080B19">
              <w:t>3,</w:t>
            </w:r>
            <w:r w:rsidR="008B107C">
              <w:t>72</w:t>
            </w:r>
            <w:r w:rsidR="00AC4604">
              <w:t>4</w:t>
            </w:r>
          </w:p>
        </w:tc>
      </w:tr>
      <w:tr w:rsidR="0036599E" w:rsidRPr="00DB5A10" w14:paraId="76EDC959" w14:textId="77777777" w:rsidTr="00B94D84">
        <w:tc>
          <w:tcPr>
            <w:tcW w:w="4775" w:type="dxa"/>
            <w:shd w:val="clear" w:color="auto" w:fill="auto"/>
          </w:tcPr>
          <w:p w14:paraId="2ED1DE54" w14:textId="77777777" w:rsidR="0036599E" w:rsidRPr="00841541" w:rsidRDefault="0036599E" w:rsidP="0036599E">
            <w:r w:rsidRPr="009144B7">
              <w:rPr>
                <w:b/>
              </w:rPr>
              <w:t>Total</w:t>
            </w:r>
          </w:p>
        </w:tc>
        <w:tc>
          <w:tcPr>
            <w:tcW w:w="1559" w:type="dxa"/>
          </w:tcPr>
          <w:p w14:paraId="4E992F2F" w14:textId="7F119048" w:rsidR="0036599E" w:rsidRPr="00841541" w:rsidRDefault="0036599E" w:rsidP="0036599E">
            <w:pPr>
              <w:jc w:val="right"/>
              <w:rPr>
                <w:b/>
              </w:rPr>
            </w:pPr>
            <w:r w:rsidRPr="00841541">
              <w:rPr>
                <w:b/>
              </w:rPr>
              <w:t>6,510</w:t>
            </w:r>
          </w:p>
        </w:tc>
        <w:tc>
          <w:tcPr>
            <w:tcW w:w="1560" w:type="dxa"/>
          </w:tcPr>
          <w:p w14:paraId="0E6940F6" w14:textId="410CF106" w:rsidR="0036599E" w:rsidRPr="00DB5A10" w:rsidRDefault="0036599E" w:rsidP="0036599E">
            <w:pPr>
              <w:jc w:val="right"/>
              <w:rPr>
                <w:b/>
                <w:color w:val="FF0000"/>
              </w:rPr>
            </w:pPr>
            <w:r w:rsidRPr="003A7802">
              <w:rPr>
                <w:b/>
              </w:rPr>
              <w:t>6</w:t>
            </w:r>
            <w:r>
              <w:rPr>
                <w:b/>
              </w:rPr>
              <w:t>,</w:t>
            </w:r>
            <w:r w:rsidR="00CD7C24">
              <w:rPr>
                <w:b/>
              </w:rPr>
              <w:t>7</w:t>
            </w:r>
            <w:r w:rsidR="00270BD6">
              <w:rPr>
                <w:b/>
              </w:rPr>
              <w:t>4</w:t>
            </w:r>
            <w:r w:rsidR="00AC4604">
              <w:rPr>
                <w:b/>
              </w:rPr>
              <w:t>3</w:t>
            </w:r>
          </w:p>
        </w:tc>
      </w:tr>
    </w:tbl>
    <w:p w14:paraId="1B99C93A" w14:textId="77777777" w:rsidR="00856963" w:rsidRPr="00DB5A10" w:rsidRDefault="00856963" w:rsidP="00D40536">
      <w:pPr>
        <w:rPr>
          <w:color w:val="FF0000"/>
        </w:rPr>
      </w:pPr>
    </w:p>
    <w:p w14:paraId="6C698E8A" w14:textId="77777777" w:rsidR="00BE2EE1" w:rsidRDefault="0007206D" w:rsidP="006060E3">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BD718B">
        <w:rPr>
          <w:rFonts w:ascii="Arial" w:eastAsia="Times New Roman" w:hAnsi="Arial" w:cs="Arial"/>
          <w:color w:val="auto"/>
          <w:kern w:val="0"/>
          <w:sz w:val="24"/>
          <w:szCs w:val="24"/>
          <w:lang w:eastAsia="en-GB"/>
          <w14:ligatures w14:val="none"/>
        </w:rPr>
        <w:t xml:space="preserve">All budgets have been reviewed for </w:t>
      </w:r>
      <w:r w:rsidR="00B94D84" w:rsidRPr="00BD718B">
        <w:rPr>
          <w:rFonts w:ascii="Arial" w:eastAsia="Times New Roman" w:hAnsi="Arial" w:cs="Arial"/>
          <w:color w:val="auto"/>
          <w:kern w:val="0"/>
          <w:sz w:val="24"/>
          <w:szCs w:val="24"/>
          <w:lang w:eastAsia="en-GB"/>
          <w14:ligatures w14:val="none"/>
        </w:rPr>
        <w:t>202</w:t>
      </w:r>
      <w:r w:rsidR="00BD718B" w:rsidRPr="00BD718B">
        <w:rPr>
          <w:rFonts w:ascii="Arial" w:eastAsia="Times New Roman" w:hAnsi="Arial" w:cs="Arial"/>
          <w:color w:val="auto"/>
          <w:kern w:val="0"/>
          <w:sz w:val="24"/>
          <w:szCs w:val="24"/>
          <w:lang w:eastAsia="en-GB"/>
          <w14:ligatures w14:val="none"/>
        </w:rPr>
        <w:t>5</w:t>
      </w:r>
      <w:r w:rsidR="00B94D84" w:rsidRPr="00BD718B">
        <w:rPr>
          <w:rFonts w:ascii="Arial" w:eastAsia="Times New Roman" w:hAnsi="Arial" w:cs="Arial"/>
          <w:color w:val="auto"/>
          <w:kern w:val="0"/>
          <w:sz w:val="24"/>
          <w:szCs w:val="24"/>
          <w:lang w:eastAsia="en-GB"/>
          <w14:ligatures w14:val="none"/>
        </w:rPr>
        <w:t>/2</w:t>
      </w:r>
      <w:r w:rsidR="00BD718B" w:rsidRPr="00BD718B">
        <w:rPr>
          <w:rFonts w:ascii="Arial" w:eastAsia="Times New Roman" w:hAnsi="Arial" w:cs="Arial"/>
          <w:color w:val="auto"/>
          <w:kern w:val="0"/>
          <w:sz w:val="24"/>
          <w:szCs w:val="24"/>
          <w:lang w:eastAsia="en-GB"/>
          <w14:ligatures w14:val="none"/>
        </w:rPr>
        <w:t>6</w:t>
      </w:r>
      <w:r w:rsidRPr="00BD718B">
        <w:rPr>
          <w:rFonts w:ascii="Arial" w:eastAsia="Times New Roman" w:hAnsi="Arial" w:cs="Arial"/>
          <w:color w:val="auto"/>
          <w:kern w:val="0"/>
          <w:sz w:val="24"/>
          <w:szCs w:val="24"/>
          <w:lang w:eastAsia="en-GB"/>
          <w14:ligatures w14:val="none"/>
        </w:rPr>
        <w:t xml:space="preserve">. </w:t>
      </w:r>
    </w:p>
    <w:p w14:paraId="01D4B3C0" w14:textId="77777777" w:rsidR="00CB66A3" w:rsidRDefault="003A7802" w:rsidP="00CB66A3">
      <w:pPr>
        <w:pStyle w:val="Heading2"/>
        <w:keepNext w:val="0"/>
        <w:keepLines w:val="0"/>
        <w:numPr>
          <w:ilvl w:val="1"/>
          <w:numId w:val="20"/>
        </w:numPr>
        <w:tabs>
          <w:tab w:val="num" w:pos="426"/>
        </w:tabs>
        <w:spacing w:before="0" w:after="120"/>
        <w:ind w:left="425" w:hanging="567"/>
      </w:pPr>
      <w:r w:rsidRPr="00BE2EE1">
        <w:rPr>
          <w:rFonts w:ascii="Arial" w:eastAsia="Times New Roman" w:hAnsi="Arial" w:cs="Arial"/>
          <w:color w:val="auto"/>
          <w:kern w:val="0"/>
          <w:sz w:val="24"/>
          <w:szCs w:val="24"/>
          <w:lang w:eastAsia="en-GB"/>
          <w14:ligatures w14:val="none"/>
        </w:rPr>
        <w:t>Budgets have been increased, where applicable, to be in line with 2024/25 agreed pay scales. An</w:t>
      </w:r>
      <w:r w:rsidR="0002034A">
        <w:rPr>
          <w:rFonts w:ascii="Arial" w:eastAsia="Times New Roman" w:hAnsi="Arial" w:cs="Arial"/>
          <w:color w:val="auto"/>
          <w:kern w:val="0"/>
          <w:sz w:val="24"/>
          <w:szCs w:val="24"/>
          <w:lang w:eastAsia="en-GB"/>
          <w14:ligatures w14:val="none"/>
        </w:rPr>
        <w:t xml:space="preserve">d an </w:t>
      </w:r>
      <w:r w:rsidRPr="00BE2EE1">
        <w:rPr>
          <w:rFonts w:ascii="Arial" w:eastAsia="Times New Roman" w:hAnsi="Arial" w:cs="Arial"/>
          <w:color w:val="auto"/>
          <w:kern w:val="0"/>
          <w:sz w:val="24"/>
          <w:szCs w:val="24"/>
          <w:lang w:eastAsia="en-GB"/>
          <w14:ligatures w14:val="none"/>
        </w:rPr>
        <w:t>allowance of 3% has also been applied, where applicable, for 2025/26 pay inflation (c£1</w:t>
      </w:r>
      <w:r w:rsidR="00E6289A" w:rsidRPr="00BE2EE1">
        <w:rPr>
          <w:rFonts w:ascii="Arial" w:eastAsia="Times New Roman" w:hAnsi="Arial" w:cs="Arial"/>
          <w:color w:val="auto"/>
          <w:kern w:val="0"/>
          <w:sz w:val="24"/>
          <w:szCs w:val="24"/>
          <w:lang w:eastAsia="en-GB"/>
          <w14:ligatures w14:val="none"/>
        </w:rPr>
        <w:t>63</w:t>
      </w:r>
      <w:r w:rsidRPr="00BE2EE1">
        <w:rPr>
          <w:rFonts w:ascii="Arial" w:eastAsia="Times New Roman" w:hAnsi="Arial" w:cs="Arial"/>
          <w:color w:val="auto"/>
          <w:kern w:val="0"/>
          <w:sz w:val="24"/>
          <w:szCs w:val="24"/>
          <w:lang w:eastAsia="en-GB"/>
          <w14:ligatures w14:val="none"/>
        </w:rPr>
        <w:t>,000).</w:t>
      </w:r>
      <w:r w:rsidRPr="00E6289A">
        <w:t xml:space="preserve"> </w:t>
      </w:r>
    </w:p>
    <w:p w14:paraId="2DB986DC" w14:textId="62A2C305" w:rsidR="00CB66A3" w:rsidRPr="00B722F6" w:rsidRDefault="00180CBD">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Pr>
          <w:rFonts w:ascii="Arial" w:eastAsia="Times New Roman" w:hAnsi="Arial" w:cs="Arial"/>
          <w:color w:val="auto"/>
          <w:kern w:val="0"/>
          <w:sz w:val="24"/>
          <w:szCs w:val="24"/>
          <w:lang w:eastAsia="en-GB"/>
          <w14:ligatures w14:val="none"/>
        </w:rPr>
        <w:t>I</w:t>
      </w:r>
      <w:r w:rsidR="00B722F6" w:rsidRPr="00B722F6">
        <w:rPr>
          <w:rFonts w:ascii="Arial" w:eastAsia="Times New Roman" w:hAnsi="Arial" w:cs="Arial"/>
          <w:color w:val="auto"/>
          <w:kern w:val="0"/>
          <w:sz w:val="24"/>
          <w:szCs w:val="24"/>
          <w:lang w:eastAsia="en-GB"/>
          <w14:ligatures w14:val="none"/>
        </w:rPr>
        <w:t xml:space="preserve">n the main </w:t>
      </w:r>
      <w:r w:rsidR="00B722F6">
        <w:rPr>
          <w:rFonts w:ascii="Arial" w:eastAsia="Times New Roman" w:hAnsi="Arial" w:cs="Arial"/>
          <w:color w:val="auto"/>
          <w:kern w:val="0"/>
          <w:sz w:val="24"/>
          <w:szCs w:val="24"/>
          <w:lang w:eastAsia="en-GB"/>
          <w14:ligatures w14:val="none"/>
        </w:rPr>
        <w:t xml:space="preserve">it </w:t>
      </w:r>
      <w:r w:rsidR="00CB66A3" w:rsidRPr="00B722F6">
        <w:rPr>
          <w:rFonts w:ascii="Arial" w:eastAsia="Times New Roman" w:hAnsi="Arial" w:cs="Arial"/>
          <w:color w:val="auto"/>
          <w:kern w:val="0"/>
          <w:sz w:val="24"/>
          <w:szCs w:val="24"/>
          <w:lang w:eastAsia="en-GB"/>
          <w14:ligatures w14:val="none"/>
        </w:rPr>
        <w:t>is proposed many budgets will remain the same</w:t>
      </w:r>
      <w:r w:rsidR="00B722F6">
        <w:rPr>
          <w:rFonts w:ascii="Arial" w:eastAsia="Times New Roman" w:hAnsi="Arial" w:cs="Arial"/>
          <w:color w:val="auto"/>
          <w:kern w:val="0"/>
          <w:sz w:val="24"/>
          <w:szCs w:val="24"/>
          <w:lang w:eastAsia="en-GB"/>
          <w14:ligatures w14:val="none"/>
        </w:rPr>
        <w:t xml:space="preserve"> (other than for inflation</w:t>
      </w:r>
      <w:r>
        <w:rPr>
          <w:rFonts w:ascii="Arial" w:eastAsia="Times New Roman" w:hAnsi="Arial" w:cs="Arial"/>
          <w:color w:val="auto"/>
          <w:kern w:val="0"/>
          <w:sz w:val="24"/>
          <w:szCs w:val="24"/>
          <w:lang w:eastAsia="en-GB"/>
          <w14:ligatures w14:val="none"/>
        </w:rPr>
        <w:t xml:space="preserve"> and a few minor technical adjustments</w:t>
      </w:r>
      <w:r w:rsidR="00B722F6">
        <w:rPr>
          <w:rFonts w:ascii="Arial" w:eastAsia="Times New Roman" w:hAnsi="Arial" w:cs="Arial"/>
          <w:color w:val="auto"/>
          <w:kern w:val="0"/>
          <w:sz w:val="24"/>
          <w:szCs w:val="24"/>
          <w:lang w:eastAsia="en-GB"/>
          <w14:ligatures w14:val="none"/>
        </w:rPr>
        <w:t>)</w:t>
      </w:r>
      <w:r w:rsidR="00CB66A3" w:rsidRPr="00B722F6">
        <w:rPr>
          <w:rFonts w:ascii="Arial" w:eastAsia="Times New Roman" w:hAnsi="Arial" w:cs="Arial"/>
          <w:color w:val="auto"/>
          <w:kern w:val="0"/>
          <w:sz w:val="24"/>
          <w:szCs w:val="24"/>
          <w:lang w:eastAsia="en-GB"/>
          <w14:ligatures w14:val="none"/>
        </w:rPr>
        <w:t>, with spend being managed within the current allocation and additional cost pressures not being passed on to schools.</w:t>
      </w:r>
    </w:p>
    <w:p w14:paraId="1C1D6C94" w14:textId="1C71CBD6" w:rsidR="0007206D" w:rsidRPr="00DB5A10" w:rsidRDefault="0007206D" w:rsidP="006060E3">
      <w:pPr>
        <w:pStyle w:val="Heading2"/>
        <w:keepNext w:val="0"/>
        <w:keepLines w:val="0"/>
        <w:numPr>
          <w:ilvl w:val="1"/>
          <w:numId w:val="20"/>
        </w:numPr>
        <w:tabs>
          <w:tab w:val="num" w:pos="426"/>
        </w:tabs>
        <w:spacing w:before="0" w:after="120"/>
        <w:ind w:left="425" w:hanging="567"/>
        <w:rPr>
          <w:rFonts w:ascii="Arial" w:eastAsia="Times New Roman" w:hAnsi="Arial" w:cs="Arial"/>
          <w:color w:val="FF0000"/>
          <w:kern w:val="0"/>
          <w:sz w:val="24"/>
          <w:szCs w:val="24"/>
          <w:lang w:eastAsia="en-GB"/>
          <w14:ligatures w14:val="none"/>
        </w:rPr>
      </w:pPr>
      <w:r w:rsidRPr="00D51127">
        <w:rPr>
          <w:rFonts w:ascii="Arial" w:eastAsia="Times New Roman" w:hAnsi="Arial" w:cs="Arial"/>
          <w:color w:val="auto"/>
          <w:kern w:val="0"/>
          <w:sz w:val="24"/>
          <w:szCs w:val="24"/>
          <w:lang w:eastAsia="en-GB"/>
          <w14:ligatures w14:val="none"/>
        </w:rPr>
        <w:t>The 202</w:t>
      </w:r>
      <w:r w:rsidR="00D51127" w:rsidRPr="00D51127">
        <w:rPr>
          <w:rFonts w:ascii="Arial" w:eastAsia="Times New Roman" w:hAnsi="Arial" w:cs="Arial"/>
          <w:color w:val="auto"/>
          <w:kern w:val="0"/>
          <w:sz w:val="24"/>
          <w:szCs w:val="24"/>
          <w:lang w:eastAsia="en-GB"/>
          <w14:ligatures w14:val="none"/>
        </w:rPr>
        <w:t>4</w:t>
      </w:r>
      <w:r w:rsidRPr="00D51127">
        <w:rPr>
          <w:rFonts w:ascii="Arial" w:eastAsia="Times New Roman" w:hAnsi="Arial" w:cs="Arial"/>
          <w:color w:val="auto"/>
          <w:kern w:val="0"/>
          <w:sz w:val="24"/>
          <w:szCs w:val="24"/>
          <w:lang w:eastAsia="en-GB"/>
          <w14:ligatures w14:val="none"/>
        </w:rPr>
        <w:t>/2</w:t>
      </w:r>
      <w:r w:rsidR="00D51127" w:rsidRPr="00D51127">
        <w:rPr>
          <w:rFonts w:ascii="Arial" w:eastAsia="Times New Roman" w:hAnsi="Arial" w:cs="Arial"/>
          <w:color w:val="auto"/>
          <w:kern w:val="0"/>
          <w:sz w:val="24"/>
          <w:szCs w:val="24"/>
          <w:lang w:eastAsia="en-GB"/>
          <w14:ligatures w14:val="none"/>
        </w:rPr>
        <w:t>5</w:t>
      </w:r>
      <w:r w:rsidRPr="00D51127">
        <w:rPr>
          <w:rFonts w:ascii="Arial" w:eastAsia="Times New Roman" w:hAnsi="Arial" w:cs="Arial"/>
          <w:color w:val="auto"/>
          <w:kern w:val="0"/>
          <w:sz w:val="24"/>
          <w:szCs w:val="24"/>
          <w:lang w:eastAsia="en-GB"/>
          <w14:ligatures w14:val="none"/>
        </w:rPr>
        <w:t xml:space="preserve"> overall charge was </w:t>
      </w:r>
      <w:r w:rsidRPr="0082398E">
        <w:rPr>
          <w:rFonts w:ascii="Arial" w:eastAsia="Times New Roman" w:hAnsi="Arial" w:cs="Arial"/>
          <w:color w:val="auto"/>
          <w:kern w:val="0"/>
          <w:sz w:val="24"/>
          <w:szCs w:val="24"/>
          <w:lang w:eastAsia="en-GB"/>
          <w14:ligatures w14:val="none"/>
        </w:rPr>
        <w:t>£</w:t>
      </w:r>
      <w:r w:rsidR="00D51127" w:rsidRPr="0082398E">
        <w:rPr>
          <w:rFonts w:ascii="Arial" w:eastAsia="Times New Roman" w:hAnsi="Arial" w:cs="Arial"/>
          <w:color w:val="auto"/>
          <w:kern w:val="0"/>
          <w:sz w:val="24"/>
          <w:szCs w:val="24"/>
          <w:lang w:eastAsia="en-GB"/>
          <w14:ligatures w14:val="none"/>
        </w:rPr>
        <w:t>4</w:t>
      </w:r>
      <w:r w:rsidR="0082398E" w:rsidRPr="0082398E">
        <w:rPr>
          <w:rFonts w:ascii="Arial" w:eastAsia="Times New Roman" w:hAnsi="Arial" w:cs="Arial"/>
          <w:color w:val="auto"/>
          <w:kern w:val="0"/>
          <w:sz w:val="24"/>
          <w:szCs w:val="24"/>
          <w:lang w:eastAsia="en-GB"/>
          <w14:ligatures w14:val="none"/>
        </w:rPr>
        <w:t>8</w:t>
      </w:r>
      <w:r w:rsidRPr="0082398E">
        <w:rPr>
          <w:rFonts w:ascii="Arial" w:eastAsia="Times New Roman" w:hAnsi="Arial" w:cs="Arial"/>
          <w:color w:val="auto"/>
          <w:kern w:val="0"/>
          <w:sz w:val="24"/>
          <w:szCs w:val="24"/>
          <w:lang w:eastAsia="en-GB"/>
          <w14:ligatures w14:val="none"/>
        </w:rPr>
        <w:t>.</w:t>
      </w:r>
      <w:r w:rsidR="0082398E" w:rsidRPr="0082398E">
        <w:rPr>
          <w:rFonts w:ascii="Arial" w:eastAsia="Times New Roman" w:hAnsi="Arial" w:cs="Arial"/>
          <w:color w:val="auto"/>
          <w:kern w:val="0"/>
          <w:sz w:val="24"/>
          <w:szCs w:val="24"/>
          <w:lang w:eastAsia="en-GB"/>
          <w14:ligatures w14:val="none"/>
        </w:rPr>
        <w:t>45</w:t>
      </w:r>
      <w:r w:rsidRPr="0082398E">
        <w:rPr>
          <w:rFonts w:ascii="Arial" w:eastAsia="Times New Roman" w:hAnsi="Arial" w:cs="Arial"/>
          <w:color w:val="auto"/>
          <w:kern w:val="0"/>
          <w:sz w:val="24"/>
          <w:szCs w:val="24"/>
          <w:lang w:eastAsia="en-GB"/>
          <w14:ligatures w14:val="none"/>
        </w:rPr>
        <w:t xml:space="preserve"> </w:t>
      </w:r>
      <w:r w:rsidRPr="00D51127">
        <w:rPr>
          <w:rFonts w:ascii="Arial" w:eastAsia="Times New Roman" w:hAnsi="Arial" w:cs="Arial"/>
          <w:color w:val="auto"/>
          <w:kern w:val="0"/>
          <w:sz w:val="24"/>
          <w:szCs w:val="24"/>
          <w:lang w:eastAsia="en-GB"/>
          <w14:ligatures w14:val="none"/>
        </w:rPr>
        <w:t>per pupil / per place. Th</w:t>
      </w:r>
      <w:r w:rsidR="00705673">
        <w:rPr>
          <w:rFonts w:ascii="Arial" w:eastAsia="Times New Roman" w:hAnsi="Arial" w:cs="Arial"/>
          <w:color w:val="auto"/>
          <w:kern w:val="0"/>
          <w:sz w:val="24"/>
          <w:szCs w:val="24"/>
          <w:lang w:eastAsia="en-GB"/>
          <w14:ligatures w14:val="none"/>
        </w:rPr>
        <w:t>e</w:t>
      </w:r>
      <w:r w:rsidRPr="00D51127">
        <w:rPr>
          <w:rFonts w:ascii="Arial" w:eastAsia="Times New Roman" w:hAnsi="Arial" w:cs="Arial"/>
          <w:color w:val="auto"/>
          <w:kern w:val="0"/>
          <w:sz w:val="24"/>
          <w:szCs w:val="24"/>
          <w:lang w:eastAsia="en-GB"/>
          <w14:ligatures w14:val="none"/>
        </w:rPr>
        <w:t xml:space="preserve"> per pupil / per place charge for 202</w:t>
      </w:r>
      <w:r w:rsidR="00D51127" w:rsidRPr="00D51127">
        <w:rPr>
          <w:rFonts w:ascii="Arial" w:eastAsia="Times New Roman" w:hAnsi="Arial" w:cs="Arial"/>
          <w:color w:val="auto"/>
          <w:kern w:val="0"/>
          <w:sz w:val="24"/>
          <w:szCs w:val="24"/>
          <w:lang w:eastAsia="en-GB"/>
          <w14:ligatures w14:val="none"/>
        </w:rPr>
        <w:t>5</w:t>
      </w:r>
      <w:r w:rsidRPr="00D51127">
        <w:rPr>
          <w:rFonts w:ascii="Arial" w:eastAsia="Times New Roman" w:hAnsi="Arial" w:cs="Arial"/>
          <w:color w:val="auto"/>
          <w:kern w:val="0"/>
          <w:sz w:val="24"/>
          <w:szCs w:val="24"/>
          <w:lang w:eastAsia="en-GB"/>
          <w14:ligatures w14:val="none"/>
        </w:rPr>
        <w:t>/2</w:t>
      </w:r>
      <w:r w:rsidR="00D51127" w:rsidRPr="00D51127">
        <w:rPr>
          <w:rFonts w:ascii="Arial" w:eastAsia="Times New Roman" w:hAnsi="Arial" w:cs="Arial"/>
          <w:color w:val="auto"/>
          <w:kern w:val="0"/>
          <w:sz w:val="24"/>
          <w:szCs w:val="24"/>
          <w:lang w:eastAsia="en-GB"/>
          <w14:ligatures w14:val="none"/>
        </w:rPr>
        <w:t>6</w:t>
      </w:r>
      <w:r w:rsidRPr="00D51127">
        <w:rPr>
          <w:rFonts w:ascii="Arial" w:eastAsia="Times New Roman" w:hAnsi="Arial" w:cs="Arial"/>
          <w:color w:val="auto"/>
          <w:kern w:val="0"/>
          <w:sz w:val="24"/>
          <w:szCs w:val="24"/>
          <w:lang w:eastAsia="en-GB"/>
          <w14:ligatures w14:val="none"/>
        </w:rPr>
        <w:t xml:space="preserve"> will be confirmed in January following receipt of updated pupil numbers.</w:t>
      </w:r>
    </w:p>
    <w:p w14:paraId="2FDB3A64" w14:textId="77777777" w:rsidR="0007206D" w:rsidRPr="00EF44F9" w:rsidRDefault="0007206D" w:rsidP="00A73B14">
      <w:pPr>
        <w:spacing w:after="120"/>
        <w:ind w:firstLine="425"/>
        <w:contextualSpacing/>
        <w:rPr>
          <w:u w:val="single"/>
        </w:rPr>
      </w:pPr>
      <w:r w:rsidRPr="00EF44F9">
        <w:rPr>
          <w:u w:val="single"/>
        </w:rPr>
        <w:t>De-delegation of services</w:t>
      </w:r>
    </w:p>
    <w:p w14:paraId="21F25232" w14:textId="48ED88E6" w:rsidR="00A73B14" w:rsidRPr="00904303"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904303">
        <w:rPr>
          <w:rFonts w:ascii="Arial" w:eastAsia="Times New Roman" w:hAnsi="Arial" w:cs="Arial"/>
          <w:color w:val="auto"/>
          <w:kern w:val="0"/>
          <w:sz w:val="24"/>
          <w:szCs w:val="24"/>
          <w:lang w:eastAsia="en-GB"/>
          <w14:ligatures w14:val="none"/>
        </w:rPr>
        <w:t>There aren’t any changes to the services that can be de-delegated or the processes and procedures for this.</w:t>
      </w:r>
    </w:p>
    <w:p w14:paraId="45B63005" w14:textId="508C973E" w:rsidR="0007206D" w:rsidRPr="00904303" w:rsidRDefault="0007206D" w:rsidP="00EB25FC">
      <w:pPr>
        <w:pStyle w:val="Heading2"/>
        <w:keepNext w:val="0"/>
        <w:keepLines w:val="0"/>
        <w:widowControl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904303">
        <w:rPr>
          <w:rFonts w:ascii="Arial" w:eastAsia="Times New Roman" w:hAnsi="Arial" w:cs="Arial"/>
          <w:color w:val="auto"/>
          <w:kern w:val="0"/>
          <w:sz w:val="24"/>
          <w:szCs w:val="24"/>
          <w:lang w:eastAsia="en-GB"/>
          <w14:ligatures w14:val="none"/>
        </w:rPr>
        <w:t>The following table sets out the current 202</w:t>
      </w:r>
      <w:r w:rsidR="00904303" w:rsidRPr="00904303">
        <w:rPr>
          <w:rFonts w:ascii="Arial" w:eastAsia="Times New Roman" w:hAnsi="Arial" w:cs="Arial"/>
          <w:color w:val="auto"/>
          <w:kern w:val="0"/>
          <w:sz w:val="24"/>
          <w:szCs w:val="24"/>
          <w:lang w:eastAsia="en-GB"/>
          <w14:ligatures w14:val="none"/>
        </w:rPr>
        <w:t>4</w:t>
      </w:r>
      <w:r w:rsidRPr="00904303">
        <w:rPr>
          <w:rFonts w:ascii="Arial" w:eastAsia="Times New Roman" w:hAnsi="Arial" w:cs="Arial"/>
          <w:color w:val="auto"/>
          <w:kern w:val="0"/>
          <w:sz w:val="24"/>
          <w:szCs w:val="24"/>
          <w:lang w:eastAsia="en-GB"/>
          <w14:ligatures w14:val="none"/>
        </w:rPr>
        <w:t>/2</w:t>
      </w:r>
      <w:r w:rsidR="00904303" w:rsidRPr="00904303">
        <w:rPr>
          <w:rFonts w:ascii="Arial" w:eastAsia="Times New Roman" w:hAnsi="Arial" w:cs="Arial"/>
          <w:color w:val="auto"/>
          <w:kern w:val="0"/>
          <w:sz w:val="24"/>
          <w:szCs w:val="24"/>
          <w:lang w:eastAsia="en-GB"/>
          <w14:ligatures w14:val="none"/>
        </w:rPr>
        <w:t>5</w:t>
      </w:r>
      <w:r w:rsidRPr="00904303">
        <w:rPr>
          <w:rFonts w:ascii="Arial" w:eastAsia="Times New Roman" w:hAnsi="Arial" w:cs="Arial"/>
          <w:color w:val="auto"/>
          <w:kern w:val="0"/>
          <w:sz w:val="24"/>
          <w:szCs w:val="24"/>
          <w:lang w:eastAsia="en-GB"/>
          <w14:ligatures w14:val="none"/>
        </w:rPr>
        <w:t xml:space="preserve"> de-delegation budgets and the basis for de-delegation.</w:t>
      </w:r>
    </w:p>
    <w:tbl>
      <w:tblPr>
        <w:tblW w:w="86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134"/>
        <w:gridCol w:w="1259"/>
        <w:gridCol w:w="1200"/>
        <w:gridCol w:w="1500"/>
      </w:tblGrid>
      <w:tr w:rsidR="00DB5A10" w:rsidRPr="00DB5A10" w14:paraId="00C17895" w14:textId="77777777">
        <w:trPr>
          <w:trHeight w:val="654"/>
        </w:trPr>
        <w:tc>
          <w:tcPr>
            <w:tcW w:w="3544" w:type="dxa"/>
            <w:shd w:val="clear" w:color="auto" w:fill="auto"/>
          </w:tcPr>
          <w:p w14:paraId="795D1CAF" w14:textId="77777777" w:rsidR="0007206D" w:rsidRPr="00F32D38" w:rsidRDefault="0007206D" w:rsidP="00EB25FC">
            <w:pPr>
              <w:widowControl w:val="0"/>
              <w:rPr>
                <w:b/>
              </w:rPr>
            </w:pPr>
            <w:bookmarkStart w:id="8" w:name="OLE_LINK8"/>
            <w:bookmarkStart w:id="9" w:name="OLE_LINK9"/>
            <w:r w:rsidRPr="00F32D38">
              <w:rPr>
                <w:b/>
              </w:rPr>
              <w:t>Service</w:t>
            </w:r>
          </w:p>
        </w:tc>
        <w:tc>
          <w:tcPr>
            <w:tcW w:w="1134" w:type="dxa"/>
            <w:shd w:val="clear" w:color="auto" w:fill="auto"/>
          </w:tcPr>
          <w:p w14:paraId="042262DC" w14:textId="1B5D9010" w:rsidR="0007206D" w:rsidRPr="00F32D38" w:rsidRDefault="0007206D" w:rsidP="00EB25FC">
            <w:pPr>
              <w:widowControl w:val="0"/>
              <w:jc w:val="center"/>
              <w:rPr>
                <w:b/>
              </w:rPr>
            </w:pPr>
            <w:r w:rsidRPr="00F32D38">
              <w:rPr>
                <w:b/>
              </w:rPr>
              <w:t>20</w:t>
            </w:r>
            <w:r w:rsidR="004B33D5" w:rsidRPr="00F32D38">
              <w:rPr>
                <w:b/>
              </w:rPr>
              <w:t>2</w:t>
            </w:r>
            <w:r w:rsidR="00F32D38" w:rsidRPr="00F32D38">
              <w:rPr>
                <w:b/>
              </w:rPr>
              <w:t>4</w:t>
            </w:r>
            <w:r w:rsidRPr="00F32D38">
              <w:rPr>
                <w:b/>
              </w:rPr>
              <w:t>/2</w:t>
            </w:r>
            <w:r w:rsidR="00F32D38" w:rsidRPr="00F32D38">
              <w:rPr>
                <w:b/>
              </w:rPr>
              <w:t>5</w:t>
            </w:r>
            <w:r w:rsidRPr="00F32D38">
              <w:rPr>
                <w:b/>
              </w:rPr>
              <w:t xml:space="preserve"> Budget</w:t>
            </w:r>
          </w:p>
        </w:tc>
        <w:tc>
          <w:tcPr>
            <w:tcW w:w="1259" w:type="dxa"/>
          </w:tcPr>
          <w:p w14:paraId="36373A02" w14:textId="77777777" w:rsidR="0007206D" w:rsidRPr="00F32D38" w:rsidRDefault="0007206D" w:rsidP="00EB25FC">
            <w:pPr>
              <w:widowControl w:val="0"/>
              <w:jc w:val="center"/>
              <w:rPr>
                <w:b/>
              </w:rPr>
            </w:pPr>
            <w:r w:rsidRPr="00F32D38">
              <w:rPr>
                <w:b/>
              </w:rPr>
              <w:t>Basis</w:t>
            </w:r>
          </w:p>
        </w:tc>
        <w:tc>
          <w:tcPr>
            <w:tcW w:w="2700" w:type="dxa"/>
            <w:gridSpan w:val="2"/>
          </w:tcPr>
          <w:p w14:paraId="7FB93F61" w14:textId="58260ECD" w:rsidR="0007206D" w:rsidRPr="00F32D38" w:rsidRDefault="0007206D" w:rsidP="00EB25FC">
            <w:pPr>
              <w:widowControl w:val="0"/>
              <w:jc w:val="center"/>
              <w:rPr>
                <w:b/>
              </w:rPr>
            </w:pPr>
            <w:r w:rsidRPr="00F32D38">
              <w:rPr>
                <w:b/>
              </w:rPr>
              <w:t>202</w:t>
            </w:r>
            <w:r w:rsidR="00F32D38" w:rsidRPr="00F32D38">
              <w:rPr>
                <w:b/>
              </w:rPr>
              <w:t>4</w:t>
            </w:r>
            <w:r w:rsidRPr="00F32D38">
              <w:rPr>
                <w:b/>
              </w:rPr>
              <w:t>/2</w:t>
            </w:r>
            <w:r w:rsidR="00F32D38" w:rsidRPr="00F32D38">
              <w:rPr>
                <w:b/>
              </w:rPr>
              <w:t>5</w:t>
            </w:r>
            <w:r w:rsidRPr="00F32D38">
              <w:rPr>
                <w:b/>
              </w:rPr>
              <w:t xml:space="preserve"> Per Pupil</w:t>
            </w:r>
          </w:p>
        </w:tc>
      </w:tr>
      <w:tr w:rsidR="00DB5A10" w:rsidRPr="00DB5A10" w14:paraId="2F516256" w14:textId="77777777">
        <w:tc>
          <w:tcPr>
            <w:tcW w:w="3544" w:type="dxa"/>
            <w:shd w:val="clear" w:color="auto" w:fill="auto"/>
          </w:tcPr>
          <w:p w14:paraId="193BA7D9" w14:textId="77777777" w:rsidR="0007206D" w:rsidRPr="00F32D38" w:rsidRDefault="0007206D" w:rsidP="00EB25FC">
            <w:pPr>
              <w:widowControl w:val="0"/>
            </w:pPr>
          </w:p>
        </w:tc>
        <w:tc>
          <w:tcPr>
            <w:tcW w:w="1134" w:type="dxa"/>
            <w:shd w:val="clear" w:color="auto" w:fill="auto"/>
          </w:tcPr>
          <w:p w14:paraId="20A300C2" w14:textId="77777777" w:rsidR="0007206D" w:rsidRPr="00F32D38" w:rsidRDefault="0007206D" w:rsidP="00EB25FC">
            <w:pPr>
              <w:widowControl w:val="0"/>
              <w:rPr>
                <w:b/>
              </w:rPr>
            </w:pPr>
            <w:r w:rsidRPr="00F32D38">
              <w:rPr>
                <w:b/>
              </w:rPr>
              <w:t>£’000</w:t>
            </w:r>
          </w:p>
        </w:tc>
        <w:tc>
          <w:tcPr>
            <w:tcW w:w="1259" w:type="dxa"/>
          </w:tcPr>
          <w:p w14:paraId="2860D80D" w14:textId="77777777" w:rsidR="0007206D" w:rsidRPr="00F32D38" w:rsidRDefault="0007206D" w:rsidP="00EB25FC">
            <w:pPr>
              <w:widowControl w:val="0"/>
            </w:pPr>
          </w:p>
        </w:tc>
        <w:tc>
          <w:tcPr>
            <w:tcW w:w="1200" w:type="dxa"/>
          </w:tcPr>
          <w:p w14:paraId="264D2415" w14:textId="77777777" w:rsidR="0007206D" w:rsidRPr="00F32D38" w:rsidRDefault="0007206D" w:rsidP="00EB25FC">
            <w:pPr>
              <w:widowControl w:val="0"/>
              <w:rPr>
                <w:b/>
              </w:rPr>
            </w:pPr>
            <w:r w:rsidRPr="00F32D38">
              <w:rPr>
                <w:b/>
              </w:rPr>
              <w:t>Primary</w:t>
            </w:r>
          </w:p>
        </w:tc>
        <w:tc>
          <w:tcPr>
            <w:tcW w:w="1500" w:type="dxa"/>
          </w:tcPr>
          <w:p w14:paraId="786E020B" w14:textId="77777777" w:rsidR="0007206D" w:rsidRPr="00F32D38" w:rsidRDefault="0007206D" w:rsidP="00EB25FC">
            <w:pPr>
              <w:widowControl w:val="0"/>
              <w:rPr>
                <w:b/>
              </w:rPr>
            </w:pPr>
            <w:r w:rsidRPr="00F32D38">
              <w:rPr>
                <w:b/>
              </w:rPr>
              <w:t>Secondary</w:t>
            </w:r>
          </w:p>
        </w:tc>
      </w:tr>
      <w:tr w:rsidR="00DB5A10" w:rsidRPr="00DB5A10" w14:paraId="5F706314" w14:textId="77777777">
        <w:tc>
          <w:tcPr>
            <w:tcW w:w="3544" w:type="dxa"/>
            <w:shd w:val="clear" w:color="auto" w:fill="auto"/>
          </w:tcPr>
          <w:p w14:paraId="6036428D" w14:textId="77777777" w:rsidR="0007206D" w:rsidRPr="00582A7A" w:rsidRDefault="0007206D" w:rsidP="00EB25FC">
            <w:pPr>
              <w:widowControl w:val="0"/>
            </w:pPr>
            <w:r w:rsidRPr="00582A7A">
              <w:t>Contingency</w:t>
            </w:r>
          </w:p>
        </w:tc>
        <w:tc>
          <w:tcPr>
            <w:tcW w:w="1134" w:type="dxa"/>
            <w:shd w:val="clear" w:color="auto" w:fill="auto"/>
          </w:tcPr>
          <w:p w14:paraId="1CA3F5BD" w14:textId="1A24D3DB" w:rsidR="0007206D" w:rsidRPr="00750582" w:rsidRDefault="002D1BF1" w:rsidP="00EB25FC">
            <w:pPr>
              <w:widowControl w:val="0"/>
              <w:jc w:val="right"/>
            </w:pPr>
            <w:r w:rsidRPr="00750582">
              <w:t>296</w:t>
            </w:r>
          </w:p>
        </w:tc>
        <w:tc>
          <w:tcPr>
            <w:tcW w:w="1259" w:type="dxa"/>
          </w:tcPr>
          <w:p w14:paraId="59171752" w14:textId="77777777" w:rsidR="0007206D" w:rsidRPr="00750582" w:rsidRDefault="0007206D" w:rsidP="00EB25FC">
            <w:pPr>
              <w:widowControl w:val="0"/>
            </w:pPr>
            <w:r w:rsidRPr="00750582">
              <w:t>Per Pupil</w:t>
            </w:r>
          </w:p>
        </w:tc>
        <w:tc>
          <w:tcPr>
            <w:tcW w:w="1200" w:type="dxa"/>
          </w:tcPr>
          <w:p w14:paraId="65E67F73" w14:textId="2AC1FE2C" w:rsidR="0007206D" w:rsidRPr="00521E39" w:rsidRDefault="0007206D" w:rsidP="00EB25FC">
            <w:pPr>
              <w:widowControl w:val="0"/>
              <w:jc w:val="right"/>
            </w:pPr>
            <w:r w:rsidRPr="00521E39">
              <w:t>£2.</w:t>
            </w:r>
            <w:r w:rsidR="00C56BFC" w:rsidRPr="00521E39">
              <w:t>2</w:t>
            </w:r>
            <w:r w:rsidR="00521E39" w:rsidRPr="00521E39">
              <w:t>6</w:t>
            </w:r>
          </w:p>
        </w:tc>
        <w:tc>
          <w:tcPr>
            <w:tcW w:w="1500" w:type="dxa"/>
          </w:tcPr>
          <w:p w14:paraId="56B456BD" w14:textId="1EDF0217" w:rsidR="0007206D" w:rsidRPr="00521E39" w:rsidRDefault="0007206D" w:rsidP="00EB25FC">
            <w:pPr>
              <w:widowControl w:val="0"/>
              <w:jc w:val="right"/>
            </w:pPr>
            <w:r w:rsidRPr="00521E39">
              <w:t>£2.</w:t>
            </w:r>
            <w:r w:rsidR="00C56BFC" w:rsidRPr="00521E39">
              <w:t>2</w:t>
            </w:r>
            <w:r w:rsidR="00521E39" w:rsidRPr="00521E39">
              <w:t>6</w:t>
            </w:r>
          </w:p>
        </w:tc>
      </w:tr>
      <w:tr w:rsidR="00DB5A10" w:rsidRPr="00DB5A10" w14:paraId="1667BFDD" w14:textId="77777777">
        <w:tc>
          <w:tcPr>
            <w:tcW w:w="3544" w:type="dxa"/>
            <w:shd w:val="clear" w:color="auto" w:fill="auto"/>
          </w:tcPr>
          <w:p w14:paraId="7595EEF9" w14:textId="77777777" w:rsidR="0007206D" w:rsidRPr="00B6175C" w:rsidRDefault="0007206D" w:rsidP="00EB25FC">
            <w:pPr>
              <w:widowControl w:val="0"/>
            </w:pPr>
            <w:r w:rsidRPr="00B6175C">
              <w:t>Licences &amp; Subscriptions</w:t>
            </w:r>
          </w:p>
        </w:tc>
        <w:tc>
          <w:tcPr>
            <w:tcW w:w="1134" w:type="dxa"/>
            <w:shd w:val="clear" w:color="auto" w:fill="auto"/>
          </w:tcPr>
          <w:p w14:paraId="13FDB834" w14:textId="10B3A245" w:rsidR="0007206D" w:rsidRPr="00B6175C" w:rsidRDefault="00322430" w:rsidP="00EB25FC">
            <w:pPr>
              <w:widowControl w:val="0"/>
              <w:jc w:val="right"/>
            </w:pPr>
            <w:r w:rsidRPr="00B6175C">
              <w:t>1</w:t>
            </w:r>
            <w:r w:rsidR="00B6175C" w:rsidRPr="00B6175C">
              <w:t>85</w:t>
            </w:r>
          </w:p>
        </w:tc>
        <w:tc>
          <w:tcPr>
            <w:tcW w:w="1259" w:type="dxa"/>
          </w:tcPr>
          <w:p w14:paraId="07904C2E" w14:textId="77777777" w:rsidR="0007206D" w:rsidRPr="00B6175C" w:rsidRDefault="0007206D" w:rsidP="00EB25FC">
            <w:pPr>
              <w:widowControl w:val="0"/>
            </w:pPr>
            <w:r w:rsidRPr="00B6175C">
              <w:t>Per Pupil</w:t>
            </w:r>
          </w:p>
        </w:tc>
        <w:tc>
          <w:tcPr>
            <w:tcW w:w="1200" w:type="dxa"/>
          </w:tcPr>
          <w:p w14:paraId="45C73769" w14:textId="263B7D02" w:rsidR="0007206D" w:rsidRPr="00043E1C" w:rsidRDefault="0007206D" w:rsidP="00EB25FC">
            <w:pPr>
              <w:widowControl w:val="0"/>
              <w:jc w:val="right"/>
            </w:pPr>
            <w:r w:rsidRPr="00043E1C">
              <w:t>£1.</w:t>
            </w:r>
            <w:r w:rsidR="00CF00E6" w:rsidRPr="00043E1C">
              <w:t>44</w:t>
            </w:r>
          </w:p>
        </w:tc>
        <w:tc>
          <w:tcPr>
            <w:tcW w:w="1500" w:type="dxa"/>
          </w:tcPr>
          <w:p w14:paraId="06A5818D" w14:textId="6FF43536" w:rsidR="0007206D" w:rsidRPr="00043E1C" w:rsidRDefault="0007206D" w:rsidP="00EB25FC">
            <w:pPr>
              <w:widowControl w:val="0"/>
              <w:jc w:val="right"/>
            </w:pPr>
            <w:r w:rsidRPr="00043E1C">
              <w:t>£1.</w:t>
            </w:r>
            <w:r w:rsidR="00B0563A" w:rsidRPr="00043E1C">
              <w:t>31</w:t>
            </w:r>
          </w:p>
        </w:tc>
      </w:tr>
      <w:tr w:rsidR="00DB5A10" w:rsidRPr="00DB5A10" w14:paraId="5EEC19CF" w14:textId="77777777">
        <w:tc>
          <w:tcPr>
            <w:tcW w:w="3544" w:type="dxa"/>
            <w:shd w:val="clear" w:color="auto" w:fill="auto"/>
          </w:tcPr>
          <w:p w14:paraId="25383942" w14:textId="77777777" w:rsidR="0007206D" w:rsidRPr="00582A7A" w:rsidRDefault="0007206D" w:rsidP="00EB25FC">
            <w:pPr>
              <w:widowControl w:val="0"/>
            </w:pPr>
            <w:r w:rsidRPr="00582A7A">
              <w:t>Staff Costs</w:t>
            </w:r>
          </w:p>
        </w:tc>
        <w:tc>
          <w:tcPr>
            <w:tcW w:w="1134" w:type="dxa"/>
            <w:shd w:val="clear" w:color="auto" w:fill="auto"/>
          </w:tcPr>
          <w:p w14:paraId="78F966C0" w14:textId="0F2446B1" w:rsidR="0007206D" w:rsidRPr="00582A7A" w:rsidRDefault="0034592C" w:rsidP="00EB25FC">
            <w:pPr>
              <w:widowControl w:val="0"/>
              <w:jc w:val="right"/>
            </w:pPr>
            <w:r w:rsidRPr="00582A7A">
              <w:t>6</w:t>
            </w:r>
            <w:r w:rsidR="00C10829" w:rsidRPr="00582A7A">
              <w:t>44</w:t>
            </w:r>
          </w:p>
        </w:tc>
        <w:tc>
          <w:tcPr>
            <w:tcW w:w="1259" w:type="dxa"/>
          </w:tcPr>
          <w:p w14:paraId="12E7C26C" w14:textId="77777777" w:rsidR="0007206D" w:rsidRPr="00582A7A" w:rsidRDefault="0007206D" w:rsidP="00EB25FC">
            <w:pPr>
              <w:widowControl w:val="0"/>
            </w:pPr>
            <w:r w:rsidRPr="00582A7A">
              <w:t>Per Pupil</w:t>
            </w:r>
          </w:p>
        </w:tc>
        <w:tc>
          <w:tcPr>
            <w:tcW w:w="1200" w:type="dxa"/>
          </w:tcPr>
          <w:p w14:paraId="601A67A6" w14:textId="2D3F6A2A" w:rsidR="0007206D" w:rsidRPr="00582A7A" w:rsidRDefault="0007206D" w:rsidP="00EB25FC">
            <w:pPr>
              <w:widowControl w:val="0"/>
              <w:jc w:val="right"/>
            </w:pPr>
            <w:r w:rsidRPr="00582A7A">
              <w:t>£</w:t>
            </w:r>
            <w:r w:rsidR="00CD54A8" w:rsidRPr="00582A7A">
              <w:t>3.</w:t>
            </w:r>
            <w:r w:rsidR="00582A7A" w:rsidRPr="00582A7A">
              <w:t>95</w:t>
            </w:r>
          </w:p>
        </w:tc>
        <w:tc>
          <w:tcPr>
            <w:tcW w:w="1500" w:type="dxa"/>
          </w:tcPr>
          <w:p w14:paraId="700730E8" w14:textId="238BD652" w:rsidR="0007206D" w:rsidRPr="00582A7A" w:rsidRDefault="0007206D" w:rsidP="00EB25FC">
            <w:pPr>
              <w:widowControl w:val="0"/>
              <w:jc w:val="right"/>
            </w:pPr>
            <w:r w:rsidRPr="00582A7A">
              <w:t>£</w:t>
            </w:r>
            <w:r w:rsidR="00582A7A" w:rsidRPr="00582A7A">
              <w:t>7</w:t>
            </w:r>
            <w:r w:rsidRPr="00582A7A">
              <w:t>.</w:t>
            </w:r>
            <w:r w:rsidR="00582A7A" w:rsidRPr="00582A7A">
              <w:t>60</w:t>
            </w:r>
          </w:p>
        </w:tc>
      </w:tr>
      <w:tr w:rsidR="00DB5A10" w:rsidRPr="00DB5A10" w14:paraId="7DC65E29" w14:textId="77777777">
        <w:trPr>
          <w:trHeight w:val="399"/>
        </w:trPr>
        <w:tc>
          <w:tcPr>
            <w:tcW w:w="3544" w:type="dxa"/>
            <w:vMerge w:val="restart"/>
            <w:shd w:val="clear" w:color="auto" w:fill="auto"/>
          </w:tcPr>
          <w:p w14:paraId="22A6F8D6" w14:textId="1BFD7D12" w:rsidR="0007206D" w:rsidRPr="00302411" w:rsidRDefault="0007206D" w:rsidP="00EB25FC">
            <w:pPr>
              <w:widowControl w:val="0"/>
            </w:pPr>
            <w:r w:rsidRPr="00302411">
              <w:t>Ethnic Minority &amp; Trave</w:t>
            </w:r>
            <w:r w:rsidR="009473BE">
              <w:t>l</w:t>
            </w:r>
            <w:r w:rsidRPr="00302411">
              <w:t>ler Achievement Service (EMTAS)</w:t>
            </w:r>
          </w:p>
        </w:tc>
        <w:tc>
          <w:tcPr>
            <w:tcW w:w="1134" w:type="dxa"/>
            <w:vMerge w:val="restart"/>
            <w:shd w:val="clear" w:color="auto" w:fill="auto"/>
          </w:tcPr>
          <w:p w14:paraId="7AA4ED06" w14:textId="0F44D31E" w:rsidR="0007206D" w:rsidRPr="00302411" w:rsidRDefault="0007206D" w:rsidP="00EB25FC">
            <w:pPr>
              <w:widowControl w:val="0"/>
              <w:jc w:val="right"/>
            </w:pPr>
            <w:r w:rsidRPr="00302411">
              <w:t>1,</w:t>
            </w:r>
            <w:r w:rsidR="008C1E66" w:rsidRPr="00302411">
              <w:t>4</w:t>
            </w:r>
            <w:r w:rsidR="004B33D5" w:rsidRPr="00302411">
              <w:t>1</w:t>
            </w:r>
            <w:r w:rsidR="008C1E66" w:rsidRPr="00302411">
              <w:t>4</w:t>
            </w:r>
          </w:p>
        </w:tc>
        <w:tc>
          <w:tcPr>
            <w:tcW w:w="1259" w:type="dxa"/>
          </w:tcPr>
          <w:p w14:paraId="242603BB" w14:textId="77777777" w:rsidR="0007206D" w:rsidRPr="006D7DBF" w:rsidRDefault="0007206D" w:rsidP="00EB25FC">
            <w:pPr>
              <w:widowControl w:val="0"/>
            </w:pPr>
            <w:r w:rsidRPr="006D7DBF">
              <w:t xml:space="preserve">Per Pupil </w:t>
            </w:r>
          </w:p>
        </w:tc>
        <w:tc>
          <w:tcPr>
            <w:tcW w:w="1200" w:type="dxa"/>
          </w:tcPr>
          <w:p w14:paraId="6169DCD9" w14:textId="23AD8FCA" w:rsidR="0007206D" w:rsidRPr="006D7DBF" w:rsidRDefault="0007206D" w:rsidP="00EB25FC">
            <w:pPr>
              <w:widowControl w:val="0"/>
              <w:jc w:val="right"/>
            </w:pPr>
            <w:r w:rsidRPr="006D7DBF">
              <w:t>£3.</w:t>
            </w:r>
            <w:r w:rsidR="00435CA2" w:rsidRPr="006D7DBF">
              <w:t>24</w:t>
            </w:r>
          </w:p>
        </w:tc>
        <w:tc>
          <w:tcPr>
            <w:tcW w:w="1500" w:type="dxa"/>
          </w:tcPr>
          <w:p w14:paraId="354A4859" w14:textId="32B9E83D" w:rsidR="0007206D" w:rsidRPr="006D7DBF" w:rsidRDefault="0007206D" w:rsidP="00EB25FC">
            <w:pPr>
              <w:widowControl w:val="0"/>
              <w:jc w:val="right"/>
            </w:pPr>
            <w:r w:rsidRPr="006D7DBF">
              <w:t>£1.1</w:t>
            </w:r>
            <w:r w:rsidR="00435CA2" w:rsidRPr="006D7DBF">
              <w:t>4</w:t>
            </w:r>
          </w:p>
        </w:tc>
      </w:tr>
      <w:tr w:rsidR="00DB5A10" w:rsidRPr="00DB5A10" w14:paraId="7E6F1FA2" w14:textId="77777777">
        <w:trPr>
          <w:trHeight w:val="379"/>
        </w:trPr>
        <w:tc>
          <w:tcPr>
            <w:tcW w:w="3544" w:type="dxa"/>
            <w:vMerge/>
          </w:tcPr>
          <w:p w14:paraId="3E175750" w14:textId="77777777" w:rsidR="0007206D" w:rsidRPr="00302411" w:rsidRDefault="0007206D" w:rsidP="00EB25FC">
            <w:pPr>
              <w:widowControl w:val="0"/>
            </w:pPr>
          </w:p>
        </w:tc>
        <w:tc>
          <w:tcPr>
            <w:tcW w:w="1134" w:type="dxa"/>
            <w:vMerge/>
          </w:tcPr>
          <w:p w14:paraId="207D5AD3" w14:textId="77777777" w:rsidR="0007206D" w:rsidRPr="00302411" w:rsidRDefault="0007206D" w:rsidP="00EB25FC">
            <w:pPr>
              <w:widowControl w:val="0"/>
              <w:jc w:val="right"/>
            </w:pPr>
          </w:p>
        </w:tc>
        <w:tc>
          <w:tcPr>
            <w:tcW w:w="1259" w:type="dxa"/>
          </w:tcPr>
          <w:p w14:paraId="0412246D" w14:textId="77777777" w:rsidR="0007206D" w:rsidRPr="00302411" w:rsidRDefault="0007206D" w:rsidP="00EB25FC">
            <w:pPr>
              <w:widowControl w:val="0"/>
            </w:pPr>
            <w:r w:rsidRPr="00302411">
              <w:t>EAL</w:t>
            </w:r>
          </w:p>
        </w:tc>
        <w:tc>
          <w:tcPr>
            <w:tcW w:w="1200" w:type="dxa"/>
          </w:tcPr>
          <w:p w14:paraId="470C1FEC" w14:textId="31D9B513" w:rsidR="0007206D" w:rsidRPr="00302411" w:rsidRDefault="0007206D" w:rsidP="00EB25FC">
            <w:pPr>
              <w:widowControl w:val="0"/>
              <w:jc w:val="right"/>
            </w:pPr>
            <w:r w:rsidRPr="00302411">
              <w:t>£1</w:t>
            </w:r>
            <w:r w:rsidR="00D2673D" w:rsidRPr="00302411">
              <w:t>27</w:t>
            </w:r>
            <w:r w:rsidR="001A6D6B" w:rsidRPr="00302411">
              <w:t>.</w:t>
            </w:r>
            <w:r w:rsidR="00D2673D" w:rsidRPr="00302411">
              <w:t>19</w:t>
            </w:r>
          </w:p>
        </w:tc>
        <w:tc>
          <w:tcPr>
            <w:tcW w:w="1500" w:type="dxa"/>
          </w:tcPr>
          <w:p w14:paraId="37316EA9" w14:textId="56CF0E40" w:rsidR="0007206D" w:rsidRPr="00302411" w:rsidRDefault="0007206D" w:rsidP="00EB25FC">
            <w:pPr>
              <w:widowControl w:val="0"/>
              <w:jc w:val="right"/>
            </w:pPr>
            <w:r w:rsidRPr="00302411">
              <w:t>£2</w:t>
            </w:r>
            <w:r w:rsidR="00302411" w:rsidRPr="00302411">
              <w:t>05</w:t>
            </w:r>
            <w:r w:rsidRPr="00302411">
              <w:t>.</w:t>
            </w:r>
            <w:r w:rsidR="00302411" w:rsidRPr="00302411">
              <w:t>50</w:t>
            </w:r>
          </w:p>
        </w:tc>
      </w:tr>
      <w:tr w:rsidR="0007206D" w:rsidRPr="00DB5A10" w14:paraId="5421A8E7" w14:textId="77777777">
        <w:trPr>
          <w:trHeight w:val="345"/>
        </w:trPr>
        <w:tc>
          <w:tcPr>
            <w:tcW w:w="3544" w:type="dxa"/>
            <w:shd w:val="clear" w:color="auto" w:fill="auto"/>
          </w:tcPr>
          <w:p w14:paraId="081D8CAE" w14:textId="77777777" w:rsidR="0007206D" w:rsidRPr="00722175" w:rsidRDefault="0007206D" w:rsidP="00EB25FC">
            <w:pPr>
              <w:widowControl w:val="0"/>
              <w:rPr>
                <w:b/>
              </w:rPr>
            </w:pPr>
            <w:r w:rsidRPr="00722175">
              <w:rPr>
                <w:b/>
              </w:rPr>
              <w:t>Total</w:t>
            </w:r>
          </w:p>
        </w:tc>
        <w:tc>
          <w:tcPr>
            <w:tcW w:w="1134" w:type="dxa"/>
            <w:shd w:val="clear" w:color="auto" w:fill="auto"/>
          </w:tcPr>
          <w:p w14:paraId="70AAA861" w14:textId="64668DCA" w:rsidR="0007206D" w:rsidRPr="00722175" w:rsidRDefault="0007206D" w:rsidP="00EB25FC">
            <w:pPr>
              <w:widowControl w:val="0"/>
              <w:jc w:val="right"/>
              <w:rPr>
                <w:b/>
              </w:rPr>
            </w:pPr>
            <w:r w:rsidRPr="00722175">
              <w:rPr>
                <w:b/>
              </w:rPr>
              <w:t>2,</w:t>
            </w:r>
            <w:r w:rsidR="00722175" w:rsidRPr="00722175">
              <w:rPr>
                <w:b/>
              </w:rPr>
              <w:t>539</w:t>
            </w:r>
          </w:p>
        </w:tc>
        <w:tc>
          <w:tcPr>
            <w:tcW w:w="3959" w:type="dxa"/>
            <w:gridSpan w:val="3"/>
          </w:tcPr>
          <w:p w14:paraId="5E0A81C7" w14:textId="77777777" w:rsidR="0007206D" w:rsidRPr="00722175" w:rsidRDefault="0007206D" w:rsidP="00EB25FC">
            <w:pPr>
              <w:widowControl w:val="0"/>
              <w:rPr>
                <w:b/>
              </w:rPr>
            </w:pPr>
          </w:p>
        </w:tc>
      </w:tr>
      <w:bookmarkEnd w:id="8"/>
      <w:bookmarkEnd w:id="9"/>
    </w:tbl>
    <w:p w14:paraId="2A597831" w14:textId="77777777" w:rsidR="0007206D" w:rsidRPr="00DB5A10" w:rsidRDefault="0007206D" w:rsidP="00D40536">
      <w:pPr>
        <w:rPr>
          <w:color w:val="FF0000"/>
        </w:rPr>
      </w:pPr>
    </w:p>
    <w:p w14:paraId="134E2366" w14:textId="1F00A8DE" w:rsidR="00487A04" w:rsidRPr="00510669"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510669">
        <w:rPr>
          <w:rFonts w:ascii="Arial" w:eastAsia="Times New Roman" w:hAnsi="Arial" w:cs="Arial"/>
          <w:color w:val="auto"/>
          <w:kern w:val="0"/>
          <w:sz w:val="24"/>
          <w:szCs w:val="24"/>
          <w:lang w:eastAsia="en-GB"/>
          <w14:ligatures w14:val="none"/>
        </w:rPr>
        <w:t>The contingency budget has been reviewed for 202</w:t>
      </w:r>
      <w:r w:rsidR="00510669" w:rsidRPr="00510669">
        <w:rPr>
          <w:rFonts w:ascii="Arial" w:eastAsia="Times New Roman" w:hAnsi="Arial" w:cs="Arial"/>
          <w:color w:val="auto"/>
          <w:kern w:val="0"/>
          <w:sz w:val="24"/>
          <w:szCs w:val="24"/>
          <w:lang w:eastAsia="en-GB"/>
          <w14:ligatures w14:val="none"/>
        </w:rPr>
        <w:t>5</w:t>
      </w:r>
      <w:r w:rsidRPr="00510669">
        <w:rPr>
          <w:rFonts w:ascii="Arial" w:eastAsia="Times New Roman" w:hAnsi="Arial" w:cs="Arial"/>
          <w:color w:val="auto"/>
          <w:kern w:val="0"/>
          <w:sz w:val="24"/>
          <w:szCs w:val="24"/>
          <w:lang w:eastAsia="en-GB"/>
          <w14:ligatures w14:val="none"/>
        </w:rPr>
        <w:t>/2</w:t>
      </w:r>
      <w:r w:rsidR="00510669" w:rsidRPr="00510669">
        <w:rPr>
          <w:rFonts w:ascii="Arial" w:eastAsia="Times New Roman" w:hAnsi="Arial" w:cs="Arial"/>
          <w:color w:val="auto"/>
          <w:kern w:val="0"/>
          <w:sz w:val="24"/>
          <w:szCs w:val="24"/>
          <w:lang w:eastAsia="en-GB"/>
          <w14:ligatures w14:val="none"/>
        </w:rPr>
        <w:t>6</w:t>
      </w:r>
      <w:r w:rsidRPr="00510669">
        <w:rPr>
          <w:rFonts w:ascii="Arial" w:eastAsia="Times New Roman" w:hAnsi="Arial" w:cs="Arial"/>
          <w:color w:val="auto"/>
          <w:kern w:val="0"/>
          <w:sz w:val="24"/>
          <w:szCs w:val="24"/>
          <w:lang w:eastAsia="en-GB"/>
          <w14:ligatures w14:val="none"/>
        </w:rPr>
        <w:t xml:space="preserve"> and </w:t>
      </w:r>
      <w:r w:rsidR="00D127E8" w:rsidRPr="00510669">
        <w:rPr>
          <w:rFonts w:ascii="Arial" w:eastAsia="Times New Roman" w:hAnsi="Arial" w:cs="Arial"/>
          <w:color w:val="auto"/>
          <w:kern w:val="0"/>
          <w:sz w:val="24"/>
          <w:szCs w:val="24"/>
          <w:lang w:eastAsia="en-GB"/>
          <w14:ligatures w14:val="none"/>
        </w:rPr>
        <w:t>remains as it was for 202</w:t>
      </w:r>
      <w:r w:rsidR="00510669" w:rsidRPr="00510669">
        <w:rPr>
          <w:rFonts w:ascii="Arial" w:eastAsia="Times New Roman" w:hAnsi="Arial" w:cs="Arial"/>
          <w:color w:val="auto"/>
          <w:kern w:val="0"/>
          <w:sz w:val="24"/>
          <w:szCs w:val="24"/>
          <w:lang w:eastAsia="en-GB"/>
          <w14:ligatures w14:val="none"/>
        </w:rPr>
        <w:t>4</w:t>
      </w:r>
      <w:r w:rsidR="00D127E8" w:rsidRPr="00510669">
        <w:rPr>
          <w:rFonts w:ascii="Arial" w:eastAsia="Times New Roman" w:hAnsi="Arial" w:cs="Arial"/>
          <w:color w:val="auto"/>
          <w:kern w:val="0"/>
          <w:sz w:val="24"/>
          <w:szCs w:val="24"/>
          <w:lang w:eastAsia="en-GB"/>
          <w14:ligatures w14:val="none"/>
        </w:rPr>
        <w:t>/2</w:t>
      </w:r>
      <w:r w:rsidR="00510669" w:rsidRPr="00510669">
        <w:rPr>
          <w:rFonts w:ascii="Arial" w:eastAsia="Times New Roman" w:hAnsi="Arial" w:cs="Arial"/>
          <w:color w:val="auto"/>
          <w:kern w:val="0"/>
          <w:sz w:val="24"/>
          <w:szCs w:val="24"/>
          <w:lang w:eastAsia="en-GB"/>
          <w14:ligatures w14:val="none"/>
        </w:rPr>
        <w:t>5</w:t>
      </w:r>
      <w:r w:rsidR="00D127E8" w:rsidRPr="00510669">
        <w:rPr>
          <w:rFonts w:ascii="Arial" w:eastAsia="Times New Roman" w:hAnsi="Arial" w:cs="Arial"/>
          <w:color w:val="auto"/>
          <w:kern w:val="0"/>
          <w:sz w:val="24"/>
          <w:szCs w:val="24"/>
          <w:lang w:eastAsia="en-GB"/>
          <w14:ligatures w14:val="none"/>
        </w:rPr>
        <w:t xml:space="preserve">. </w:t>
      </w:r>
    </w:p>
    <w:p w14:paraId="30DA9796" w14:textId="77777777" w:rsidR="006E76F0" w:rsidRDefault="006E76F0">
      <w:pPr>
        <w:spacing w:after="160" w:line="259" w:lineRule="auto"/>
        <w:rPr>
          <w:rFonts w:eastAsia="Times New Roman"/>
          <w:kern w:val="0"/>
          <w:lang w:eastAsia="en-GB"/>
          <w14:ligatures w14:val="none"/>
        </w:rPr>
      </w:pPr>
      <w:r>
        <w:rPr>
          <w:rFonts w:eastAsia="Times New Roman"/>
          <w:kern w:val="0"/>
          <w:lang w:eastAsia="en-GB"/>
          <w14:ligatures w14:val="none"/>
        </w:rPr>
        <w:br w:type="page"/>
      </w:r>
    </w:p>
    <w:p w14:paraId="538D4E0E" w14:textId="1D646DF2" w:rsidR="0007206D" w:rsidRPr="002501A9"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2501A9">
        <w:rPr>
          <w:rFonts w:ascii="Arial" w:eastAsia="Times New Roman" w:hAnsi="Arial" w:cs="Arial"/>
          <w:color w:val="auto"/>
          <w:kern w:val="0"/>
          <w:sz w:val="24"/>
          <w:szCs w:val="24"/>
          <w:lang w:eastAsia="en-GB"/>
          <w14:ligatures w14:val="none"/>
        </w:rPr>
        <w:lastRenderedPageBreak/>
        <w:t>The final budget and per pupil rates for services funded by maintained schools will be confirmed in January following confirmation of pupil numbers in December. As in previous years, an in-</w:t>
      </w:r>
      <w:proofErr w:type="gramStart"/>
      <w:r w:rsidRPr="002501A9">
        <w:rPr>
          <w:rFonts w:ascii="Arial" w:eastAsia="Times New Roman" w:hAnsi="Arial" w:cs="Arial"/>
          <w:color w:val="auto"/>
          <w:kern w:val="0"/>
          <w:sz w:val="24"/>
          <w:szCs w:val="24"/>
          <w:lang w:eastAsia="en-GB"/>
          <w14:ligatures w14:val="none"/>
        </w:rPr>
        <w:t>principle</w:t>
      </w:r>
      <w:proofErr w:type="gramEnd"/>
      <w:r w:rsidRPr="002501A9">
        <w:rPr>
          <w:rFonts w:ascii="Arial" w:eastAsia="Times New Roman" w:hAnsi="Arial" w:cs="Arial"/>
          <w:color w:val="auto"/>
          <w:kern w:val="0"/>
          <w:sz w:val="24"/>
          <w:szCs w:val="24"/>
          <w:lang w:eastAsia="en-GB"/>
          <w14:ligatures w14:val="none"/>
        </w:rPr>
        <w:t xml:space="preserve"> agreement is sought to ensure final budget proposals can be provided to Schools Forum in January.</w:t>
      </w:r>
    </w:p>
    <w:p w14:paraId="5FEB23ED" w14:textId="68BB2E7B" w:rsidR="0007206D" w:rsidRPr="007663CF" w:rsidRDefault="0007206D" w:rsidP="00A73B14">
      <w:pPr>
        <w:pStyle w:val="Heading1"/>
        <w:numPr>
          <w:ilvl w:val="0"/>
          <w:numId w:val="20"/>
        </w:numPr>
        <w:tabs>
          <w:tab w:val="num" w:pos="426"/>
          <w:tab w:val="num" w:pos="2843"/>
        </w:tabs>
        <w:spacing w:before="240" w:after="120"/>
        <w:ind w:left="431" w:hanging="431"/>
        <w:rPr>
          <w:rFonts w:eastAsia="Times New Roman"/>
          <w:bCs w:val="0"/>
          <w:noProof w:val="0"/>
          <w:color w:val="auto"/>
          <w:kern w:val="28"/>
          <w:sz w:val="24"/>
          <w:szCs w:val="24"/>
          <w:lang w:eastAsia="en-GB"/>
          <w14:ligatures w14:val="none"/>
        </w:rPr>
      </w:pPr>
      <w:bookmarkStart w:id="10" w:name="_Toc151016901"/>
      <w:bookmarkEnd w:id="3"/>
      <w:bookmarkEnd w:id="4"/>
      <w:r w:rsidRPr="007663CF">
        <w:rPr>
          <w:rFonts w:eastAsia="Times New Roman"/>
          <w:bCs w:val="0"/>
          <w:noProof w:val="0"/>
          <w:color w:val="auto"/>
          <w:kern w:val="28"/>
          <w:sz w:val="24"/>
          <w:szCs w:val="24"/>
          <w:lang w:eastAsia="en-GB"/>
          <w14:ligatures w14:val="none"/>
        </w:rPr>
        <w:t>Recommendations</w:t>
      </w:r>
      <w:bookmarkEnd w:id="10"/>
    </w:p>
    <w:p w14:paraId="5ADAB949" w14:textId="17B370C4" w:rsidR="0007206D" w:rsidRPr="00212D7B"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212D7B">
        <w:rPr>
          <w:rFonts w:ascii="Arial" w:eastAsia="Times New Roman" w:hAnsi="Arial" w:cs="Arial"/>
          <w:color w:val="auto"/>
          <w:kern w:val="0"/>
          <w:sz w:val="24"/>
          <w:szCs w:val="24"/>
          <w:lang w:eastAsia="en-GB"/>
          <w14:ligatures w14:val="none"/>
        </w:rPr>
        <w:t xml:space="preserve">It is recommended that Schools Forum </w:t>
      </w:r>
      <w:r w:rsidR="008B272A" w:rsidRPr="00212D7B">
        <w:rPr>
          <w:rFonts w:ascii="Arial" w:eastAsia="Times New Roman" w:hAnsi="Arial" w:cs="Arial"/>
          <w:color w:val="auto"/>
          <w:kern w:val="0"/>
          <w:sz w:val="24"/>
          <w:szCs w:val="24"/>
          <w:lang w:eastAsia="en-GB"/>
          <w14:ligatures w14:val="none"/>
        </w:rPr>
        <w:t>support</w:t>
      </w:r>
      <w:r w:rsidRPr="00212D7B">
        <w:rPr>
          <w:rFonts w:ascii="Arial" w:eastAsia="Times New Roman" w:hAnsi="Arial" w:cs="Arial"/>
          <w:color w:val="auto"/>
          <w:kern w:val="0"/>
          <w:sz w:val="24"/>
          <w:szCs w:val="24"/>
          <w:lang w:eastAsia="en-GB"/>
          <w14:ligatures w14:val="none"/>
        </w:rPr>
        <w:t xml:space="preserve"> the proposed approach to setting the mainstream school funding formula for 202</w:t>
      </w:r>
      <w:r w:rsidR="007663CF" w:rsidRPr="00212D7B">
        <w:rPr>
          <w:rFonts w:ascii="Arial" w:eastAsia="Times New Roman" w:hAnsi="Arial" w:cs="Arial"/>
          <w:color w:val="auto"/>
          <w:kern w:val="0"/>
          <w:sz w:val="24"/>
          <w:szCs w:val="24"/>
          <w:lang w:eastAsia="en-GB"/>
          <w14:ligatures w14:val="none"/>
        </w:rPr>
        <w:t>5</w:t>
      </w:r>
      <w:r w:rsidRPr="00212D7B">
        <w:rPr>
          <w:rFonts w:ascii="Arial" w:eastAsia="Times New Roman" w:hAnsi="Arial" w:cs="Arial"/>
          <w:color w:val="auto"/>
          <w:kern w:val="0"/>
          <w:sz w:val="24"/>
          <w:szCs w:val="24"/>
          <w:lang w:eastAsia="en-GB"/>
          <w14:ligatures w14:val="none"/>
        </w:rPr>
        <w:t>/2</w:t>
      </w:r>
      <w:r w:rsidR="007663CF" w:rsidRPr="00212D7B">
        <w:rPr>
          <w:rFonts w:ascii="Arial" w:eastAsia="Times New Roman" w:hAnsi="Arial" w:cs="Arial"/>
          <w:color w:val="auto"/>
          <w:kern w:val="0"/>
          <w:sz w:val="24"/>
          <w:szCs w:val="24"/>
          <w:lang w:eastAsia="en-GB"/>
          <w14:ligatures w14:val="none"/>
        </w:rPr>
        <w:t>6</w:t>
      </w:r>
      <w:r w:rsidRPr="00212D7B">
        <w:rPr>
          <w:rFonts w:ascii="Arial" w:eastAsia="Times New Roman" w:hAnsi="Arial" w:cs="Arial"/>
          <w:color w:val="auto"/>
          <w:kern w:val="0"/>
          <w:sz w:val="24"/>
          <w:szCs w:val="24"/>
          <w:lang w:eastAsia="en-GB"/>
          <w14:ligatures w14:val="none"/>
        </w:rPr>
        <w:t xml:space="preserve"> as outlined in paragraph 3.6.</w:t>
      </w:r>
    </w:p>
    <w:p w14:paraId="52B8A80A" w14:textId="683E6C68" w:rsidR="00E51CCB" w:rsidRPr="00E51CCB" w:rsidRDefault="00E51CCB" w:rsidP="00E51CCB">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212D7B">
        <w:rPr>
          <w:rFonts w:ascii="Arial" w:eastAsia="Times New Roman" w:hAnsi="Arial" w:cs="Arial"/>
          <w:color w:val="auto"/>
          <w:kern w:val="0"/>
          <w:sz w:val="24"/>
          <w:szCs w:val="24"/>
          <w:lang w:eastAsia="en-GB"/>
          <w14:ligatures w14:val="none"/>
        </w:rPr>
        <w:t>It is recommended that Schools Forum support the prop</w:t>
      </w:r>
      <w:r w:rsidR="00AC4E4B">
        <w:rPr>
          <w:rFonts w:ascii="Arial" w:eastAsia="Times New Roman" w:hAnsi="Arial" w:cs="Arial"/>
          <w:color w:val="auto"/>
          <w:kern w:val="0"/>
          <w:sz w:val="24"/>
          <w:szCs w:val="24"/>
          <w:lang w:eastAsia="en-GB"/>
          <w14:ligatures w14:val="none"/>
        </w:rPr>
        <w:t xml:space="preserve">osal </w:t>
      </w:r>
      <w:r w:rsidRPr="00212D7B">
        <w:rPr>
          <w:rFonts w:ascii="Arial" w:eastAsia="Times New Roman" w:hAnsi="Arial" w:cs="Arial"/>
          <w:color w:val="auto"/>
          <w:kern w:val="0"/>
          <w:sz w:val="24"/>
          <w:szCs w:val="24"/>
          <w:lang w:eastAsia="en-GB"/>
          <w14:ligatures w14:val="none"/>
        </w:rPr>
        <w:t xml:space="preserve">to </w:t>
      </w:r>
      <w:r>
        <w:rPr>
          <w:rFonts w:ascii="Arial" w:eastAsia="Times New Roman" w:hAnsi="Arial" w:cs="Arial"/>
          <w:color w:val="auto"/>
          <w:kern w:val="0"/>
          <w:sz w:val="24"/>
          <w:szCs w:val="24"/>
          <w:lang w:eastAsia="en-GB"/>
          <w14:ligatures w14:val="none"/>
        </w:rPr>
        <w:t>disapply the regulations</w:t>
      </w:r>
      <w:r w:rsidR="00AC4E4B">
        <w:rPr>
          <w:rFonts w:ascii="Arial" w:eastAsia="Times New Roman" w:hAnsi="Arial" w:cs="Arial"/>
          <w:color w:val="auto"/>
          <w:kern w:val="0"/>
          <w:sz w:val="24"/>
          <w:szCs w:val="24"/>
          <w:lang w:eastAsia="en-GB"/>
          <w14:ligatures w14:val="none"/>
        </w:rPr>
        <w:t xml:space="preserve"> in relation to exceptional premises costs</w:t>
      </w:r>
      <w:r w:rsidR="000D084C">
        <w:rPr>
          <w:rFonts w:ascii="Arial" w:eastAsia="Times New Roman" w:hAnsi="Arial" w:cs="Arial"/>
          <w:color w:val="auto"/>
          <w:kern w:val="0"/>
          <w:sz w:val="24"/>
          <w:szCs w:val="24"/>
          <w:lang w:eastAsia="en-GB"/>
          <w14:ligatures w14:val="none"/>
        </w:rPr>
        <w:t xml:space="preserve"> for a small number of schools</w:t>
      </w:r>
      <w:r w:rsidRPr="00212D7B">
        <w:rPr>
          <w:rFonts w:ascii="Arial" w:eastAsia="Times New Roman" w:hAnsi="Arial" w:cs="Arial"/>
          <w:color w:val="auto"/>
          <w:kern w:val="0"/>
          <w:sz w:val="24"/>
          <w:szCs w:val="24"/>
          <w:lang w:eastAsia="en-GB"/>
          <w14:ligatures w14:val="none"/>
        </w:rPr>
        <w:t>.</w:t>
      </w:r>
    </w:p>
    <w:p w14:paraId="2FD223AE" w14:textId="7D554AED" w:rsidR="0007206D" w:rsidRPr="00212D7B"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212D7B">
        <w:rPr>
          <w:rFonts w:ascii="Arial" w:eastAsia="Times New Roman" w:hAnsi="Arial" w:cs="Arial"/>
          <w:color w:val="auto"/>
          <w:kern w:val="0"/>
          <w:sz w:val="24"/>
          <w:szCs w:val="24"/>
          <w:lang w:eastAsia="en-GB"/>
          <w14:ligatures w14:val="none"/>
        </w:rPr>
        <w:t xml:space="preserve">It is recommended that Schools Forum </w:t>
      </w:r>
      <w:r w:rsidR="00AA4FD6" w:rsidRPr="00212D7B">
        <w:rPr>
          <w:rFonts w:ascii="Arial" w:eastAsia="Times New Roman" w:hAnsi="Arial" w:cs="Arial"/>
          <w:color w:val="auto"/>
          <w:kern w:val="0"/>
          <w:sz w:val="24"/>
          <w:szCs w:val="24"/>
          <w:lang w:eastAsia="en-GB"/>
          <w14:ligatures w14:val="none"/>
        </w:rPr>
        <w:t>support</w:t>
      </w:r>
      <w:r w:rsidRPr="00212D7B">
        <w:rPr>
          <w:rFonts w:ascii="Arial" w:eastAsia="Times New Roman" w:hAnsi="Arial" w:cs="Arial"/>
          <w:color w:val="auto"/>
          <w:kern w:val="0"/>
          <w:sz w:val="24"/>
          <w:szCs w:val="24"/>
          <w:lang w:eastAsia="en-GB"/>
          <w14:ligatures w14:val="none"/>
        </w:rPr>
        <w:t xml:space="preserve"> the proposed approach to allocating </w:t>
      </w:r>
      <w:r w:rsidR="00A146F5" w:rsidRPr="00212D7B">
        <w:rPr>
          <w:rFonts w:ascii="Arial" w:eastAsia="Times New Roman" w:hAnsi="Arial" w:cs="Arial"/>
          <w:color w:val="auto"/>
          <w:kern w:val="0"/>
          <w:sz w:val="24"/>
          <w:szCs w:val="24"/>
          <w:lang w:eastAsia="en-GB"/>
          <w14:ligatures w14:val="none"/>
        </w:rPr>
        <w:t>funding within the High Needs Block</w:t>
      </w:r>
      <w:r w:rsidRPr="00212D7B">
        <w:rPr>
          <w:rFonts w:ascii="Arial" w:eastAsia="Times New Roman" w:hAnsi="Arial" w:cs="Arial"/>
          <w:color w:val="auto"/>
          <w:kern w:val="0"/>
          <w:sz w:val="24"/>
          <w:szCs w:val="24"/>
          <w:lang w:eastAsia="en-GB"/>
          <w14:ligatures w14:val="none"/>
        </w:rPr>
        <w:t xml:space="preserve"> as outlined in </w:t>
      </w:r>
      <w:r w:rsidR="005F22D8" w:rsidRPr="00212D7B">
        <w:rPr>
          <w:rFonts w:ascii="Arial" w:eastAsia="Times New Roman" w:hAnsi="Arial" w:cs="Arial"/>
          <w:color w:val="auto"/>
          <w:kern w:val="0"/>
          <w:sz w:val="24"/>
          <w:szCs w:val="24"/>
          <w:lang w:eastAsia="en-GB"/>
          <w14:ligatures w14:val="none"/>
        </w:rPr>
        <w:t xml:space="preserve">the High Needs </w:t>
      </w:r>
      <w:r w:rsidR="00DF29F1" w:rsidRPr="00212D7B">
        <w:rPr>
          <w:rFonts w:ascii="Arial" w:eastAsia="Times New Roman" w:hAnsi="Arial" w:cs="Arial"/>
          <w:color w:val="auto"/>
          <w:kern w:val="0"/>
          <w:sz w:val="24"/>
          <w:szCs w:val="24"/>
          <w:lang w:eastAsia="en-GB"/>
          <w14:ligatures w14:val="none"/>
        </w:rPr>
        <w:t xml:space="preserve">Block </w:t>
      </w:r>
      <w:r w:rsidR="005F22D8" w:rsidRPr="00212D7B">
        <w:rPr>
          <w:rFonts w:ascii="Arial" w:eastAsia="Times New Roman" w:hAnsi="Arial" w:cs="Arial"/>
          <w:color w:val="auto"/>
          <w:kern w:val="0"/>
          <w:sz w:val="24"/>
          <w:szCs w:val="24"/>
          <w:lang w:eastAsia="en-GB"/>
          <w14:ligatures w14:val="none"/>
        </w:rPr>
        <w:t>section of the report.</w:t>
      </w:r>
    </w:p>
    <w:p w14:paraId="088962B0" w14:textId="77777777" w:rsidR="0007206D" w:rsidRPr="00212D7B" w:rsidRDefault="0007206D" w:rsidP="00A73B14">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212D7B">
        <w:rPr>
          <w:rFonts w:ascii="Arial" w:eastAsia="Times New Roman" w:hAnsi="Arial" w:cs="Arial"/>
          <w:color w:val="auto"/>
          <w:kern w:val="0"/>
          <w:sz w:val="24"/>
          <w:szCs w:val="24"/>
          <w:lang w:eastAsia="en-GB"/>
          <w14:ligatures w14:val="none"/>
        </w:rPr>
        <w:t>It is recommended that Schools Forum approve the Central School Services block in line with the DfE allocation.</w:t>
      </w:r>
    </w:p>
    <w:p w14:paraId="2420CDA0" w14:textId="5CF3B0EF" w:rsidR="00655C8C" w:rsidRPr="00212D7B" w:rsidRDefault="0007206D" w:rsidP="0082573B">
      <w:pPr>
        <w:pStyle w:val="Heading2"/>
        <w:keepNext w:val="0"/>
        <w:keepLines w:val="0"/>
        <w:numPr>
          <w:ilvl w:val="1"/>
          <w:numId w:val="20"/>
        </w:numPr>
        <w:tabs>
          <w:tab w:val="num" w:pos="426"/>
        </w:tabs>
        <w:spacing w:before="0" w:after="120"/>
        <w:ind w:left="425" w:hanging="567"/>
        <w:rPr>
          <w:rFonts w:ascii="Arial" w:eastAsia="Times New Roman" w:hAnsi="Arial" w:cs="Arial"/>
          <w:color w:val="auto"/>
          <w:kern w:val="0"/>
          <w:sz w:val="24"/>
          <w:szCs w:val="24"/>
          <w:lang w:eastAsia="en-GB"/>
          <w14:ligatures w14:val="none"/>
        </w:rPr>
      </w:pPr>
      <w:r w:rsidRPr="00212D7B">
        <w:rPr>
          <w:rFonts w:ascii="Arial" w:eastAsia="Times New Roman" w:hAnsi="Arial" w:cs="Arial"/>
          <w:color w:val="auto"/>
          <w:kern w:val="0"/>
          <w:sz w:val="24"/>
          <w:szCs w:val="24"/>
          <w:lang w:eastAsia="en-GB"/>
          <w14:ligatures w14:val="none"/>
        </w:rPr>
        <w:t>It is recommended that Schools Forum approve ‘in principle’ the allocations of the central provision funded by maintained schools and de-delegation budgets.</w:t>
      </w:r>
    </w:p>
    <w:sectPr w:rsidR="00655C8C" w:rsidRPr="00212D7B" w:rsidSect="00AB550B">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14638" w14:textId="77777777" w:rsidR="009B4ABF" w:rsidRDefault="009B4ABF" w:rsidP="006503CA">
      <w:r>
        <w:separator/>
      </w:r>
    </w:p>
  </w:endnote>
  <w:endnote w:type="continuationSeparator" w:id="0">
    <w:p w14:paraId="1ABDAB84" w14:textId="77777777" w:rsidR="009B4ABF" w:rsidRDefault="009B4ABF" w:rsidP="006503CA">
      <w:r>
        <w:continuationSeparator/>
      </w:r>
    </w:p>
  </w:endnote>
  <w:endnote w:type="continuationNotice" w:id="1">
    <w:p w14:paraId="6794CEBF" w14:textId="77777777" w:rsidR="009B4ABF" w:rsidRDefault="009B4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7036138"/>
      <w:docPartObj>
        <w:docPartGallery w:val="Page Numbers (Bottom of Page)"/>
        <w:docPartUnique/>
      </w:docPartObj>
    </w:sdtPr>
    <w:sdtEndPr>
      <w:rPr>
        <w:noProof/>
      </w:rPr>
    </w:sdtEndPr>
    <w:sdtContent>
      <w:p w14:paraId="7E2DECE9" w14:textId="13CC7B6F" w:rsidR="006659E6" w:rsidRDefault="00863A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4B648" w14:textId="7C2A4F37" w:rsidR="00863A0F" w:rsidRPr="00863A0F" w:rsidRDefault="00863A0F" w:rsidP="006503CA">
    <w:pPr>
      <w:pStyle w:val="Footer"/>
      <w:rPr>
        <w:rFonts w:asciiTheme="minorHAnsi" w:hAnsiTheme="minorHAnsi" w:cstheme="minorBid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08D3D6" w14:textId="77777777" w:rsidR="009B4ABF" w:rsidRDefault="009B4ABF" w:rsidP="006503CA">
      <w:r>
        <w:separator/>
      </w:r>
    </w:p>
  </w:footnote>
  <w:footnote w:type="continuationSeparator" w:id="0">
    <w:p w14:paraId="24783F61" w14:textId="77777777" w:rsidR="009B4ABF" w:rsidRDefault="009B4ABF" w:rsidP="006503CA">
      <w:r>
        <w:continuationSeparator/>
      </w:r>
    </w:p>
  </w:footnote>
  <w:footnote w:type="continuationNotice" w:id="1">
    <w:p w14:paraId="6ADE4A42" w14:textId="77777777" w:rsidR="009B4ABF" w:rsidRDefault="009B4A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77EE"/>
    <w:multiLevelType w:val="hybridMultilevel"/>
    <w:tmpl w:val="85F45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1233F"/>
    <w:multiLevelType w:val="multilevel"/>
    <w:tmpl w:val="6DE4484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342F1"/>
    <w:multiLevelType w:val="hybridMultilevel"/>
    <w:tmpl w:val="9432D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52486"/>
    <w:multiLevelType w:val="hybridMultilevel"/>
    <w:tmpl w:val="C034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01F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960FBA"/>
    <w:multiLevelType w:val="hybridMultilevel"/>
    <w:tmpl w:val="E9DC3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8768D"/>
    <w:multiLevelType w:val="hybridMultilevel"/>
    <w:tmpl w:val="87D0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755A8"/>
    <w:multiLevelType w:val="multilevel"/>
    <w:tmpl w:val="645C9ECC"/>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7C0FE7"/>
    <w:multiLevelType w:val="multilevel"/>
    <w:tmpl w:val="6DE4484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AB7D28"/>
    <w:multiLevelType w:val="hybridMultilevel"/>
    <w:tmpl w:val="958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51D82"/>
    <w:multiLevelType w:val="hybridMultilevel"/>
    <w:tmpl w:val="62E691F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2CB005EA"/>
    <w:multiLevelType w:val="hybridMultilevel"/>
    <w:tmpl w:val="074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547D"/>
    <w:multiLevelType w:val="hybridMultilevel"/>
    <w:tmpl w:val="0CAEC9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D52550"/>
    <w:multiLevelType w:val="multilevel"/>
    <w:tmpl w:val="6DE4484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3B6931"/>
    <w:multiLevelType w:val="hybridMultilevel"/>
    <w:tmpl w:val="B56C6B96"/>
    <w:lvl w:ilvl="0" w:tplc="08090001">
      <w:start w:val="1"/>
      <w:numFmt w:val="bullet"/>
      <w:lvlText w:val=""/>
      <w:lvlJc w:val="left"/>
      <w:pPr>
        <w:ind w:left="2018" w:hanging="360"/>
      </w:pPr>
      <w:rPr>
        <w:rFonts w:ascii="Symbol" w:hAnsi="Symbol" w:hint="default"/>
      </w:rPr>
    </w:lvl>
    <w:lvl w:ilvl="1" w:tplc="08090003" w:tentative="1">
      <w:start w:val="1"/>
      <w:numFmt w:val="bullet"/>
      <w:lvlText w:val="o"/>
      <w:lvlJc w:val="left"/>
      <w:pPr>
        <w:ind w:left="2738" w:hanging="360"/>
      </w:pPr>
      <w:rPr>
        <w:rFonts w:ascii="Courier New" w:hAnsi="Courier New" w:cs="Courier New" w:hint="default"/>
      </w:rPr>
    </w:lvl>
    <w:lvl w:ilvl="2" w:tplc="08090005" w:tentative="1">
      <w:start w:val="1"/>
      <w:numFmt w:val="bullet"/>
      <w:lvlText w:val=""/>
      <w:lvlJc w:val="left"/>
      <w:pPr>
        <w:ind w:left="3458" w:hanging="360"/>
      </w:pPr>
      <w:rPr>
        <w:rFonts w:ascii="Wingdings" w:hAnsi="Wingdings" w:hint="default"/>
      </w:rPr>
    </w:lvl>
    <w:lvl w:ilvl="3" w:tplc="08090001" w:tentative="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15"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122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EA49F2"/>
    <w:multiLevelType w:val="hybridMultilevel"/>
    <w:tmpl w:val="2AE8809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48F0749E"/>
    <w:multiLevelType w:val="hybridMultilevel"/>
    <w:tmpl w:val="3C0E2EE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9" w15:restartNumberingAfterBreak="0">
    <w:nsid w:val="51242AC0"/>
    <w:multiLevelType w:val="hybridMultilevel"/>
    <w:tmpl w:val="A5A0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64686D"/>
    <w:multiLevelType w:val="multilevel"/>
    <w:tmpl w:val="6DE4484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284104"/>
    <w:multiLevelType w:val="hybridMultilevel"/>
    <w:tmpl w:val="F04AC8C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2" w15:restartNumberingAfterBreak="0">
    <w:nsid w:val="5CF020B7"/>
    <w:multiLevelType w:val="hybridMultilevel"/>
    <w:tmpl w:val="845E8F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17479B5"/>
    <w:multiLevelType w:val="hybridMultilevel"/>
    <w:tmpl w:val="AFC6C1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193587F"/>
    <w:multiLevelType w:val="hybridMultilevel"/>
    <w:tmpl w:val="E872FD9E"/>
    <w:lvl w:ilvl="0" w:tplc="222E83A4">
      <w:start w:val="1"/>
      <w:numFmt w:val="decimal"/>
      <w:lvlText w:val="%1)"/>
      <w:lvlJc w:val="left"/>
      <w:pPr>
        <w:ind w:left="1298" w:hanging="360"/>
      </w:pPr>
      <w:rPr>
        <w:rFonts w:ascii="Arial" w:eastAsia="Times New Roman" w:hAnsi="Arial" w:cs="Arial"/>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5"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3075C"/>
    <w:multiLevelType w:val="hybridMultilevel"/>
    <w:tmpl w:val="0F06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C797B"/>
    <w:multiLevelType w:val="hybridMultilevel"/>
    <w:tmpl w:val="6248D1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869952">
    <w:abstractNumId w:val="25"/>
  </w:num>
  <w:num w:numId="2" w16cid:durableId="2009945258">
    <w:abstractNumId w:val="15"/>
  </w:num>
  <w:num w:numId="3" w16cid:durableId="259067035">
    <w:abstractNumId w:val="18"/>
  </w:num>
  <w:num w:numId="4" w16cid:durableId="1047877261">
    <w:abstractNumId w:val="26"/>
  </w:num>
  <w:num w:numId="5" w16cid:durableId="596443714">
    <w:abstractNumId w:val="23"/>
  </w:num>
  <w:num w:numId="6" w16cid:durableId="1501237987">
    <w:abstractNumId w:val="12"/>
  </w:num>
  <w:num w:numId="7" w16cid:durableId="1306160252">
    <w:abstractNumId w:val="24"/>
  </w:num>
  <w:num w:numId="8" w16cid:durableId="305821817">
    <w:abstractNumId w:val="17"/>
  </w:num>
  <w:num w:numId="9" w16cid:durableId="2071027385">
    <w:abstractNumId w:val="14"/>
  </w:num>
  <w:num w:numId="10" w16cid:durableId="1008409287">
    <w:abstractNumId w:val="27"/>
  </w:num>
  <w:num w:numId="11" w16cid:durableId="21367611">
    <w:abstractNumId w:val="3"/>
  </w:num>
  <w:num w:numId="12" w16cid:durableId="820075523">
    <w:abstractNumId w:val="6"/>
  </w:num>
  <w:num w:numId="13" w16cid:durableId="1242640424">
    <w:abstractNumId w:val="11"/>
  </w:num>
  <w:num w:numId="14" w16cid:durableId="1837921142">
    <w:abstractNumId w:val="19"/>
  </w:num>
  <w:num w:numId="15" w16cid:durableId="1990132835">
    <w:abstractNumId w:val="2"/>
  </w:num>
  <w:num w:numId="16" w16cid:durableId="1082606503">
    <w:abstractNumId w:val="9"/>
  </w:num>
  <w:num w:numId="17" w16cid:durableId="1287931480">
    <w:abstractNumId w:val="5"/>
  </w:num>
  <w:num w:numId="18" w16cid:durableId="1878466142">
    <w:abstractNumId w:val="4"/>
  </w:num>
  <w:num w:numId="19" w16cid:durableId="1117523619">
    <w:abstractNumId w:val="16"/>
  </w:num>
  <w:num w:numId="20" w16cid:durableId="833377180">
    <w:abstractNumId w:val="7"/>
  </w:num>
  <w:num w:numId="21" w16cid:durableId="311762350">
    <w:abstractNumId w:val="21"/>
  </w:num>
  <w:num w:numId="22" w16cid:durableId="492796265">
    <w:abstractNumId w:val="10"/>
  </w:num>
  <w:num w:numId="23" w16cid:durableId="1974939598">
    <w:abstractNumId w:val="20"/>
  </w:num>
  <w:num w:numId="24" w16cid:durableId="1224171182">
    <w:abstractNumId w:val="13"/>
  </w:num>
  <w:num w:numId="25" w16cid:durableId="456803555">
    <w:abstractNumId w:val="1"/>
  </w:num>
  <w:num w:numId="26" w16cid:durableId="368071800">
    <w:abstractNumId w:val="22"/>
  </w:num>
  <w:num w:numId="27" w16cid:durableId="2029673432">
    <w:abstractNumId w:val="8"/>
  </w:num>
  <w:num w:numId="28" w16cid:durableId="149429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isplayBackgroundShape/>
  <w:proofState w:spelling="clean" w:grammar="clean"/>
  <w:defaultTabStop w:val="624"/>
  <w:characterSpacingControl w:val="doNotCompress"/>
  <w:hdrShapeDefaults>
    <o:shapedefaults v:ext="edit" spidmax="2050">
      <o:colormru v:ext="edit" colors="#08314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0131"/>
    <w:rsid w:val="00000CE2"/>
    <w:rsid w:val="00000F6A"/>
    <w:rsid w:val="00001AF9"/>
    <w:rsid w:val="00001FED"/>
    <w:rsid w:val="0000394A"/>
    <w:rsid w:val="00004828"/>
    <w:rsid w:val="000049AC"/>
    <w:rsid w:val="000049FC"/>
    <w:rsid w:val="000055F4"/>
    <w:rsid w:val="000062F3"/>
    <w:rsid w:val="0000651A"/>
    <w:rsid w:val="00006834"/>
    <w:rsid w:val="00006A86"/>
    <w:rsid w:val="0000701F"/>
    <w:rsid w:val="00012CB7"/>
    <w:rsid w:val="0001424F"/>
    <w:rsid w:val="000144C3"/>
    <w:rsid w:val="0001452F"/>
    <w:rsid w:val="000147AC"/>
    <w:rsid w:val="00015077"/>
    <w:rsid w:val="00015153"/>
    <w:rsid w:val="00015B51"/>
    <w:rsid w:val="00015CC5"/>
    <w:rsid w:val="000160B8"/>
    <w:rsid w:val="00017199"/>
    <w:rsid w:val="0002034A"/>
    <w:rsid w:val="000221C1"/>
    <w:rsid w:val="000238FF"/>
    <w:rsid w:val="00023CD4"/>
    <w:rsid w:val="00023FAD"/>
    <w:rsid w:val="00024D74"/>
    <w:rsid w:val="000254B8"/>
    <w:rsid w:val="00027B3F"/>
    <w:rsid w:val="000303EB"/>
    <w:rsid w:val="000308F9"/>
    <w:rsid w:val="00030F2E"/>
    <w:rsid w:val="00031824"/>
    <w:rsid w:val="000320F8"/>
    <w:rsid w:val="00032278"/>
    <w:rsid w:val="00032954"/>
    <w:rsid w:val="00033B66"/>
    <w:rsid w:val="000348B2"/>
    <w:rsid w:val="00034BD7"/>
    <w:rsid w:val="00035070"/>
    <w:rsid w:val="000352AA"/>
    <w:rsid w:val="000355AA"/>
    <w:rsid w:val="00035A2F"/>
    <w:rsid w:val="00036D59"/>
    <w:rsid w:val="000371FC"/>
    <w:rsid w:val="000400BC"/>
    <w:rsid w:val="00040AD6"/>
    <w:rsid w:val="000414AB"/>
    <w:rsid w:val="00041922"/>
    <w:rsid w:val="0004293A"/>
    <w:rsid w:val="00043A40"/>
    <w:rsid w:val="00043E1C"/>
    <w:rsid w:val="000448EA"/>
    <w:rsid w:val="00044B16"/>
    <w:rsid w:val="00044B38"/>
    <w:rsid w:val="0004525F"/>
    <w:rsid w:val="00045BE9"/>
    <w:rsid w:val="00045F67"/>
    <w:rsid w:val="0004753C"/>
    <w:rsid w:val="00047663"/>
    <w:rsid w:val="000476AA"/>
    <w:rsid w:val="00050089"/>
    <w:rsid w:val="00050A4C"/>
    <w:rsid w:val="00050A6E"/>
    <w:rsid w:val="00050B5E"/>
    <w:rsid w:val="00050DC6"/>
    <w:rsid w:val="00051274"/>
    <w:rsid w:val="000515DA"/>
    <w:rsid w:val="00052FCE"/>
    <w:rsid w:val="00053256"/>
    <w:rsid w:val="00053CE5"/>
    <w:rsid w:val="00053F5A"/>
    <w:rsid w:val="00055645"/>
    <w:rsid w:val="000561AD"/>
    <w:rsid w:val="000577C3"/>
    <w:rsid w:val="000607E2"/>
    <w:rsid w:val="00061138"/>
    <w:rsid w:val="000613B5"/>
    <w:rsid w:val="00061F08"/>
    <w:rsid w:val="000626C7"/>
    <w:rsid w:val="00062998"/>
    <w:rsid w:val="00063372"/>
    <w:rsid w:val="000638B6"/>
    <w:rsid w:val="00063F7B"/>
    <w:rsid w:val="000640FF"/>
    <w:rsid w:val="000642A9"/>
    <w:rsid w:val="00065378"/>
    <w:rsid w:val="00070157"/>
    <w:rsid w:val="00070F64"/>
    <w:rsid w:val="000714C5"/>
    <w:rsid w:val="0007206D"/>
    <w:rsid w:val="0007288D"/>
    <w:rsid w:val="000736AC"/>
    <w:rsid w:val="000737C2"/>
    <w:rsid w:val="000743C0"/>
    <w:rsid w:val="00074BA7"/>
    <w:rsid w:val="00075430"/>
    <w:rsid w:val="00075505"/>
    <w:rsid w:val="00075E38"/>
    <w:rsid w:val="000802CB"/>
    <w:rsid w:val="00080B19"/>
    <w:rsid w:val="00080D5B"/>
    <w:rsid w:val="000827B9"/>
    <w:rsid w:val="0008295F"/>
    <w:rsid w:val="000839D7"/>
    <w:rsid w:val="00083DCE"/>
    <w:rsid w:val="000847DD"/>
    <w:rsid w:val="0008512B"/>
    <w:rsid w:val="0008583F"/>
    <w:rsid w:val="000873C3"/>
    <w:rsid w:val="00090A8D"/>
    <w:rsid w:val="000910AB"/>
    <w:rsid w:val="00091D8D"/>
    <w:rsid w:val="00092193"/>
    <w:rsid w:val="0009244B"/>
    <w:rsid w:val="00093003"/>
    <w:rsid w:val="00093AA4"/>
    <w:rsid w:val="00094D49"/>
    <w:rsid w:val="00095E4A"/>
    <w:rsid w:val="00096362"/>
    <w:rsid w:val="00097D1D"/>
    <w:rsid w:val="00097EA1"/>
    <w:rsid w:val="000A07DF"/>
    <w:rsid w:val="000A082F"/>
    <w:rsid w:val="000A0932"/>
    <w:rsid w:val="000A0C66"/>
    <w:rsid w:val="000A1492"/>
    <w:rsid w:val="000A2045"/>
    <w:rsid w:val="000A245E"/>
    <w:rsid w:val="000A2933"/>
    <w:rsid w:val="000A2DD2"/>
    <w:rsid w:val="000A3CD7"/>
    <w:rsid w:val="000A4172"/>
    <w:rsid w:val="000A4327"/>
    <w:rsid w:val="000A560E"/>
    <w:rsid w:val="000A7B03"/>
    <w:rsid w:val="000A7D13"/>
    <w:rsid w:val="000B018D"/>
    <w:rsid w:val="000B0A5C"/>
    <w:rsid w:val="000B0DE1"/>
    <w:rsid w:val="000B143D"/>
    <w:rsid w:val="000B1F66"/>
    <w:rsid w:val="000B288F"/>
    <w:rsid w:val="000B2977"/>
    <w:rsid w:val="000B2AA7"/>
    <w:rsid w:val="000B2EA0"/>
    <w:rsid w:val="000B3F87"/>
    <w:rsid w:val="000B4A9C"/>
    <w:rsid w:val="000B4EFC"/>
    <w:rsid w:val="000B5D16"/>
    <w:rsid w:val="000B5D7F"/>
    <w:rsid w:val="000B61CB"/>
    <w:rsid w:val="000B775C"/>
    <w:rsid w:val="000C0578"/>
    <w:rsid w:val="000C094B"/>
    <w:rsid w:val="000C0CEC"/>
    <w:rsid w:val="000C1382"/>
    <w:rsid w:val="000C14C2"/>
    <w:rsid w:val="000C1EB7"/>
    <w:rsid w:val="000C33AD"/>
    <w:rsid w:val="000C3876"/>
    <w:rsid w:val="000C4657"/>
    <w:rsid w:val="000C52E9"/>
    <w:rsid w:val="000C59A2"/>
    <w:rsid w:val="000C6277"/>
    <w:rsid w:val="000C6A5C"/>
    <w:rsid w:val="000D084C"/>
    <w:rsid w:val="000D1102"/>
    <w:rsid w:val="000D1220"/>
    <w:rsid w:val="000D16FF"/>
    <w:rsid w:val="000D435D"/>
    <w:rsid w:val="000D44D6"/>
    <w:rsid w:val="000D5BBD"/>
    <w:rsid w:val="000D5EC8"/>
    <w:rsid w:val="000D66BF"/>
    <w:rsid w:val="000D70A8"/>
    <w:rsid w:val="000D74B4"/>
    <w:rsid w:val="000D775D"/>
    <w:rsid w:val="000E1A59"/>
    <w:rsid w:val="000E1E7A"/>
    <w:rsid w:val="000E2B37"/>
    <w:rsid w:val="000E3EED"/>
    <w:rsid w:val="000E4529"/>
    <w:rsid w:val="000F018C"/>
    <w:rsid w:val="000F161F"/>
    <w:rsid w:val="000F2721"/>
    <w:rsid w:val="000F2CFB"/>
    <w:rsid w:val="000F2ED2"/>
    <w:rsid w:val="000F2F24"/>
    <w:rsid w:val="000F3212"/>
    <w:rsid w:val="000F355A"/>
    <w:rsid w:val="000F38BD"/>
    <w:rsid w:val="000F4384"/>
    <w:rsid w:val="000F5F44"/>
    <w:rsid w:val="000F6808"/>
    <w:rsid w:val="000F6824"/>
    <w:rsid w:val="000F6CD2"/>
    <w:rsid w:val="000F7085"/>
    <w:rsid w:val="00100BDD"/>
    <w:rsid w:val="00101461"/>
    <w:rsid w:val="0010384E"/>
    <w:rsid w:val="00103B14"/>
    <w:rsid w:val="0010484F"/>
    <w:rsid w:val="00104E1E"/>
    <w:rsid w:val="00104FB1"/>
    <w:rsid w:val="00105646"/>
    <w:rsid w:val="00105C10"/>
    <w:rsid w:val="001104FA"/>
    <w:rsid w:val="0011309C"/>
    <w:rsid w:val="001139F7"/>
    <w:rsid w:val="00115AD1"/>
    <w:rsid w:val="00115B18"/>
    <w:rsid w:val="0011686D"/>
    <w:rsid w:val="00116B58"/>
    <w:rsid w:val="00117794"/>
    <w:rsid w:val="00121EF0"/>
    <w:rsid w:val="00122816"/>
    <w:rsid w:val="00122983"/>
    <w:rsid w:val="00122A93"/>
    <w:rsid w:val="00123428"/>
    <w:rsid w:val="0012390C"/>
    <w:rsid w:val="00124A06"/>
    <w:rsid w:val="001263F2"/>
    <w:rsid w:val="001279DA"/>
    <w:rsid w:val="001326C0"/>
    <w:rsid w:val="001331B9"/>
    <w:rsid w:val="001337E8"/>
    <w:rsid w:val="00133F23"/>
    <w:rsid w:val="00134087"/>
    <w:rsid w:val="00134440"/>
    <w:rsid w:val="00134917"/>
    <w:rsid w:val="0013498A"/>
    <w:rsid w:val="0013652F"/>
    <w:rsid w:val="00136891"/>
    <w:rsid w:val="00136B0E"/>
    <w:rsid w:val="00136FDC"/>
    <w:rsid w:val="00137737"/>
    <w:rsid w:val="00137E35"/>
    <w:rsid w:val="00140B2C"/>
    <w:rsid w:val="00141175"/>
    <w:rsid w:val="001411D7"/>
    <w:rsid w:val="00141408"/>
    <w:rsid w:val="00141410"/>
    <w:rsid w:val="001419B2"/>
    <w:rsid w:val="00142ADA"/>
    <w:rsid w:val="00142EDE"/>
    <w:rsid w:val="001430B7"/>
    <w:rsid w:val="001434B6"/>
    <w:rsid w:val="00143D75"/>
    <w:rsid w:val="00143F14"/>
    <w:rsid w:val="00143FE5"/>
    <w:rsid w:val="00145663"/>
    <w:rsid w:val="001463CE"/>
    <w:rsid w:val="001469D1"/>
    <w:rsid w:val="00150057"/>
    <w:rsid w:val="001502CD"/>
    <w:rsid w:val="001507BD"/>
    <w:rsid w:val="00150F21"/>
    <w:rsid w:val="001519D5"/>
    <w:rsid w:val="00152EF3"/>
    <w:rsid w:val="001536AD"/>
    <w:rsid w:val="00154935"/>
    <w:rsid w:val="00155026"/>
    <w:rsid w:val="00155232"/>
    <w:rsid w:val="0015584B"/>
    <w:rsid w:val="0015590E"/>
    <w:rsid w:val="00156653"/>
    <w:rsid w:val="00160053"/>
    <w:rsid w:val="00160603"/>
    <w:rsid w:val="0016076C"/>
    <w:rsid w:val="001610DD"/>
    <w:rsid w:val="00161409"/>
    <w:rsid w:val="001621A1"/>
    <w:rsid w:val="00162EC4"/>
    <w:rsid w:val="001638B1"/>
    <w:rsid w:val="00163CA6"/>
    <w:rsid w:val="00163D5F"/>
    <w:rsid w:val="0016521F"/>
    <w:rsid w:val="00166815"/>
    <w:rsid w:val="00166DD1"/>
    <w:rsid w:val="00167909"/>
    <w:rsid w:val="00167E59"/>
    <w:rsid w:val="00170660"/>
    <w:rsid w:val="001706C3"/>
    <w:rsid w:val="00171B1B"/>
    <w:rsid w:val="00172086"/>
    <w:rsid w:val="00172C84"/>
    <w:rsid w:val="00172CA2"/>
    <w:rsid w:val="00172F9B"/>
    <w:rsid w:val="0017333A"/>
    <w:rsid w:val="00173359"/>
    <w:rsid w:val="00173373"/>
    <w:rsid w:val="00173916"/>
    <w:rsid w:val="00174319"/>
    <w:rsid w:val="001746FB"/>
    <w:rsid w:val="00174D45"/>
    <w:rsid w:val="00175650"/>
    <w:rsid w:val="00175B82"/>
    <w:rsid w:val="001770B2"/>
    <w:rsid w:val="001776A4"/>
    <w:rsid w:val="00180CBD"/>
    <w:rsid w:val="001815DA"/>
    <w:rsid w:val="00181710"/>
    <w:rsid w:val="0018180B"/>
    <w:rsid w:val="001818FE"/>
    <w:rsid w:val="001819B3"/>
    <w:rsid w:val="001832F6"/>
    <w:rsid w:val="001847D7"/>
    <w:rsid w:val="00185111"/>
    <w:rsid w:val="00185282"/>
    <w:rsid w:val="001856F0"/>
    <w:rsid w:val="00185F45"/>
    <w:rsid w:val="00190646"/>
    <w:rsid w:val="00190C80"/>
    <w:rsid w:val="00190F07"/>
    <w:rsid w:val="001913D8"/>
    <w:rsid w:val="0019168D"/>
    <w:rsid w:val="0019200B"/>
    <w:rsid w:val="001931DD"/>
    <w:rsid w:val="00193263"/>
    <w:rsid w:val="0019333E"/>
    <w:rsid w:val="00193852"/>
    <w:rsid w:val="00193C50"/>
    <w:rsid w:val="00194505"/>
    <w:rsid w:val="00194A1E"/>
    <w:rsid w:val="00196A38"/>
    <w:rsid w:val="001977AB"/>
    <w:rsid w:val="001A216D"/>
    <w:rsid w:val="001A2790"/>
    <w:rsid w:val="001A2A16"/>
    <w:rsid w:val="001A362A"/>
    <w:rsid w:val="001A3991"/>
    <w:rsid w:val="001A3BC1"/>
    <w:rsid w:val="001A4B15"/>
    <w:rsid w:val="001A515C"/>
    <w:rsid w:val="001A5DB4"/>
    <w:rsid w:val="001A60C9"/>
    <w:rsid w:val="001A6D6B"/>
    <w:rsid w:val="001A6FDA"/>
    <w:rsid w:val="001A7133"/>
    <w:rsid w:val="001A7332"/>
    <w:rsid w:val="001A7829"/>
    <w:rsid w:val="001B111F"/>
    <w:rsid w:val="001B1A7E"/>
    <w:rsid w:val="001B2AA0"/>
    <w:rsid w:val="001B35E2"/>
    <w:rsid w:val="001B3A36"/>
    <w:rsid w:val="001B5572"/>
    <w:rsid w:val="001B56F9"/>
    <w:rsid w:val="001B7376"/>
    <w:rsid w:val="001B7720"/>
    <w:rsid w:val="001B7860"/>
    <w:rsid w:val="001C0583"/>
    <w:rsid w:val="001C058F"/>
    <w:rsid w:val="001C08E4"/>
    <w:rsid w:val="001C0ADE"/>
    <w:rsid w:val="001C0C4A"/>
    <w:rsid w:val="001C0CBF"/>
    <w:rsid w:val="001C0E0C"/>
    <w:rsid w:val="001C1BD7"/>
    <w:rsid w:val="001C1C26"/>
    <w:rsid w:val="001C20A7"/>
    <w:rsid w:val="001C20C6"/>
    <w:rsid w:val="001C3D29"/>
    <w:rsid w:val="001C4294"/>
    <w:rsid w:val="001C4BC4"/>
    <w:rsid w:val="001C5143"/>
    <w:rsid w:val="001C6E4A"/>
    <w:rsid w:val="001C72FC"/>
    <w:rsid w:val="001D0D73"/>
    <w:rsid w:val="001D1838"/>
    <w:rsid w:val="001D1930"/>
    <w:rsid w:val="001D3B40"/>
    <w:rsid w:val="001D5003"/>
    <w:rsid w:val="001D5A23"/>
    <w:rsid w:val="001D5B47"/>
    <w:rsid w:val="001D5DEF"/>
    <w:rsid w:val="001D6A9F"/>
    <w:rsid w:val="001D6D09"/>
    <w:rsid w:val="001D75DD"/>
    <w:rsid w:val="001E19ED"/>
    <w:rsid w:val="001E1ADA"/>
    <w:rsid w:val="001E215C"/>
    <w:rsid w:val="001E2490"/>
    <w:rsid w:val="001E2D8B"/>
    <w:rsid w:val="001E322D"/>
    <w:rsid w:val="001E4706"/>
    <w:rsid w:val="001E5141"/>
    <w:rsid w:val="001E5890"/>
    <w:rsid w:val="001E7015"/>
    <w:rsid w:val="001E76A5"/>
    <w:rsid w:val="001E79CC"/>
    <w:rsid w:val="001F060E"/>
    <w:rsid w:val="001F08D9"/>
    <w:rsid w:val="001F186A"/>
    <w:rsid w:val="001F1D27"/>
    <w:rsid w:val="001F2891"/>
    <w:rsid w:val="001F2D32"/>
    <w:rsid w:val="001F3221"/>
    <w:rsid w:val="001F4FD6"/>
    <w:rsid w:val="001F51BA"/>
    <w:rsid w:val="001F7309"/>
    <w:rsid w:val="0020214D"/>
    <w:rsid w:val="00202F41"/>
    <w:rsid w:val="0020360B"/>
    <w:rsid w:val="00203A7A"/>
    <w:rsid w:val="00203C25"/>
    <w:rsid w:val="0020467B"/>
    <w:rsid w:val="00204D45"/>
    <w:rsid w:val="0020500C"/>
    <w:rsid w:val="002050C0"/>
    <w:rsid w:val="002050C8"/>
    <w:rsid w:val="00206F25"/>
    <w:rsid w:val="00207916"/>
    <w:rsid w:val="002079E2"/>
    <w:rsid w:val="00207B4C"/>
    <w:rsid w:val="00207D33"/>
    <w:rsid w:val="002100F9"/>
    <w:rsid w:val="002101EE"/>
    <w:rsid w:val="0021046F"/>
    <w:rsid w:val="00210522"/>
    <w:rsid w:val="0021101A"/>
    <w:rsid w:val="00211953"/>
    <w:rsid w:val="00211B06"/>
    <w:rsid w:val="00211D50"/>
    <w:rsid w:val="0021297B"/>
    <w:rsid w:val="00212B4C"/>
    <w:rsid w:val="00212D7B"/>
    <w:rsid w:val="00212DEC"/>
    <w:rsid w:val="00213A20"/>
    <w:rsid w:val="00214240"/>
    <w:rsid w:val="00214A7A"/>
    <w:rsid w:val="00215B35"/>
    <w:rsid w:val="00216D85"/>
    <w:rsid w:val="00220D60"/>
    <w:rsid w:val="002214E4"/>
    <w:rsid w:val="00221897"/>
    <w:rsid w:val="002225DA"/>
    <w:rsid w:val="00223CF8"/>
    <w:rsid w:val="00223D55"/>
    <w:rsid w:val="00223DAF"/>
    <w:rsid w:val="00224926"/>
    <w:rsid w:val="00224A7D"/>
    <w:rsid w:val="00224EDD"/>
    <w:rsid w:val="00225544"/>
    <w:rsid w:val="00225AE4"/>
    <w:rsid w:val="00226825"/>
    <w:rsid w:val="00226DB7"/>
    <w:rsid w:val="0022728C"/>
    <w:rsid w:val="002279B7"/>
    <w:rsid w:val="00230986"/>
    <w:rsid w:val="00230E38"/>
    <w:rsid w:val="00231B08"/>
    <w:rsid w:val="0023276C"/>
    <w:rsid w:val="00232FF8"/>
    <w:rsid w:val="00234838"/>
    <w:rsid w:val="00234D4D"/>
    <w:rsid w:val="002350C0"/>
    <w:rsid w:val="002363CC"/>
    <w:rsid w:val="00236C0C"/>
    <w:rsid w:val="00237018"/>
    <w:rsid w:val="00237518"/>
    <w:rsid w:val="00240B5E"/>
    <w:rsid w:val="00244725"/>
    <w:rsid w:val="002447C0"/>
    <w:rsid w:val="00244E76"/>
    <w:rsid w:val="00244F82"/>
    <w:rsid w:val="00245A4D"/>
    <w:rsid w:val="00246130"/>
    <w:rsid w:val="00246A93"/>
    <w:rsid w:val="00246AE8"/>
    <w:rsid w:val="00246C3D"/>
    <w:rsid w:val="002501A9"/>
    <w:rsid w:val="00250A09"/>
    <w:rsid w:val="00250FDE"/>
    <w:rsid w:val="00251873"/>
    <w:rsid w:val="00251A82"/>
    <w:rsid w:val="00251E7B"/>
    <w:rsid w:val="00253F81"/>
    <w:rsid w:val="002546DB"/>
    <w:rsid w:val="00254CA4"/>
    <w:rsid w:val="002562AE"/>
    <w:rsid w:val="00256A1C"/>
    <w:rsid w:val="00256B6A"/>
    <w:rsid w:val="00257180"/>
    <w:rsid w:val="002571D3"/>
    <w:rsid w:val="00257415"/>
    <w:rsid w:val="0025770C"/>
    <w:rsid w:val="00257B86"/>
    <w:rsid w:val="00257DDD"/>
    <w:rsid w:val="00260372"/>
    <w:rsid w:val="00260A30"/>
    <w:rsid w:val="00261A40"/>
    <w:rsid w:val="0026201A"/>
    <w:rsid w:val="00262CBA"/>
    <w:rsid w:val="0026398B"/>
    <w:rsid w:val="002643F7"/>
    <w:rsid w:val="002645D6"/>
    <w:rsid w:val="00264DB1"/>
    <w:rsid w:val="00265437"/>
    <w:rsid w:val="00265612"/>
    <w:rsid w:val="00265DFE"/>
    <w:rsid w:val="00266A93"/>
    <w:rsid w:val="00270BD6"/>
    <w:rsid w:val="00270D32"/>
    <w:rsid w:val="00271395"/>
    <w:rsid w:val="002719B9"/>
    <w:rsid w:val="00272352"/>
    <w:rsid w:val="00272420"/>
    <w:rsid w:val="002759DF"/>
    <w:rsid w:val="00276644"/>
    <w:rsid w:val="002768A9"/>
    <w:rsid w:val="00277179"/>
    <w:rsid w:val="0027750A"/>
    <w:rsid w:val="00277898"/>
    <w:rsid w:val="0028189A"/>
    <w:rsid w:val="00283009"/>
    <w:rsid w:val="00283478"/>
    <w:rsid w:val="002842CA"/>
    <w:rsid w:val="00284C57"/>
    <w:rsid w:val="002860A9"/>
    <w:rsid w:val="002864C5"/>
    <w:rsid w:val="0028695C"/>
    <w:rsid w:val="00286AA7"/>
    <w:rsid w:val="0029091B"/>
    <w:rsid w:val="00291263"/>
    <w:rsid w:val="00293071"/>
    <w:rsid w:val="0029355A"/>
    <w:rsid w:val="00293791"/>
    <w:rsid w:val="0029425D"/>
    <w:rsid w:val="00296016"/>
    <w:rsid w:val="00296F26"/>
    <w:rsid w:val="002977AD"/>
    <w:rsid w:val="0029787E"/>
    <w:rsid w:val="00297B46"/>
    <w:rsid w:val="002A03CB"/>
    <w:rsid w:val="002A0478"/>
    <w:rsid w:val="002A068F"/>
    <w:rsid w:val="002A0785"/>
    <w:rsid w:val="002A08A6"/>
    <w:rsid w:val="002A0933"/>
    <w:rsid w:val="002A11E6"/>
    <w:rsid w:val="002A1610"/>
    <w:rsid w:val="002A1695"/>
    <w:rsid w:val="002A2F04"/>
    <w:rsid w:val="002A39D0"/>
    <w:rsid w:val="002A3A6F"/>
    <w:rsid w:val="002A3C07"/>
    <w:rsid w:val="002A48A0"/>
    <w:rsid w:val="002A5712"/>
    <w:rsid w:val="002A57DE"/>
    <w:rsid w:val="002A59FC"/>
    <w:rsid w:val="002A7024"/>
    <w:rsid w:val="002A75D5"/>
    <w:rsid w:val="002A797A"/>
    <w:rsid w:val="002B19B8"/>
    <w:rsid w:val="002B34B2"/>
    <w:rsid w:val="002B3C42"/>
    <w:rsid w:val="002B4771"/>
    <w:rsid w:val="002B4BAB"/>
    <w:rsid w:val="002B60BA"/>
    <w:rsid w:val="002B65C8"/>
    <w:rsid w:val="002B6606"/>
    <w:rsid w:val="002B74A9"/>
    <w:rsid w:val="002B7684"/>
    <w:rsid w:val="002B77E0"/>
    <w:rsid w:val="002B78B3"/>
    <w:rsid w:val="002C1CE6"/>
    <w:rsid w:val="002C39CC"/>
    <w:rsid w:val="002C3AF7"/>
    <w:rsid w:val="002C3CB9"/>
    <w:rsid w:val="002C3E35"/>
    <w:rsid w:val="002C4464"/>
    <w:rsid w:val="002C54D9"/>
    <w:rsid w:val="002C56CC"/>
    <w:rsid w:val="002C59A6"/>
    <w:rsid w:val="002C68DF"/>
    <w:rsid w:val="002D0ED2"/>
    <w:rsid w:val="002D1BF1"/>
    <w:rsid w:val="002D1F95"/>
    <w:rsid w:val="002D3434"/>
    <w:rsid w:val="002D3452"/>
    <w:rsid w:val="002D35CB"/>
    <w:rsid w:val="002D3D45"/>
    <w:rsid w:val="002D43AC"/>
    <w:rsid w:val="002D44B9"/>
    <w:rsid w:val="002D4E05"/>
    <w:rsid w:val="002D565F"/>
    <w:rsid w:val="002D58A5"/>
    <w:rsid w:val="002D5D22"/>
    <w:rsid w:val="002D5EF5"/>
    <w:rsid w:val="002D68EF"/>
    <w:rsid w:val="002D6930"/>
    <w:rsid w:val="002D7803"/>
    <w:rsid w:val="002D78A4"/>
    <w:rsid w:val="002D78B8"/>
    <w:rsid w:val="002E0EF1"/>
    <w:rsid w:val="002E1994"/>
    <w:rsid w:val="002E21E4"/>
    <w:rsid w:val="002E388F"/>
    <w:rsid w:val="002E3E9E"/>
    <w:rsid w:val="002E670A"/>
    <w:rsid w:val="002E6E91"/>
    <w:rsid w:val="002F083E"/>
    <w:rsid w:val="002F0E8D"/>
    <w:rsid w:val="002F1083"/>
    <w:rsid w:val="002F13C4"/>
    <w:rsid w:val="002F1B65"/>
    <w:rsid w:val="002F1CE0"/>
    <w:rsid w:val="002F2A47"/>
    <w:rsid w:val="002F34D1"/>
    <w:rsid w:val="002F4AAC"/>
    <w:rsid w:val="002F6020"/>
    <w:rsid w:val="002F706C"/>
    <w:rsid w:val="002F7DDA"/>
    <w:rsid w:val="00301B3C"/>
    <w:rsid w:val="00302411"/>
    <w:rsid w:val="003039DC"/>
    <w:rsid w:val="00303EFD"/>
    <w:rsid w:val="00304B3F"/>
    <w:rsid w:val="003069F6"/>
    <w:rsid w:val="00310AEA"/>
    <w:rsid w:val="00310E5D"/>
    <w:rsid w:val="00310EE7"/>
    <w:rsid w:val="0031197D"/>
    <w:rsid w:val="00313E12"/>
    <w:rsid w:val="00314205"/>
    <w:rsid w:val="003144FB"/>
    <w:rsid w:val="00314F71"/>
    <w:rsid w:val="0031513F"/>
    <w:rsid w:val="00317ABB"/>
    <w:rsid w:val="0032005D"/>
    <w:rsid w:val="0032065B"/>
    <w:rsid w:val="003216DC"/>
    <w:rsid w:val="00321897"/>
    <w:rsid w:val="00322145"/>
    <w:rsid w:val="00322430"/>
    <w:rsid w:val="00322540"/>
    <w:rsid w:val="0032259A"/>
    <w:rsid w:val="0032288D"/>
    <w:rsid w:val="00323573"/>
    <w:rsid w:val="003238F6"/>
    <w:rsid w:val="0032561C"/>
    <w:rsid w:val="00325A79"/>
    <w:rsid w:val="00325E9A"/>
    <w:rsid w:val="0032650F"/>
    <w:rsid w:val="0032695E"/>
    <w:rsid w:val="00326B4D"/>
    <w:rsid w:val="00326B83"/>
    <w:rsid w:val="00330307"/>
    <w:rsid w:val="003303C0"/>
    <w:rsid w:val="00330DE9"/>
    <w:rsid w:val="00330DF0"/>
    <w:rsid w:val="003314FA"/>
    <w:rsid w:val="003319F4"/>
    <w:rsid w:val="00333122"/>
    <w:rsid w:val="00333765"/>
    <w:rsid w:val="00333BC3"/>
    <w:rsid w:val="003348C7"/>
    <w:rsid w:val="00335B7B"/>
    <w:rsid w:val="00335E30"/>
    <w:rsid w:val="00336EBF"/>
    <w:rsid w:val="00337DF1"/>
    <w:rsid w:val="0034007F"/>
    <w:rsid w:val="003401FF"/>
    <w:rsid w:val="003403C8"/>
    <w:rsid w:val="00340549"/>
    <w:rsid w:val="00342256"/>
    <w:rsid w:val="00342602"/>
    <w:rsid w:val="0034299F"/>
    <w:rsid w:val="0034358D"/>
    <w:rsid w:val="00343680"/>
    <w:rsid w:val="00344523"/>
    <w:rsid w:val="00344836"/>
    <w:rsid w:val="003455C0"/>
    <w:rsid w:val="0034592C"/>
    <w:rsid w:val="00345D14"/>
    <w:rsid w:val="00346161"/>
    <w:rsid w:val="00346197"/>
    <w:rsid w:val="00347A4F"/>
    <w:rsid w:val="00352148"/>
    <w:rsid w:val="00352B77"/>
    <w:rsid w:val="003534BB"/>
    <w:rsid w:val="00353BE1"/>
    <w:rsid w:val="00354220"/>
    <w:rsid w:val="0035455E"/>
    <w:rsid w:val="003561FB"/>
    <w:rsid w:val="00356306"/>
    <w:rsid w:val="0035636E"/>
    <w:rsid w:val="00356A0A"/>
    <w:rsid w:val="00356CB5"/>
    <w:rsid w:val="00360FDA"/>
    <w:rsid w:val="0036124F"/>
    <w:rsid w:val="0036208E"/>
    <w:rsid w:val="0036243B"/>
    <w:rsid w:val="0036291E"/>
    <w:rsid w:val="00362AE7"/>
    <w:rsid w:val="00362C05"/>
    <w:rsid w:val="003631C4"/>
    <w:rsid w:val="00363C0A"/>
    <w:rsid w:val="00363F57"/>
    <w:rsid w:val="003643B3"/>
    <w:rsid w:val="003645AD"/>
    <w:rsid w:val="00364F0F"/>
    <w:rsid w:val="0036599E"/>
    <w:rsid w:val="00365D6A"/>
    <w:rsid w:val="00365DA8"/>
    <w:rsid w:val="003666A1"/>
    <w:rsid w:val="00366F1B"/>
    <w:rsid w:val="003670F4"/>
    <w:rsid w:val="0036781D"/>
    <w:rsid w:val="00370C30"/>
    <w:rsid w:val="00371A3F"/>
    <w:rsid w:val="00371C0B"/>
    <w:rsid w:val="003727CA"/>
    <w:rsid w:val="00372C4C"/>
    <w:rsid w:val="00372F2E"/>
    <w:rsid w:val="0037419D"/>
    <w:rsid w:val="003741A9"/>
    <w:rsid w:val="00375249"/>
    <w:rsid w:val="0037699A"/>
    <w:rsid w:val="00380115"/>
    <w:rsid w:val="003801A6"/>
    <w:rsid w:val="0038046A"/>
    <w:rsid w:val="00381F0D"/>
    <w:rsid w:val="003824CE"/>
    <w:rsid w:val="00382748"/>
    <w:rsid w:val="00383094"/>
    <w:rsid w:val="003830F4"/>
    <w:rsid w:val="00384239"/>
    <w:rsid w:val="00384F3A"/>
    <w:rsid w:val="003851DB"/>
    <w:rsid w:val="00385FF4"/>
    <w:rsid w:val="0038686A"/>
    <w:rsid w:val="00386F7A"/>
    <w:rsid w:val="00387BBE"/>
    <w:rsid w:val="003913A9"/>
    <w:rsid w:val="003922D7"/>
    <w:rsid w:val="0039274C"/>
    <w:rsid w:val="00392DB2"/>
    <w:rsid w:val="00393656"/>
    <w:rsid w:val="00393C26"/>
    <w:rsid w:val="00393F35"/>
    <w:rsid w:val="00395844"/>
    <w:rsid w:val="00395979"/>
    <w:rsid w:val="00395994"/>
    <w:rsid w:val="003959BE"/>
    <w:rsid w:val="00395E4A"/>
    <w:rsid w:val="00397619"/>
    <w:rsid w:val="003A0733"/>
    <w:rsid w:val="003A199D"/>
    <w:rsid w:val="003A21C4"/>
    <w:rsid w:val="003A27FE"/>
    <w:rsid w:val="003A2BF0"/>
    <w:rsid w:val="003A2DB1"/>
    <w:rsid w:val="003A33A1"/>
    <w:rsid w:val="003A377E"/>
    <w:rsid w:val="003A3AD9"/>
    <w:rsid w:val="003A3B55"/>
    <w:rsid w:val="003A4274"/>
    <w:rsid w:val="003A4357"/>
    <w:rsid w:val="003A4ADE"/>
    <w:rsid w:val="003A4FAA"/>
    <w:rsid w:val="003A4FB6"/>
    <w:rsid w:val="003A5CB5"/>
    <w:rsid w:val="003A64DA"/>
    <w:rsid w:val="003A6FD7"/>
    <w:rsid w:val="003A7802"/>
    <w:rsid w:val="003A7BCB"/>
    <w:rsid w:val="003A7F00"/>
    <w:rsid w:val="003B1039"/>
    <w:rsid w:val="003B1176"/>
    <w:rsid w:val="003B15A5"/>
    <w:rsid w:val="003B2C62"/>
    <w:rsid w:val="003B2EB2"/>
    <w:rsid w:val="003B33A6"/>
    <w:rsid w:val="003B48EA"/>
    <w:rsid w:val="003B5D8C"/>
    <w:rsid w:val="003B654C"/>
    <w:rsid w:val="003B67BC"/>
    <w:rsid w:val="003B6C7B"/>
    <w:rsid w:val="003B6E48"/>
    <w:rsid w:val="003B776E"/>
    <w:rsid w:val="003B7BEA"/>
    <w:rsid w:val="003C081C"/>
    <w:rsid w:val="003C0FEB"/>
    <w:rsid w:val="003C15B8"/>
    <w:rsid w:val="003C15B9"/>
    <w:rsid w:val="003C16F8"/>
    <w:rsid w:val="003C2201"/>
    <w:rsid w:val="003C257B"/>
    <w:rsid w:val="003C3C10"/>
    <w:rsid w:val="003C3CB7"/>
    <w:rsid w:val="003C4BD9"/>
    <w:rsid w:val="003C51DF"/>
    <w:rsid w:val="003C53F0"/>
    <w:rsid w:val="003C54C6"/>
    <w:rsid w:val="003C642E"/>
    <w:rsid w:val="003C6451"/>
    <w:rsid w:val="003C6A4B"/>
    <w:rsid w:val="003C6CDB"/>
    <w:rsid w:val="003C746D"/>
    <w:rsid w:val="003C78E6"/>
    <w:rsid w:val="003C795E"/>
    <w:rsid w:val="003C7C17"/>
    <w:rsid w:val="003D0BCA"/>
    <w:rsid w:val="003D162F"/>
    <w:rsid w:val="003D1771"/>
    <w:rsid w:val="003D179A"/>
    <w:rsid w:val="003D19FF"/>
    <w:rsid w:val="003D1B4E"/>
    <w:rsid w:val="003D2611"/>
    <w:rsid w:val="003D26AD"/>
    <w:rsid w:val="003D30AD"/>
    <w:rsid w:val="003D499E"/>
    <w:rsid w:val="003D4BAA"/>
    <w:rsid w:val="003D59C6"/>
    <w:rsid w:val="003D5B7C"/>
    <w:rsid w:val="003D5FEA"/>
    <w:rsid w:val="003D6B13"/>
    <w:rsid w:val="003D7448"/>
    <w:rsid w:val="003E0303"/>
    <w:rsid w:val="003E1047"/>
    <w:rsid w:val="003E15C6"/>
    <w:rsid w:val="003E30E5"/>
    <w:rsid w:val="003E3B33"/>
    <w:rsid w:val="003E4073"/>
    <w:rsid w:val="003E5CF3"/>
    <w:rsid w:val="003E7C08"/>
    <w:rsid w:val="003F08CE"/>
    <w:rsid w:val="003F10E2"/>
    <w:rsid w:val="003F1A48"/>
    <w:rsid w:val="003F242F"/>
    <w:rsid w:val="003F27CE"/>
    <w:rsid w:val="003F2953"/>
    <w:rsid w:val="003F3834"/>
    <w:rsid w:val="003F3D1B"/>
    <w:rsid w:val="003F4702"/>
    <w:rsid w:val="003F58E2"/>
    <w:rsid w:val="003F7459"/>
    <w:rsid w:val="003F76EE"/>
    <w:rsid w:val="004001A2"/>
    <w:rsid w:val="00403539"/>
    <w:rsid w:val="00404F3A"/>
    <w:rsid w:val="00404F5E"/>
    <w:rsid w:val="0040633D"/>
    <w:rsid w:val="004063D1"/>
    <w:rsid w:val="00406595"/>
    <w:rsid w:val="00411567"/>
    <w:rsid w:val="0041236A"/>
    <w:rsid w:val="004135DE"/>
    <w:rsid w:val="00413F1E"/>
    <w:rsid w:val="00414248"/>
    <w:rsid w:val="004145B5"/>
    <w:rsid w:val="004150B2"/>
    <w:rsid w:val="004157A7"/>
    <w:rsid w:val="00415D14"/>
    <w:rsid w:val="0041620B"/>
    <w:rsid w:val="00416897"/>
    <w:rsid w:val="004168A6"/>
    <w:rsid w:val="0041768A"/>
    <w:rsid w:val="00417EC7"/>
    <w:rsid w:val="00420556"/>
    <w:rsid w:val="0042073F"/>
    <w:rsid w:val="00421BF0"/>
    <w:rsid w:val="00421E66"/>
    <w:rsid w:val="00422342"/>
    <w:rsid w:val="00422844"/>
    <w:rsid w:val="00423751"/>
    <w:rsid w:val="00424183"/>
    <w:rsid w:val="004243A4"/>
    <w:rsid w:val="00424534"/>
    <w:rsid w:val="004259CF"/>
    <w:rsid w:val="00425D1F"/>
    <w:rsid w:val="004260CC"/>
    <w:rsid w:val="00426174"/>
    <w:rsid w:val="00426264"/>
    <w:rsid w:val="00426CBC"/>
    <w:rsid w:val="004271D3"/>
    <w:rsid w:val="004272D8"/>
    <w:rsid w:val="0042765D"/>
    <w:rsid w:val="004304A4"/>
    <w:rsid w:val="0043051D"/>
    <w:rsid w:val="00430A3F"/>
    <w:rsid w:val="00430E04"/>
    <w:rsid w:val="004310FF"/>
    <w:rsid w:val="004329C1"/>
    <w:rsid w:val="0043375A"/>
    <w:rsid w:val="004344AE"/>
    <w:rsid w:val="00434947"/>
    <w:rsid w:val="00435CA2"/>
    <w:rsid w:val="0043615D"/>
    <w:rsid w:val="004363DD"/>
    <w:rsid w:val="00436EE1"/>
    <w:rsid w:val="00436EFA"/>
    <w:rsid w:val="0044016B"/>
    <w:rsid w:val="0044073F"/>
    <w:rsid w:val="00440849"/>
    <w:rsid w:val="004418F5"/>
    <w:rsid w:val="00441BB2"/>
    <w:rsid w:val="00442726"/>
    <w:rsid w:val="00442CEB"/>
    <w:rsid w:val="004433C0"/>
    <w:rsid w:val="004435E3"/>
    <w:rsid w:val="004438A1"/>
    <w:rsid w:val="004439AD"/>
    <w:rsid w:val="00445E50"/>
    <w:rsid w:val="00446632"/>
    <w:rsid w:val="004471C3"/>
    <w:rsid w:val="004521D2"/>
    <w:rsid w:val="00454104"/>
    <w:rsid w:val="004561F4"/>
    <w:rsid w:val="004566A4"/>
    <w:rsid w:val="00456CFF"/>
    <w:rsid w:val="00456DC6"/>
    <w:rsid w:val="004607D3"/>
    <w:rsid w:val="00460E12"/>
    <w:rsid w:val="004615C2"/>
    <w:rsid w:val="00461D45"/>
    <w:rsid w:val="00462139"/>
    <w:rsid w:val="00462640"/>
    <w:rsid w:val="00462CD2"/>
    <w:rsid w:val="0046421B"/>
    <w:rsid w:val="00464507"/>
    <w:rsid w:val="0046457E"/>
    <w:rsid w:val="00465ACB"/>
    <w:rsid w:val="0046694E"/>
    <w:rsid w:val="00467003"/>
    <w:rsid w:val="00467229"/>
    <w:rsid w:val="00467E8D"/>
    <w:rsid w:val="00470642"/>
    <w:rsid w:val="004708AE"/>
    <w:rsid w:val="00471704"/>
    <w:rsid w:val="00471B0C"/>
    <w:rsid w:val="00472EDE"/>
    <w:rsid w:val="00473454"/>
    <w:rsid w:val="00474A85"/>
    <w:rsid w:val="00475221"/>
    <w:rsid w:val="0047588B"/>
    <w:rsid w:val="00476C5A"/>
    <w:rsid w:val="00480197"/>
    <w:rsid w:val="00480B99"/>
    <w:rsid w:val="00481250"/>
    <w:rsid w:val="00481D4A"/>
    <w:rsid w:val="00482350"/>
    <w:rsid w:val="00483D2F"/>
    <w:rsid w:val="004841F4"/>
    <w:rsid w:val="004843EF"/>
    <w:rsid w:val="00485551"/>
    <w:rsid w:val="004862CE"/>
    <w:rsid w:val="004865A0"/>
    <w:rsid w:val="00486738"/>
    <w:rsid w:val="00486DD8"/>
    <w:rsid w:val="00487204"/>
    <w:rsid w:val="00487A04"/>
    <w:rsid w:val="004901C8"/>
    <w:rsid w:val="00491904"/>
    <w:rsid w:val="004921E8"/>
    <w:rsid w:val="00495087"/>
    <w:rsid w:val="00495114"/>
    <w:rsid w:val="004951CF"/>
    <w:rsid w:val="00495CB0"/>
    <w:rsid w:val="0049781E"/>
    <w:rsid w:val="004978A2"/>
    <w:rsid w:val="004A0013"/>
    <w:rsid w:val="004A007D"/>
    <w:rsid w:val="004A0BCD"/>
    <w:rsid w:val="004A0C88"/>
    <w:rsid w:val="004A0CFF"/>
    <w:rsid w:val="004A0E79"/>
    <w:rsid w:val="004A4582"/>
    <w:rsid w:val="004A56AB"/>
    <w:rsid w:val="004A5D6E"/>
    <w:rsid w:val="004A5D95"/>
    <w:rsid w:val="004A600F"/>
    <w:rsid w:val="004A6A48"/>
    <w:rsid w:val="004A6D8C"/>
    <w:rsid w:val="004A6DB9"/>
    <w:rsid w:val="004A6E4E"/>
    <w:rsid w:val="004A7568"/>
    <w:rsid w:val="004A760D"/>
    <w:rsid w:val="004A773D"/>
    <w:rsid w:val="004B00F0"/>
    <w:rsid w:val="004B0138"/>
    <w:rsid w:val="004B19EE"/>
    <w:rsid w:val="004B2754"/>
    <w:rsid w:val="004B33D5"/>
    <w:rsid w:val="004B34F6"/>
    <w:rsid w:val="004B37B2"/>
    <w:rsid w:val="004B3CEF"/>
    <w:rsid w:val="004B452D"/>
    <w:rsid w:val="004B556D"/>
    <w:rsid w:val="004B5D76"/>
    <w:rsid w:val="004B75E3"/>
    <w:rsid w:val="004C0D14"/>
    <w:rsid w:val="004C1275"/>
    <w:rsid w:val="004C239F"/>
    <w:rsid w:val="004C3D12"/>
    <w:rsid w:val="004C3F6B"/>
    <w:rsid w:val="004C463F"/>
    <w:rsid w:val="004C6410"/>
    <w:rsid w:val="004C780F"/>
    <w:rsid w:val="004C7843"/>
    <w:rsid w:val="004C7C6A"/>
    <w:rsid w:val="004C7F52"/>
    <w:rsid w:val="004D299B"/>
    <w:rsid w:val="004D5499"/>
    <w:rsid w:val="004D6483"/>
    <w:rsid w:val="004D75F2"/>
    <w:rsid w:val="004D791B"/>
    <w:rsid w:val="004E0F5D"/>
    <w:rsid w:val="004E1458"/>
    <w:rsid w:val="004E15D0"/>
    <w:rsid w:val="004E2510"/>
    <w:rsid w:val="004E2BEB"/>
    <w:rsid w:val="004E344D"/>
    <w:rsid w:val="004E3F17"/>
    <w:rsid w:val="004E52F6"/>
    <w:rsid w:val="004E5433"/>
    <w:rsid w:val="004E7614"/>
    <w:rsid w:val="004E7BB2"/>
    <w:rsid w:val="004E7F98"/>
    <w:rsid w:val="004F060B"/>
    <w:rsid w:val="004F132C"/>
    <w:rsid w:val="004F2898"/>
    <w:rsid w:val="004F35A7"/>
    <w:rsid w:val="004F4931"/>
    <w:rsid w:val="004F4CC7"/>
    <w:rsid w:val="004F4CFF"/>
    <w:rsid w:val="004F6403"/>
    <w:rsid w:val="004F7598"/>
    <w:rsid w:val="005000AC"/>
    <w:rsid w:val="00500309"/>
    <w:rsid w:val="00500E14"/>
    <w:rsid w:val="005019F1"/>
    <w:rsid w:val="005026B9"/>
    <w:rsid w:val="00502C00"/>
    <w:rsid w:val="00503CE4"/>
    <w:rsid w:val="00503D3A"/>
    <w:rsid w:val="005040DF"/>
    <w:rsid w:val="00504B9A"/>
    <w:rsid w:val="00504E83"/>
    <w:rsid w:val="00506334"/>
    <w:rsid w:val="00506762"/>
    <w:rsid w:val="00506ABC"/>
    <w:rsid w:val="00506DBB"/>
    <w:rsid w:val="00506F74"/>
    <w:rsid w:val="00506F7A"/>
    <w:rsid w:val="005070D5"/>
    <w:rsid w:val="0050780C"/>
    <w:rsid w:val="005079C7"/>
    <w:rsid w:val="00507AE4"/>
    <w:rsid w:val="00510669"/>
    <w:rsid w:val="005118A3"/>
    <w:rsid w:val="00512146"/>
    <w:rsid w:val="00513BCC"/>
    <w:rsid w:val="00513D89"/>
    <w:rsid w:val="00513E0B"/>
    <w:rsid w:val="00514946"/>
    <w:rsid w:val="0051579E"/>
    <w:rsid w:val="005158EA"/>
    <w:rsid w:val="00516559"/>
    <w:rsid w:val="00517E09"/>
    <w:rsid w:val="005216A6"/>
    <w:rsid w:val="005216AA"/>
    <w:rsid w:val="00521AF6"/>
    <w:rsid w:val="00521E39"/>
    <w:rsid w:val="0052262C"/>
    <w:rsid w:val="00522C12"/>
    <w:rsid w:val="0052475F"/>
    <w:rsid w:val="005253B6"/>
    <w:rsid w:val="00525542"/>
    <w:rsid w:val="0052650B"/>
    <w:rsid w:val="005277C4"/>
    <w:rsid w:val="00527F3A"/>
    <w:rsid w:val="00530F12"/>
    <w:rsid w:val="005316B9"/>
    <w:rsid w:val="00532226"/>
    <w:rsid w:val="00532671"/>
    <w:rsid w:val="00532E86"/>
    <w:rsid w:val="00533C78"/>
    <w:rsid w:val="00534333"/>
    <w:rsid w:val="0053520B"/>
    <w:rsid w:val="00535CE8"/>
    <w:rsid w:val="00536017"/>
    <w:rsid w:val="00536360"/>
    <w:rsid w:val="00536EF8"/>
    <w:rsid w:val="00536FAD"/>
    <w:rsid w:val="0053709D"/>
    <w:rsid w:val="005373C7"/>
    <w:rsid w:val="00537564"/>
    <w:rsid w:val="0054314C"/>
    <w:rsid w:val="00543C57"/>
    <w:rsid w:val="005446A6"/>
    <w:rsid w:val="00545221"/>
    <w:rsid w:val="00546F4B"/>
    <w:rsid w:val="0054710E"/>
    <w:rsid w:val="00547CD8"/>
    <w:rsid w:val="00547E5C"/>
    <w:rsid w:val="00550B69"/>
    <w:rsid w:val="00551237"/>
    <w:rsid w:val="00551916"/>
    <w:rsid w:val="0055226D"/>
    <w:rsid w:val="00552433"/>
    <w:rsid w:val="00552D9C"/>
    <w:rsid w:val="00552E9D"/>
    <w:rsid w:val="005537C3"/>
    <w:rsid w:val="005541F0"/>
    <w:rsid w:val="0055514E"/>
    <w:rsid w:val="0055563D"/>
    <w:rsid w:val="00555930"/>
    <w:rsid w:val="00555A54"/>
    <w:rsid w:val="0055623C"/>
    <w:rsid w:val="00556542"/>
    <w:rsid w:val="00557755"/>
    <w:rsid w:val="00557866"/>
    <w:rsid w:val="00557D31"/>
    <w:rsid w:val="005601CC"/>
    <w:rsid w:val="005609A6"/>
    <w:rsid w:val="005609F0"/>
    <w:rsid w:val="00561060"/>
    <w:rsid w:val="00563692"/>
    <w:rsid w:val="0056488D"/>
    <w:rsid w:val="00565E8E"/>
    <w:rsid w:val="0056603D"/>
    <w:rsid w:val="00566B52"/>
    <w:rsid w:val="005678F1"/>
    <w:rsid w:val="00567A20"/>
    <w:rsid w:val="00567B2E"/>
    <w:rsid w:val="00570B8D"/>
    <w:rsid w:val="00570CD7"/>
    <w:rsid w:val="005716B6"/>
    <w:rsid w:val="00571BD5"/>
    <w:rsid w:val="005726F5"/>
    <w:rsid w:val="00573F0D"/>
    <w:rsid w:val="00574554"/>
    <w:rsid w:val="00575983"/>
    <w:rsid w:val="00575B19"/>
    <w:rsid w:val="00576A38"/>
    <w:rsid w:val="00577D52"/>
    <w:rsid w:val="005804DD"/>
    <w:rsid w:val="0058118D"/>
    <w:rsid w:val="00581A2C"/>
    <w:rsid w:val="00582A7A"/>
    <w:rsid w:val="005830B0"/>
    <w:rsid w:val="005837F2"/>
    <w:rsid w:val="00583F0F"/>
    <w:rsid w:val="00584BE1"/>
    <w:rsid w:val="00584E65"/>
    <w:rsid w:val="005851CD"/>
    <w:rsid w:val="00585575"/>
    <w:rsid w:val="0058618C"/>
    <w:rsid w:val="005861E0"/>
    <w:rsid w:val="00586941"/>
    <w:rsid w:val="0059057A"/>
    <w:rsid w:val="00590D64"/>
    <w:rsid w:val="00593495"/>
    <w:rsid w:val="00593F6C"/>
    <w:rsid w:val="0059426E"/>
    <w:rsid w:val="0059522C"/>
    <w:rsid w:val="005966E1"/>
    <w:rsid w:val="005967F2"/>
    <w:rsid w:val="00596BDB"/>
    <w:rsid w:val="00596FB0"/>
    <w:rsid w:val="005976BC"/>
    <w:rsid w:val="005A0F75"/>
    <w:rsid w:val="005A13FB"/>
    <w:rsid w:val="005A2318"/>
    <w:rsid w:val="005A330C"/>
    <w:rsid w:val="005A3385"/>
    <w:rsid w:val="005A5353"/>
    <w:rsid w:val="005A561B"/>
    <w:rsid w:val="005A7D2B"/>
    <w:rsid w:val="005A7D90"/>
    <w:rsid w:val="005B00EA"/>
    <w:rsid w:val="005B094C"/>
    <w:rsid w:val="005B0AAA"/>
    <w:rsid w:val="005B0EB4"/>
    <w:rsid w:val="005B0EEF"/>
    <w:rsid w:val="005B14A9"/>
    <w:rsid w:val="005B181F"/>
    <w:rsid w:val="005B2493"/>
    <w:rsid w:val="005B2B36"/>
    <w:rsid w:val="005B3089"/>
    <w:rsid w:val="005B3B38"/>
    <w:rsid w:val="005B61CE"/>
    <w:rsid w:val="005B6FE3"/>
    <w:rsid w:val="005C09E0"/>
    <w:rsid w:val="005C1F36"/>
    <w:rsid w:val="005C2D4E"/>
    <w:rsid w:val="005C3235"/>
    <w:rsid w:val="005C3717"/>
    <w:rsid w:val="005C3B16"/>
    <w:rsid w:val="005C3F5D"/>
    <w:rsid w:val="005C4A6B"/>
    <w:rsid w:val="005C4DA7"/>
    <w:rsid w:val="005C532C"/>
    <w:rsid w:val="005C7439"/>
    <w:rsid w:val="005C7D7D"/>
    <w:rsid w:val="005C7F35"/>
    <w:rsid w:val="005D07D9"/>
    <w:rsid w:val="005D08A1"/>
    <w:rsid w:val="005D1444"/>
    <w:rsid w:val="005D1C5B"/>
    <w:rsid w:val="005D1FD0"/>
    <w:rsid w:val="005D2010"/>
    <w:rsid w:val="005D2B7B"/>
    <w:rsid w:val="005D2CC5"/>
    <w:rsid w:val="005D3701"/>
    <w:rsid w:val="005D574C"/>
    <w:rsid w:val="005D5A12"/>
    <w:rsid w:val="005D5A5F"/>
    <w:rsid w:val="005D7BDC"/>
    <w:rsid w:val="005E07AF"/>
    <w:rsid w:val="005E2578"/>
    <w:rsid w:val="005E2778"/>
    <w:rsid w:val="005E2D48"/>
    <w:rsid w:val="005E3404"/>
    <w:rsid w:val="005E3C76"/>
    <w:rsid w:val="005E4D4A"/>
    <w:rsid w:val="005E5CDD"/>
    <w:rsid w:val="005E6440"/>
    <w:rsid w:val="005E6647"/>
    <w:rsid w:val="005E7830"/>
    <w:rsid w:val="005F06FC"/>
    <w:rsid w:val="005F22D8"/>
    <w:rsid w:val="005F2C0D"/>
    <w:rsid w:val="005F2E4D"/>
    <w:rsid w:val="005F3FD9"/>
    <w:rsid w:val="005F499C"/>
    <w:rsid w:val="005F4B93"/>
    <w:rsid w:val="005F6AE3"/>
    <w:rsid w:val="005F727D"/>
    <w:rsid w:val="005F740B"/>
    <w:rsid w:val="005F775F"/>
    <w:rsid w:val="0060091A"/>
    <w:rsid w:val="00601E3F"/>
    <w:rsid w:val="00602FE3"/>
    <w:rsid w:val="00603215"/>
    <w:rsid w:val="006046A9"/>
    <w:rsid w:val="00604FA7"/>
    <w:rsid w:val="00605D05"/>
    <w:rsid w:val="00606052"/>
    <w:rsid w:val="006060E3"/>
    <w:rsid w:val="0060614C"/>
    <w:rsid w:val="00606F3C"/>
    <w:rsid w:val="006074A9"/>
    <w:rsid w:val="006103C9"/>
    <w:rsid w:val="00610B0A"/>
    <w:rsid w:val="00610BC5"/>
    <w:rsid w:val="00611298"/>
    <w:rsid w:val="006116D6"/>
    <w:rsid w:val="00611D0C"/>
    <w:rsid w:val="00612E8B"/>
    <w:rsid w:val="00613B70"/>
    <w:rsid w:val="00614F90"/>
    <w:rsid w:val="0061503D"/>
    <w:rsid w:val="00615A88"/>
    <w:rsid w:val="006174EA"/>
    <w:rsid w:val="00617B4D"/>
    <w:rsid w:val="00620377"/>
    <w:rsid w:val="0062141A"/>
    <w:rsid w:val="0062175C"/>
    <w:rsid w:val="00621AFB"/>
    <w:rsid w:val="00621D79"/>
    <w:rsid w:val="006236DB"/>
    <w:rsid w:val="00624384"/>
    <w:rsid w:val="006249CD"/>
    <w:rsid w:val="0062507C"/>
    <w:rsid w:val="00625311"/>
    <w:rsid w:val="00625A2E"/>
    <w:rsid w:val="00625F51"/>
    <w:rsid w:val="00630424"/>
    <w:rsid w:val="0063112A"/>
    <w:rsid w:val="0063159B"/>
    <w:rsid w:val="006322A4"/>
    <w:rsid w:val="00632E28"/>
    <w:rsid w:val="00633E92"/>
    <w:rsid w:val="00634236"/>
    <w:rsid w:val="00634394"/>
    <w:rsid w:val="006345DC"/>
    <w:rsid w:val="00635A96"/>
    <w:rsid w:val="00636BDC"/>
    <w:rsid w:val="00637F3D"/>
    <w:rsid w:val="0064011E"/>
    <w:rsid w:val="0064044F"/>
    <w:rsid w:val="00640979"/>
    <w:rsid w:val="00641372"/>
    <w:rsid w:val="00641587"/>
    <w:rsid w:val="00641F32"/>
    <w:rsid w:val="00642201"/>
    <w:rsid w:val="0064292E"/>
    <w:rsid w:val="00642C69"/>
    <w:rsid w:val="00642D90"/>
    <w:rsid w:val="006433AB"/>
    <w:rsid w:val="006434C6"/>
    <w:rsid w:val="006435AF"/>
    <w:rsid w:val="00643AD1"/>
    <w:rsid w:val="00644B9F"/>
    <w:rsid w:val="00644E53"/>
    <w:rsid w:val="00645A76"/>
    <w:rsid w:val="0064702D"/>
    <w:rsid w:val="006503CA"/>
    <w:rsid w:val="00650A48"/>
    <w:rsid w:val="006516EE"/>
    <w:rsid w:val="006528C9"/>
    <w:rsid w:val="0065306F"/>
    <w:rsid w:val="00654D85"/>
    <w:rsid w:val="00654E76"/>
    <w:rsid w:val="006555D1"/>
    <w:rsid w:val="00655678"/>
    <w:rsid w:val="00655897"/>
    <w:rsid w:val="00655C8C"/>
    <w:rsid w:val="00655EAF"/>
    <w:rsid w:val="0065619F"/>
    <w:rsid w:val="00657059"/>
    <w:rsid w:val="0065743A"/>
    <w:rsid w:val="00657A50"/>
    <w:rsid w:val="006601D2"/>
    <w:rsid w:val="006602E9"/>
    <w:rsid w:val="00660523"/>
    <w:rsid w:val="00660F7E"/>
    <w:rsid w:val="00661182"/>
    <w:rsid w:val="0066148D"/>
    <w:rsid w:val="0066167B"/>
    <w:rsid w:val="00662BED"/>
    <w:rsid w:val="00663481"/>
    <w:rsid w:val="006644B6"/>
    <w:rsid w:val="0066458F"/>
    <w:rsid w:val="006647CF"/>
    <w:rsid w:val="006647EC"/>
    <w:rsid w:val="00664F19"/>
    <w:rsid w:val="00665236"/>
    <w:rsid w:val="00665522"/>
    <w:rsid w:val="006659E6"/>
    <w:rsid w:val="00666BCB"/>
    <w:rsid w:val="00666BEC"/>
    <w:rsid w:val="00666CF0"/>
    <w:rsid w:val="006670C9"/>
    <w:rsid w:val="0066748A"/>
    <w:rsid w:val="00667F1B"/>
    <w:rsid w:val="00671BB9"/>
    <w:rsid w:val="006730FA"/>
    <w:rsid w:val="00673DDD"/>
    <w:rsid w:val="006740C7"/>
    <w:rsid w:val="00675080"/>
    <w:rsid w:val="00675863"/>
    <w:rsid w:val="006760CA"/>
    <w:rsid w:val="00676339"/>
    <w:rsid w:val="0067651C"/>
    <w:rsid w:val="0067664E"/>
    <w:rsid w:val="00676F7F"/>
    <w:rsid w:val="006813D1"/>
    <w:rsid w:val="00682896"/>
    <w:rsid w:val="006838FB"/>
    <w:rsid w:val="00683BB9"/>
    <w:rsid w:val="00684612"/>
    <w:rsid w:val="0068470E"/>
    <w:rsid w:val="00684A8B"/>
    <w:rsid w:val="00684F97"/>
    <w:rsid w:val="00685929"/>
    <w:rsid w:val="006860F9"/>
    <w:rsid w:val="006862E0"/>
    <w:rsid w:val="00687471"/>
    <w:rsid w:val="006905CC"/>
    <w:rsid w:val="006907B0"/>
    <w:rsid w:val="006912EC"/>
    <w:rsid w:val="00691AFE"/>
    <w:rsid w:val="006925F1"/>
    <w:rsid w:val="006936A9"/>
    <w:rsid w:val="00693F8B"/>
    <w:rsid w:val="006942E6"/>
    <w:rsid w:val="0069498D"/>
    <w:rsid w:val="00694AB1"/>
    <w:rsid w:val="0069509C"/>
    <w:rsid w:val="006951C7"/>
    <w:rsid w:val="0069532B"/>
    <w:rsid w:val="006959FC"/>
    <w:rsid w:val="00695C2C"/>
    <w:rsid w:val="006972BD"/>
    <w:rsid w:val="00697E65"/>
    <w:rsid w:val="006A0878"/>
    <w:rsid w:val="006A0DB1"/>
    <w:rsid w:val="006A0F29"/>
    <w:rsid w:val="006A130C"/>
    <w:rsid w:val="006A138A"/>
    <w:rsid w:val="006A1F59"/>
    <w:rsid w:val="006A22C1"/>
    <w:rsid w:val="006A27D8"/>
    <w:rsid w:val="006A3461"/>
    <w:rsid w:val="006A401E"/>
    <w:rsid w:val="006A4353"/>
    <w:rsid w:val="006A46CA"/>
    <w:rsid w:val="006A7519"/>
    <w:rsid w:val="006A7552"/>
    <w:rsid w:val="006B0388"/>
    <w:rsid w:val="006B10EA"/>
    <w:rsid w:val="006B2230"/>
    <w:rsid w:val="006B3B22"/>
    <w:rsid w:val="006B4B0E"/>
    <w:rsid w:val="006B4E03"/>
    <w:rsid w:val="006B4F86"/>
    <w:rsid w:val="006B5361"/>
    <w:rsid w:val="006B5516"/>
    <w:rsid w:val="006B710D"/>
    <w:rsid w:val="006C066D"/>
    <w:rsid w:val="006C12C6"/>
    <w:rsid w:val="006C1B4D"/>
    <w:rsid w:val="006C2B7E"/>
    <w:rsid w:val="006C4EAA"/>
    <w:rsid w:val="006C651D"/>
    <w:rsid w:val="006C683D"/>
    <w:rsid w:val="006D0121"/>
    <w:rsid w:val="006D02BC"/>
    <w:rsid w:val="006D255F"/>
    <w:rsid w:val="006D286C"/>
    <w:rsid w:val="006D2FD6"/>
    <w:rsid w:val="006D3459"/>
    <w:rsid w:val="006D3708"/>
    <w:rsid w:val="006D38FB"/>
    <w:rsid w:val="006D4C1D"/>
    <w:rsid w:val="006D63BB"/>
    <w:rsid w:val="006D7DBF"/>
    <w:rsid w:val="006E07AF"/>
    <w:rsid w:val="006E160A"/>
    <w:rsid w:val="006E1A62"/>
    <w:rsid w:val="006E3510"/>
    <w:rsid w:val="006E5237"/>
    <w:rsid w:val="006E76F0"/>
    <w:rsid w:val="006F248E"/>
    <w:rsid w:val="006F2E59"/>
    <w:rsid w:val="006F38AD"/>
    <w:rsid w:val="006F4EBD"/>
    <w:rsid w:val="006F5B55"/>
    <w:rsid w:val="006F6D3D"/>
    <w:rsid w:val="006F79E9"/>
    <w:rsid w:val="0070161C"/>
    <w:rsid w:val="00701C79"/>
    <w:rsid w:val="0070468B"/>
    <w:rsid w:val="00704F94"/>
    <w:rsid w:val="00705673"/>
    <w:rsid w:val="0070608C"/>
    <w:rsid w:val="007061E1"/>
    <w:rsid w:val="00706C3A"/>
    <w:rsid w:val="00707957"/>
    <w:rsid w:val="00707AF5"/>
    <w:rsid w:val="00710E47"/>
    <w:rsid w:val="00710F52"/>
    <w:rsid w:val="00711350"/>
    <w:rsid w:val="007115A7"/>
    <w:rsid w:val="0071240A"/>
    <w:rsid w:val="00713DAE"/>
    <w:rsid w:val="00714627"/>
    <w:rsid w:val="00715C81"/>
    <w:rsid w:val="0071635F"/>
    <w:rsid w:val="007172CC"/>
    <w:rsid w:val="007173E0"/>
    <w:rsid w:val="00720619"/>
    <w:rsid w:val="0072118B"/>
    <w:rsid w:val="00721526"/>
    <w:rsid w:val="00722175"/>
    <w:rsid w:val="00722489"/>
    <w:rsid w:val="00723042"/>
    <w:rsid w:val="007236B9"/>
    <w:rsid w:val="007237DF"/>
    <w:rsid w:val="00724080"/>
    <w:rsid w:val="00724B75"/>
    <w:rsid w:val="00725C9A"/>
    <w:rsid w:val="00726639"/>
    <w:rsid w:val="007276C7"/>
    <w:rsid w:val="007301E7"/>
    <w:rsid w:val="00731772"/>
    <w:rsid w:val="00731A08"/>
    <w:rsid w:val="007323A4"/>
    <w:rsid w:val="00732578"/>
    <w:rsid w:val="00732C28"/>
    <w:rsid w:val="00733510"/>
    <w:rsid w:val="00733A62"/>
    <w:rsid w:val="007349DF"/>
    <w:rsid w:val="007368DE"/>
    <w:rsid w:val="00736D60"/>
    <w:rsid w:val="007405D1"/>
    <w:rsid w:val="007418DE"/>
    <w:rsid w:val="00742B98"/>
    <w:rsid w:val="007438F4"/>
    <w:rsid w:val="00744D5B"/>
    <w:rsid w:val="00744DD0"/>
    <w:rsid w:val="00745282"/>
    <w:rsid w:val="0074530E"/>
    <w:rsid w:val="007453BC"/>
    <w:rsid w:val="007461AE"/>
    <w:rsid w:val="0074673A"/>
    <w:rsid w:val="00750582"/>
    <w:rsid w:val="00750962"/>
    <w:rsid w:val="00750A45"/>
    <w:rsid w:val="007521C0"/>
    <w:rsid w:val="00752AA4"/>
    <w:rsid w:val="00752FEB"/>
    <w:rsid w:val="007530E9"/>
    <w:rsid w:val="00754533"/>
    <w:rsid w:val="00754B95"/>
    <w:rsid w:val="00755031"/>
    <w:rsid w:val="0075567C"/>
    <w:rsid w:val="007557BF"/>
    <w:rsid w:val="00756057"/>
    <w:rsid w:val="0075743E"/>
    <w:rsid w:val="00757DE2"/>
    <w:rsid w:val="00760EFF"/>
    <w:rsid w:val="00761235"/>
    <w:rsid w:val="00762D08"/>
    <w:rsid w:val="00762D23"/>
    <w:rsid w:val="00764669"/>
    <w:rsid w:val="00765B28"/>
    <w:rsid w:val="007663CF"/>
    <w:rsid w:val="00766E57"/>
    <w:rsid w:val="0076766A"/>
    <w:rsid w:val="00767729"/>
    <w:rsid w:val="00770068"/>
    <w:rsid w:val="00770A72"/>
    <w:rsid w:val="00770B56"/>
    <w:rsid w:val="00770E6B"/>
    <w:rsid w:val="0077100A"/>
    <w:rsid w:val="0077232F"/>
    <w:rsid w:val="0077293E"/>
    <w:rsid w:val="00773175"/>
    <w:rsid w:val="00773494"/>
    <w:rsid w:val="00773A20"/>
    <w:rsid w:val="00773E83"/>
    <w:rsid w:val="007748F7"/>
    <w:rsid w:val="007756A4"/>
    <w:rsid w:val="00775999"/>
    <w:rsid w:val="0077606C"/>
    <w:rsid w:val="0077633E"/>
    <w:rsid w:val="00776E05"/>
    <w:rsid w:val="00776E6D"/>
    <w:rsid w:val="007772E7"/>
    <w:rsid w:val="0077747E"/>
    <w:rsid w:val="007802C4"/>
    <w:rsid w:val="00780499"/>
    <w:rsid w:val="00780D55"/>
    <w:rsid w:val="00780DC1"/>
    <w:rsid w:val="00782476"/>
    <w:rsid w:val="00783573"/>
    <w:rsid w:val="00783D50"/>
    <w:rsid w:val="00784509"/>
    <w:rsid w:val="007855A5"/>
    <w:rsid w:val="007856F4"/>
    <w:rsid w:val="007858DC"/>
    <w:rsid w:val="00785A08"/>
    <w:rsid w:val="00785E20"/>
    <w:rsid w:val="0078665D"/>
    <w:rsid w:val="00786939"/>
    <w:rsid w:val="0078772B"/>
    <w:rsid w:val="00787F0C"/>
    <w:rsid w:val="007902C4"/>
    <w:rsid w:val="00790398"/>
    <w:rsid w:val="00790AEA"/>
    <w:rsid w:val="00790B95"/>
    <w:rsid w:val="007916CE"/>
    <w:rsid w:val="007934E9"/>
    <w:rsid w:val="007937EE"/>
    <w:rsid w:val="00793B1F"/>
    <w:rsid w:val="007946BD"/>
    <w:rsid w:val="00795170"/>
    <w:rsid w:val="007954DD"/>
    <w:rsid w:val="0079555A"/>
    <w:rsid w:val="00795D74"/>
    <w:rsid w:val="00796330"/>
    <w:rsid w:val="00797A88"/>
    <w:rsid w:val="007A00DD"/>
    <w:rsid w:val="007A0378"/>
    <w:rsid w:val="007A1241"/>
    <w:rsid w:val="007A1429"/>
    <w:rsid w:val="007A2567"/>
    <w:rsid w:val="007A260A"/>
    <w:rsid w:val="007A30C1"/>
    <w:rsid w:val="007A3482"/>
    <w:rsid w:val="007A3CEC"/>
    <w:rsid w:val="007A4C00"/>
    <w:rsid w:val="007A50B0"/>
    <w:rsid w:val="007A5492"/>
    <w:rsid w:val="007A56BA"/>
    <w:rsid w:val="007A67CF"/>
    <w:rsid w:val="007A6A3B"/>
    <w:rsid w:val="007A6FAB"/>
    <w:rsid w:val="007A713D"/>
    <w:rsid w:val="007A7663"/>
    <w:rsid w:val="007A7B95"/>
    <w:rsid w:val="007A7C99"/>
    <w:rsid w:val="007B2533"/>
    <w:rsid w:val="007B2724"/>
    <w:rsid w:val="007B2797"/>
    <w:rsid w:val="007B2C95"/>
    <w:rsid w:val="007B31E6"/>
    <w:rsid w:val="007B3368"/>
    <w:rsid w:val="007B35C5"/>
    <w:rsid w:val="007B4DEA"/>
    <w:rsid w:val="007B5B25"/>
    <w:rsid w:val="007B5B66"/>
    <w:rsid w:val="007B69E8"/>
    <w:rsid w:val="007B79C7"/>
    <w:rsid w:val="007B7F43"/>
    <w:rsid w:val="007C00FF"/>
    <w:rsid w:val="007C17AA"/>
    <w:rsid w:val="007C19ED"/>
    <w:rsid w:val="007C1A46"/>
    <w:rsid w:val="007C23B8"/>
    <w:rsid w:val="007C37F5"/>
    <w:rsid w:val="007C3810"/>
    <w:rsid w:val="007C4564"/>
    <w:rsid w:val="007C56A2"/>
    <w:rsid w:val="007C56F9"/>
    <w:rsid w:val="007C6142"/>
    <w:rsid w:val="007C6C5D"/>
    <w:rsid w:val="007C6DDF"/>
    <w:rsid w:val="007C6EA0"/>
    <w:rsid w:val="007C6EB8"/>
    <w:rsid w:val="007C76A4"/>
    <w:rsid w:val="007C7771"/>
    <w:rsid w:val="007C7A69"/>
    <w:rsid w:val="007C7BF2"/>
    <w:rsid w:val="007C7F2B"/>
    <w:rsid w:val="007D040C"/>
    <w:rsid w:val="007D0C56"/>
    <w:rsid w:val="007D116C"/>
    <w:rsid w:val="007D425A"/>
    <w:rsid w:val="007D4D98"/>
    <w:rsid w:val="007D5174"/>
    <w:rsid w:val="007D5696"/>
    <w:rsid w:val="007D6044"/>
    <w:rsid w:val="007D7120"/>
    <w:rsid w:val="007E0AC7"/>
    <w:rsid w:val="007E0CF3"/>
    <w:rsid w:val="007E2692"/>
    <w:rsid w:val="007E27A0"/>
    <w:rsid w:val="007E28E9"/>
    <w:rsid w:val="007E2ED2"/>
    <w:rsid w:val="007E39B4"/>
    <w:rsid w:val="007E49E1"/>
    <w:rsid w:val="007E5289"/>
    <w:rsid w:val="007E56D1"/>
    <w:rsid w:val="007E5F69"/>
    <w:rsid w:val="007E6105"/>
    <w:rsid w:val="007E6B2E"/>
    <w:rsid w:val="007E7823"/>
    <w:rsid w:val="007E7F41"/>
    <w:rsid w:val="007F00FB"/>
    <w:rsid w:val="007F0238"/>
    <w:rsid w:val="007F13C2"/>
    <w:rsid w:val="007F3408"/>
    <w:rsid w:val="007F4177"/>
    <w:rsid w:val="007F4ED0"/>
    <w:rsid w:val="007F64E3"/>
    <w:rsid w:val="007F6701"/>
    <w:rsid w:val="007F6CE7"/>
    <w:rsid w:val="007F7DB9"/>
    <w:rsid w:val="00800843"/>
    <w:rsid w:val="00802C32"/>
    <w:rsid w:val="00803ACB"/>
    <w:rsid w:val="00804319"/>
    <w:rsid w:val="00804521"/>
    <w:rsid w:val="008045A2"/>
    <w:rsid w:val="00805762"/>
    <w:rsid w:val="008075A3"/>
    <w:rsid w:val="00807914"/>
    <w:rsid w:val="00810B49"/>
    <w:rsid w:val="00811ABB"/>
    <w:rsid w:val="00812062"/>
    <w:rsid w:val="00812368"/>
    <w:rsid w:val="00813B3F"/>
    <w:rsid w:val="0081476F"/>
    <w:rsid w:val="00814B20"/>
    <w:rsid w:val="00815D65"/>
    <w:rsid w:val="0081682A"/>
    <w:rsid w:val="00817185"/>
    <w:rsid w:val="008178BD"/>
    <w:rsid w:val="00817F9C"/>
    <w:rsid w:val="0082019B"/>
    <w:rsid w:val="00820407"/>
    <w:rsid w:val="00820E44"/>
    <w:rsid w:val="00820FC0"/>
    <w:rsid w:val="00821523"/>
    <w:rsid w:val="00821730"/>
    <w:rsid w:val="008218F0"/>
    <w:rsid w:val="00821F88"/>
    <w:rsid w:val="00822BFD"/>
    <w:rsid w:val="00822EE2"/>
    <w:rsid w:val="0082398E"/>
    <w:rsid w:val="00823D74"/>
    <w:rsid w:val="00824020"/>
    <w:rsid w:val="0082573B"/>
    <w:rsid w:val="008264AF"/>
    <w:rsid w:val="00826B93"/>
    <w:rsid w:val="00826CF3"/>
    <w:rsid w:val="00827475"/>
    <w:rsid w:val="0082752C"/>
    <w:rsid w:val="00827EDA"/>
    <w:rsid w:val="008300ED"/>
    <w:rsid w:val="00830934"/>
    <w:rsid w:val="00831974"/>
    <w:rsid w:val="0083232D"/>
    <w:rsid w:val="00832A08"/>
    <w:rsid w:val="00832B24"/>
    <w:rsid w:val="00832BB3"/>
    <w:rsid w:val="00832EE8"/>
    <w:rsid w:val="00833025"/>
    <w:rsid w:val="00833265"/>
    <w:rsid w:val="0083333C"/>
    <w:rsid w:val="0083362B"/>
    <w:rsid w:val="00833E54"/>
    <w:rsid w:val="00834DE8"/>
    <w:rsid w:val="00834DEC"/>
    <w:rsid w:val="00836212"/>
    <w:rsid w:val="008372C0"/>
    <w:rsid w:val="0083764E"/>
    <w:rsid w:val="008405F7"/>
    <w:rsid w:val="00841295"/>
    <w:rsid w:val="008414BA"/>
    <w:rsid w:val="00841541"/>
    <w:rsid w:val="00841998"/>
    <w:rsid w:val="00841CD8"/>
    <w:rsid w:val="00842CEF"/>
    <w:rsid w:val="00842D62"/>
    <w:rsid w:val="00842FAC"/>
    <w:rsid w:val="00843CDD"/>
    <w:rsid w:val="00844C02"/>
    <w:rsid w:val="008452B1"/>
    <w:rsid w:val="00847FF1"/>
    <w:rsid w:val="008508E1"/>
    <w:rsid w:val="00851E33"/>
    <w:rsid w:val="00852610"/>
    <w:rsid w:val="00852A2C"/>
    <w:rsid w:val="00852EF8"/>
    <w:rsid w:val="00854476"/>
    <w:rsid w:val="008545E0"/>
    <w:rsid w:val="008545E4"/>
    <w:rsid w:val="008553AA"/>
    <w:rsid w:val="008553AF"/>
    <w:rsid w:val="00855710"/>
    <w:rsid w:val="00855B0B"/>
    <w:rsid w:val="00855BDC"/>
    <w:rsid w:val="00856295"/>
    <w:rsid w:val="00856963"/>
    <w:rsid w:val="00856FD6"/>
    <w:rsid w:val="008577C9"/>
    <w:rsid w:val="00857AAE"/>
    <w:rsid w:val="008606EF"/>
    <w:rsid w:val="008612CC"/>
    <w:rsid w:val="0086148E"/>
    <w:rsid w:val="008615E7"/>
    <w:rsid w:val="00861D79"/>
    <w:rsid w:val="0086388B"/>
    <w:rsid w:val="00863A0F"/>
    <w:rsid w:val="00864733"/>
    <w:rsid w:val="00865024"/>
    <w:rsid w:val="00865777"/>
    <w:rsid w:val="00865CCC"/>
    <w:rsid w:val="00866012"/>
    <w:rsid w:val="00866817"/>
    <w:rsid w:val="0086714E"/>
    <w:rsid w:val="00867700"/>
    <w:rsid w:val="00867A4A"/>
    <w:rsid w:val="00867C28"/>
    <w:rsid w:val="00871149"/>
    <w:rsid w:val="00871E2E"/>
    <w:rsid w:val="008722DB"/>
    <w:rsid w:val="00873679"/>
    <w:rsid w:val="008738D5"/>
    <w:rsid w:val="00873B18"/>
    <w:rsid w:val="00874199"/>
    <w:rsid w:val="00874724"/>
    <w:rsid w:val="00875CC8"/>
    <w:rsid w:val="00876040"/>
    <w:rsid w:val="0087656F"/>
    <w:rsid w:val="00876C81"/>
    <w:rsid w:val="00876D5F"/>
    <w:rsid w:val="008770AB"/>
    <w:rsid w:val="008771D5"/>
    <w:rsid w:val="00877290"/>
    <w:rsid w:val="0087729D"/>
    <w:rsid w:val="0088002E"/>
    <w:rsid w:val="00880164"/>
    <w:rsid w:val="008801EA"/>
    <w:rsid w:val="00880638"/>
    <w:rsid w:val="00880A64"/>
    <w:rsid w:val="00880ED5"/>
    <w:rsid w:val="008814E8"/>
    <w:rsid w:val="00882FCC"/>
    <w:rsid w:val="00883478"/>
    <w:rsid w:val="00884318"/>
    <w:rsid w:val="00884422"/>
    <w:rsid w:val="0088524C"/>
    <w:rsid w:val="00886151"/>
    <w:rsid w:val="00886156"/>
    <w:rsid w:val="00886362"/>
    <w:rsid w:val="00886453"/>
    <w:rsid w:val="008867AC"/>
    <w:rsid w:val="00886A4A"/>
    <w:rsid w:val="0088788E"/>
    <w:rsid w:val="00887FD8"/>
    <w:rsid w:val="0089188F"/>
    <w:rsid w:val="00891A9B"/>
    <w:rsid w:val="00892510"/>
    <w:rsid w:val="0089301F"/>
    <w:rsid w:val="0089334C"/>
    <w:rsid w:val="008936B7"/>
    <w:rsid w:val="00893763"/>
    <w:rsid w:val="00895FC8"/>
    <w:rsid w:val="0089618B"/>
    <w:rsid w:val="00896192"/>
    <w:rsid w:val="008965E3"/>
    <w:rsid w:val="00896772"/>
    <w:rsid w:val="00897474"/>
    <w:rsid w:val="008974D8"/>
    <w:rsid w:val="00897E6C"/>
    <w:rsid w:val="008A04F0"/>
    <w:rsid w:val="008A0B37"/>
    <w:rsid w:val="008A0E3D"/>
    <w:rsid w:val="008A0E61"/>
    <w:rsid w:val="008A129A"/>
    <w:rsid w:val="008A14B8"/>
    <w:rsid w:val="008A2AB1"/>
    <w:rsid w:val="008A37BF"/>
    <w:rsid w:val="008A4223"/>
    <w:rsid w:val="008A451C"/>
    <w:rsid w:val="008A4698"/>
    <w:rsid w:val="008A4810"/>
    <w:rsid w:val="008A4819"/>
    <w:rsid w:val="008A4BF5"/>
    <w:rsid w:val="008A54AC"/>
    <w:rsid w:val="008A65CA"/>
    <w:rsid w:val="008A6E6F"/>
    <w:rsid w:val="008A762C"/>
    <w:rsid w:val="008B011A"/>
    <w:rsid w:val="008B0653"/>
    <w:rsid w:val="008B107C"/>
    <w:rsid w:val="008B13FB"/>
    <w:rsid w:val="008B1FCB"/>
    <w:rsid w:val="008B272A"/>
    <w:rsid w:val="008B286E"/>
    <w:rsid w:val="008B31FF"/>
    <w:rsid w:val="008B3E87"/>
    <w:rsid w:val="008B4C49"/>
    <w:rsid w:val="008B4FB3"/>
    <w:rsid w:val="008B5268"/>
    <w:rsid w:val="008B6663"/>
    <w:rsid w:val="008B6A41"/>
    <w:rsid w:val="008B71D6"/>
    <w:rsid w:val="008B7592"/>
    <w:rsid w:val="008C0703"/>
    <w:rsid w:val="008C1232"/>
    <w:rsid w:val="008C1E66"/>
    <w:rsid w:val="008C1E6D"/>
    <w:rsid w:val="008C2548"/>
    <w:rsid w:val="008C2CEE"/>
    <w:rsid w:val="008C5806"/>
    <w:rsid w:val="008C6ECF"/>
    <w:rsid w:val="008C771B"/>
    <w:rsid w:val="008D046A"/>
    <w:rsid w:val="008D0762"/>
    <w:rsid w:val="008D0926"/>
    <w:rsid w:val="008D0C74"/>
    <w:rsid w:val="008D12E4"/>
    <w:rsid w:val="008D226B"/>
    <w:rsid w:val="008D2705"/>
    <w:rsid w:val="008D2F27"/>
    <w:rsid w:val="008D32B1"/>
    <w:rsid w:val="008D33FD"/>
    <w:rsid w:val="008D45B3"/>
    <w:rsid w:val="008D5106"/>
    <w:rsid w:val="008D5424"/>
    <w:rsid w:val="008D641E"/>
    <w:rsid w:val="008D6DFB"/>
    <w:rsid w:val="008D7F80"/>
    <w:rsid w:val="008E03D1"/>
    <w:rsid w:val="008E056E"/>
    <w:rsid w:val="008E102D"/>
    <w:rsid w:val="008E14C0"/>
    <w:rsid w:val="008E1858"/>
    <w:rsid w:val="008E1C2B"/>
    <w:rsid w:val="008E200D"/>
    <w:rsid w:val="008E212F"/>
    <w:rsid w:val="008E23B3"/>
    <w:rsid w:val="008E24CA"/>
    <w:rsid w:val="008E2AC5"/>
    <w:rsid w:val="008E323D"/>
    <w:rsid w:val="008E4CAD"/>
    <w:rsid w:val="008E4FF0"/>
    <w:rsid w:val="008E5A1F"/>
    <w:rsid w:val="008E5C3A"/>
    <w:rsid w:val="008E6398"/>
    <w:rsid w:val="008E68AE"/>
    <w:rsid w:val="008E7238"/>
    <w:rsid w:val="008E7FED"/>
    <w:rsid w:val="008F002F"/>
    <w:rsid w:val="008F03FB"/>
    <w:rsid w:val="008F05A8"/>
    <w:rsid w:val="008F1168"/>
    <w:rsid w:val="008F138F"/>
    <w:rsid w:val="008F146E"/>
    <w:rsid w:val="008F1EBE"/>
    <w:rsid w:val="008F26BC"/>
    <w:rsid w:val="008F2F36"/>
    <w:rsid w:val="008F3363"/>
    <w:rsid w:val="008F3C8D"/>
    <w:rsid w:val="008F3E7E"/>
    <w:rsid w:val="008F47A5"/>
    <w:rsid w:val="008F4885"/>
    <w:rsid w:val="008F56EC"/>
    <w:rsid w:val="00900492"/>
    <w:rsid w:val="0090093C"/>
    <w:rsid w:val="00901704"/>
    <w:rsid w:val="00903DE9"/>
    <w:rsid w:val="00904303"/>
    <w:rsid w:val="009052E8"/>
    <w:rsid w:val="00905FBA"/>
    <w:rsid w:val="00906495"/>
    <w:rsid w:val="009069F6"/>
    <w:rsid w:val="0091099D"/>
    <w:rsid w:val="009121C1"/>
    <w:rsid w:val="00912D82"/>
    <w:rsid w:val="00912DE2"/>
    <w:rsid w:val="00912E6C"/>
    <w:rsid w:val="0091300D"/>
    <w:rsid w:val="00913037"/>
    <w:rsid w:val="009130B5"/>
    <w:rsid w:val="009130D2"/>
    <w:rsid w:val="009137A2"/>
    <w:rsid w:val="00913DF9"/>
    <w:rsid w:val="00913EC3"/>
    <w:rsid w:val="009144B7"/>
    <w:rsid w:val="009145A6"/>
    <w:rsid w:val="009162A6"/>
    <w:rsid w:val="009167D2"/>
    <w:rsid w:val="00917AE3"/>
    <w:rsid w:val="009209C9"/>
    <w:rsid w:val="00920CD8"/>
    <w:rsid w:val="00921789"/>
    <w:rsid w:val="0092214E"/>
    <w:rsid w:val="00922272"/>
    <w:rsid w:val="00923025"/>
    <w:rsid w:val="00923816"/>
    <w:rsid w:val="00923C78"/>
    <w:rsid w:val="009246B5"/>
    <w:rsid w:val="009248BC"/>
    <w:rsid w:val="00924A2E"/>
    <w:rsid w:val="00925147"/>
    <w:rsid w:val="009252E7"/>
    <w:rsid w:val="00925879"/>
    <w:rsid w:val="00925FB6"/>
    <w:rsid w:val="009310F4"/>
    <w:rsid w:val="009312B7"/>
    <w:rsid w:val="00933430"/>
    <w:rsid w:val="0093475A"/>
    <w:rsid w:val="009349D7"/>
    <w:rsid w:val="00934D37"/>
    <w:rsid w:val="00935257"/>
    <w:rsid w:val="0093579F"/>
    <w:rsid w:val="009361B5"/>
    <w:rsid w:val="00936767"/>
    <w:rsid w:val="00940008"/>
    <w:rsid w:val="00940F7A"/>
    <w:rsid w:val="0094138A"/>
    <w:rsid w:val="00941642"/>
    <w:rsid w:val="00941787"/>
    <w:rsid w:val="00943D28"/>
    <w:rsid w:val="00944472"/>
    <w:rsid w:val="009448BE"/>
    <w:rsid w:val="00944C60"/>
    <w:rsid w:val="009452EB"/>
    <w:rsid w:val="00945BE4"/>
    <w:rsid w:val="00945C10"/>
    <w:rsid w:val="00945D63"/>
    <w:rsid w:val="00945EB4"/>
    <w:rsid w:val="00946566"/>
    <w:rsid w:val="009473BE"/>
    <w:rsid w:val="00950C72"/>
    <w:rsid w:val="009514E8"/>
    <w:rsid w:val="0095303C"/>
    <w:rsid w:val="009543BD"/>
    <w:rsid w:val="00955368"/>
    <w:rsid w:val="0095606F"/>
    <w:rsid w:val="00956241"/>
    <w:rsid w:val="009565B2"/>
    <w:rsid w:val="009576F5"/>
    <w:rsid w:val="00957975"/>
    <w:rsid w:val="00960010"/>
    <w:rsid w:val="009606C4"/>
    <w:rsid w:val="0096121C"/>
    <w:rsid w:val="00961977"/>
    <w:rsid w:val="009627F9"/>
    <w:rsid w:val="00962FCA"/>
    <w:rsid w:val="0096309E"/>
    <w:rsid w:val="00963755"/>
    <w:rsid w:val="00963CC2"/>
    <w:rsid w:val="00964EA5"/>
    <w:rsid w:val="00964EE8"/>
    <w:rsid w:val="0096535C"/>
    <w:rsid w:val="009654B1"/>
    <w:rsid w:val="009655A0"/>
    <w:rsid w:val="00965952"/>
    <w:rsid w:val="00965C0F"/>
    <w:rsid w:val="00966582"/>
    <w:rsid w:val="00966828"/>
    <w:rsid w:val="009669B0"/>
    <w:rsid w:val="0096770A"/>
    <w:rsid w:val="0096772D"/>
    <w:rsid w:val="00970559"/>
    <w:rsid w:val="009706AF"/>
    <w:rsid w:val="00970A4A"/>
    <w:rsid w:val="009716E0"/>
    <w:rsid w:val="0097175C"/>
    <w:rsid w:val="0097224F"/>
    <w:rsid w:val="0097225E"/>
    <w:rsid w:val="00973816"/>
    <w:rsid w:val="00973ECA"/>
    <w:rsid w:val="00974618"/>
    <w:rsid w:val="00974A17"/>
    <w:rsid w:val="00975230"/>
    <w:rsid w:val="009753F3"/>
    <w:rsid w:val="0097622D"/>
    <w:rsid w:val="009762E3"/>
    <w:rsid w:val="009763CC"/>
    <w:rsid w:val="00976A6C"/>
    <w:rsid w:val="009774BF"/>
    <w:rsid w:val="0097763E"/>
    <w:rsid w:val="0097787A"/>
    <w:rsid w:val="00977E29"/>
    <w:rsid w:val="00980BF5"/>
    <w:rsid w:val="00980D6A"/>
    <w:rsid w:val="00981332"/>
    <w:rsid w:val="009817D2"/>
    <w:rsid w:val="00981D57"/>
    <w:rsid w:val="00982AD4"/>
    <w:rsid w:val="00983186"/>
    <w:rsid w:val="00983CCC"/>
    <w:rsid w:val="00984405"/>
    <w:rsid w:val="0098474F"/>
    <w:rsid w:val="00985FA4"/>
    <w:rsid w:val="00985FD7"/>
    <w:rsid w:val="00986B49"/>
    <w:rsid w:val="0098716E"/>
    <w:rsid w:val="0099019A"/>
    <w:rsid w:val="00990B3F"/>
    <w:rsid w:val="00990F12"/>
    <w:rsid w:val="00991E28"/>
    <w:rsid w:val="00992E04"/>
    <w:rsid w:val="0099371B"/>
    <w:rsid w:val="00993919"/>
    <w:rsid w:val="00993A31"/>
    <w:rsid w:val="009952B1"/>
    <w:rsid w:val="009957E6"/>
    <w:rsid w:val="00995ED4"/>
    <w:rsid w:val="00996538"/>
    <w:rsid w:val="0099670E"/>
    <w:rsid w:val="00996C8F"/>
    <w:rsid w:val="00997B33"/>
    <w:rsid w:val="00997CDB"/>
    <w:rsid w:val="009A0A2B"/>
    <w:rsid w:val="009A2382"/>
    <w:rsid w:val="009A31F4"/>
    <w:rsid w:val="009A3657"/>
    <w:rsid w:val="009A38C3"/>
    <w:rsid w:val="009A43A6"/>
    <w:rsid w:val="009A48FA"/>
    <w:rsid w:val="009A48FC"/>
    <w:rsid w:val="009B1537"/>
    <w:rsid w:val="009B241A"/>
    <w:rsid w:val="009B2D37"/>
    <w:rsid w:val="009B2DAC"/>
    <w:rsid w:val="009B3590"/>
    <w:rsid w:val="009B3DF8"/>
    <w:rsid w:val="009B3FEB"/>
    <w:rsid w:val="009B4ABF"/>
    <w:rsid w:val="009B5DDF"/>
    <w:rsid w:val="009B6C08"/>
    <w:rsid w:val="009B7CD1"/>
    <w:rsid w:val="009C0572"/>
    <w:rsid w:val="009C07E4"/>
    <w:rsid w:val="009C349C"/>
    <w:rsid w:val="009C3559"/>
    <w:rsid w:val="009C3B07"/>
    <w:rsid w:val="009C4DF5"/>
    <w:rsid w:val="009C4FE2"/>
    <w:rsid w:val="009C574D"/>
    <w:rsid w:val="009C5DD2"/>
    <w:rsid w:val="009C635E"/>
    <w:rsid w:val="009C6E37"/>
    <w:rsid w:val="009C6E97"/>
    <w:rsid w:val="009C72C0"/>
    <w:rsid w:val="009C7391"/>
    <w:rsid w:val="009D09E7"/>
    <w:rsid w:val="009D0F0C"/>
    <w:rsid w:val="009D27F8"/>
    <w:rsid w:val="009D2E46"/>
    <w:rsid w:val="009D3423"/>
    <w:rsid w:val="009D34A2"/>
    <w:rsid w:val="009D4318"/>
    <w:rsid w:val="009D4D07"/>
    <w:rsid w:val="009D70E8"/>
    <w:rsid w:val="009D7248"/>
    <w:rsid w:val="009D7C30"/>
    <w:rsid w:val="009E1432"/>
    <w:rsid w:val="009E1646"/>
    <w:rsid w:val="009E18C0"/>
    <w:rsid w:val="009E1AE4"/>
    <w:rsid w:val="009E1BEA"/>
    <w:rsid w:val="009E1DDE"/>
    <w:rsid w:val="009E1E9E"/>
    <w:rsid w:val="009E215F"/>
    <w:rsid w:val="009E2276"/>
    <w:rsid w:val="009E29AA"/>
    <w:rsid w:val="009E5B37"/>
    <w:rsid w:val="009E602F"/>
    <w:rsid w:val="009E63F8"/>
    <w:rsid w:val="009E6AC8"/>
    <w:rsid w:val="009E7825"/>
    <w:rsid w:val="009E7EED"/>
    <w:rsid w:val="009F0728"/>
    <w:rsid w:val="009F0EC0"/>
    <w:rsid w:val="009F1AF9"/>
    <w:rsid w:val="009F1C26"/>
    <w:rsid w:val="009F3FC1"/>
    <w:rsid w:val="009F40BE"/>
    <w:rsid w:val="009F43A8"/>
    <w:rsid w:val="009F5531"/>
    <w:rsid w:val="009F562B"/>
    <w:rsid w:val="009F599E"/>
    <w:rsid w:val="009F5A19"/>
    <w:rsid w:val="009F5A81"/>
    <w:rsid w:val="009F5F1B"/>
    <w:rsid w:val="009F5FD0"/>
    <w:rsid w:val="009F6532"/>
    <w:rsid w:val="00A0046C"/>
    <w:rsid w:val="00A02445"/>
    <w:rsid w:val="00A024A6"/>
    <w:rsid w:val="00A02CF0"/>
    <w:rsid w:val="00A02D3B"/>
    <w:rsid w:val="00A0315D"/>
    <w:rsid w:val="00A032ED"/>
    <w:rsid w:val="00A03359"/>
    <w:rsid w:val="00A03BFF"/>
    <w:rsid w:val="00A05BE0"/>
    <w:rsid w:val="00A05E97"/>
    <w:rsid w:val="00A06CAD"/>
    <w:rsid w:val="00A0773B"/>
    <w:rsid w:val="00A12C3B"/>
    <w:rsid w:val="00A14048"/>
    <w:rsid w:val="00A14697"/>
    <w:rsid w:val="00A146F5"/>
    <w:rsid w:val="00A14FBA"/>
    <w:rsid w:val="00A155A0"/>
    <w:rsid w:val="00A15F8F"/>
    <w:rsid w:val="00A1602D"/>
    <w:rsid w:val="00A160FA"/>
    <w:rsid w:val="00A162BC"/>
    <w:rsid w:val="00A16337"/>
    <w:rsid w:val="00A163B5"/>
    <w:rsid w:val="00A164C4"/>
    <w:rsid w:val="00A17321"/>
    <w:rsid w:val="00A17708"/>
    <w:rsid w:val="00A20152"/>
    <w:rsid w:val="00A20300"/>
    <w:rsid w:val="00A21054"/>
    <w:rsid w:val="00A21559"/>
    <w:rsid w:val="00A220DE"/>
    <w:rsid w:val="00A227A0"/>
    <w:rsid w:val="00A22C66"/>
    <w:rsid w:val="00A23431"/>
    <w:rsid w:val="00A24FCB"/>
    <w:rsid w:val="00A25A6A"/>
    <w:rsid w:val="00A2635F"/>
    <w:rsid w:val="00A27D68"/>
    <w:rsid w:val="00A30AE5"/>
    <w:rsid w:val="00A3165F"/>
    <w:rsid w:val="00A3190E"/>
    <w:rsid w:val="00A32F9D"/>
    <w:rsid w:val="00A339F4"/>
    <w:rsid w:val="00A3471A"/>
    <w:rsid w:val="00A34D10"/>
    <w:rsid w:val="00A34DAE"/>
    <w:rsid w:val="00A34EDE"/>
    <w:rsid w:val="00A35C29"/>
    <w:rsid w:val="00A36F6E"/>
    <w:rsid w:val="00A4015A"/>
    <w:rsid w:val="00A40BF3"/>
    <w:rsid w:val="00A4138B"/>
    <w:rsid w:val="00A41499"/>
    <w:rsid w:val="00A41A22"/>
    <w:rsid w:val="00A42413"/>
    <w:rsid w:val="00A42D7E"/>
    <w:rsid w:val="00A42F5A"/>
    <w:rsid w:val="00A43751"/>
    <w:rsid w:val="00A44970"/>
    <w:rsid w:val="00A45644"/>
    <w:rsid w:val="00A4568E"/>
    <w:rsid w:val="00A465F1"/>
    <w:rsid w:val="00A53A84"/>
    <w:rsid w:val="00A544BE"/>
    <w:rsid w:val="00A555B8"/>
    <w:rsid w:val="00A557BD"/>
    <w:rsid w:val="00A55F33"/>
    <w:rsid w:val="00A56D57"/>
    <w:rsid w:val="00A5708B"/>
    <w:rsid w:val="00A60034"/>
    <w:rsid w:val="00A60EE3"/>
    <w:rsid w:val="00A61777"/>
    <w:rsid w:val="00A61879"/>
    <w:rsid w:val="00A61DE8"/>
    <w:rsid w:val="00A61E3E"/>
    <w:rsid w:val="00A61F84"/>
    <w:rsid w:val="00A659FA"/>
    <w:rsid w:val="00A65D72"/>
    <w:rsid w:val="00A66003"/>
    <w:rsid w:val="00A6612D"/>
    <w:rsid w:val="00A66C25"/>
    <w:rsid w:val="00A705AB"/>
    <w:rsid w:val="00A707DC"/>
    <w:rsid w:val="00A70981"/>
    <w:rsid w:val="00A70D16"/>
    <w:rsid w:val="00A722D9"/>
    <w:rsid w:val="00A72FEC"/>
    <w:rsid w:val="00A73406"/>
    <w:rsid w:val="00A73B14"/>
    <w:rsid w:val="00A73D92"/>
    <w:rsid w:val="00A7408B"/>
    <w:rsid w:val="00A74C98"/>
    <w:rsid w:val="00A75C3E"/>
    <w:rsid w:val="00A75F95"/>
    <w:rsid w:val="00A76BF5"/>
    <w:rsid w:val="00A76DA0"/>
    <w:rsid w:val="00A804FA"/>
    <w:rsid w:val="00A80531"/>
    <w:rsid w:val="00A80A52"/>
    <w:rsid w:val="00A80FFD"/>
    <w:rsid w:val="00A824DC"/>
    <w:rsid w:val="00A82B3E"/>
    <w:rsid w:val="00A835DB"/>
    <w:rsid w:val="00A83EE0"/>
    <w:rsid w:val="00A84109"/>
    <w:rsid w:val="00A84749"/>
    <w:rsid w:val="00A84A32"/>
    <w:rsid w:val="00A859C2"/>
    <w:rsid w:val="00A860D6"/>
    <w:rsid w:val="00A86209"/>
    <w:rsid w:val="00A867FB"/>
    <w:rsid w:val="00A86F75"/>
    <w:rsid w:val="00A873F5"/>
    <w:rsid w:val="00A87AF0"/>
    <w:rsid w:val="00A904D3"/>
    <w:rsid w:val="00A9065D"/>
    <w:rsid w:val="00A90798"/>
    <w:rsid w:val="00A90ADE"/>
    <w:rsid w:val="00A90D78"/>
    <w:rsid w:val="00A9176E"/>
    <w:rsid w:val="00A91D8E"/>
    <w:rsid w:val="00A91FE2"/>
    <w:rsid w:val="00A9242E"/>
    <w:rsid w:val="00A933F7"/>
    <w:rsid w:val="00A93F55"/>
    <w:rsid w:val="00A94017"/>
    <w:rsid w:val="00A9512F"/>
    <w:rsid w:val="00A95986"/>
    <w:rsid w:val="00A96804"/>
    <w:rsid w:val="00A96908"/>
    <w:rsid w:val="00A96E6B"/>
    <w:rsid w:val="00A978F1"/>
    <w:rsid w:val="00A979D4"/>
    <w:rsid w:val="00A97E3D"/>
    <w:rsid w:val="00AA00BA"/>
    <w:rsid w:val="00AA15A6"/>
    <w:rsid w:val="00AA1983"/>
    <w:rsid w:val="00AA2111"/>
    <w:rsid w:val="00AA259D"/>
    <w:rsid w:val="00AA3067"/>
    <w:rsid w:val="00AA3486"/>
    <w:rsid w:val="00AA41FA"/>
    <w:rsid w:val="00AA4440"/>
    <w:rsid w:val="00AA4C69"/>
    <w:rsid w:val="00AA4FD6"/>
    <w:rsid w:val="00AA51B0"/>
    <w:rsid w:val="00AA5278"/>
    <w:rsid w:val="00AA53CC"/>
    <w:rsid w:val="00AA5901"/>
    <w:rsid w:val="00AA7E84"/>
    <w:rsid w:val="00AA7EA3"/>
    <w:rsid w:val="00AB038E"/>
    <w:rsid w:val="00AB1894"/>
    <w:rsid w:val="00AB2301"/>
    <w:rsid w:val="00AB2971"/>
    <w:rsid w:val="00AB3538"/>
    <w:rsid w:val="00AB4705"/>
    <w:rsid w:val="00AB550B"/>
    <w:rsid w:val="00AB5A95"/>
    <w:rsid w:val="00AB5AE6"/>
    <w:rsid w:val="00AB6182"/>
    <w:rsid w:val="00AB6419"/>
    <w:rsid w:val="00AB73CB"/>
    <w:rsid w:val="00AB7C19"/>
    <w:rsid w:val="00AC0105"/>
    <w:rsid w:val="00AC11D6"/>
    <w:rsid w:val="00AC1533"/>
    <w:rsid w:val="00AC199D"/>
    <w:rsid w:val="00AC2447"/>
    <w:rsid w:val="00AC321A"/>
    <w:rsid w:val="00AC3595"/>
    <w:rsid w:val="00AC4091"/>
    <w:rsid w:val="00AC4604"/>
    <w:rsid w:val="00AC4E4B"/>
    <w:rsid w:val="00AC537B"/>
    <w:rsid w:val="00AC5771"/>
    <w:rsid w:val="00AC6873"/>
    <w:rsid w:val="00AC6DF0"/>
    <w:rsid w:val="00AC76DF"/>
    <w:rsid w:val="00AC7A19"/>
    <w:rsid w:val="00AC7E14"/>
    <w:rsid w:val="00AD1003"/>
    <w:rsid w:val="00AD12D1"/>
    <w:rsid w:val="00AD1638"/>
    <w:rsid w:val="00AD1851"/>
    <w:rsid w:val="00AD27B9"/>
    <w:rsid w:val="00AD2849"/>
    <w:rsid w:val="00AD2868"/>
    <w:rsid w:val="00AD2C02"/>
    <w:rsid w:val="00AD3015"/>
    <w:rsid w:val="00AD3799"/>
    <w:rsid w:val="00AD4070"/>
    <w:rsid w:val="00AD457D"/>
    <w:rsid w:val="00AD478D"/>
    <w:rsid w:val="00AD491F"/>
    <w:rsid w:val="00AD519D"/>
    <w:rsid w:val="00AD5247"/>
    <w:rsid w:val="00AD5260"/>
    <w:rsid w:val="00AD626B"/>
    <w:rsid w:val="00AD7A67"/>
    <w:rsid w:val="00AD7EDC"/>
    <w:rsid w:val="00AE0D24"/>
    <w:rsid w:val="00AE0D55"/>
    <w:rsid w:val="00AE1B0F"/>
    <w:rsid w:val="00AE1F1E"/>
    <w:rsid w:val="00AE3B36"/>
    <w:rsid w:val="00AE41A9"/>
    <w:rsid w:val="00AE4ABF"/>
    <w:rsid w:val="00AE5DB5"/>
    <w:rsid w:val="00AE67E8"/>
    <w:rsid w:val="00AE799B"/>
    <w:rsid w:val="00AF1182"/>
    <w:rsid w:val="00AF2CD8"/>
    <w:rsid w:val="00AF30C9"/>
    <w:rsid w:val="00AF3B2D"/>
    <w:rsid w:val="00AF48F1"/>
    <w:rsid w:val="00AF494F"/>
    <w:rsid w:val="00AF4BD5"/>
    <w:rsid w:val="00AF5289"/>
    <w:rsid w:val="00AF5B29"/>
    <w:rsid w:val="00AF7BC4"/>
    <w:rsid w:val="00B00A40"/>
    <w:rsid w:val="00B00EFC"/>
    <w:rsid w:val="00B01BEE"/>
    <w:rsid w:val="00B0214B"/>
    <w:rsid w:val="00B030A3"/>
    <w:rsid w:val="00B03E47"/>
    <w:rsid w:val="00B050F5"/>
    <w:rsid w:val="00B0545A"/>
    <w:rsid w:val="00B0563A"/>
    <w:rsid w:val="00B05A33"/>
    <w:rsid w:val="00B05AF3"/>
    <w:rsid w:val="00B05C17"/>
    <w:rsid w:val="00B06145"/>
    <w:rsid w:val="00B06BC4"/>
    <w:rsid w:val="00B07256"/>
    <w:rsid w:val="00B11955"/>
    <w:rsid w:val="00B11E7E"/>
    <w:rsid w:val="00B12947"/>
    <w:rsid w:val="00B1382A"/>
    <w:rsid w:val="00B13BF8"/>
    <w:rsid w:val="00B14118"/>
    <w:rsid w:val="00B14969"/>
    <w:rsid w:val="00B14CD8"/>
    <w:rsid w:val="00B152B9"/>
    <w:rsid w:val="00B16EBA"/>
    <w:rsid w:val="00B20112"/>
    <w:rsid w:val="00B2039D"/>
    <w:rsid w:val="00B217A0"/>
    <w:rsid w:val="00B21866"/>
    <w:rsid w:val="00B2190F"/>
    <w:rsid w:val="00B222EC"/>
    <w:rsid w:val="00B22638"/>
    <w:rsid w:val="00B23CA7"/>
    <w:rsid w:val="00B23F7F"/>
    <w:rsid w:val="00B24663"/>
    <w:rsid w:val="00B25021"/>
    <w:rsid w:val="00B25549"/>
    <w:rsid w:val="00B26309"/>
    <w:rsid w:val="00B265BD"/>
    <w:rsid w:val="00B276EC"/>
    <w:rsid w:val="00B303A1"/>
    <w:rsid w:val="00B309B1"/>
    <w:rsid w:val="00B30B23"/>
    <w:rsid w:val="00B31045"/>
    <w:rsid w:val="00B3110E"/>
    <w:rsid w:val="00B31308"/>
    <w:rsid w:val="00B315D9"/>
    <w:rsid w:val="00B31A52"/>
    <w:rsid w:val="00B31E2B"/>
    <w:rsid w:val="00B33441"/>
    <w:rsid w:val="00B3383A"/>
    <w:rsid w:val="00B34337"/>
    <w:rsid w:val="00B34460"/>
    <w:rsid w:val="00B34F7F"/>
    <w:rsid w:val="00B36539"/>
    <w:rsid w:val="00B36C6B"/>
    <w:rsid w:val="00B36C6E"/>
    <w:rsid w:val="00B36F4B"/>
    <w:rsid w:val="00B378B3"/>
    <w:rsid w:val="00B37B58"/>
    <w:rsid w:val="00B4074D"/>
    <w:rsid w:val="00B4082E"/>
    <w:rsid w:val="00B40FB3"/>
    <w:rsid w:val="00B41160"/>
    <w:rsid w:val="00B4190E"/>
    <w:rsid w:val="00B41FF0"/>
    <w:rsid w:val="00B423F6"/>
    <w:rsid w:val="00B42BEA"/>
    <w:rsid w:val="00B42E6C"/>
    <w:rsid w:val="00B434EC"/>
    <w:rsid w:val="00B43745"/>
    <w:rsid w:val="00B43F2E"/>
    <w:rsid w:val="00B445BD"/>
    <w:rsid w:val="00B44623"/>
    <w:rsid w:val="00B44CFC"/>
    <w:rsid w:val="00B44E82"/>
    <w:rsid w:val="00B4606E"/>
    <w:rsid w:val="00B46393"/>
    <w:rsid w:val="00B50E19"/>
    <w:rsid w:val="00B50FF4"/>
    <w:rsid w:val="00B51005"/>
    <w:rsid w:val="00B51A7D"/>
    <w:rsid w:val="00B529F6"/>
    <w:rsid w:val="00B52E63"/>
    <w:rsid w:val="00B54AF5"/>
    <w:rsid w:val="00B54FD2"/>
    <w:rsid w:val="00B55778"/>
    <w:rsid w:val="00B56250"/>
    <w:rsid w:val="00B5652C"/>
    <w:rsid w:val="00B56F3E"/>
    <w:rsid w:val="00B574F7"/>
    <w:rsid w:val="00B57754"/>
    <w:rsid w:val="00B577AF"/>
    <w:rsid w:val="00B605C6"/>
    <w:rsid w:val="00B61166"/>
    <w:rsid w:val="00B6134E"/>
    <w:rsid w:val="00B6175C"/>
    <w:rsid w:val="00B619DE"/>
    <w:rsid w:val="00B62BB0"/>
    <w:rsid w:val="00B62BEE"/>
    <w:rsid w:val="00B62E23"/>
    <w:rsid w:val="00B63E06"/>
    <w:rsid w:val="00B63EC4"/>
    <w:rsid w:val="00B63F9D"/>
    <w:rsid w:val="00B64235"/>
    <w:rsid w:val="00B64B07"/>
    <w:rsid w:val="00B64B2A"/>
    <w:rsid w:val="00B65446"/>
    <w:rsid w:val="00B65A4D"/>
    <w:rsid w:val="00B65C55"/>
    <w:rsid w:val="00B664D6"/>
    <w:rsid w:val="00B66532"/>
    <w:rsid w:val="00B665F1"/>
    <w:rsid w:val="00B6774B"/>
    <w:rsid w:val="00B7001A"/>
    <w:rsid w:val="00B7007D"/>
    <w:rsid w:val="00B705D1"/>
    <w:rsid w:val="00B70693"/>
    <w:rsid w:val="00B71D85"/>
    <w:rsid w:val="00B722F6"/>
    <w:rsid w:val="00B7247A"/>
    <w:rsid w:val="00B729E5"/>
    <w:rsid w:val="00B7482F"/>
    <w:rsid w:val="00B75838"/>
    <w:rsid w:val="00B759EE"/>
    <w:rsid w:val="00B778E2"/>
    <w:rsid w:val="00B80791"/>
    <w:rsid w:val="00B80EFB"/>
    <w:rsid w:val="00B8101F"/>
    <w:rsid w:val="00B813B4"/>
    <w:rsid w:val="00B82742"/>
    <w:rsid w:val="00B82BE1"/>
    <w:rsid w:val="00B82F9D"/>
    <w:rsid w:val="00B83968"/>
    <w:rsid w:val="00B843AE"/>
    <w:rsid w:val="00B8457A"/>
    <w:rsid w:val="00B849CC"/>
    <w:rsid w:val="00B85040"/>
    <w:rsid w:val="00B85F18"/>
    <w:rsid w:val="00B86303"/>
    <w:rsid w:val="00B86CDF"/>
    <w:rsid w:val="00B87250"/>
    <w:rsid w:val="00B9029F"/>
    <w:rsid w:val="00B903B3"/>
    <w:rsid w:val="00B90AF1"/>
    <w:rsid w:val="00B92147"/>
    <w:rsid w:val="00B9302C"/>
    <w:rsid w:val="00B934DA"/>
    <w:rsid w:val="00B93BE7"/>
    <w:rsid w:val="00B93E75"/>
    <w:rsid w:val="00B94465"/>
    <w:rsid w:val="00B94D84"/>
    <w:rsid w:val="00B94EAA"/>
    <w:rsid w:val="00B96559"/>
    <w:rsid w:val="00B96716"/>
    <w:rsid w:val="00B97E1A"/>
    <w:rsid w:val="00BA0406"/>
    <w:rsid w:val="00BA228E"/>
    <w:rsid w:val="00BA2322"/>
    <w:rsid w:val="00BA2406"/>
    <w:rsid w:val="00BA25F8"/>
    <w:rsid w:val="00BA27E6"/>
    <w:rsid w:val="00BA311A"/>
    <w:rsid w:val="00BA3227"/>
    <w:rsid w:val="00BA3302"/>
    <w:rsid w:val="00BA35B1"/>
    <w:rsid w:val="00BA3EF7"/>
    <w:rsid w:val="00BA41CC"/>
    <w:rsid w:val="00BA4EC7"/>
    <w:rsid w:val="00BA4F2D"/>
    <w:rsid w:val="00BA59D3"/>
    <w:rsid w:val="00BA6949"/>
    <w:rsid w:val="00BA6EDA"/>
    <w:rsid w:val="00BB0D4B"/>
    <w:rsid w:val="00BB2B9E"/>
    <w:rsid w:val="00BB308C"/>
    <w:rsid w:val="00BB3303"/>
    <w:rsid w:val="00BB36A7"/>
    <w:rsid w:val="00BB3702"/>
    <w:rsid w:val="00BB3B78"/>
    <w:rsid w:val="00BB4061"/>
    <w:rsid w:val="00BB56B1"/>
    <w:rsid w:val="00BB5C58"/>
    <w:rsid w:val="00BB6D7A"/>
    <w:rsid w:val="00BC0462"/>
    <w:rsid w:val="00BC19BF"/>
    <w:rsid w:val="00BC23C9"/>
    <w:rsid w:val="00BC39F3"/>
    <w:rsid w:val="00BC4031"/>
    <w:rsid w:val="00BC4DE2"/>
    <w:rsid w:val="00BC5311"/>
    <w:rsid w:val="00BC6A30"/>
    <w:rsid w:val="00BC7258"/>
    <w:rsid w:val="00BC7831"/>
    <w:rsid w:val="00BC7D1C"/>
    <w:rsid w:val="00BD1F5F"/>
    <w:rsid w:val="00BD1F82"/>
    <w:rsid w:val="00BD1FFC"/>
    <w:rsid w:val="00BD221C"/>
    <w:rsid w:val="00BD4609"/>
    <w:rsid w:val="00BD48B8"/>
    <w:rsid w:val="00BD4F93"/>
    <w:rsid w:val="00BD5170"/>
    <w:rsid w:val="00BD5F23"/>
    <w:rsid w:val="00BD5FEE"/>
    <w:rsid w:val="00BD68EB"/>
    <w:rsid w:val="00BD702B"/>
    <w:rsid w:val="00BD718B"/>
    <w:rsid w:val="00BD7CA2"/>
    <w:rsid w:val="00BE2EE1"/>
    <w:rsid w:val="00BE3289"/>
    <w:rsid w:val="00BE3E82"/>
    <w:rsid w:val="00BE4171"/>
    <w:rsid w:val="00BE4A5B"/>
    <w:rsid w:val="00BE4BC8"/>
    <w:rsid w:val="00BE551C"/>
    <w:rsid w:val="00BE5CB3"/>
    <w:rsid w:val="00BE61F8"/>
    <w:rsid w:val="00BE6304"/>
    <w:rsid w:val="00BE6336"/>
    <w:rsid w:val="00BE7088"/>
    <w:rsid w:val="00BE7569"/>
    <w:rsid w:val="00BF06E9"/>
    <w:rsid w:val="00BF0748"/>
    <w:rsid w:val="00BF0B4D"/>
    <w:rsid w:val="00BF2B3D"/>
    <w:rsid w:val="00BF2CAA"/>
    <w:rsid w:val="00BF4021"/>
    <w:rsid w:val="00BF4CF9"/>
    <w:rsid w:val="00BF5E7C"/>
    <w:rsid w:val="00BF603D"/>
    <w:rsid w:val="00BF6191"/>
    <w:rsid w:val="00BF6740"/>
    <w:rsid w:val="00BF69B7"/>
    <w:rsid w:val="00BF767E"/>
    <w:rsid w:val="00BF78C0"/>
    <w:rsid w:val="00BF7D04"/>
    <w:rsid w:val="00BF7F96"/>
    <w:rsid w:val="00C01410"/>
    <w:rsid w:val="00C01D39"/>
    <w:rsid w:val="00C027DA"/>
    <w:rsid w:val="00C02A91"/>
    <w:rsid w:val="00C02F5C"/>
    <w:rsid w:val="00C03052"/>
    <w:rsid w:val="00C043C4"/>
    <w:rsid w:val="00C04D67"/>
    <w:rsid w:val="00C0568A"/>
    <w:rsid w:val="00C0573E"/>
    <w:rsid w:val="00C06341"/>
    <w:rsid w:val="00C0796E"/>
    <w:rsid w:val="00C10829"/>
    <w:rsid w:val="00C10DD3"/>
    <w:rsid w:val="00C113D8"/>
    <w:rsid w:val="00C13C34"/>
    <w:rsid w:val="00C15F84"/>
    <w:rsid w:val="00C160E1"/>
    <w:rsid w:val="00C16EF8"/>
    <w:rsid w:val="00C2031A"/>
    <w:rsid w:val="00C224EE"/>
    <w:rsid w:val="00C228A9"/>
    <w:rsid w:val="00C22B83"/>
    <w:rsid w:val="00C22DD0"/>
    <w:rsid w:val="00C23AAA"/>
    <w:rsid w:val="00C23B0B"/>
    <w:rsid w:val="00C23B1B"/>
    <w:rsid w:val="00C24E4C"/>
    <w:rsid w:val="00C25E9D"/>
    <w:rsid w:val="00C260D0"/>
    <w:rsid w:val="00C269AD"/>
    <w:rsid w:val="00C26F44"/>
    <w:rsid w:val="00C273F2"/>
    <w:rsid w:val="00C30CA4"/>
    <w:rsid w:val="00C31C96"/>
    <w:rsid w:val="00C31CA1"/>
    <w:rsid w:val="00C321CC"/>
    <w:rsid w:val="00C341D4"/>
    <w:rsid w:val="00C34C07"/>
    <w:rsid w:val="00C3509F"/>
    <w:rsid w:val="00C3769E"/>
    <w:rsid w:val="00C37785"/>
    <w:rsid w:val="00C37F6B"/>
    <w:rsid w:val="00C405B1"/>
    <w:rsid w:val="00C40605"/>
    <w:rsid w:val="00C409BE"/>
    <w:rsid w:val="00C410D7"/>
    <w:rsid w:val="00C4124D"/>
    <w:rsid w:val="00C41843"/>
    <w:rsid w:val="00C41C4F"/>
    <w:rsid w:val="00C42702"/>
    <w:rsid w:val="00C42F29"/>
    <w:rsid w:val="00C42FA3"/>
    <w:rsid w:val="00C4335D"/>
    <w:rsid w:val="00C43523"/>
    <w:rsid w:val="00C45848"/>
    <w:rsid w:val="00C45B27"/>
    <w:rsid w:val="00C47E77"/>
    <w:rsid w:val="00C5014C"/>
    <w:rsid w:val="00C507F6"/>
    <w:rsid w:val="00C509CD"/>
    <w:rsid w:val="00C51158"/>
    <w:rsid w:val="00C514A0"/>
    <w:rsid w:val="00C5228E"/>
    <w:rsid w:val="00C52E95"/>
    <w:rsid w:val="00C53387"/>
    <w:rsid w:val="00C53404"/>
    <w:rsid w:val="00C53A94"/>
    <w:rsid w:val="00C53EBF"/>
    <w:rsid w:val="00C542CA"/>
    <w:rsid w:val="00C54444"/>
    <w:rsid w:val="00C5602E"/>
    <w:rsid w:val="00C562B8"/>
    <w:rsid w:val="00C56BFC"/>
    <w:rsid w:val="00C57D1A"/>
    <w:rsid w:val="00C60110"/>
    <w:rsid w:val="00C61CE6"/>
    <w:rsid w:val="00C61E4A"/>
    <w:rsid w:val="00C61E9F"/>
    <w:rsid w:val="00C621F0"/>
    <w:rsid w:val="00C62ADF"/>
    <w:rsid w:val="00C62F7F"/>
    <w:rsid w:val="00C65005"/>
    <w:rsid w:val="00C65EF7"/>
    <w:rsid w:val="00C66A80"/>
    <w:rsid w:val="00C679BB"/>
    <w:rsid w:val="00C67B00"/>
    <w:rsid w:val="00C712BA"/>
    <w:rsid w:val="00C71FDF"/>
    <w:rsid w:val="00C72286"/>
    <w:rsid w:val="00C724CE"/>
    <w:rsid w:val="00C729CE"/>
    <w:rsid w:val="00C7325C"/>
    <w:rsid w:val="00C736C2"/>
    <w:rsid w:val="00C73D47"/>
    <w:rsid w:val="00C7417C"/>
    <w:rsid w:val="00C7493D"/>
    <w:rsid w:val="00C74FD6"/>
    <w:rsid w:val="00C750F7"/>
    <w:rsid w:val="00C75859"/>
    <w:rsid w:val="00C75B01"/>
    <w:rsid w:val="00C75B91"/>
    <w:rsid w:val="00C75BBB"/>
    <w:rsid w:val="00C76314"/>
    <w:rsid w:val="00C76438"/>
    <w:rsid w:val="00C76B0F"/>
    <w:rsid w:val="00C7713B"/>
    <w:rsid w:val="00C77EBB"/>
    <w:rsid w:val="00C8006C"/>
    <w:rsid w:val="00C816FE"/>
    <w:rsid w:val="00C82090"/>
    <w:rsid w:val="00C85E45"/>
    <w:rsid w:val="00C8635C"/>
    <w:rsid w:val="00C873A1"/>
    <w:rsid w:val="00C87985"/>
    <w:rsid w:val="00C913DA"/>
    <w:rsid w:val="00C92313"/>
    <w:rsid w:val="00C92701"/>
    <w:rsid w:val="00C92A9D"/>
    <w:rsid w:val="00C92C5E"/>
    <w:rsid w:val="00C92D57"/>
    <w:rsid w:val="00C947C7"/>
    <w:rsid w:val="00C94882"/>
    <w:rsid w:val="00C95BA3"/>
    <w:rsid w:val="00C95F3E"/>
    <w:rsid w:val="00C96244"/>
    <w:rsid w:val="00C97673"/>
    <w:rsid w:val="00C97689"/>
    <w:rsid w:val="00C97FF9"/>
    <w:rsid w:val="00CA0551"/>
    <w:rsid w:val="00CA177B"/>
    <w:rsid w:val="00CA1812"/>
    <w:rsid w:val="00CA1F20"/>
    <w:rsid w:val="00CA2942"/>
    <w:rsid w:val="00CA2B60"/>
    <w:rsid w:val="00CA2E01"/>
    <w:rsid w:val="00CA32BC"/>
    <w:rsid w:val="00CA3675"/>
    <w:rsid w:val="00CA39ED"/>
    <w:rsid w:val="00CA4691"/>
    <w:rsid w:val="00CA6D15"/>
    <w:rsid w:val="00CA7F82"/>
    <w:rsid w:val="00CB05BD"/>
    <w:rsid w:val="00CB09C4"/>
    <w:rsid w:val="00CB0E03"/>
    <w:rsid w:val="00CB2382"/>
    <w:rsid w:val="00CB2678"/>
    <w:rsid w:val="00CB27F9"/>
    <w:rsid w:val="00CB282B"/>
    <w:rsid w:val="00CB2B3D"/>
    <w:rsid w:val="00CB42F5"/>
    <w:rsid w:val="00CB464A"/>
    <w:rsid w:val="00CB53E6"/>
    <w:rsid w:val="00CB5BA9"/>
    <w:rsid w:val="00CB6315"/>
    <w:rsid w:val="00CB63AE"/>
    <w:rsid w:val="00CB66A3"/>
    <w:rsid w:val="00CB6F55"/>
    <w:rsid w:val="00CC0A07"/>
    <w:rsid w:val="00CC0A7A"/>
    <w:rsid w:val="00CC0F49"/>
    <w:rsid w:val="00CC1419"/>
    <w:rsid w:val="00CC2532"/>
    <w:rsid w:val="00CC3A13"/>
    <w:rsid w:val="00CC3BDF"/>
    <w:rsid w:val="00CC3DD5"/>
    <w:rsid w:val="00CC44B7"/>
    <w:rsid w:val="00CC57B7"/>
    <w:rsid w:val="00CC6028"/>
    <w:rsid w:val="00CC626A"/>
    <w:rsid w:val="00CC68BE"/>
    <w:rsid w:val="00CC6944"/>
    <w:rsid w:val="00CC6FB3"/>
    <w:rsid w:val="00CC7D14"/>
    <w:rsid w:val="00CD09EF"/>
    <w:rsid w:val="00CD1CB6"/>
    <w:rsid w:val="00CD1D6E"/>
    <w:rsid w:val="00CD1E63"/>
    <w:rsid w:val="00CD2F87"/>
    <w:rsid w:val="00CD31DB"/>
    <w:rsid w:val="00CD4C8B"/>
    <w:rsid w:val="00CD501F"/>
    <w:rsid w:val="00CD54A8"/>
    <w:rsid w:val="00CD7C24"/>
    <w:rsid w:val="00CE125D"/>
    <w:rsid w:val="00CE1BC9"/>
    <w:rsid w:val="00CE2A2B"/>
    <w:rsid w:val="00CE302B"/>
    <w:rsid w:val="00CE30BA"/>
    <w:rsid w:val="00CE3F27"/>
    <w:rsid w:val="00CE4172"/>
    <w:rsid w:val="00CE4779"/>
    <w:rsid w:val="00CE5666"/>
    <w:rsid w:val="00CE6F81"/>
    <w:rsid w:val="00CE7A1C"/>
    <w:rsid w:val="00CE7DDF"/>
    <w:rsid w:val="00CF00E6"/>
    <w:rsid w:val="00CF1524"/>
    <w:rsid w:val="00CF286F"/>
    <w:rsid w:val="00CF2895"/>
    <w:rsid w:val="00CF5217"/>
    <w:rsid w:val="00CF521B"/>
    <w:rsid w:val="00CF5AA0"/>
    <w:rsid w:val="00CF5EF6"/>
    <w:rsid w:val="00CF6882"/>
    <w:rsid w:val="00CF6D07"/>
    <w:rsid w:val="00CF7A6F"/>
    <w:rsid w:val="00CF7D89"/>
    <w:rsid w:val="00D00C24"/>
    <w:rsid w:val="00D01298"/>
    <w:rsid w:val="00D019A3"/>
    <w:rsid w:val="00D01A6E"/>
    <w:rsid w:val="00D02D76"/>
    <w:rsid w:val="00D02EC4"/>
    <w:rsid w:val="00D03103"/>
    <w:rsid w:val="00D03257"/>
    <w:rsid w:val="00D04226"/>
    <w:rsid w:val="00D04358"/>
    <w:rsid w:val="00D04A08"/>
    <w:rsid w:val="00D05090"/>
    <w:rsid w:val="00D0543A"/>
    <w:rsid w:val="00D058F1"/>
    <w:rsid w:val="00D05C4E"/>
    <w:rsid w:val="00D06405"/>
    <w:rsid w:val="00D06F83"/>
    <w:rsid w:val="00D077A6"/>
    <w:rsid w:val="00D07D14"/>
    <w:rsid w:val="00D07EB4"/>
    <w:rsid w:val="00D10DCE"/>
    <w:rsid w:val="00D12201"/>
    <w:rsid w:val="00D12261"/>
    <w:rsid w:val="00D127E8"/>
    <w:rsid w:val="00D12BAC"/>
    <w:rsid w:val="00D12D0C"/>
    <w:rsid w:val="00D135C8"/>
    <w:rsid w:val="00D13B7A"/>
    <w:rsid w:val="00D14141"/>
    <w:rsid w:val="00D1467F"/>
    <w:rsid w:val="00D163B4"/>
    <w:rsid w:val="00D167B4"/>
    <w:rsid w:val="00D16D07"/>
    <w:rsid w:val="00D173CE"/>
    <w:rsid w:val="00D17E89"/>
    <w:rsid w:val="00D17EB5"/>
    <w:rsid w:val="00D201C9"/>
    <w:rsid w:val="00D20E06"/>
    <w:rsid w:val="00D21047"/>
    <w:rsid w:val="00D21756"/>
    <w:rsid w:val="00D2281A"/>
    <w:rsid w:val="00D23EA0"/>
    <w:rsid w:val="00D258C2"/>
    <w:rsid w:val="00D25978"/>
    <w:rsid w:val="00D25CFA"/>
    <w:rsid w:val="00D26655"/>
    <w:rsid w:val="00D2673D"/>
    <w:rsid w:val="00D2750F"/>
    <w:rsid w:val="00D30267"/>
    <w:rsid w:val="00D30658"/>
    <w:rsid w:val="00D30692"/>
    <w:rsid w:val="00D308B2"/>
    <w:rsid w:val="00D31690"/>
    <w:rsid w:val="00D32A5D"/>
    <w:rsid w:val="00D32EB6"/>
    <w:rsid w:val="00D3457F"/>
    <w:rsid w:val="00D34BE8"/>
    <w:rsid w:val="00D3567D"/>
    <w:rsid w:val="00D3577D"/>
    <w:rsid w:val="00D363F0"/>
    <w:rsid w:val="00D36A18"/>
    <w:rsid w:val="00D37342"/>
    <w:rsid w:val="00D377EA"/>
    <w:rsid w:val="00D3784C"/>
    <w:rsid w:val="00D40536"/>
    <w:rsid w:val="00D42322"/>
    <w:rsid w:val="00D42A26"/>
    <w:rsid w:val="00D42FBA"/>
    <w:rsid w:val="00D435C1"/>
    <w:rsid w:val="00D435C3"/>
    <w:rsid w:val="00D436CF"/>
    <w:rsid w:val="00D4422F"/>
    <w:rsid w:val="00D45969"/>
    <w:rsid w:val="00D45DE8"/>
    <w:rsid w:val="00D45F91"/>
    <w:rsid w:val="00D46FF7"/>
    <w:rsid w:val="00D471CB"/>
    <w:rsid w:val="00D4732A"/>
    <w:rsid w:val="00D47B5E"/>
    <w:rsid w:val="00D47C64"/>
    <w:rsid w:val="00D50637"/>
    <w:rsid w:val="00D5063C"/>
    <w:rsid w:val="00D51127"/>
    <w:rsid w:val="00D5197A"/>
    <w:rsid w:val="00D519C9"/>
    <w:rsid w:val="00D52D1C"/>
    <w:rsid w:val="00D53453"/>
    <w:rsid w:val="00D54665"/>
    <w:rsid w:val="00D55FD8"/>
    <w:rsid w:val="00D5606C"/>
    <w:rsid w:val="00D56C23"/>
    <w:rsid w:val="00D57213"/>
    <w:rsid w:val="00D57918"/>
    <w:rsid w:val="00D57970"/>
    <w:rsid w:val="00D60652"/>
    <w:rsid w:val="00D60C3A"/>
    <w:rsid w:val="00D61099"/>
    <w:rsid w:val="00D614DF"/>
    <w:rsid w:val="00D614E3"/>
    <w:rsid w:val="00D614FA"/>
    <w:rsid w:val="00D6192B"/>
    <w:rsid w:val="00D6235C"/>
    <w:rsid w:val="00D62542"/>
    <w:rsid w:val="00D62A63"/>
    <w:rsid w:val="00D62C36"/>
    <w:rsid w:val="00D62C73"/>
    <w:rsid w:val="00D62E69"/>
    <w:rsid w:val="00D6323F"/>
    <w:rsid w:val="00D6324A"/>
    <w:rsid w:val="00D6325E"/>
    <w:rsid w:val="00D63EEF"/>
    <w:rsid w:val="00D644D0"/>
    <w:rsid w:val="00D64785"/>
    <w:rsid w:val="00D6482C"/>
    <w:rsid w:val="00D6513F"/>
    <w:rsid w:val="00D65538"/>
    <w:rsid w:val="00D66171"/>
    <w:rsid w:val="00D67DA2"/>
    <w:rsid w:val="00D700BD"/>
    <w:rsid w:val="00D7095E"/>
    <w:rsid w:val="00D729F2"/>
    <w:rsid w:val="00D73E36"/>
    <w:rsid w:val="00D73E7D"/>
    <w:rsid w:val="00D73FC9"/>
    <w:rsid w:val="00D75834"/>
    <w:rsid w:val="00D75DB5"/>
    <w:rsid w:val="00D765B2"/>
    <w:rsid w:val="00D771F8"/>
    <w:rsid w:val="00D80FC5"/>
    <w:rsid w:val="00D81829"/>
    <w:rsid w:val="00D819DF"/>
    <w:rsid w:val="00D82E19"/>
    <w:rsid w:val="00D834E7"/>
    <w:rsid w:val="00D84444"/>
    <w:rsid w:val="00D845EE"/>
    <w:rsid w:val="00D84653"/>
    <w:rsid w:val="00D84FB6"/>
    <w:rsid w:val="00D851CE"/>
    <w:rsid w:val="00D85D6F"/>
    <w:rsid w:val="00D86922"/>
    <w:rsid w:val="00D872CC"/>
    <w:rsid w:val="00D87452"/>
    <w:rsid w:val="00D878B5"/>
    <w:rsid w:val="00D906F0"/>
    <w:rsid w:val="00D909B6"/>
    <w:rsid w:val="00D91108"/>
    <w:rsid w:val="00D9195F"/>
    <w:rsid w:val="00D920D3"/>
    <w:rsid w:val="00D9264C"/>
    <w:rsid w:val="00D92B62"/>
    <w:rsid w:val="00D93161"/>
    <w:rsid w:val="00D93934"/>
    <w:rsid w:val="00D93AE6"/>
    <w:rsid w:val="00D9463A"/>
    <w:rsid w:val="00D94CF6"/>
    <w:rsid w:val="00D95890"/>
    <w:rsid w:val="00D96E0C"/>
    <w:rsid w:val="00D97303"/>
    <w:rsid w:val="00D973FD"/>
    <w:rsid w:val="00D9748C"/>
    <w:rsid w:val="00D97B95"/>
    <w:rsid w:val="00D97CE3"/>
    <w:rsid w:val="00DA11E5"/>
    <w:rsid w:val="00DA13F4"/>
    <w:rsid w:val="00DA2B8B"/>
    <w:rsid w:val="00DA2CC1"/>
    <w:rsid w:val="00DA3F44"/>
    <w:rsid w:val="00DA49EE"/>
    <w:rsid w:val="00DA51D9"/>
    <w:rsid w:val="00DA577F"/>
    <w:rsid w:val="00DA5DBE"/>
    <w:rsid w:val="00DA7BAB"/>
    <w:rsid w:val="00DB240A"/>
    <w:rsid w:val="00DB244F"/>
    <w:rsid w:val="00DB25F0"/>
    <w:rsid w:val="00DB278A"/>
    <w:rsid w:val="00DB2AEE"/>
    <w:rsid w:val="00DB2B48"/>
    <w:rsid w:val="00DB3659"/>
    <w:rsid w:val="00DB41F4"/>
    <w:rsid w:val="00DB4730"/>
    <w:rsid w:val="00DB4D9C"/>
    <w:rsid w:val="00DB5A10"/>
    <w:rsid w:val="00DB7855"/>
    <w:rsid w:val="00DB7F99"/>
    <w:rsid w:val="00DC02D0"/>
    <w:rsid w:val="00DC2E90"/>
    <w:rsid w:val="00DC36AF"/>
    <w:rsid w:val="00DC38ED"/>
    <w:rsid w:val="00DC458F"/>
    <w:rsid w:val="00DC473C"/>
    <w:rsid w:val="00DC5212"/>
    <w:rsid w:val="00DC539F"/>
    <w:rsid w:val="00DC7440"/>
    <w:rsid w:val="00DC7C14"/>
    <w:rsid w:val="00DD09E6"/>
    <w:rsid w:val="00DD0D4D"/>
    <w:rsid w:val="00DD33DD"/>
    <w:rsid w:val="00DD364A"/>
    <w:rsid w:val="00DD37A2"/>
    <w:rsid w:val="00DD3A22"/>
    <w:rsid w:val="00DD3E1B"/>
    <w:rsid w:val="00DD4662"/>
    <w:rsid w:val="00DD471B"/>
    <w:rsid w:val="00DD49EE"/>
    <w:rsid w:val="00DD4C4A"/>
    <w:rsid w:val="00DD5C51"/>
    <w:rsid w:val="00DD5E35"/>
    <w:rsid w:val="00DD60F1"/>
    <w:rsid w:val="00DD61B3"/>
    <w:rsid w:val="00DD651B"/>
    <w:rsid w:val="00DD66CD"/>
    <w:rsid w:val="00DD7334"/>
    <w:rsid w:val="00DD786D"/>
    <w:rsid w:val="00DE03FF"/>
    <w:rsid w:val="00DE159F"/>
    <w:rsid w:val="00DE185D"/>
    <w:rsid w:val="00DE4145"/>
    <w:rsid w:val="00DE4306"/>
    <w:rsid w:val="00DE5A55"/>
    <w:rsid w:val="00DE5E92"/>
    <w:rsid w:val="00DE673C"/>
    <w:rsid w:val="00DE676E"/>
    <w:rsid w:val="00DE6F3B"/>
    <w:rsid w:val="00DE71FB"/>
    <w:rsid w:val="00DE7733"/>
    <w:rsid w:val="00DE7F19"/>
    <w:rsid w:val="00DF05FB"/>
    <w:rsid w:val="00DF09E6"/>
    <w:rsid w:val="00DF231B"/>
    <w:rsid w:val="00DF29F1"/>
    <w:rsid w:val="00DF2BBB"/>
    <w:rsid w:val="00DF2E9C"/>
    <w:rsid w:val="00DF3463"/>
    <w:rsid w:val="00DF55E2"/>
    <w:rsid w:val="00DF5780"/>
    <w:rsid w:val="00DF57CE"/>
    <w:rsid w:val="00DF5B09"/>
    <w:rsid w:val="00DF5B29"/>
    <w:rsid w:val="00DF5D4D"/>
    <w:rsid w:val="00DF6C13"/>
    <w:rsid w:val="00DF7F39"/>
    <w:rsid w:val="00E003F3"/>
    <w:rsid w:val="00E00405"/>
    <w:rsid w:val="00E007E3"/>
    <w:rsid w:val="00E0149D"/>
    <w:rsid w:val="00E035E9"/>
    <w:rsid w:val="00E036F1"/>
    <w:rsid w:val="00E037F4"/>
    <w:rsid w:val="00E041BD"/>
    <w:rsid w:val="00E05E61"/>
    <w:rsid w:val="00E0646D"/>
    <w:rsid w:val="00E069A3"/>
    <w:rsid w:val="00E07E45"/>
    <w:rsid w:val="00E1221A"/>
    <w:rsid w:val="00E12B02"/>
    <w:rsid w:val="00E13210"/>
    <w:rsid w:val="00E13245"/>
    <w:rsid w:val="00E13993"/>
    <w:rsid w:val="00E14429"/>
    <w:rsid w:val="00E16B54"/>
    <w:rsid w:val="00E17816"/>
    <w:rsid w:val="00E20366"/>
    <w:rsid w:val="00E20372"/>
    <w:rsid w:val="00E20DB4"/>
    <w:rsid w:val="00E21A72"/>
    <w:rsid w:val="00E21D76"/>
    <w:rsid w:val="00E22B40"/>
    <w:rsid w:val="00E2343C"/>
    <w:rsid w:val="00E23DE9"/>
    <w:rsid w:val="00E24061"/>
    <w:rsid w:val="00E24161"/>
    <w:rsid w:val="00E24E9A"/>
    <w:rsid w:val="00E25A2F"/>
    <w:rsid w:val="00E26728"/>
    <w:rsid w:val="00E26909"/>
    <w:rsid w:val="00E2760A"/>
    <w:rsid w:val="00E27C8D"/>
    <w:rsid w:val="00E314E8"/>
    <w:rsid w:val="00E31646"/>
    <w:rsid w:val="00E31B19"/>
    <w:rsid w:val="00E34220"/>
    <w:rsid w:val="00E34746"/>
    <w:rsid w:val="00E3478B"/>
    <w:rsid w:val="00E34D9E"/>
    <w:rsid w:val="00E352B2"/>
    <w:rsid w:val="00E36BD8"/>
    <w:rsid w:val="00E37C59"/>
    <w:rsid w:val="00E37E57"/>
    <w:rsid w:val="00E40552"/>
    <w:rsid w:val="00E4083D"/>
    <w:rsid w:val="00E4095A"/>
    <w:rsid w:val="00E413F3"/>
    <w:rsid w:val="00E42AE2"/>
    <w:rsid w:val="00E42BDC"/>
    <w:rsid w:val="00E43783"/>
    <w:rsid w:val="00E45530"/>
    <w:rsid w:val="00E4576F"/>
    <w:rsid w:val="00E45B57"/>
    <w:rsid w:val="00E4696A"/>
    <w:rsid w:val="00E4745F"/>
    <w:rsid w:val="00E47F19"/>
    <w:rsid w:val="00E50269"/>
    <w:rsid w:val="00E50660"/>
    <w:rsid w:val="00E50CC4"/>
    <w:rsid w:val="00E51CCB"/>
    <w:rsid w:val="00E54DD6"/>
    <w:rsid w:val="00E5513F"/>
    <w:rsid w:val="00E5521C"/>
    <w:rsid w:val="00E55546"/>
    <w:rsid w:val="00E565D2"/>
    <w:rsid w:val="00E607BA"/>
    <w:rsid w:val="00E609B8"/>
    <w:rsid w:val="00E6289A"/>
    <w:rsid w:val="00E62A4B"/>
    <w:rsid w:val="00E6330E"/>
    <w:rsid w:val="00E63F7E"/>
    <w:rsid w:val="00E6406E"/>
    <w:rsid w:val="00E64BD3"/>
    <w:rsid w:val="00E650C9"/>
    <w:rsid w:val="00E65157"/>
    <w:rsid w:val="00E66272"/>
    <w:rsid w:val="00E66A86"/>
    <w:rsid w:val="00E67896"/>
    <w:rsid w:val="00E67953"/>
    <w:rsid w:val="00E71254"/>
    <w:rsid w:val="00E718E4"/>
    <w:rsid w:val="00E71952"/>
    <w:rsid w:val="00E72021"/>
    <w:rsid w:val="00E723F3"/>
    <w:rsid w:val="00E73878"/>
    <w:rsid w:val="00E738DC"/>
    <w:rsid w:val="00E74460"/>
    <w:rsid w:val="00E8005B"/>
    <w:rsid w:val="00E80327"/>
    <w:rsid w:val="00E80624"/>
    <w:rsid w:val="00E81AAE"/>
    <w:rsid w:val="00E81BF4"/>
    <w:rsid w:val="00E82076"/>
    <w:rsid w:val="00E82498"/>
    <w:rsid w:val="00E8267C"/>
    <w:rsid w:val="00E82DFA"/>
    <w:rsid w:val="00E8316A"/>
    <w:rsid w:val="00E83BE4"/>
    <w:rsid w:val="00E846D8"/>
    <w:rsid w:val="00E85178"/>
    <w:rsid w:val="00E867EC"/>
    <w:rsid w:val="00E868C0"/>
    <w:rsid w:val="00E873FE"/>
    <w:rsid w:val="00E90211"/>
    <w:rsid w:val="00E9021A"/>
    <w:rsid w:val="00E902F1"/>
    <w:rsid w:val="00E919A7"/>
    <w:rsid w:val="00E91F7F"/>
    <w:rsid w:val="00E925BE"/>
    <w:rsid w:val="00E92A52"/>
    <w:rsid w:val="00E92BBB"/>
    <w:rsid w:val="00E9323C"/>
    <w:rsid w:val="00E935AC"/>
    <w:rsid w:val="00E93779"/>
    <w:rsid w:val="00E947B4"/>
    <w:rsid w:val="00E947BE"/>
    <w:rsid w:val="00E94880"/>
    <w:rsid w:val="00E94A73"/>
    <w:rsid w:val="00E94F94"/>
    <w:rsid w:val="00E951C4"/>
    <w:rsid w:val="00E95D28"/>
    <w:rsid w:val="00E960FC"/>
    <w:rsid w:val="00E96338"/>
    <w:rsid w:val="00EA00C2"/>
    <w:rsid w:val="00EA094C"/>
    <w:rsid w:val="00EA096D"/>
    <w:rsid w:val="00EA0DC3"/>
    <w:rsid w:val="00EA1C43"/>
    <w:rsid w:val="00EA240B"/>
    <w:rsid w:val="00EA2D70"/>
    <w:rsid w:val="00EA31B6"/>
    <w:rsid w:val="00EA37FC"/>
    <w:rsid w:val="00EA3AD4"/>
    <w:rsid w:val="00EA452C"/>
    <w:rsid w:val="00EA51D4"/>
    <w:rsid w:val="00EA59B8"/>
    <w:rsid w:val="00EA5A69"/>
    <w:rsid w:val="00EA5BDC"/>
    <w:rsid w:val="00EA5C03"/>
    <w:rsid w:val="00EA5C42"/>
    <w:rsid w:val="00EA5EC3"/>
    <w:rsid w:val="00EA7379"/>
    <w:rsid w:val="00EA7546"/>
    <w:rsid w:val="00EB0362"/>
    <w:rsid w:val="00EB0BD4"/>
    <w:rsid w:val="00EB0BF3"/>
    <w:rsid w:val="00EB0FAA"/>
    <w:rsid w:val="00EB25FC"/>
    <w:rsid w:val="00EB3F70"/>
    <w:rsid w:val="00EB51C1"/>
    <w:rsid w:val="00EB5630"/>
    <w:rsid w:val="00EB62E0"/>
    <w:rsid w:val="00EB7E94"/>
    <w:rsid w:val="00EC04E0"/>
    <w:rsid w:val="00EC094E"/>
    <w:rsid w:val="00EC0B38"/>
    <w:rsid w:val="00EC1675"/>
    <w:rsid w:val="00EC24B7"/>
    <w:rsid w:val="00EC2814"/>
    <w:rsid w:val="00EC35AC"/>
    <w:rsid w:val="00EC3951"/>
    <w:rsid w:val="00EC40FA"/>
    <w:rsid w:val="00EC53C9"/>
    <w:rsid w:val="00EC5A2A"/>
    <w:rsid w:val="00EC6622"/>
    <w:rsid w:val="00EC7193"/>
    <w:rsid w:val="00EC7B04"/>
    <w:rsid w:val="00EC7D13"/>
    <w:rsid w:val="00ED0105"/>
    <w:rsid w:val="00ED0319"/>
    <w:rsid w:val="00ED065A"/>
    <w:rsid w:val="00ED0DBE"/>
    <w:rsid w:val="00ED1231"/>
    <w:rsid w:val="00ED164C"/>
    <w:rsid w:val="00ED27C5"/>
    <w:rsid w:val="00ED312D"/>
    <w:rsid w:val="00ED3970"/>
    <w:rsid w:val="00ED3E97"/>
    <w:rsid w:val="00ED4B87"/>
    <w:rsid w:val="00ED4CA7"/>
    <w:rsid w:val="00ED4FCF"/>
    <w:rsid w:val="00ED5218"/>
    <w:rsid w:val="00ED55ED"/>
    <w:rsid w:val="00ED5A0B"/>
    <w:rsid w:val="00ED5C33"/>
    <w:rsid w:val="00ED66E5"/>
    <w:rsid w:val="00ED7E46"/>
    <w:rsid w:val="00EE0889"/>
    <w:rsid w:val="00EE2774"/>
    <w:rsid w:val="00EE336E"/>
    <w:rsid w:val="00EE3BA7"/>
    <w:rsid w:val="00EE41FD"/>
    <w:rsid w:val="00EE421C"/>
    <w:rsid w:val="00EE47A1"/>
    <w:rsid w:val="00EE4BBD"/>
    <w:rsid w:val="00EE62AA"/>
    <w:rsid w:val="00EE6930"/>
    <w:rsid w:val="00EE71B5"/>
    <w:rsid w:val="00EE79C5"/>
    <w:rsid w:val="00EE7D0E"/>
    <w:rsid w:val="00EF060E"/>
    <w:rsid w:val="00EF1AAF"/>
    <w:rsid w:val="00EF2D53"/>
    <w:rsid w:val="00EF2E42"/>
    <w:rsid w:val="00EF3CBE"/>
    <w:rsid w:val="00EF44F9"/>
    <w:rsid w:val="00EF4893"/>
    <w:rsid w:val="00EF4C57"/>
    <w:rsid w:val="00EF564A"/>
    <w:rsid w:val="00EF5A07"/>
    <w:rsid w:val="00EF5C53"/>
    <w:rsid w:val="00EF5DC5"/>
    <w:rsid w:val="00EF64F1"/>
    <w:rsid w:val="00EF6DA5"/>
    <w:rsid w:val="00EF6DEF"/>
    <w:rsid w:val="00EF735C"/>
    <w:rsid w:val="00EF7617"/>
    <w:rsid w:val="00EF7B9D"/>
    <w:rsid w:val="00F009DF"/>
    <w:rsid w:val="00F018DB"/>
    <w:rsid w:val="00F01CAD"/>
    <w:rsid w:val="00F01CD5"/>
    <w:rsid w:val="00F02143"/>
    <w:rsid w:val="00F03230"/>
    <w:rsid w:val="00F03C1B"/>
    <w:rsid w:val="00F054AB"/>
    <w:rsid w:val="00F06C3A"/>
    <w:rsid w:val="00F0726A"/>
    <w:rsid w:val="00F07F65"/>
    <w:rsid w:val="00F10694"/>
    <w:rsid w:val="00F119AC"/>
    <w:rsid w:val="00F11B12"/>
    <w:rsid w:val="00F1273F"/>
    <w:rsid w:val="00F142FA"/>
    <w:rsid w:val="00F144DB"/>
    <w:rsid w:val="00F14713"/>
    <w:rsid w:val="00F14AB9"/>
    <w:rsid w:val="00F14F02"/>
    <w:rsid w:val="00F152A3"/>
    <w:rsid w:val="00F15615"/>
    <w:rsid w:val="00F15FD9"/>
    <w:rsid w:val="00F1650C"/>
    <w:rsid w:val="00F165B8"/>
    <w:rsid w:val="00F202E2"/>
    <w:rsid w:val="00F20DD4"/>
    <w:rsid w:val="00F214F0"/>
    <w:rsid w:val="00F217E6"/>
    <w:rsid w:val="00F23061"/>
    <w:rsid w:val="00F24C55"/>
    <w:rsid w:val="00F24CA1"/>
    <w:rsid w:val="00F254D9"/>
    <w:rsid w:val="00F26192"/>
    <w:rsid w:val="00F2779E"/>
    <w:rsid w:val="00F30EBB"/>
    <w:rsid w:val="00F31E48"/>
    <w:rsid w:val="00F325A0"/>
    <w:rsid w:val="00F32BE6"/>
    <w:rsid w:val="00F32D38"/>
    <w:rsid w:val="00F331E6"/>
    <w:rsid w:val="00F368CD"/>
    <w:rsid w:val="00F369B2"/>
    <w:rsid w:val="00F36F38"/>
    <w:rsid w:val="00F37AF5"/>
    <w:rsid w:val="00F41B37"/>
    <w:rsid w:val="00F42154"/>
    <w:rsid w:val="00F422D9"/>
    <w:rsid w:val="00F4495E"/>
    <w:rsid w:val="00F449E7"/>
    <w:rsid w:val="00F450F7"/>
    <w:rsid w:val="00F4588D"/>
    <w:rsid w:val="00F46864"/>
    <w:rsid w:val="00F46C26"/>
    <w:rsid w:val="00F4791D"/>
    <w:rsid w:val="00F47947"/>
    <w:rsid w:val="00F50068"/>
    <w:rsid w:val="00F504A8"/>
    <w:rsid w:val="00F51FA4"/>
    <w:rsid w:val="00F540A7"/>
    <w:rsid w:val="00F5459A"/>
    <w:rsid w:val="00F546FE"/>
    <w:rsid w:val="00F54C6F"/>
    <w:rsid w:val="00F55085"/>
    <w:rsid w:val="00F5550A"/>
    <w:rsid w:val="00F55601"/>
    <w:rsid w:val="00F55884"/>
    <w:rsid w:val="00F55C8F"/>
    <w:rsid w:val="00F55DB5"/>
    <w:rsid w:val="00F56458"/>
    <w:rsid w:val="00F569BA"/>
    <w:rsid w:val="00F5725D"/>
    <w:rsid w:val="00F5754C"/>
    <w:rsid w:val="00F57C06"/>
    <w:rsid w:val="00F57D53"/>
    <w:rsid w:val="00F57EC9"/>
    <w:rsid w:val="00F6068C"/>
    <w:rsid w:val="00F61AA8"/>
    <w:rsid w:val="00F61CB6"/>
    <w:rsid w:val="00F61D2B"/>
    <w:rsid w:val="00F628E0"/>
    <w:rsid w:val="00F62912"/>
    <w:rsid w:val="00F636F6"/>
    <w:rsid w:val="00F63C03"/>
    <w:rsid w:val="00F64F44"/>
    <w:rsid w:val="00F64F97"/>
    <w:rsid w:val="00F65BC8"/>
    <w:rsid w:val="00F65E87"/>
    <w:rsid w:val="00F66220"/>
    <w:rsid w:val="00F66B3F"/>
    <w:rsid w:val="00F66E11"/>
    <w:rsid w:val="00F71C40"/>
    <w:rsid w:val="00F7214F"/>
    <w:rsid w:val="00F722EE"/>
    <w:rsid w:val="00F73D53"/>
    <w:rsid w:val="00F74512"/>
    <w:rsid w:val="00F7470E"/>
    <w:rsid w:val="00F74C28"/>
    <w:rsid w:val="00F74E56"/>
    <w:rsid w:val="00F75479"/>
    <w:rsid w:val="00F75881"/>
    <w:rsid w:val="00F76A70"/>
    <w:rsid w:val="00F774B7"/>
    <w:rsid w:val="00F77788"/>
    <w:rsid w:val="00F77A18"/>
    <w:rsid w:val="00F77F47"/>
    <w:rsid w:val="00F8044C"/>
    <w:rsid w:val="00F817D2"/>
    <w:rsid w:val="00F82EF4"/>
    <w:rsid w:val="00F82FEE"/>
    <w:rsid w:val="00F83829"/>
    <w:rsid w:val="00F848A6"/>
    <w:rsid w:val="00F8659D"/>
    <w:rsid w:val="00F865D6"/>
    <w:rsid w:val="00F86E09"/>
    <w:rsid w:val="00F86E5A"/>
    <w:rsid w:val="00F87037"/>
    <w:rsid w:val="00F8720D"/>
    <w:rsid w:val="00F876D2"/>
    <w:rsid w:val="00F87AC6"/>
    <w:rsid w:val="00F90D48"/>
    <w:rsid w:val="00F9166C"/>
    <w:rsid w:val="00F917CA"/>
    <w:rsid w:val="00F91E8E"/>
    <w:rsid w:val="00F921DA"/>
    <w:rsid w:val="00F93121"/>
    <w:rsid w:val="00F93A10"/>
    <w:rsid w:val="00F93CF2"/>
    <w:rsid w:val="00F93F40"/>
    <w:rsid w:val="00F94C89"/>
    <w:rsid w:val="00F95194"/>
    <w:rsid w:val="00F95CF5"/>
    <w:rsid w:val="00F95DB6"/>
    <w:rsid w:val="00F95EE8"/>
    <w:rsid w:val="00F961FC"/>
    <w:rsid w:val="00F968FA"/>
    <w:rsid w:val="00F96A6D"/>
    <w:rsid w:val="00F96F5A"/>
    <w:rsid w:val="00F974DB"/>
    <w:rsid w:val="00F97941"/>
    <w:rsid w:val="00F97A9E"/>
    <w:rsid w:val="00FA02CD"/>
    <w:rsid w:val="00FA0313"/>
    <w:rsid w:val="00FA0653"/>
    <w:rsid w:val="00FA0A51"/>
    <w:rsid w:val="00FA0F36"/>
    <w:rsid w:val="00FA1A4C"/>
    <w:rsid w:val="00FA1A88"/>
    <w:rsid w:val="00FA254E"/>
    <w:rsid w:val="00FA2764"/>
    <w:rsid w:val="00FA2F7F"/>
    <w:rsid w:val="00FA49A9"/>
    <w:rsid w:val="00FA5E1B"/>
    <w:rsid w:val="00FA660B"/>
    <w:rsid w:val="00FA712C"/>
    <w:rsid w:val="00FA78A1"/>
    <w:rsid w:val="00FB04CF"/>
    <w:rsid w:val="00FB0EDE"/>
    <w:rsid w:val="00FB177D"/>
    <w:rsid w:val="00FB20C0"/>
    <w:rsid w:val="00FB240E"/>
    <w:rsid w:val="00FB24C8"/>
    <w:rsid w:val="00FB2BB4"/>
    <w:rsid w:val="00FB3DBD"/>
    <w:rsid w:val="00FB3FA8"/>
    <w:rsid w:val="00FB40A3"/>
    <w:rsid w:val="00FB46E2"/>
    <w:rsid w:val="00FB58A0"/>
    <w:rsid w:val="00FB63A2"/>
    <w:rsid w:val="00FB7010"/>
    <w:rsid w:val="00FB74E3"/>
    <w:rsid w:val="00FC0587"/>
    <w:rsid w:val="00FC087C"/>
    <w:rsid w:val="00FC094A"/>
    <w:rsid w:val="00FC11D2"/>
    <w:rsid w:val="00FC1283"/>
    <w:rsid w:val="00FC2040"/>
    <w:rsid w:val="00FC238F"/>
    <w:rsid w:val="00FC27FB"/>
    <w:rsid w:val="00FC2A51"/>
    <w:rsid w:val="00FC36AC"/>
    <w:rsid w:val="00FC4291"/>
    <w:rsid w:val="00FC4AEA"/>
    <w:rsid w:val="00FC5A7B"/>
    <w:rsid w:val="00FC647B"/>
    <w:rsid w:val="00FC6CD8"/>
    <w:rsid w:val="00FC75BD"/>
    <w:rsid w:val="00FC7D96"/>
    <w:rsid w:val="00FD06DC"/>
    <w:rsid w:val="00FD1026"/>
    <w:rsid w:val="00FD19DA"/>
    <w:rsid w:val="00FD1B0A"/>
    <w:rsid w:val="00FD2D9C"/>
    <w:rsid w:val="00FD39CF"/>
    <w:rsid w:val="00FE0B7E"/>
    <w:rsid w:val="00FE1953"/>
    <w:rsid w:val="00FE19D4"/>
    <w:rsid w:val="00FE223D"/>
    <w:rsid w:val="00FE22D3"/>
    <w:rsid w:val="00FE27E4"/>
    <w:rsid w:val="00FE2D0A"/>
    <w:rsid w:val="00FE3568"/>
    <w:rsid w:val="00FE4403"/>
    <w:rsid w:val="00FE4DFA"/>
    <w:rsid w:val="00FE5122"/>
    <w:rsid w:val="00FE540D"/>
    <w:rsid w:val="00FE55B1"/>
    <w:rsid w:val="00FE566F"/>
    <w:rsid w:val="00FE6963"/>
    <w:rsid w:val="00FE6D93"/>
    <w:rsid w:val="00FE7780"/>
    <w:rsid w:val="00FF0459"/>
    <w:rsid w:val="00FF04B9"/>
    <w:rsid w:val="00FF0867"/>
    <w:rsid w:val="00FF0EED"/>
    <w:rsid w:val="00FF1109"/>
    <w:rsid w:val="00FF1A5B"/>
    <w:rsid w:val="00FF2303"/>
    <w:rsid w:val="00FF3DDC"/>
    <w:rsid w:val="00FF5422"/>
    <w:rsid w:val="00FF59B2"/>
    <w:rsid w:val="00FF5F30"/>
    <w:rsid w:val="00FF5F59"/>
    <w:rsid w:val="00FF6BAB"/>
    <w:rsid w:val="00FF7051"/>
    <w:rsid w:val="00FF7D7A"/>
    <w:rsid w:val="00FF7F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314c"/>
    </o:shapedefaults>
    <o:shapelayout v:ext="edit">
      <o:idmap v:ext="edit" data="2"/>
    </o:shapelayout>
  </w:shapeDefaults>
  <w:decimalSymbol w:val="."/>
  <w:listSeparator w:val=","/>
  <w14:docId w14:val="6581ABC3"/>
  <w15:chartTrackingRefBased/>
  <w15:docId w15:val="{E6B21D50-6C81-466F-8159-D1C8156E3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qFormat/>
    <w:rsid w:val="00863A0F"/>
    <w:pPr>
      <w:outlineLvl w:val="0"/>
    </w:pPr>
    <w:rPr>
      <w:color w:val="000000" w:themeColor="text1"/>
      <w:sz w:val="72"/>
      <w:szCs w:val="72"/>
    </w:rPr>
  </w:style>
  <w:style w:type="paragraph" w:styleId="Heading2">
    <w:name w:val="heading 2"/>
    <w:basedOn w:val="Normal"/>
    <w:next w:val="Normal"/>
    <w:link w:val="Heading2Char"/>
    <w:unhideWhenUsed/>
    <w:qFormat/>
    <w:rsid w:val="0007206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655C8C"/>
    <w:rPr>
      <w:rFonts w:ascii="Arial" w:eastAsia="Times New Roman" w:hAnsi="Arial" w:cs="Arial"/>
      <w:kern w:val="0"/>
      <w:sz w:val="24"/>
      <w:szCs w:val="24"/>
      <w14:ligatures w14:val="none"/>
    </w:rPr>
  </w:style>
  <w:style w:type="character" w:customStyle="1" w:styleId="normaltextrun">
    <w:name w:val="normaltextrun"/>
    <w:rsid w:val="00EC7B04"/>
  </w:style>
  <w:style w:type="character" w:customStyle="1" w:styleId="Heading2Char">
    <w:name w:val="Heading 2 Char"/>
    <w:basedOn w:val="DefaultParagraphFont"/>
    <w:link w:val="Heading2"/>
    <w:rsid w:val="0007206D"/>
    <w:rPr>
      <w:rFonts w:asciiTheme="majorHAnsi" w:eastAsiaTheme="majorEastAsia" w:hAnsiTheme="majorHAnsi" w:cstheme="majorBidi"/>
      <w:color w:val="2F5496" w:themeColor="accent1" w:themeShade="BF"/>
      <w:sz w:val="26"/>
      <w:szCs w:val="26"/>
    </w:rPr>
  </w:style>
  <w:style w:type="character" w:styleId="CommentReference">
    <w:name w:val="annotation reference"/>
    <w:semiHidden/>
    <w:rsid w:val="0007206D"/>
    <w:rPr>
      <w:sz w:val="16"/>
      <w:szCs w:val="16"/>
    </w:rPr>
  </w:style>
  <w:style w:type="paragraph" w:styleId="CommentText">
    <w:name w:val="annotation text"/>
    <w:basedOn w:val="Normal"/>
    <w:link w:val="CommentTextChar"/>
    <w:semiHidden/>
    <w:rsid w:val="0007206D"/>
    <w:pPr>
      <w:spacing w:after="120"/>
      <w:jc w:val="both"/>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semiHidden/>
    <w:rsid w:val="0007206D"/>
    <w:rPr>
      <w:rFonts w:ascii="Times New Roman" w:eastAsia="Times New Roman" w:hAnsi="Times New Roman" w:cs="Times New Roman"/>
      <w:kern w:val="0"/>
      <w:sz w:val="20"/>
      <w:szCs w:val="20"/>
      <w:lang w:val="en-US"/>
      <w14:ligatures w14:val="none"/>
    </w:rPr>
  </w:style>
  <w:style w:type="character" w:customStyle="1" w:styleId="eop">
    <w:name w:val="eop"/>
    <w:rsid w:val="0007206D"/>
  </w:style>
  <w:style w:type="character" w:styleId="Mention">
    <w:name w:val="Mention"/>
    <w:uiPriority w:val="99"/>
    <w:unhideWhenUsed/>
    <w:rsid w:val="0007206D"/>
    <w:rPr>
      <w:color w:val="2B579A"/>
      <w:shd w:val="clear" w:color="auto" w:fill="E1DFDD"/>
    </w:rPr>
  </w:style>
  <w:style w:type="character" w:styleId="PlaceholderText">
    <w:name w:val="Placeholder Text"/>
    <w:basedOn w:val="DefaultParagraphFont"/>
    <w:uiPriority w:val="99"/>
    <w:semiHidden/>
    <w:rsid w:val="00491904"/>
    <w:rPr>
      <w:color w:val="808080"/>
    </w:rPr>
  </w:style>
  <w:style w:type="paragraph" w:styleId="CommentSubject">
    <w:name w:val="annotation subject"/>
    <w:basedOn w:val="CommentText"/>
    <w:next w:val="CommentText"/>
    <w:link w:val="CommentSubjectChar"/>
    <w:uiPriority w:val="99"/>
    <w:semiHidden/>
    <w:unhideWhenUsed/>
    <w:rsid w:val="00ED4B87"/>
    <w:pPr>
      <w:spacing w:after="0"/>
      <w:jc w:val="left"/>
    </w:pPr>
    <w:rPr>
      <w:rFonts w:ascii="Arial" w:eastAsiaTheme="minorHAnsi" w:hAnsi="Arial" w:cs="Arial"/>
      <w:b/>
      <w:bCs/>
      <w:kern w:val="2"/>
      <w:lang w:val="en-GB"/>
      <w14:ligatures w14:val="standardContextual"/>
    </w:rPr>
  </w:style>
  <w:style w:type="character" w:customStyle="1" w:styleId="CommentSubjectChar">
    <w:name w:val="Comment Subject Char"/>
    <w:basedOn w:val="CommentTextChar"/>
    <w:link w:val="CommentSubject"/>
    <w:uiPriority w:val="99"/>
    <w:semiHidden/>
    <w:rsid w:val="00ED4B87"/>
    <w:rPr>
      <w:rFonts w:ascii="Arial" w:eastAsia="Times New Roman" w:hAnsi="Arial" w:cs="Arial"/>
      <w:b/>
      <w:bCs/>
      <w:kern w:val="0"/>
      <w:sz w:val="20"/>
      <w:szCs w:val="20"/>
      <w:lang w:val="en-US"/>
      <w14:ligatures w14:val="none"/>
    </w:rPr>
  </w:style>
  <w:style w:type="character" w:styleId="UnresolvedMention">
    <w:name w:val="Unresolved Mention"/>
    <w:basedOn w:val="DefaultParagraphFont"/>
    <w:uiPriority w:val="99"/>
    <w:semiHidden/>
    <w:unhideWhenUsed/>
    <w:rsid w:val="00B7007D"/>
    <w:rPr>
      <w:color w:val="605E5C"/>
      <w:shd w:val="clear" w:color="auto" w:fill="E1DFDD"/>
    </w:rPr>
  </w:style>
  <w:style w:type="paragraph" w:styleId="Revision">
    <w:name w:val="Revision"/>
    <w:hidden/>
    <w:uiPriority w:val="99"/>
    <w:semiHidden/>
    <w:rsid w:val="002B4BAB"/>
    <w:pPr>
      <w:spacing w:after="0" w:line="240" w:lineRule="auto"/>
    </w:pPr>
    <w:rPr>
      <w:rFonts w:ascii="Arial" w:hAnsi="Arial" w:cs="Arial"/>
      <w:sz w:val="24"/>
      <w:szCs w:val="24"/>
    </w:rPr>
  </w:style>
  <w:style w:type="paragraph" w:styleId="BodyText">
    <w:name w:val="Body Text"/>
    <w:basedOn w:val="Normal"/>
    <w:link w:val="BodyTextChar"/>
    <w:rsid w:val="0035636E"/>
    <w:pPr>
      <w:spacing w:after="240"/>
      <w:ind w:left="720"/>
      <w:jc w:val="both"/>
    </w:pPr>
    <w:rPr>
      <w:rFonts w:ascii="Times New Roman" w:eastAsia="Times New Roman" w:hAnsi="Times New Roman" w:cs="Times New Roman"/>
      <w:snapToGrid w:val="0"/>
      <w:kern w:val="0"/>
      <w:szCs w:val="20"/>
      <w:lang w:val="en-US"/>
      <w14:ligatures w14:val="none"/>
    </w:rPr>
  </w:style>
  <w:style w:type="character" w:customStyle="1" w:styleId="BodyTextChar">
    <w:name w:val="Body Text Char"/>
    <w:basedOn w:val="DefaultParagraphFont"/>
    <w:link w:val="BodyText"/>
    <w:rsid w:val="0035636E"/>
    <w:rPr>
      <w:rFonts w:ascii="Times New Roman" w:eastAsia="Times New Roman" w:hAnsi="Times New Roman" w:cs="Times New Roman"/>
      <w:snapToGrid w:val="0"/>
      <w:kern w:val="0"/>
      <w:sz w:val="24"/>
      <w:szCs w:val="20"/>
      <w:lang w:val="en-US"/>
      <w14:ligatures w14:val="none"/>
    </w:rPr>
  </w:style>
  <w:style w:type="paragraph" w:customStyle="1" w:styleId="TableText">
    <w:name w:val="Table Text"/>
    <w:basedOn w:val="Normal"/>
    <w:rsid w:val="0035636E"/>
    <w:pPr>
      <w:spacing w:before="120" w:after="120"/>
    </w:pPr>
    <w:rPr>
      <w:rFonts w:ascii="Times New Roman" w:eastAsia="Times New Roman" w:hAnsi="Times New Roman" w:cs="Times New Roman"/>
      <w:b/>
      <w:kern w:val="0"/>
      <w:szCs w:val="20"/>
      <w:lang w:val="en-US"/>
      <w14:ligatures w14:val="none"/>
    </w:rPr>
  </w:style>
  <w:style w:type="table" w:styleId="TableGrid">
    <w:name w:val="Table Grid"/>
    <w:basedOn w:val="TableNormal"/>
    <w:uiPriority w:val="39"/>
    <w:rsid w:val="00C76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251561">
      <w:bodyDiv w:val="1"/>
      <w:marLeft w:val="0"/>
      <w:marRight w:val="0"/>
      <w:marTop w:val="0"/>
      <w:marBottom w:val="0"/>
      <w:divBdr>
        <w:top w:val="none" w:sz="0" w:space="0" w:color="auto"/>
        <w:left w:val="none" w:sz="0" w:space="0" w:color="auto"/>
        <w:bottom w:val="none" w:sz="0" w:space="0" w:color="auto"/>
        <w:right w:val="none" w:sz="0" w:space="0" w:color="auto"/>
      </w:divBdr>
    </w:div>
    <w:div w:id="671881663">
      <w:bodyDiv w:val="1"/>
      <w:marLeft w:val="0"/>
      <w:marRight w:val="0"/>
      <w:marTop w:val="0"/>
      <w:marBottom w:val="0"/>
      <w:divBdr>
        <w:top w:val="none" w:sz="0" w:space="0" w:color="auto"/>
        <w:left w:val="none" w:sz="0" w:space="0" w:color="auto"/>
        <w:bottom w:val="none" w:sz="0" w:space="0" w:color="auto"/>
        <w:right w:val="none" w:sz="0" w:space="0" w:color="auto"/>
      </w:divBdr>
    </w:div>
    <w:div w:id="1130587662">
      <w:bodyDiv w:val="1"/>
      <w:marLeft w:val="0"/>
      <w:marRight w:val="0"/>
      <w:marTop w:val="0"/>
      <w:marBottom w:val="0"/>
      <w:divBdr>
        <w:top w:val="none" w:sz="0" w:space="0" w:color="auto"/>
        <w:left w:val="none" w:sz="0" w:space="0" w:color="auto"/>
        <w:bottom w:val="none" w:sz="0" w:space="0" w:color="auto"/>
        <w:right w:val="none" w:sz="0" w:space="0" w:color="auto"/>
      </w:divBdr>
    </w:div>
    <w:div w:id="123315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ew.minall@hant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gemma.anderson@hants.gov.uk"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nabel.hodder@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c5dbf34-c73a-430c-9290-9174ad787734" ContentTypeId="0x0101004E1B537BC2B2AD43A5AF5311D732D3AA" PreviousValue="false"/>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CC Default Document" ma:contentTypeID="0x0101004E1B537BC2B2AD43A5AF5311D732D3AA001614B3EA1478AC478C025D1CAD6210AB" ma:contentTypeVersion="9" ma:contentTypeDescription="Default base CT that all others should inherit from." ma:contentTypeScope="" ma:versionID="80e430d818ee560defebbc70018a1d90">
  <xsd:schema xmlns:xsd="http://www.w3.org/2001/XMLSchema" xmlns:xs="http://www.w3.org/2001/XMLSchema" xmlns:p="http://schemas.microsoft.com/office/2006/metadata/properties" xmlns:ns2="c5dbf80e-f509-45f6-9fe5-406e3eefabbb" targetNamespace="http://schemas.microsoft.com/office/2006/metadata/properties" ma:root="true" ma:fieldsID="3d049ce3be5d299461dfd998afbf7303" ns2:_="">
    <xsd:import namespace="c5dbf80e-f509-45f6-9fe5-406e3eefabbb"/>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6c132e-f9ff-483b-8779-2c3a72fbb8c3}" ma:internalName="TaxCatchAll" ma:showField="CatchAllData"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6c132e-f9ff-483b-8779-2c3a72fbb8c3}" ma:internalName="TaxCatchAllLabel" ma:readOnly="true" ma:showField="CatchAllDataLabel" ma:web="9f5620cb-cc21-4b3f-8fc3-aa3eb05bfe07">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AF9BC-53C0-41CD-89E0-7255B4271039}">
  <ds:schemaRefs>
    <ds:schemaRef ds:uri="Microsoft.SharePoint.Taxonomy.ContentTypeSync"/>
  </ds:schemaRefs>
</ds:datastoreItem>
</file>

<file path=customXml/itemProps2.xml><?xml version="1.0" encoding="utf-8"?>
<ds:datastoreItem xmlns:ds="http://schemas.openxmlformats.org/officeDocument/2006/customXml" ds:itemID="{7E8BDEC9-11FB-477D-AA4F-12D815873F31}">
  <ds:schemaRefs>
    <ds:schemaRef ds:uri="http://schemas.microsoft.com/sharepoint/events"/>
  </ds:schemaRefs>
</ds:datastoreItem>
</file>

<file path=customXml/itemProps3.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4.xml><?xml version="1.0" encoding="utf-8"?>
<ds:datastoreItem xmlns:ds="http://schemas.openxmlformats.org/officeDocument/2006/customXml" ds:itemID="{8887CAFE-89FF-4879-801F-3A44268F5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B9C669-03DE-4A52-BFAC-5E9B1EB819E6}">
  <ds:schemaRefs>
    <ds:schemaRef ds:uri="http://schemas.microsoft.com/office/2006/metadata/properties"/>
    <ds:schemaRef ds:uri="http://schemas.microsoft.com/office/infopath/2007/PartnerControls"/>
    <ds:schemaRef ds:uri="c5dbf80e-f509-45f6-9fe5-406e3eefabbb"/>
  </ds:schemaRefs>
</ds:datastoreItem>
</file>

<file path=customXml/itemProps6.xml><?xml version="1.0" encoding="utf-8"?>
<ds:datastoreItem xmlns:ds="http://schemas.openxmlformats.org/officeDocument/2006/customXml" ds:itemID="{6EF63B5F-9E67-43C3-B8DE-A27DCD82F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2685</Words>
  <Characters>15307</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Blackwell, Anita</cp:lastModifiedBy>
  <cp:revision>2</cp:revision>
  <dcterms:created xsi:type="dcterms:W3CDTF">2024-12-02T17:47:00Z</dcterms:created>
  <dcterms:modified xsi:type="dcterms:W3CDTF">2024-12-02T17:47:00Z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0x0101004E1B537BC2B2AD43A5AF5311D732D3AA001614B3EA1478AC478C025D1CAD6210AB</vt:lpwstr>
  </property>
  <property fmtid="{D5CDD505-2E9C-101B-9397-08002B2CF9AE}" pid="3" name="_dlc_DocIdItemGuid">
    <vt:lpwstr>68164c55-a459-40f4-8cec-113d503d0bb8</vt:lpwstr>
  </property>
  <property fmtid="{D5CDD505-2E9C-101B-9397-08002B2CF9AE}" pid="4" name="Document Type">
    <vt:lpwstr/>
  </property>
  <property fmtid="{D5CDD505-2E9C-101B-9397-08002B2CF9AE}" pid="5" name="Document_x0020_Type">
    <vt:lpwstr/>
  </property>
</Properties>
</file>