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left w:w="43" w:type="dxa"/>
          <w:right w:w="43" w:type="dxa"/>
        </w:tblCellMar>
        <w:tblLook w:val="0000" w:firstRow="0" w:lastRow="0" w:firstColumn="0" w:lastColumn="0" w:noHBand="0" w:noVBand="0"/>
      </w:tblPr>
      <w:tblGrid>
        <w:gridCol w:w="255"/>
        <w:gridCol w:w="2439"/>
        <w:gridCol w:w="3827"/>
        <w:gridCol w:w="1501"/>
      </w:tblGrid>
      <w:tr w:rsidR="006D3708" w:rsidRPr="004704DD" w14:paraId="7E5291A6" w14:textId="77777777" w:rsidTr="006D3708">
        <w:trPr>
          <w:cantSplit/>
          <w:trHeight w:val="411"/>
          <w:tblHeader/>
        </w:trPr>
        <w:tc>
          <w:tcPr>
            <w:tcW w:w="255" w:type="dxa"/>
            <w:tcBorders>
              <w:top w:val="single" w:sz="6" w:space="0" w:color="auto"/>
              <w:left w:val="single" w:sz="6" w:space="0" w:color="auto"/>
            </w:tcBorders>
          </w:tcPr>
          <w:p w14:paraId="16E6191D" w14:textId="77777777" w:rsidR="006D3708" w:rsidRPr="004704DD" w:rsidRDefault="006D3708" w:rsidP="006D3708">
            <w:pPr>
              <w:pStyle w:val="BodyText"/>
              <w:spacing w:before="120" w:after="120"/>
              <w:rPr>
                <w:rFonts w:ascii="Arial" w:hAnsi="Arial" w:cs="Arial"/>
              </w:rPr>
            </w:pPr>
            <w:bookmarkStart w:id="0" w:name="_Toc151016895"/>
          </w:p>
        </w:tc>
        <w:tc>
          <w:tcPr>
            <w:tcW w:w="7767" w:type="dxa"/>
            <w:gridSpan w:val="3"/>
            <w:tcBorders>
              <w:top w:val="single" w:sz="6" w:space="0" w:color="auto"/>
              <w:right w:val="single" w:sz="6" w:space="0" w:color="auto"/>
            </w:tcBorders>
          </w:tcPr>
          <w:p w14:paraId="145E3CE3" w14:textId="77777777" w:rsidR="006D3708" w:rsidRPr="004704DD" w:rsidRDefault="006D3708" w:rsidP="006D3708">
            <w:pPr>
              <w:pStyle w:val="TableText"/>
              <w:rPr>
                <w:rFonts w:ascii="Arial" w:hAnsi="Arial" w:cs="Arial"/>
              </w:rPr>
            </w:pPr>
            <w:r w:rsidRPr="004704DD">
              <w:rPr>
                <w:rFonts w:ascii="Arial" w:hAnsi="Arial" w:cs="Arial"/>
              </w:rPr>
              <w:t>Hampshire County Council</w:t>
            </w:r>
          </w:p>
        </w:tc>
      </w:tr>
      <w:tr w:rsidR="006D3708" w:rsidRPr="004704DD" w14:paraId="2EA85BDF" w14:textId="77777777" w:rsidTr="006D3708">
        <w:trPr>
          <w:trHeight w:val="465"/>
          <w:tblHeader/>
        </w:trPr>
        <w:tc>
          <w:tcPr>
            <w:tcW w:w="255" w:type="dxa"/>
            <w:tcBorders>
              <w:left w:val="single" w:sz="6" w:space="0" w:color="auto"/>
            </w:tcBorders>
          </w:tcPr>
          <w:p w14:paraId="40AA8E8E" w14:textId="77777777" w:rsidR="006D3708" w:rsidRPr="004704DD" w:rsidRDefault="006D3708" w:rsidP="006D3708">
            <w:pPr>
              <w:pStyle w:val="BodyText"/>
              <w:spacing w:before="120" w:after="120"/>
              <w:rPr>
                <w:rFonts w:ascii="Arial" w:hAnsi="Arial" w:cs="Arial"/>
              </w:rPr>
            </w:pPr>
          </w:p>
        </w:tc>
        <w:tc>
          <w:tcPr>
            <w:tcW w:w="6266" w:type="dxa"/>
            <w:gridSpan w:val="2"/>
          </w:tcPr>
          <w:p w14:paraId="6A2BC429" w14:textId="77777777" w:rsidR="006D3708" w:rsidRPr="004704DD" w:rsidRDefault="006D3708" w:rsidP="006D3708">
            <w:pPr>
              <w:pStyle w:val="TableText"/>
              <w:rPr>
                <w:rFonts w:ascii="Arial" w:hAnsi="Arial" w:cs="Arial"/>
              </w:rPr>
            </w:pPr>
            <w:r w:rsidRPr="004704DD">
              <w:rPr>
                <w:rFonts w:ascii="Arial" w:hAnsi="Arial" w:cs="Arial"/>
              </w:rPr>
              <w:t xml:space="preserve">Schools Forum </w:t>
            </w:r>
          </w:p>
        </w:tc>
        <w:tc>
          <w:tcPr>
            <w:tcW w:w="1501" w:type="dxa"/>
            <w:tcBorders>
              <w:right w:val="single" w:sz="6" w:space="0" w:color="auto"/>
            </w:tcBorders>
          </w:tcPr>
          <w:p w14:paraId="2C114C49" w14:textId="2DD19523" w:rsidR="006D3708" w:rsidRPr="004704DD" w:rsidRDefault="006D3708" w:rsidP="006D3708">
            <w:pPr>
              <w:pStyle w:val="TableText"/>
              <w:rPr>
                <w:rFonts w:ascii="Arial" w:hAnsi="Arial" w:cs="Arial"/>
              </w:rPr>
            </w:pPr>
            <w:r w:rsidRPr="00DD6C98">
              <w:rPr>
                <w:rFonts w:ascii="Arial" w:hAnsi="Arial" w:cs="Arial"/>
              </w:rPr>
              <w:fldChar w:fldCharType="begin"/>
            </w:r>
            <w:r w:rsidRPr="00DD6C98">
              <w:rPr>
                <w:rFonts w:ascii="Arial" w:hAnsi="Arial" w:cs="Arial"/>
              </w:rPr>
              <w:instrText xml:space="preserve"> FILLIN \d "Item" \* MERGEFORMAT </w:instrText>
            </w:r>
            <w:r w:rsidRPr="00DD6C98">
              <w:rPr>
                <w:rFonts w:ascii="Arial" w:hAnsi="Arial" w:cs="Arial"/>
              </w:rPr>
              <w:fldChar w:fldCharType="separate"/>
            </w:r>
            <w:r w:rsidRPr="00DD6C98">
              <w:rPr>
                <w:rFonts w:ascii="Arial" w:hAnsi="Arial" w:cs="Arial"/>
              </w:rPr>
              <w:t>Item</w:t>
            </w:r>
            <w:r w:rsidRPr="00DD6C98">
              <w:rPr>
                <w:rFonts w:ascii="Arial" w:hAnsi="Arial" w:cs="Arial"/>
              </w:rPr>
              <w:fldChar w:fldCharType="end"/>
            </w:r>
            <w:r w:rsidRPr="00DD6C98">
              <w:rPr>
                <w:rFonts w:ascii="Arial" w:hAnsi="Arial" w:cs="Arial"/>
              </w:rPr>
              <w:t xml:space="preserve"> </w:t>
            </w:r>
            <w:r w:rsidR="00DD6C98" w:rsidRPr="00DD6C98">
              <w:rPr>
                <w:rFonts w:ascii="Arial" w:hAnsi="Arial" w:cs="Arial"/>
              </w:rPr>
              <w:t>6</w:t>
            </w:r>
          </w:p>
        </w:tc>
      </w:tr>
      <w:tr w:rsidR="006D3708" w:rsidRPr="004704DD" w14:paraId="72891C25" w14:textId="77777777" w:rsidTr="006D3708">
        <w:trPr>
          <w:trHeight w:val="519"/>
          <w:tblHeader/>
        </w:trPr>
        <w:tc>
          <w:tcPr>
            <w:tcW w:w="255" w:type="dxa"/>
            <w:tcBorders>
              <w:left w:val="single" w:sz="6" w:space="0" w:color="auto"/>
            </w:tcBorders>
          </w:tcPr>
          <w:p w14:paraId="0BD93B34" w14:textId="77777777" w:rsidR="006D3708" w:rsidRPr="004704DD" w:rsidRDefault="006D3708" w:rsidP="006D3708">
            <w:pPr>
              <w:pStyle w:val="BodyText"/>
              <w:spacing w:before="120" w:after="120"/>
              <w:rPr>
                <w:rFonts w:ascii="Arial" w:hAnsi="Arial" w:cs="Arial"/>
              </w:rPr>
            </w:pPr>
          </w:p>
        </w:tc>
        <w:tc>
          <w:tcPr>
            <w:tcW w:w="2439" w:type="dxa"/>
          </w:tcPr>
          <w:p w14:paraId="27C0EE6B" w14:textId="4DC69FE5" w:rsidR="006D3708" w:rsidRPr="004704DD" w:rsidRDefault="006D3708" w:rsidP="006D3708">
            <w:pPr>
              <w:pStyle w:val="TableText"/>
              <w:rPr>
                <w:rFonts w:ascii="Arial" w:hAnsi="Arial" w:cs="Arial"/>
              </w:rPr>
            </w:pPr>
            <w:r>
              <w:rPr>
                <w:rFonts w:ascii="Arial" w:hAnsi="Arial" w:cs="Arial"/>
              </w:rPr>
              <w:t>1</w:t>
            </w:r>
            <w:r w:rsidR="00DD6C98">
              <w:rPr>
                <w:rFonts w:ascii="Arial" w:hAnsi="Arial" w:cs="Arial"/>
              </w:rPr>
              <w:t>2</w:t>
            </w:r>
            <w:r>
              <w:rPr>
                <w:rFonts w:ascii="Arial" w:hAnsi="Arial" w:cs="Arial"/>
              </w:rPr>
              <w:t xml:space="preserve"> December</w:t>
            </w:r>
            <w:r w:rsidRPr="004704DD">
              <w:rPr>
                <w:rFonts w:ascii="Arial" w:hAnsi="Arial" w:cs="Arial"/>
              </w:rPr>
              <w:t xml:space="preserve"> 20</w:t>
            </w:r>
            <w:r>
              <w:rPr>
                <w:rFonts w:ascii="Arial" w:hAnsi="Arial" w:cs="Arial"/>
              </w:rPr>
              <w:t>2</w:t>
            </w:r>
            <w:r w:rsidR="00170660">
              <w:rPr>
                <w:rFonts w:ascii="Arial" w:hAnsi="Arial" w:cs="Arial"/>
              </w:rPr>
              <w:t>3</w:t>
            </w:r>
          </w:p>
        </w:tc>
        <w:tc>
          <w:tcPr>
            <w:tcW w:w="5328" w:type="dxa"/>
            <w:gridSpan w:val="2"/>
            <w:tcBorders>
              <w:right w:val="single" w:sz="6" w:space="0" w:color="auto"/>
            </w:tcBorders>
          </w:tcPr>
          <w:p w14:paraId="2F873F03" w14:textId="77777777" w:rsidR="006D3708" w:rsidRPr="004704DD" w:rsidRDefault="006D3708" w:rsidP="006D3708">
            <w:pPr>
              <w:pStyle w:val="TableText"/>
              <w:rPr>
                <w:rFonts w:ascii="Arial" w:hAnsi="Arial" w:cs="Arial"/>
              </w:rPr>
            </w:pPr>
          </w:p>
        </w:tc>
      </w:tr>
      <w:tr w:rsidR="006D3708" w:rsidRPr="004704DD" w14:paraId="02CA2577" w14:textId="77777777" w:rsidTr="006D3708">
        <w:trPr>
          <w:cantSplit/>
          <w:trHeight w:val="586"/>
          <w:tblHeader/>
        </w:trPr>
        <w:tc>
          <w:tcPr>
            <w:tcW w:w="255" w:type="dxa"/>
            <w:tcBorders>
              <w:left w:val="single" w:sz="6" w:space="0" w:color="auto"/>
            </w:tcBorders>
          </w:tcPr>
          <w:p w14:paraId="1109B147" w14:textId="77777777" w:rsidR="006D3708" w:rsidRPr="004704DD" w:rsidRDefault="006D3708" w:rsidP="006D3708">
            <w:pPr>
              <w:pStyle w:val="BodyText"/>
              <w:spacing w:before="120" w:after="120"/>
              <w:rPr>
                <w:rFonts w:ascii="Arial" w:hAnsi="Arial" w:cs="Arial"/>
              </w:rPr>
            </w:pPr>
          </w:p>
        </w:tc>
        <w:tc>
          <w:tcPr>
            <w:tcW w:w="7767" w:type="dxa"/>
            <w:gridSpan w:val="3"/>
            <w:tcBorders>
              <w:right w:val="single" w:sz="6" w:space="0" w:color="auto"/>
            </w:tcBorders>
          </w:tcPr>
          <w:p w14:paraId="3BE2B1C2" w14:textId="78DCFF4C" w:rsidR="006D3708" w:rsidRPr="004704DD" w:rsidRDefault="006D3708" w:rsidP="006D3708">
            <w:pPr>
              <w:pStyle w:val="TableText"/>
              <w:rPr>
                <w:rFonts w:ascii="Arial" w:hAnsi="Arial" w:cs="Arial"/>
              </w:rPr>
            </w:pPr>
            <w:r w:rsidRPr="004704DD">
              <w:rPr>
                <w:rFonts w:ascii="Arial" w:hAnsi="Arial" w:cs="Arial"/>
              </w:rPr>
              <w:t>Schools Budget</w:t>
            </w:r>
            <w:r>
              <w:rPr>
                <w:rFonts w:ascii="Arial" w:hAnsi="Arial" w:cs="Arial"/>
              </w:rPr>
              <w:t xml:space="preserve"> 202</w:t>
            </w:r>
            <w:r w:rsidR="00170660">
              <w:rPr>
                <w:rFonts w:ascii="Arial" w:hAnsi="Arial" w:cs="Arial"/>
              </w:rPr>
              <w:t>4</w:t>
            </w:r>
            <w:r>
              <w:rPr>
                <w:rFonts w:ascii="Arial" w:hAnsi="Arial" w:cs="Arial"/>
              </w:rPr>
              <w:t>/2</w:t>
            </w:r>
            <w:r w:rsidR="00170660">
              <w:rPr>
                <w:rFonts w:ascii="Arial" w:hAnsi="Arial" w:cs="Arial"/>
              </w:rPr>
              <w:t>5</w:t>
            </w:r>
          </w:p>
        </w:tc>
      </w:tr>
      <w:tr w:rsidR="006D3708" w:rsidRPr="004704DD" w14:paraId="00ABB375" w14:textId="77777777" w:rsidTr="006D3708">
        <w:trPr>
          <w:cantSplit/>
          <w:trHeight w:val="395"/>
          <w:tblHeader/>
        </w:trPr>
        <w:tc>
          <w:tcPr>
            <w:tcW w:w="255" w:type="dxa"/>
            <w:tcBorders>
              <w:left w:val="single" w:sz="6" w:space="0" w:color="auto"/>
              <w:bottom w:val="single" w:sz="6" w:space="0" w:color="auto"/>
            </w:tcBorders>
          </w:tcPr>
          <w:p w14:paraId="200BEC5F" w14:textId="77777777" w:rsidR="006D3708" w:rsidRPr="004704DD" w:rsidRDefault="006D3708" w:rsidP="006D3708">
            <w:pPr>
              <w:pStyle w:val="BodyText"/>
              <w:spacing w:before="120" w:after="120"/>
              <w:rPr>
                <w:rFonts w:ascii="Arial" w:hAnsi="Arial" w:cs="Arial"/>
              </w:rPr>
            </w:pPr>
          </w:p>
        </w:tc>
        <w:tc>
          <w:tcPr>
            <w:tcW w:w="7767" w:type="dxa"/>
            <w:gridSpan w:val="3"/>
            <w:tcBorders>
              <w:bottom w:val="single" w:sz="6" w:space="0" w:color="auto"/>
              <w:right w:val="single" w:sz="6" w:space="0" w:color="auto"/>
            </w:tcBorders>
          </w:tcPr>
          <w:p w14:paraId="0477BD74" w14:textId="77777777" w:rsidR="006D3708" w:rsidRPr="004704DD" w:rsidRDefault="006D3708" w:rsidP="006D3708">
            <w:pPr>
              <w:pStyle w:val="TableText"/>
              <w:rPr>
                <w:rFonts w:ascii="Arial" w:hAnsi="Arial" w:cs="Arial"/>
              </w:rPr>
            </w:pPr>
            <w:r w:rsidRPr="004704DD">
              <w:rPr>
                <w:rFonts w:ascii="Arial" w:hAnsi="Arial" w:cs="Arial"/>
              </w:rPr>
              <w:t>Report of the Director of Corporate Resources – Corporate Services and Director of Children’s Services</w:t>
            </w:r>
          </w:p>
        </w:tc>
      </w:tr>
    </w:tbl>
    <w:p w14:paraId="423BAB9A" w14:textId="77777777" w:rsidR="00B529F6" w:rsidRPr="0096121C" w:rsidRDefault="00B529F6" w:rsidP="00B529F6">
      <w:pPr>
        <w:rPr>
          <w:rStyle w:val="normaltextrun"/>
        </w:rPr>
      </w:pPr>
    </w:p>
    <w:p w14:paraId="10057042" w14:textId="4ED7719E" w:rsidR="00375249" w:rsidRPr="00FF7FEC" w:rsidRDefault="00B529F6" w:rsidP="00C62F7F">
      <w:pPr>
        <w:pStyle w:val="ListParagraph"/>
        <w:spacing w:before="120" w:after="120"/>
        <w:ind w:left="0"/>
      </w:pPr>
      <w:r w:rsidRPr="00FF7FEC">
        <w:t xml:space="preserve">Contacts: </w:t>
      </w:r>
    </w:p>
    <w:p w14:paraId="71053B1A" w14:textId="3BB05F6E" w:rsidR="00B529F6" w:rsidRPr="0096121C" w:rsidRDefault="00B529F6" w:rsidP="00B529F6">
      <w:pPr>
        <w:pStyle w:val="ListParagraph"/>
        <w:ind w:left="360"/>
        <w:rPr>
          <w:rStyle w:val="normaltextrun"/>
        </w:rPr>
      </w:pPr>
      <w:r w:rsidRPr="0096121C">
        <w:rPr>
          <w:rStyle w:val="normaltextrun"/>
        </w:rPr>
        <w:t xml:space="preserve">Andrew Minall, </w:t>
      </w:r>
      <w:hyperlink r:id="rId11" w:history="1">
        <w:r w:rsidRPr="0096121C">
          <w:rPr>
            <w:rStyle w:val="Hyperlink"/>
          </w:rPr>
          <w:t>andrew.minall@hants.gov.uk</w:t>
        </w:r>
      </w:hyperlink>
    </w:p>
    <w:p w14:paraId="70B93CD1" w14:textId="77777777" w:rsidR="00B529F6" w:rsidRPr="0096121C" w:rsidRDefault="00B529F6" w:rsidP="00B529F6">
      <w:pPr>
        <w:pStyle w:val="ListParagraph"/>
        <w:ind w:left="360"/>
        <w:rPr>
          <w:rStyle w:val="normaltextrun"/>
          <w:u w:val="single"/>
        </w:rPr>
      </w:pPr>
      <w:r w:rsidRPr="0096121C">
        <w:rPr>
          <w:rStyle w:val="normaltextrun"/>
        </w:rPr>
        <w:t xml:space="preserve">Annabel Hodder, </w:t>
      </w:r>
      <w:hyperlink r:id="rId12" w:tgtFrame="_blank" w:history="1">
        <w:r w:rsidRPr="0096121C">
          <w:rPr>
            <w:rStyle w:val="normaltextrun"/>
            <w:color w:val="0070C0"/>
            <w:u w:val="single"/>
          </w:rPr>
          <w:t>annabel.hodder@hants.gov.uk</w:t>
        </w:r>
      </w:hyperlink>
    </w:p>
    <w:p w14:paraId="4FBE3066" w14:textId="0D5F1F2E" w:rsidR="00B529F6" w:rsidRDefault="00B529F6" w:rsidP="00B529F6">
      <w:pPr>
        <w:pStyle w:val="ListParagraph"/>
        <w:ind w:left="360"/>
        <w:rPr>
          <w:rStyle w:val="normaltextrun"/>
          <w:color w:val="0070C0"/>
          <w:u w:val="single"/>
        </w:rPr>
      </w:pPr>
      <w:r w:rsidRPr="0096121C">
        <w:rPr>
          <w:rStyle w:val="normaltextrun"/>
        </w:rPr>
        <w:t xml:space="preserve">Gemma Anderson, </w:t>
      </w:r>
      <w:hyperlink r:id="rId13" w:tgtFrame="_blank" w:history="1">
        <w:r w:rsidRPr="0096121C">
          <w:rPr>
            <w:rStyle w:val="normaltextrun"/>
            <w:color w:val="0070C0"/>
            <w:u w:val="single"/>
          </w:rPr>
          <w:t>gemma.anderson@hants.gov.uk</w:t>
        </w:r>
      </w:hyperlink>
    </w:p>
    <w:p w14:paraId="0B7AC50E" w14:textId="7FCBFD37" w:rsidR="0007206D" w:rsidRPr="00C562B8" w:rsidRDefault="0007206D" w:rsidP="00DF7F39">
      <w:pPr>
        <w:pStyle w:val="Heading1"/>
        <w:numPr>
          <w:ilvl w:val="0"/>
          <w:numId w:val="20"/>
        </w:numPr>
        <w:tabs>
          <w:tab w:val="num" w:pos="426"/>
          <w:tab w:val="num" w:pos="2843"/>
        </w:tabs>
        <w:spacing w:before="240" w:after="120"/>
        <w:ind w:left="431" w:hanging="431"/>
        <w:rPr>
          <w:rFonts w:eastAsia="Times New Roman"/>
          <w:bCs w:val="0"/>
          <w:noProof w:val="0"/>
          <w:color w:val="auto"/>
          <w:kern w:val="28"/>
          <w:sz w:val="24"/>
          <w:szCs w:val="24"/>
          <w:lang w:eastAsia="en-GB"/>
          <w14:ligatures w14:val="none"/>
        </w:rPr>
      </w:pPr>
      <w:r w:rsidRPr="00C562B8">
        <w:rPr>
          <w:rFonts w:eastAsia="Times New Roman"/>
          <w:bCs w:val="0"/>
          <w:noProof w:val="0"/>
          <w:color w:val="auto"/>
          <w:kern w:val="28"/>
          <w:sz w:val="24"/>
          <w:szCs w:val="24"/>
          <w:lang w:eastAsia="en-GB"/>
          <w14:ligatures w14:val="none"/>
        </w:rPr>
        <w:t>Summary</w:t>
      </w:r>
      <w:bookmarkEnd w:id="0"/>
    </w:p>
    <w:p w14:paraId="7FE670AA" w14:textId="2D281BBB" w:rsidR="0007206D" w:rsidRPr="006F5D6D" w:rsidRDefault="0007206D" w:rsidP="007A50B0">
      <w:pPr>
        <w:pStyle w:val="ListParagraph"/>
        <w:numPr>
          <w:ilvl w:val="1"/>
          <w:numId w:val="20"/>
        </w:numPr>
        <w:spacing w:before="120" w:after="120"/>
        <w:ind w:left="431" w:hanging="431"/>
      </w:pPr>
      <w:r w:rsidRPr="006F5D6D">
        <w:t>This report sets out information for the school’s budget in 2024/25.</w:t>
      </w:r>
    </w:p>
    <w:p w14:paraId="467D2E02" w14:textId="5A7D737F" w:rsidR="0007206D" w:rsidRPr="00C562B8" w:rsidRDefault="0007206D" w:rsidP="00DF7F39">
      <w:pPr>
        <w:pStyle w:val="Heading1"/>
        <w:numPr>
          <w:ilvl w:val="0"/>
          <w:numId w:val="20"/>
        </w:numPr>
        <w:tabs>
          <w:tab w:val="num" w:pos="426"/>
          <w:tab w:val="num" w:pos="2843"/>
        </w:tabs>
        <w:spacing w:before="240" w:after="120"/>
        <w:ind w:left="431" w:hanging="431"/>
        <w:rPr>
          <w:rFonts w:eastAsia="Times New Roman"/>
          <w:bCs w:val="0"/>
          <w:noProof w:val="0"/>
          <w:color w:val="auto"/>
          <w:kern w:val="28"/>
          <w:sz w:val="24"/>
          <w:szCs w:val="24"/>
          <w:lang w:eastAsia="en-GB"/>
          <w14:ligatures w14:val="none"/>
        </w:rPr>
      </w:pPr>
      <w:bookmarkStart w:id="1" w:name="_Toc151016896"/>
      <w:r w:rsidRPr="00C562B8">
        <w:rPr>
          <w:rFonts w:eastAsia="Times New Roman"/>
          <w:bCs w:val="0"/>
          <w:noProof w:val="0"/>
          <w:color w:val="auto"/>
          <w:kern w:val="28"/>
          <w:sz w:val="24"/>
          <w:szCs w:val="24"/>
          <w:lang w:eastAsia="en-GB"/>
          <w14:ligatures w14:val="none"/>
        </w:rPr>
        <w:t>2024/25 Funding Announcements</w:t>
      </w:r>
      <w:bookmarkEnd w:id="1"/>
    </w:p>
    <w:p w14:paraId="4B5ACD21" w14:textId="3AB5AB36" w:rsidR="0007206D" w:rsidRPr="00DC7440" w:rsidRDefault="0007206D" w:rsidP="00DC7440">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DC7440">
        <w:rPr>
          <w:rFonts w:ascii="Arial" w:eastAsia="Times New Roman" w:hAnsi="Arial" w:cs="Arial"/>
          <w:color w:val="auto"/>
          <w:kern w:val="0"/>
          <w:sz w:val="24"/>
          <w:szCs w:val="24"/>
          <w:lang w:eastAsia="en-GB"/>
          <w14:ligatures w14:val="none"/>
        </w:rPr>
        <w:t>The Department for Education (DfE) published provisional Dedicated Schools Grant (DSG) allocations for the Schools, High Needs and Central School Services Block in July 2023.</w:t>
      </w:r>
    </w:p>
    <w:p w14:paraId="410AD052" w14:textId="0272D496" w:rsidR="00605D05" w:rsidRPr="00DF7F39" w:rsidRDefault="0007206D" w:rsidP="00DF7F3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DF7F39">
        <w:rPr>
          <w:rFonts w:ascii="Arial" w:eastAsia="Times New Roman" w:hAnsi="Arial" w:cs="Arial"/>
          <w:color w:val="auto"/>
          <w:kern w:val="0"/>
          <w:sz w:val="24"/>
          <w:szCs w:val="24"/>
          <w:lang w:eastAsia="en-GB"/>
          <w14:ligatures w14:val="none"/>
        </w:rPr>
        <w:t xml:space="preserve">This included a </w:t>
      </w:r>
      <w:r w:rsidR="00557866" w:rsidRPr="00DF7F39">
        <w:rPr>
          <w:rFonts w:ascii="Arial" w:eastAsia="Times New Roman" w:hAnsi="Arial" w:cs="Arial"/>
          <w:color w:val="auto"/>
          <w:kern w:val="0"/>
          <w:sz w:val="24"/>
          <w:szCs w:val="24"/>
          <w:lang w:eastAsia="en-GB"/>
          <w14:ligatures w14:val="none"/>
        </w:rPr>
        <w:t>4.</w:t>
      </w:r>
      <w:r w:rsidR="009C574D" w:rsidRPr="00DF7F39">
        <w:rPr>
          <w:rFonts w:ascii="Arial" w:eastAsia="Times New Roman" w:hAnsi="Arial" w:cs="Arial"/>
          <w:color w:val="auto"/>
          <w:kern w:val="0"/>
          <w:sz w:val="24"/>
          <w:szCs w:val="24"/>
          <w:lang w:eastAsia="en-GB"/>
          <w14:ligatures w14:val="none"/>
        </w:rPr>
        <w:t>3</w:t>
      </w:r>
      <w:r w:rsidRPr="00DF7F39">
        <w:rPr>
          <w:rFonts w:ascii="Arial" w:eastAsia="Times New Roman" w:hAnsi="Arial" w:cs="Arial"/>
          <w:color w:val="auto"/>
          <w:kern w:val="0"/>
          <w:sz w:val="24"/>
          <w:szCs w:val="24"/>
          <w:lang w:eastAsia="en-GB"/>
          <w14:ligatures w14:val="none"/>
        </w:rPr>
        <w:t xml:space="preserve">% increase to the national High Needs budget </w:t>
      </w:r>
      <w:r w:rsidR="00557866" w:rsidRPr="00DF7F39">
        <w:rPr>
          <w:rFonts w:ascii="Arial" w:eastAsia="Times New Roman" w:hAnsi="Arial" w:cs="Arial"/>
          <w:color w:val="auto"/>
          <w:kern w:val="0"/>
          <w:sz w:val="24"/>
          <w:szCs w:val="24"/>
          <w:lang w:eastAsia="en-GB"/>
          <w14:ligatures w14:val="none"/>
        </w:rPr>
        <w:t>(</w:t>
      </w:r>
      <w:r w:rsidR="007A3482" w:rsidRPr="00DF7F39">
        <w:rPr>
          <w:rFonts w:ascii="Arial" w:eastAsia="Times New Roman" w:hAnsi="Arial" w:cs="Arial"/>
          <w:color w:val="auto"/>
          <w:kern w:val="0"/>
          <w:sz w:val="24"/>
          <w:szCs w:val="24"/>
          <w:lang w:eastAsia="en-GB"/>
          <w14:ligatures w14:val="none"/>
        </w:rPr>
        <w:t xml:space="preserve">excluding </w:t>
      </w:r>
      <w:r w:rsidR="004C463F" w:rsidRPr="00DF7F39">
        <w:rPr>
          <w:rFonts w:ascii="Arial" w:eastAsia="Times New Roman" w:hAnsi="Arial" w:cs="Arial"/>
          <w:color w:val="auto"/>
          <w:kern w:val="0"/>
          <w:sz w:val="24"/>
          <w:szCs w:val="24"/>
          <w:lang w:eastAsia="en-GB"/>
          <w14:ligatures w14:val="none"/>
        </w:rPr>
        <w:t xml:space="preserve">rolling in the </w:t>
      </w:r>
      <w:r w:rsidR="00906495" w:rsidRPr="00DF7F39">
        <w:rPr>
          <w:rFonts w:ascii="Arial" w:eastAsia="Times New Roman" w:hAnsi="Arial" w:cs="Arial"/>
          <w:color w:val="auto"/>
          <w:kern w:val="0"/>
          <w:sz w:val="24"/>
          <w:szCs w:val="24"/>
          <w:lang w:eastAsia="en-GB"/>
          <w14:ligatures w14:val="none"/>
        </w:rPr>
        <w:t>High Needs Additional</w:t>
      </w:r>
      <w:r w:rsidR="00196A38" w:rsidRPr="00DF7F39">
        <w:rPr>
          <w:rFonts w:ascii="Arial" w:eastAsia="Times New Roman" w:hAnsi="Arial" w:cs="Arial"/>
          <w:color w:val="auto"/>
          <w:kern w:val="0"/>
          <w:sz w:val="24"/>
          <w:szCs w:val="24"/>
          <w:lang w:eastAsia="en-GB"/>
          <w14:ligatures w14:val="none"/>
        </w:rPr>
        <w:t xml:space="preserve"> funding</w:t>
      </w:r>
      <w:r w:rsidR="008B31FF" w:rsidRPr="00DF7F39">
        <w:rPr>
          <w:rFonts w:ascii="Arial" w:eastAsia="Times New Roman" w:hAnsi="Arial" w:cs="Arial"/>
          <w:color w:val="auto"/>
          <w:kern w:val="0"/>
          <w:sz w:val="24"/>
          <w:szCs w:val="24"/>
          <w:lang w:eastAsia="en-GB"/>
          <w14:ligatures w14:val="none"/>
        </w:rPr>
        <w:t xml:space="preserve"> into the main allocation</w:t>
      </w:r>
      <w:r w:rsidR="00557866" w:rsidRPr="00DF7F39">
        <w:rPr>
          <w:rFonts w:ascii="Arial" w:eastAsia="Times New Roman" w:hAnsi="Arial" w:cs="Arial"/>
          <w:color w:val="auto"/>
          <w:kern w:val="0"/>
          <w:sz w:val="24"/>
          <w:szCs w:val="24"/>
          <w:lang w:eastAsia="en-GB"/>
          <w14:ligatures w14:val="none"/>
        </w:rPr>
        <w:t>)</w:t>
      </w:r>
      <w:r w:rsidR="00C7417C" w:rsidRPr="00DF7F39">
        <w:rPr>
          <w:rFonts w:ascii="Arial" w:eastAsia="Times New Roman" w:hAnsi="Arial" w:cs="Arial"/>
          <w:color w:val="auto"/>
          <w:kern w:val="0"/>
          <w:sz w:val="24"/>
          <w:szCs w:val="24"/>
          <w:lang w:eastAsia="en-GB"/>
          <w14:ligatures w14:val="none"/>
        </w:rPr>
        <w:t xml:space="preserve"> </w:t>
      </w:r>
      <w:r w:rsidRPr="00DF7F39">
        <w:rPr>
          <w:rFonts w:ascii="Arial" w:eastAsia="Times New Roman" w:hAnsi="Arial" w:cs="Arial"/>
          <w:color w:val="auto"/>
          <w:kern w:val="0"/>
          <w:sz w:val="24"/>
          <w:szCs w:val="24"/>
          <w:lang w:eastAsia="en-GB"/>
          <w14:ligatures w14:val="none"/>
        </w:rPr>
        <w:t xml:space="preserve">and an increase of </w:t>
      </w:r>
      <w:r w:rsidR="00504B9A" w:rsidRPr="00DF7F39">
        <w:rPr>
          <w:rFonts w:ascii="Arial" w:eastAsia="Times New Roman" w:hAnsi="Arial" w:cs="Arial"/>
          <w:color w:val="auto"/>
          <w:kern w:val="0"/>
          <w:sz w:val="24"/>
          <w:szCs w:val="24"/>
          <w:lang w:eastAsia="en-GB"/>
          <w14:ligatures w14:val="none"/>
        </w:rPr>
        <w:t>2.</w:t>
      </w:r>
      <w:r w:rsidR="00D6235C" w:rsidRPr="00DF7F39">
        <w:rPr>
          <w:rFonts w:ascii="Arial" w:eastAsia="Times New Roman" w:hAnsi="Arial" w:cs="Arial"/>
          <w:color w:val="auto"/>
          <w:kern w:val="0"/>
          <w:sz w:val="24"/>
          <w:szCs w:val="24"/>
          <w:lang w:eastAsia="en-GB"/>
          <w14:ligatures w14:val="none"/>
        </w:rPr>
        <w:t>7</w:t>
      </w:r>
      <w:r w:rsidRPr="00DF7F39">
        <w:rPr>
          <w:rFonts w:ascii="Arial" w:eastAsia="Times New Roman" w:hAnsi="Arial" w:cs="Arial"/>
          <w:color w:val="auto"/>
          <w:kern w:val="0"/>
          <w:sz w:val="24"/>
          <w:szCs w:val="24"/>
          <w:lang w:eastAsia="en-GB"/>
          <w14:ligatures w14:val="none"/>
        </w:rPr>
        <w:t>% to mainstream schools funding allocated through the national funding formula.</w:t>
      </w:r>
    </w:p>
    <w:p w14:paraId="2209B0C5" w14:textId="74FC2F67" w:rsidR="00605D05" w:rsidRPr="00DF7F39" w:rsidRDefault="001B35E2" w:rsidP="00DF7F3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DF7F39">
        <w:rPr>
          <w:rFonts w:ascii="Arial" w:eastAsia="Times New Roman" w:hAnsi="Arial" w:cs="Arial"/>
          <w:color w:val="auto"/>
          <w:kern w:val="0"/>
          <w:sz w:val="24"/>
          <w:szCs w:val="24"/>
          <w:lang w:eastAsia="en-GB"/>
          <w14:ligatures w14:val="none"/>
        </w:rPr>
        <w:t>However, t</w:t>
      </w:r>
      <w:r w:rsidR="0007206D" w:rsidRPr="00DF7F39">
        <w:rPr>
          <w:rFonts w:ascii="Arial" w:eastAsia="Times New Roman" w:hAnsi="Arial" w:cs="Arial"/>
          <w:color w:val="auto"/>
          <w:kern w:val="0"/>
          <w:sz w:val="24"/>
          <w:szCs w:val="24"/>
          <w:lang w:eastAsia="en-GB"/>
          <w14:ligatures w14:val="none"/>
        </w:rPr>
        <w:t xml:space="preserve">he Schools Block allocation was discovered to be </w:t>
      </w:r>
      <w:proofErr w:type="gramStart"/>
      <w:r w:rsidR="0007206D" w:rsidRPr="00DF7F39">
        <w:rPr>
          <w:rFonts w:ascii="Arial" w:eastAsia="Times New Roman" w:hAnsi="Arial" w:cs="Arial"/>
          <w:color w:val="auto"/>
          <w:kern w:val="0"/>
          <w:sz w:val="24"/>
          <w:szCs w:val="24"/>
          <w:lang w:eastAsia="en-GB"/>
          <w14:ligatures w14:val="none"/>
        </w:rPr>
        <w:t>incorrect</w:t>
      </w:r>
      <w:proofErr w:type="gramEnd"/>
      <w:r w:rsidR="0007206D" w:rsidRPr="00DF7F39">
        <w:rPr>
          <w:rFonts w:ascii="Arial" w:eastAsia="Times New Roman" w:hAnsi="Arial" w:cs="Arial"/>
          <w:color w:val="auto"/>
          <w:kern w:val="0"/>
          <w:sz w:val="24"/>
          <w:szCs w:val="24"/>
          <w:lang w:eastAsia="en-GB"/>
          <w14:ligatures w14:val="none"/>
        </w:rPr>
        <w:t xml:space="preserve"> and a revised provisional allocation was published by the DfE in </w:t>
      </w:r>
      <w:r w:rsidR="00880ED5" w:rsidRPr="00DF7F39">
        <w:rPr>
          <w:rFonts w:ascii="Arial" w:eastAsia="Times New Roman" w:hAnsi="Arial" w:cs="Arial"/>
          <w:color w:val="auto"/>
          <w:kern w:val="0"/>
          <w:sz w:val="24"/>
          <w:szCs w:val="24"/>
          <w:lang w:eastAsia="en-GB"/>
          <w14:ligatures w14:val="none"/>
        </w:rPr>
        <w:t xml:space="preserve">October </w:t>
      </w:r>
      <w:r w:rsidR="0007206D" w:rsidRPr="00DF7F39">
        <w:rPr>
          <w:rFonts w:ascii="Arial" w:eastAsia="Times New Roman" w:hAnsi="Arial" w:cs="Arial"/>
          <w:color w:val="auto"/>
          <w:kern w:val="0"/>
          <w:sz w:val="24"/>
          <w:szCs w:val="24"/>
          <w:lang w:eastAsia="en-GB"/>
          <w14:ligatures w14:val="none"/>
        </w:rPr>
        <w:t>2023</w:t>
      </w:r>
      <w:r w:rsidR="00D6324A" w:rsidRPr="00DF7F39">
        <w:rPr>
          <w:rFonts w:ascii="Arial" w:eastAsia="Times New Roman" w:hAnsi="Arial" w:cs="Arial"/>
          <w:color w:val="auto"/>
          <w:kern w:val="0"/>
          <w:sz w:val="24"/>
          <w:szCs w:val="24"/>
          <w:lang w:eastAsia="en-GB"/>
          <w14:ligatures w14:val="none"/>
        </w:rPr>
        <w:t xml:space="preserve"> which included an</w:t>
      </w:r>
      <w:r w:rsidR="000C6A5C">
        <w:rPr>
          <w:rFonts w:ascii="Arial" w:eastAsia="Times New Roman" w:hAnsi="Arial" w:cs="Arial"/>
          <w:color w:val="auto"/>
          <w:kern w:val="0"/>
          <w:sz w:val="24"/>
          <w:szCs w:val="24"/>
          <w:lang w:eastAsia="en-GB"/>
          <w14:ligatures w14:val="none"/>
        </w:rPr>
        <w:t xml:space="preserve"> </w:t>
      </w:r>
      <w:r w:rsidR="00D6324A" w:rsidRPr="00DF7F39">
        <w:rPr>
          <w:rFonts w:ascii="Arial" w:eastAsia="Times New Roman" w:hAnsi="Arial" w:cs="Arial"/>
          <w:color w:val="auto"/>
          <w:kern w:val="0"/>
          <w:sz w:val="24"/>
          <w:szCs w:val="24"/>
          <w:lang w:eastAsia="en-GB"/>
          <w14:ligatures w14:val="none"/>
        </w:rPr>
        <w:t>increase of 1.</w:t>
      </w:r>
      <w:r w:rsidR="00F5459A" w:rsidRPr="00DF7F39">
        <w:rPr>
          <w:rFonts w:ascii="Arial" w:eastAsia="Times New Roman" w:hAnsi="Arial" w:cs="Arial"/>
          <w:color w:val="auto"/>
          <w:kern w:val="0"/>
          <w:sz w:val="24"/>
          <w:szCs w:val="24"/>
          <w:lang w:eastAsia="en-GB"/>
          <w14:ligatures w14:val="none"/>
        </w:rPr>
        <w:t>9</w:t>
      </w:r>
      <w:r w:rsidR="00D6324A" w:rsidRPr="00DF7F39">
        <w:rPr>
          <w:rFonts w:ascii="Arial" w:eastAsia="Times New Roman" w:hAnsi="Arial" w:cs="Arial"/>
          <w:color w:val="auto"/>
          <w:kern w:val="0"/>
          <w:sz w:val="24"/>
          <w:szCs w:val="24"/>
          <w:lang w:eastAsia="en-GB"/>
          <w14:ligatures w14:val="none"/>
        </w:rPr>
        <w:t>%, not 2.7%.</w:t>
      </w:r>
    </w:p>
    <w:p w14:paraId="2B53C058" w14:textId="1A6AE04A" w:rsidR="0007206D" w:rsidRPr="00DF7F39" w:rsidRDefault="0007206D" w:rsidP="00DF7F3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DF7F39">
        <w:rPr>
          <w:rFonts w:ascii="Arial" w:eastAsia="Times New Roman" w:hAnsi="Arial" w:cs="Arial"/>
          <w:color w:val="auto"/>
          <w:kern w:val="0"/>
          <w:sz w:val="24"/>
          <w:szCs w:val="24"/>
          <w:lang w:eastAsia="en-GB"/>
          <w14:ligatures w14:val="none"/>
        </w:rPr>
        <w:t xml:space="preserve">The following table shows the provisional </w:t>
      </w:r>
      <w:r w:rsidR="00811ABB">
        <w:rPr>
          <w:rFonts w:ascii="Arial" w:eastAsia="Times New Roman" w:hAnsi="Arial" w:cs="Arial"/>
          <w:color w:val="auto"/>
          <w:kern w:val="0"/>
          <w:sz w:val="24"/>
          <w:szCs w:val="24"/>
          <w:lang w:eastAsia="en-GB"/>
          <w14:ligatures w14:val="none"/>
        </w:rPr>
        <w:t xml:space="preserve">DSG </w:t>
      </w:r>
      <w:r w:rsidRPr="00DF7F39">
        <w:rPr>
          <w:rFonts w:ascii="Arial" w:eastAsia="Times New Roman" w:hAnsi="Arial" w:cs="Arial"/>
          <w:color w:val="auto"/>
          <w:kern w:val="0"/>
          <w:sz w:val="24"/>
          <w:szCs w:val="24"/>
          <w:lang w:eastAsia="en-GB"/>
          <w14:ligatures w14:val="none"/>
        </w:rPr>
        <w:t>allocations for Hampshire compared with the current allocations for 2023/24:</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56"/>
        <w:gridCol w:w="1644"/>
        <w:gridCol w:w="1644"/>
        <w:gridCol w:w="1311"/>
        <w:gridCol w:w="1212"/>
      </w:tblGrid>
      <w:tr w:rsidR="0081476F" w:rsidRPr="006F5D6D" w14:paraId="51EE41B9" w14:textId="77777777" w:rsidTr="0081476F">
        <w:trPr>
          <w:trHeight w:val="310"/>
        </w:trPr>
        <w:tc>
          <w:tcPr>
            <w:tcW w:w="3256" w:type="dxa"/>
            <w:noWrap/>
            <w:tcMar>
              <w:top w:w="0" w:type="dxa"/>
              <w:left w:w="108" w:type="dxa"/>
              <w:bottom w:w="0" w:type="dxa"/>
              <w:right w:w="108" w:type="dxa"/>
            </w:tcMar>
            <w:vAlign w:val="bottom"/>
          </w:tcPr>
          <w:p w14:paraId="2E107EF3" w14:textId="6A459E68" w:rsidR="00062998" w:rsidRPr="0048127B" w:rsidRDefault="00062998" w:rsidP="00687471">
            <w:pPr>
              <w:pStyle w:val="ListParagraph"/>
              <w:ind w:left="360"/>
              <w:rPr>
                <w:lang w:eastAsia="en-GB"/>
              </w:rPr>
            </w:pPr>
            <w:r w:rsidRPr="00642D90">
              <w:rPr>
                <w:b/>
                <w:bCs/>
                <w:lang w:eastAsia="en-GB"/>
              </w:rPr>
              <w:t>Funding Block</w:t>
            </w:r>
          </w:p>
        </w:tc>
        <w:tc>
          <w:tcPr>
            <w:tcW w:w="1644" w:type="dxa"/>
            <w:noWrap/>
            <w:tcMar>
              <w:top w:w="0" w:type="dxa"/>
              <w:left w:w="108" w:type="dxa"/>
              <w:bottom w:w="0" w:type="dxa"/>
              <w:right w:w="108" w:type="dxa"/>
            </w:tcMar>
            <w:vAlign w:val="bottom"/>
          </w:tcPr>
          <w:p w14:paraId="0BDAE356" w14:textId="112B32D4" w:rsidR="00062998" w:rsidRPr="00642D90" w:rsidRDefault="00062998" w:rsidP="0081476F">
            <w:pPr>
              <w:pStyle w:val="ListParagraph"/>
              <w:ind w:left="0"/>
              <w:jc w:val="center"/>
              <w:rPr>
                <w:b/>
                <w:bCs/>
                <w:lang w:eastAsia="en-GB"/>
              </w:rPr>
            </w:pPr>
            <w:r w:rsidRPr="00642D90">
              <w:rPr>
                <w:b/>
                <w:bCs/>
                <w:lang w:eastAsia="en-GB"/>
              </w:rPr>
              <w:t>Current Allocation 2023/24</w:t>
            </w:r>
          </w:p>
          <w:p w14:paraId="49E30B3D" w14:textId="67500EC4" w:rsidR="00062998" w:rsidRDefault="00062998" w:rsidP="0081476F">
            <w:pPr>
              <w:pStyle w:val="ListParagraph"/>
              <w:ind w:left="0"/>
              <w:jc w:val="center"/>
            </w:pPr>
            <w:r w:rsidRPr="00642D90">
              <w:rPr>
                <w:b/>
                <w:bCs/>
                <w:lang w:eastAsia="en-GB"/>
              </w:rPr>
              <w:t>£’000</w:t>
            </w:r>
          </w:p>
        </w:tc>
        <w:tc>
          <w:tcPr>
            <w:tcW w:w="1644" w:type="dxa"/>
            <w:noWrap/>
            <w:tcMar>
              <w:top w:w="0" w:type="dxa"/>
              <w:left w:w="108" w:type="dxa"/>
              <w:bottom w:w="0" w:type="dxa"/>
              <w:right w:w="108" w:type="dxa"/>
            </w:tcMar>
            <w:vAlign w:val="bottom"/>
          </w:tcPr>
          <w:p w14:paraId="05535BB5" w14:textId="4149AE7B" w:rsidR="00062998" w:rsidRPr="00642D90" w:rsidRDefault="00062998" w:rsidP="0081476F">
            <w:pPr>
              <w:pStyle w:val="ListParagraph"/>
              <w:ind w:left="0"/>
              <w:jc w:val="center"/>
              <w:rPr>
                <w:b/>
                <w:bCs/>
                <w:lang w:eastAsia="en-GB"/>
              </w:rPr>
            </w:pPr>
            <w:r w:rsidRPr="00642D90">
              <w:rPr>
                <w:b/>
                <w:bCs/>
                <w:lang w:eastAsia="en-GB"/>
              </w:rPr>
              <w:t>Provisional Allocation 2024/25</w:t>
            </w:r>
          </w:p>
          <w:p w14:paraId="263310A2" w14:textId="69F1F4CF" w:rsidR="00062998" w:rsidRPr="00184D31" w:rsidRDefault="00062998" w:rsidP="0081476F">
            <w:pPr>
              <w:pStyle w:val="ListParagraph"/>
              <w:ind w:left="0"/>
              <w:jc w:val="center"/>
            </w:pPr>
            <w:r w:rsidRPr="00642D90">
              <w:rPr>
                <w:b/>
                <w:bCs/>
                <w:lang w:eastAsia="en-GB"/>
              </w:rPr>
              <w:t>£’000</w:t>
            </w:r>
          </w:p>
        </w:tc>
        <w:tc>
          <w:tcPr>
            <w:tcW w:w="1311" w:type="dxa"/>
            <w:noWrap/>
            <w:tcMar>
              <w:top w:w="0" w:type="dxa"/>
              <w:left w:w="108" w:type="dxa"/>
              <w:bottom w:w="0" w:type="dxa"/>
              <w:right w:w="108" w:type="dxa"/>
            </w:tcMar>
            <w:vAlign w:val="bottom"/>
          </w:tcPr>
          <w:p w14:paraId="0249A309" w14:textId="77777777" w:rsidR="00062998" w:rsidRPr="00642D90" w:rsidRDefault="00062998" w:rsidP="0081476F">
            <w:pPr>
              <w:pStyle w:val="ListParagraph"/>
              <w:ind w:left="0"/>
              <w:jc w:val="center"/>
              <w:rPr>
                <w:b/>
                <w:bCs/>
                <w:lang w:eastAsia="en-GB"/>
              </w:rPr>
            </w:pPr>
            <w:r w:rsidRPr="00642D90">
              <w:rPr>
                <w:b/>
                <w:bCs/>
                <w:lang w:eastAsia="en-GB"/>
              </w:rPr>
              <w:t>Change</w:t>
            </w:r>
          </w:p>
          <w:p w14:paraId="1011D8CB" w14:textId="5E005115" w:rsidR="00062998" w:rsidRPr="00184D31" w:rsidRDefault="00062998" w:rsidP="0081476F">
            <w:pPr>
              <w:pStyle w:val="ListParagraph"/>
              <w:ind w:left="0"/>
              <w:jc w:val="center"/>
            </w:pPr>
            <w:r w:rsidRPr="00642D90">
              <w:rPr>
                <w:b/>
                <w:bCs/>
                <w:lang w:eastAsia="en-GB"/>
              </w:rPr>
              <w:t>£’000</w:t>
            </w:r>
          </w:p>
        </w:tc>
        <w:tc>
          <w:tcPr>
            <w:tcW w:w="1212" w:type="dxa"/>
            <w:vAlign w:val="bottom"/>
          </w:tcPr>
          <w:p w14:paraId="4D33710A" w14:textId="77777777" w:rsidR="00062998" w:rsidRPr="00642D90" w:rsidRDefault="00062998" w:rsidP="0081476F">
            <w:pPr>
              <w:pStyle w:val="ListParagraph"/>
              <w:ind w:left="0"/>
              <w:jc w:val="center"/>
              <w:rPr>
                <w:b/>
                <w:bCs/>
                <w:lang w:eastAsia="en-GB"/>
              </w:rPr>
            </w:pPr>
            <w:r w:rsidRPr="00642D90">
              <w:rPr>
                <w:b/>
                <w:bCs/>
                <w:lang w:eastAsia="en-GB"/>
              </w:rPr>
              <w:t>Change</w:t>
            </w:r>
          </w:p>
          <w:p w14:paraId="17B6913B" w14:textId="49847861" w:rsidR="00062998" w:rsidRPr="00184D31" w:rsidRDefault="00062998" w:rsidP="0081476F">
            <w:pPr>
              <w:pStyle w:val="ListParagraph"/>
              <w:ind w:left="0"/>
              <w:jc w:val="center"/>
            </w:pPr>
            <w:r w:rsidRPr="00642D90">
              <w:rPr>
                <w:b/>
                <w:bCs/>
                <w:lang w:eastAsia="en-GB"/>
              </w:rPr>
              <w:t>%</w:t>
            </w:r>
          </w:p>
        </w:tc>
      </w:tr>
      <w:tr w:rsidR="0081476F" w:rsidRPr="006F5D6D" w14:paraId="273BA9AC" w14:textId="77777777" w:rsidTr="0081476F">
        <w:trPr>
          <w:trHeight w:val="310"/>
        </w:trPr>
        <w:tc>
          <w:tcPr>
            <w:tcW w:w="3256" w:type="dxa"/>
            <w:noWrap/>
            <w:tcMar>
              <w:top w:w="0" w:type="dxa"/>
              <w:left w:w="108" w:type="dxa"/>
              <w:bottom w:w="0" w:type="dxa"/>
              <w:right w:w="108" w:type="dxa"/>
            </w:tcMar>
          </w:tcPr>
          <w:p w14:paraId="28310D93" w14:textId="77777777" w:rsidR="00062998" w:rsidRPr="00351C24" w:rsidRDefault="00062998" w:rsidP="009952B1">
            <w:pPr>
              <w:pStyle w:val="ListParagraph"/>
              <w:ind w:left="360"/>
              <w:rPr>
                <w:lang w:eastAsia="en-GB"/>
              </w:rPr>
            </w:pPr>
            <w:r w:rsidRPr="0048127B">
              <w:rPr>
                <w:lang w:eastAsia="en-GB"/>
              </w:rPr>
              <w:t>Early Years*</w:t>
            </w:r>
          </w:p>
        </w:tc>
        <w:tc>
          <w:tcPr>
            <w:tcW w:w="1644" w:type="dxa"/>
            <w:noWrap/>
            <w:tcMar>
              <w:top w:w="0" w:type="dxa"/>
              <w:left w:w="108" w:type="dxa"/>
              <w:bottom w:w="0" w:type="dxa"/>
              <w:right w:w="108" w:type="dxa"/>
            </w:tcMar>
          </w:tcPr>
          <w:p w14:paraId="7CE276CC" w14:textId="77777777" w:rsidR="00062998" w:rsidRPr="00351C24" w:rsidRDefault="00062998" w:rsidP="0081476F">
            <w:pPr>
              <w:pStyle w:val="ListParagraph"/>
              <w:ind w:left="360"/>
              <w:jc w:val="right"/>
            </w:pPr>
            <w:r>
              <w:t>90,035</w:t>
            </w:r>
          </w:p>
        </w:tc>
        <w:tc>
          <w:tcPr>
            <w:tcW w:w="1644" w:type="dxa"/>
            <w:noWrap/>
            <w:tcMar>
              <w:top w:w="0" w:type="dxa"/>
              <w:left w:w="108" w:type="dxa"/>
              <w:bottom w:w="0" w:type="dxa"/>
              <w:right w:w="108" w:type="dxa"/>
            </w:tcMar>
          </w:tcPr>
          <w:p w14:paraId="16F46B5F" w14:textId="77777777" w:rsidR="00062998" w:rsidRPr="00184D31" w:rsidRDefault="00062998" w:rsidP="0081476F">
            <w:pPr>
              <w:pStyle w:val="ListParagraph"/>
              <w:ind w:left="360"/>
              <w:jc w:val="right"/>
            </w:pPr>
            <w:r w:rsidRPr="00184D31">
              <w:t>90,035</w:t>
            </w:r>
          </w:p>
        </w:tc>
        <w:tc>
          <w:tcPr>
            <w:tcW w:w="1311" w:type="dxa"/>
            <w:noWrap/>
            <w:tcMar>
              <w:top w:w="0" w:type="dxa"/>
              <w:left w:w="108" w:type="dxa"/>
              <w:bottom w:w="0" w:type="dxa"/>
              <w:right w:w="108" w:type="dxa"/>
            </w:tcMar>
          </w:tcPr>
          <w:p w14:paraId="39C7C758" w14:textId="77777777" w:rsidR="00062998" w:rsidRPr="00184D31" w:rsidRDefault="00062998" w:rsidP="0081476F">
            <w:pPr>
              <w:pStyle w:val="ListParagraph"/>
              <w:ind w:left="360"/>
              <w:jc w:val="right"/>
            </w:pPr>
            <w:r w:rsidRPr="00184D31">
              <w:t>0</w:t>
            </w:r>
          </w:p>
        </w:tc>
        <w:tc>
          <w:tcPr>
            <w:tcW w:w="1212" w:type="dxa"/>
          </w:tcPr>
          <w:p w14:paraId="40375EC6" w14:textId="77777777" w:rsidR="00062998" w:rsidRPr="00184D31" w:rsidRDefault="00062998" w:rsidP="0081476F">
            <w:pPr>
              <w:pStyle w:val="ListParagraph"/>
              <w:ind w:left="360"/>
              <w:jc w:val="right"/>
            </w:pPr>
            <w:r w:rsidRPr="00184D31">
              <w:t>0.0%</w:t>
            </w:r>
          </w:p>
        </w:tc>
      </w:tr>
      <w:tr w:rsidR="0081476F" w:rsidRPr="006F5D6D" w14:paraId="3F4ADA29" w14:textId="77777777" w:rsidTr="0081476F">
        <w:trPr>
          <w:trHeight w:val="310"/>
        </w:trPr>
        <w:tc>
          <w:tcPr>
            <w:tcW w:w="3256" w:type="dxa"/>
            <w:noWrap/>
            <w:tcMar>
              <w:top w:w="0" w:type="dxa"/>
              <w:left w:w="108" w:type="dxa"/>
              <w:bottom w:w="0" w:type="dxa"/>
              <w:right w:w="108" w:type="dxa"/>
            </w:tcMar>
            <w:vAlign w:val="bottom"/>
            <w:hideMark/>
          </w:tcPr>
          <w:p w14:paraId="36E8F9DC" w14:textId="7ED4D662" w:rsidR="00062998" w:rsidRPr="00351C24" w:rsidRDefault="00062998" w:rsidP="009952B1">
            <w:pPr>
              <w:pStyle w:val="ListParagraph"/>
              <w:ind w:left="360"/>
              <w:rPr>
                <w:lang w:eastAsia="en-GB"/>
              </w:rPr>
            </w:pPr>
            <w:r w:rsidRPr="00351C24">
              <w:rPr>
                <w:lang w:eastAsia="en-GB"/>
              </w:rPr>
              <w:t>Schools Block*</w:t>
            </w:r>
            <w:r w:rsidR="00AF48F1">
              <w:rPr>
                <w:lang w:eastAsia="en-GB"/>
              </w:rPr>
              <w:t>*</w:t>
            </w:r>
          </w:p>
        </w:tc>
        <w:tc>
          <w:tcPr>
            <w:tcW w:w="1644" w:type="dxa"/>
            <w:noWrap/>
            <w:tcMar>
              <w:top w:w="0" w:type="dxa"/>
              <w:left w:w="108" w:type="dxa"/>
              <w:bottom w:w="0" w:type="dxa"/>
              <w:right w:w="108" w:type="dxa"/>
            </w:tcMar>
            <w:vAlign w:val="bottom"/>
            <w:hideMark/>
          </w:tcPr>
          <w:p w14:paraId="22C6469D" w14:textId="77777777" w:rsidR="00062998" w:rsidRPr="00351C24" w:rsidRDefault="00062998" w:rsidP="0081476F">
            <w:pPr>
              <w:pStyle w:val="ListParagraph"/>
              <w:ind w:left="360"/>
              <w:jc w:val="right"/>
              <w:rPr>
                <w:lang w:eastAsia="en-GB"/>
              </w:rPr>
            </w:pPr>
            <w:r w:rsidRPr="00351C24">
              <w:t>967,051</w:t>
            </w:r>
          </w:p>
        </w:tc>
        <w:tc>
          <w:tcPr>
            <w:tcW w:w="1644" w:type="dxa"/>
            <w:noWrap/>
            <w:tcMar>
              <w:top w:w="0" w:type="dxa"/>
              <w:left w:w="108" w:type="dxa"/>
              <w:bottom w:w="0" w:type="dxa"/>
              <w:right w:w="108" w:type="dxa"/>
            </w:tcMar>
            <w:vAlign w:val="bottom"/>
            <w:hideMark/>
          </w:tcPr>
          <w:p w14:paraId="2B8FB8C6" w14:textId="2E3117ED" w:rsidR="00062998" w:rsidRPr="00880ED5" w:rsidRDefault="00062998" w:rsidP="0081476F">
            <w:pPr>
              <w:pStyle w:val="ListParagraph"/>
              <w:ind w:left="360"/>
              <w:jc w:val="right"/>
              <w:rPr>
                <w:lang w:eastAsia="en-GB"/>
              </w:rPr>
            </w:pPr>
            <w:r w:rsidRPr="00880ED5">
              <w:t>986,007</w:t>
            </w:r>
          </w:p>
        </w:tc>
        <w:tc>
          <w:tcPr>
            <w:tcW w:w="1311" w:type="dxa"/>
            <w:noWrap/>
            <w:tcMar>
              <w:top w:w="0" w:type="dxa"/>
              <w:left w:w="108" w:type="dxa"/>
              <w:bottom w:w="0" w:type="dxa"/>
              <w:right w:w="108" w:type="dxa"/>
            </w:tcMar>
            <w:vAlign w:val="bottom"/>
            <w:hideMark/>
          </w:tcPr>
          <w:p w14:paraId="43B03F33" w14:textId="04EF127A" w:rsidR="00062998" w:rsidRPr="00880ED5" w:rsidRDefault="00062998" w:rsidP="0081476F">
            <w:pPr>
              <w:pStyle w:val="ListParagraph"/>
              <w:ind w:left="360"/>
              <w:jc w:val="right"/>
              <w:rPr>
                <w:lang w:eastAsia="en-GB"/>
              </w:rPr>
            </w:pPr>
            <w:r w:rsidRPr="00880ED5">
              <w:t>18,956</w:t>
            </w:r>
          </w:p>
        </w:tc>
        <w:tc>
          <w:tcPr>
            <w:tcW w:w="1212" w:type="dxa"/>
            <w:vAlign w:val="bottom"/>
          </w:tcPr>
          <w:p w14:paraId="5B755500" w14:textId="2DE6C519" w:rsidR="00062998" w:rsidRPr="00880ED5" w:rsidRDefault="00062998" w:rsidP="0081476F">
            <w:pPr>
              <w:pStyle w:val="ListParagraph"/>
              <w:ind w:left="360"/>
              <w:jc w:val="right"/>
              <w:rPr>
                <w:lang w:eastAsia="en-GB"/>
              </w:rPr>
            </w:pPr>
            <w:r w:rsidRPr="00880ED5">
              <w:t>2.0%</w:t>
            </w:r>
          </w:p>
        </w:tc>
      </w:tr>
      <w:tr w:rsidR="0081476F" w:rsidRPr="006F5D6D" w14:paraId="08F1D61F" w14:textId="77777777" w:rsidTr="0081476F">
        <w:trPr>
          <w:trHeight w:val="310"/>
        </w:trPr>
        <w:tc>
          <w:tcPr>
            <w:tcW w:w="3256" w:type="dxa"/>
            <w:noWrap/>
            <w:tcMar>
              <w:top w:w="0" w:type="dxa"/>
              <w:left w:w="108" w:type="dxa"/>
              <w:bottom w:w="0" w:type="dxa"/>
              <w:right w:w="108" w:type="dxa"/>
            </w:tcMar>
            <w:vAlign w:val="bottom"/>
            <w:hideMark/>
          </w:tcPr>
          <w:p w14:paraId="35A025B8" w14:textId="77777777" w:rsidR="00062998" w:rsidRPr="00252725" w:rsidRDefault="00062998" w:rsidP="009952B1">
            <w:pPr>
              <w:pStyle w:val="ListParagraph"/>
              <w:ind w:left="360"/>
              <w:rPr>
                <w:lang w:eastAsia="en-GB"/>
              </w:rPr>
            </w:pPr>
            <w:r w:rsidRPr="00252725">
              <w:rPr>
                <w:lang w:eastAsia="en-GB"/>
              </w:rPr>
              <w:t>High Needs Block</w:t>
            </w:r>
          </w:p>
        </w:tc>
        <w:tc>
          <w:tcPr>
            <w:tcW w:w="1644" w:type="dxa"/>
            <w:noWrap/>
            <w:tcMar>
              <w:top w:w="0" w:type="dxa"/>
              <w:left w:w="108" w:type="dxa"/>
              <w:bottom w:w="0" w:type="dxa"/>
              <w:right w:w="108" w:type="dxa"/>
            </w:tcMar>
            <w:vAlign w:val="bottom"/>
            <w:hideMark/>
          </w:tcPr>
          <w:p w14:paraId="22DC10F1" w14:textId="6A8C9D32" w:rsidR="00062998" w:rsidRPr="0096121C" w:rsidRDefault="00062998" w:rsidP="0081476F">
            <w:pPr>
              <w:jc w:val="right"/>
            </w:pPr>
            <w:r>
              <w:rPr>
                <w:rStyle w:val="normaltextrun"/>
              </w:rPr>
              <w:t>196,940</w:t>
            </w:r>
          </w:p>
        </w:tc>
        <w:tc>
          <w:tcPr>
            <w:tcW w:w="1644" w:type="dxa"/>
            <w:noWrap/>
            <w:tcMar>
              <w:top w:w="0" w:type="dxa"/>
              <w:left w:w="108" w:type="dxa"/>
              <w:bottom w:w="0" w:type="dxa"/>
              <w:right w:w="108" w:type="dxa"/>
            </w:tcMar>
            <w:vAlign w:val="bottom"/>
            <w:hideMark/>
          </w:tcPr>
          <w:p w14:paraId="6F82B7CD" w14:textId="509EC8AC" w:rsidR="00062998" w:rsidRPr="00642D90" w:rsidRDefault="00062998" w:rsidP="0081476F">
            <w:pPr>
              <w:pStyle w:val="ListParagraph"/>
              <w:ind w:left="360"/>
              <w:jc w:val="right"/>
              <w:rPr>
                <w:color w:val="FF0000"/>
                <w:lang w:eastAsia="en-GB"/>
              </w:rPr>
            </w:pPr>
            <w:r>
              <w:rPr>
                <w:rStyle w:val="normaltextrun"/>
              </w:rPr>
              <w:t>205,553</w:t>
            </w:r>
          </w:p>
        </w:tc>
        <w:tc>
          <w:tcPr>
            <w:tcW w:w="1311" w:type="dxa"/>
            <w:noWrap/>
            <w:tcMar>
              <w:top w:w="0" w:type="dxa"/>
              <w:left w:w="108" w:type="dxa"/>
              <w:bottom w:w="0" w:type="dxa"/>
              <w:right w:w="108" w:type="dxa"/>
            </w:tcMar>
            <w:vAlign w:val="bottom"/>
            <w:hideMark/>
          </w:tcPr>
          <w:p w14:paraId="04D233E7" w14:textId="09241758" w:rsidR="00062998" w:rsidRPr="00642D90" w:rsidRDefault="00062998" w:rsidP="0081476F">
            <w:pPr>
              <w:pStyle w:val="ListParagraph"/>
              <w:ind w:left="360"/>
              <w:jc w:val="right"/>
              <w:rPr>
                <w:color w:val="FF0000"/>
                <w:lang w:eastAsia="en-GB"/>
              </w:rPr>
            </w:pPr>
            <w:r>
              <w:rPr>
                <w:rStyle w:val="normaltextrun"/>
              </w:rPr>
              <w:t>8,613</w:t>
            </w:r>
          </w:p>
        </w:tc>
        <w:tc>
          <w:tcPr>
            <w:tcW w:w="1212" w:type="dxa"/>
            <w:vAlign w:val="bottom"/>
          </w:tcPr>
          <w:p w14:paraId="0F1DE549" w14:textId="77777777" w:rsidR="00062998" w:rsidRPr="00642D90" w:rsidRDefault="00062998" w:rsidP="0081476F">
            <w:pPr>
              <w:pStyle w:val="ListParagraph"/>
              <w:ind w:left="360"/>
              <w:jc w:val="right"/>
              <w:rPr>
                <w:color w:val="FF0000"/>
                <w:lang w:eastAsia="en-GB"/>
              </w:rPr>
            </w:pPr>
            <w:r>
              <w:rPr>
                <w:rStyle w:val="normaltextrun"/>
              </w:rPr>
              <w:t>4.4%</w:t>
            </w:r>
          </w:p>
        </w:tc>
      </w:tr>
      <w:tr w:rsidR="0081476F" w:rsidRPr="006F5D6D" w14:paraId="265F7EBB" w14:textId="77777777" w:rsidTr="0081476F">
        <w:trPr>
          <w:trHeight w:val="310"/>
        </w:trPr>
        <w:tc>
          <w:tcPr>
            <w:tcW w:w="3256" w:type="dxa"/>
            <w:noWrap/>
            <w:tcMar>
              <w:top w:w="0" w:type="dxa"/>
              <w:left w:w="108" w:type="dxa"/>
              <w:bottom w:w="0" w:type="dxa"/>
              <w:right w:w="108" w:type="dxa"/>
            </w:tcMar>
            <w:vAlign w:val="bottom"/>
          </w:tcPr>
          <w:p w14:paraId="1A0702FE" w14:textId="635F2CCF" w:rsidR="00062998" w:rsidRPr="00252725" w:rsidRDefault="00062998" w:rsidP="009952B1">
            <w:pPr>
              <w:pStyle w:val="ListParagraph"/>
              <w:ind w:left="360"/>
              <w:rPr>
                <w:lang w:eastAsia="en-GB"/>
              </w:rPr>
            </w:pPr>
            <w:r w:rsidRPr="00252725">
              <w:rPr>
                <w:lang w:eastAsia="en-GB"/>
              </w:rPr>
              <w:t xml:space="preserve">Central School Services </w:t>
            </w:r>
          </w:p>
        </w:tc>
        <w:tc>
          <w:tcPr>
            <w:tcW w:w="1644" w:type="dxa"/>
            <w:noWrap/>
            <w:tcMar>
              <w:top w:w="0" w:type="dxa"/>
              <w:left w:w="108" w:type="dxa"/>
              <w:bottom w:w="0" w:type="dxa"/>
              <w:right w:w="108" w:type="dxa"/>
            </w:tcMar>
            <w:vAlign w:val="bottom"/>
          </w:tcPr>
          <w:p w14:paraId="1A0A94C1" w14:textId="48A0347B" w:rsidR="00062998" w:rsidRDefault="00062998" w:rsidP="0081476F">
            <w:pPr>
              <w:pStyle w:val="ListParagraph"/>
              <w:ind w:left="360"/>
              <w:jc w:val="right"/>
              <w:rPr>
                <w:rStyle w:val="normaltextrun"/>
              </w:rPr>
            </w:pPr>
            <w:r>
              <w:rPr>
                <w:rStyle w:val="normaltextrun"/>
              </w:rPr>
              <w:t>7,967</w:t>
            </w:r>
          </w:p>
        </w:tc>
        <w:tc>
          <w:tcPr>
            <w:tcW w:w="1644" w:type="dxa"/>
            <w:noWrap/>
            <w:tcMar>
              <w:top w:w="0" w:type="dxa"/>
              <w:left w:w="108" w:type="dxa"/>
              <w:bottom w:w="0" w:type="dxa"/>
              <w:right w:w="108" w:type="dxa"/>
            </w:tcMar>
            <w:vAlign w:val="bottom"/>
          </w:tcPr>
          <w:p w14:paraId="22F978B9" w14:textId="450A1E49" w:rsidR="00062998" w:rsidRDefault="00062998" w:rsidP="0081476F">
            <w:pPr>
              <w:pStyle w:val="ListParagraph"/>
              <w:ind w:left="360"/>
              <w:jc w:val="right"/>
              <w:rPr>
                <w:rStyle w:val="normaltextrun"/>
              </w:rPr>
            </w:pPr>
            <w:r>
              <w:rPr>
                <w:rStyle w:val="normaltextrun"/>
              </w:rPr>
              <w:t>7,964</w:t>
            </w:r>
          </w:p>
        </w:tc>
        <w:tc>
          <w:tcPr>
            <w:tcW w:w="1311" w:type="dxa"/>
            <w:noWrap/>
            <w:tcMar>
              <w:top w:w="0" w:type="dxa"/>
              <w:left w:w="108" w:type="dxa"/>
              <w:bottom w:w="0" w:type="dxa"/>
              <w:right w:w="108" w:type="dxa"/>
            </w:tcMar>
            <w:vAlign w:val="bottom"/>
          </w:tcPr>
          <w:p w14:paraId="5799050E" w14:textId="3038BAED" w:rsidR="00062998" w:rsidRDefault="00062998" w:rsidP="0081476F">
            <w:pPr>
              <w:pStyle w:val="ListParagraph"/>
              <w:ind w:left="360"/>
              <w:jc w:val="right"/>
              <w:rPr>
                <w:rStyle w:val="normaltextrun"/>
              </w:rPr>
            </w:pPr>
            <w:r>
              <w:rPr>
                <w:rStyle w:val="normaltextrun"/>
              </w:rPr>
              <w:t>(3)</w:t>
            </w:r>
          </w:p>
        </w:tc>
        <w:tc>
          <w:tcPr>
            <w:tcW w:w="1212" w:type="dxa"/>
            <w:vAlign w:val="bottom"/>
          </w:tcPr>
          <w:p w14:paraId="2463DE9A" w14:textId="0B67D8DD" w:rsidR="00062998" w:rsidRDefault="00062998" w:rsidP="0081476F">
            <w:pPr>
              <w:pStyle w:val="ListParagraph"/>
              <w:ind w:left="360"/>
              <w:jc w:val="right"/>
              <w:rPr>
                <w:rStyle w:val="normaltextrun"/>
              </w:rPr>
            </w:pPr>
            <w:r>
              <w:rPr>
                <w:rStyle w:val="normaltextrun"/>
              </w:rPr>
              <w:t>0.0%</w:t>
            </w:r>
          </w:p>
        </w:tc>
      </w:tr>
      <w:tr w:rsidR="0081476F" w:rsidRPr="006F5D6D" w14:paraId="15E05874" w14:textId="77777777" w:rsidTr="0081476F">
        <w:trPr>
          <w:trHeight w:val="310"/>
        </w:trPr>
        <w:tc>
          <w:tcPr>
            <w:tcW w:w="3256" w:type="dxa"/>
            <w:noWrap/>
            <w:tcMar>
              <w:top w:w="0" w:type="dxa"/>
              <w:left w:w="108" w:type="dxa"/>
              <w:bottom w:w="0" w:type="dxa"/>
              <w:right w:w="108" w:type="dxa"/>
            </w:tcMar>
            <w:vAlign w:val="bottom"/>
          </w:tcPr>
          <w:p w14:paraId="6CE1DB78" w14:textId="0072553A" w:rsidR="00062998" w:rsidRPr="00105646" w:rsidRDefault="00062998" w:rsidP="009952B1">
            <w:pPr>
              <w:pStyle w:val="ListParagraph"/>
              <w:ind w:left="360"/>
              <w:rPr>
                <w:b/>
                <w:bCs/>
                <w:lang w:eastAsia="en-GB"/>
              </w:rPr>
            </w:pPr>
            <w:r w:rsidRPr="00105646">
              <w:rPr>
                <w:b/>
                <w:bCs/>
                <w:lang w:eastAsia="en-GB"/>
              </w:rPr>
              <w:t>Total</w:t>
            </w:r>
          </w:p>
        </w:tc>
        <w:tc>
          <w:tcPr>
            <w:tcW w:w="1644" w:type="dxa"/>
            <w:noWrap/>
            <w:tcMar>
              <w:top w:w="0" w:type="dxa"/>
              <w:left w:w="108" w:type="dxa"/>
              <w:bottom w:w="0" w:type="dxa"/>
              <w:right w:w="108" w:type="dxa"/>
            </w:tcMar>
            <w:vAlign w:val="bottom"/>
          </w:tcPr>
          <w:p w14:paraId="2FAD8481" w14:textId="403F6D03" w:rsidR="00062998" w:rsidRPr="00105646" w:rsidRDefault="00062998" w:rsidP="0081476F">
            <w:pPr>
              <w:pStyle w:val="ListParagraph"/>
              <w:ind w:left="360"/>
              <w:jc w:val="right"/>
              <w:rPr>
                <w:rStyle w:val="normaltextrun"/>
                <w:b/>
                <w:bCs/>
              </w:rPr>
            </w:pPr>
            <w:r w:rsidRPr="00105646">
              <w:rPr>
                <w:rStyle w:val="normaltextrun"/>
                <w:b/>
                <w:bCs/>
              </w:rPr>
              <w:t>1,261,993</w:t>
            </w:r>
          </w:p>
        </w:tc>
        <w:tc>
          <w:tcPr>
            <w:tcW w:w="1644" w:type="dxa"/>
            <w:noWrap/>
            <w:tcMar>
              <w:top w:w="0" w:type="dxa"/>
              <w:left w:w="108" w:type="dxa"/>
              <w:bottom w:w="0" w:type="dxa"/>
              <w:right w:w="108" w:type="dxa"/>
            </w:tcMar>
            <w:vAlign w:val="bottom"/>
          </w:tcPr>
          <w:p w14:paraId="2EC110B9" w14:textId="347ED892" w:rsidR="00062998" w:rsidRPr="00105646" w:rsidRDefault="00062998" w:rsidP="0081476F">
            <w:pPr>
              <w:pStyle w:val="ListParagraph"/>
              <w:ind w:left="360"/>
              <w:jc w:val="right"/>
              <w:rPr>
                <w:rStyle w:val="normaltextrun"/>
                <w:b/>
                <w:bCs/>
              </w:rPr>
            </w:pPr>
            <w:r w:rsidRPr="00105646">
              <w:rPr>
                <w:rStyle w:val="normaltextrun"/>
                <w:b/>
                <w:bCs/>
              </w:rPr>
              <w:t>1,289,559</w:t>
            </w:r>
          </w:p>
        </w:tc>
        <w:tc>
          <w:tcPr>
            <w:tcW w:w="1311" w:type="dxa"/>
            <w:noWrap/>
            <w:tcMar>
              <w:top w:w="0" w:type="dxa"/>
              <w:left w:w="108" w:type="dxa"/>
              <w:bottom w:w="0" w:type="dxa"/>
              <w:right w:w="108" w:type="dxa"/>
            </w:tcMar>
            <w:vAlign w:val="bottom"/>
          </w:tcPr>
          <w:p w14:paraId="3FAB441A" w14:textId="64DD9E74" w:rsidR="00062998" w:rsidRPr="00105646" w:rsidRDefault="00062998" w:rsidP="0081476F">
            <w:pPr>
              <w:pStyle w:val="ListParagraph"/>
              <w:ind w:left="360"/>
              <w:jc w:val="right"/>
              <w:rPr>
                <w:rStyle w:val="normaltextrun"/>
                <w:b/>
                <w:bCs/>
              </w:rPr>
            </w:pPr>
            <w:r w:rsidRPr="00105646">
              <w:rPr>
                <w:rStyle w:val="normaltextrun"/>
                <w:b/>
                <w:bCs/>
              </w:rPr>
              <w:t>27,566</w:t>
            </w:r>
          </w:p>
        </w:tc>
        <w:tc>
          <w:tcPr>
            <w:tcW w:w="1212" w:type="dxa"/>
            <w:vAlign w:val="bottom"/>
          </w:tcPr>
          <w:p w14:paraId="28606A72" w14:textId="1FB74064" w:rsidR="00062998" w:rsidRPr="00105646" w:rsidRDefault="00062998" w:rsidP="0081476F">
            <w:pPr>
              <w:pStyle w:val="ListParagraph"/>
              <w:ind w:left="360"/>
              <w:jc w:val="right"/>
              <w:rPr>
                <w:rStyle w:val="normaltextrun"/>
                <w:b/>
                <w:bCs/>
              </w:rPr>
            </w:pPr>
            <w:r w:rsidRPr="00105646">
              <w:rPr>
                <w:rStyle w:val="normaltextrun"/>
                <w:b/>
                <w:bCs/>
              </w:rPr>
              <w:t>2.2%</w:t>
            </w:r>
          </w:p>
        </w:tc>
      </w:tr>
    </w:tbl>
    <w:p w14:paraId="3EB300FD" w14:textId="523071C9" w:rsidR="0007206D" w:rsidRPr="00AF48F1" w:rsidRDefault="0007206D" w:rsidP="00023CD4">
      <w:pPr>
        <w:pStyle w:val="ListParagraph"/>
        <w:ind w:left="360"/>
        <w:rPr>
          <w:sz w:val="20"/>
          <w:szCs w:val="20"/>
        </w:rPr>
      </w:pPr>
      <w:r w:rsidRPr="00AF48F1">
        <w:rPr>
          <w:sz w:val="14"/>
          <w:szCs w:val="14"/>
        </w:rPr>
        <w:t>*</w:t>
      </w:r>
      <w:r w:rsidRPr="00AF48F1">
        <w:rPr>
          <w:sz w:val="20"/>
          <w:szCs w:val="20"/>
        </w:rPr>
        <w:t>Provisional 24/25 allocations for Early Years Block not yet provided, allocations will also increase due to supplementary grant once confirmed</w:t>
      </w:r>
      <w:r w:rsidR="00023CD4" w:rsidRPr="00AF48F1">
        <w:rPr>
          <w:sz w:val="20"/>
          <w:szCs w:val="20"/>
        </w:rPr>
        <w:t>.</w:t>
      </w:r>
    </w:p>
    <w:p w14:paraId="3EBEA6B4" w14:textId="0EEC8E72" w:rsidR="00BA2322" w:rsidRPr="00AF48F1" w:rsidRDefault="0007206D" w:rsidP="0097763E">
      <w:pPr>
        <w:pStyle w:val="ListParagraph"/>
        <w:ind w:left="360"/>
        <w:rPr>
          <w:sz w:val="20"/>
          <w:szCs w:val="20"/>
        </w:rPr>
      </w:pPr>
      <w:r w:rsidRPr="00AF48F1">
        <w:rPr>
          <w:sz w:val="20"/>
          <w:szCs w:val="20"/>
        </w:rPr>
        <w:t xml:space="preserve">**Excludes 2023/24 growth allocation (£5,870,703) as not yet provided for </w:t>
      </w:r>
      <w:r w:rsidR="00BA2322" w:rsidRPr="00AF48F1">
        <w:rPr>
          <w:sz w:val="20"/>
          <w:szCs w:val="20"/>
        </w:rPr>
        <w:t xml:space="preserve">2024/25. Although a </w:t>
      </w:r>
      <w:r w:rsidR="00BA2322" w:rsidRPr="00547CD8">
        <w:rPr>
          <w:sz w:val="20"/>
          <w:szCs w:val="20"/>
        </w:rPr>
        <w:t xml:space="preserve">2% </w:t>
      </w:r>
      <w:r w:rsidR="00BA2322" w:rsidRPr="00AF48F1">
        <w:rPr>
          <w:sz w:val="20"/>
          <w:szCs w:val="20"/>
        </w:rPr>
        <w:t>increase to growth rates has been shared.</w:t>
      </w:r>
    </w:p>
    <w:p w14:paraId="0C21C7FC" w14:textId="1549A5EF" w:rsidR="00A84109" w:rsidRPr="00AB5AE6" w:rsidRDefault="00BA2322" w:rsidP="00AB5AE6">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AB5AE6">
        <w:rPr>
          <w:rFonts w:ascii="Arial" w:eastAsia="Times New Roman" w:hAnsi="Arial" w:cs="Arial"/>
          <w:color w:val="auto"/>
          <w:kern w:val="0"/>
          <w:sz w:val="24"/>
          <w:szCs w:val="24"/>
          <w:lang w:eastAsia="en-GB"/>
          <w14:ligatures w14:val="none"/>
        </w:rPr>
        <w:lastRenderedPageBreak/>
        <w:t xml:space="preserve">In Hampshire, funding for primary and secondary schools has increased by </w:t>
      </w:r>
      <w:r w:rsidR="00B55778" w:rsidRPr="00AB5AE6">
        <w:rPr>
          <w:rFonts w:ascii="Arial" w:eastAsia="Times New Roman" w:hAnsi="Arial" w:cs="Arial"/>
          <w:color w:val="auto"/>
          <w:kern w:val="0"/>
          <w:sz w:val="24"/>
          <w:szCs w:val="24"/>
          <w:lang w:eastAsia="en-GB"/>
          <w14:ligatures w14:val="none"/>
        </w:rPr>
        <w:t>2</w:t>
      </w:r>
      <w:r w:rsidRPr="00AB5AE6">
        <w:rPr>
          <w:rFonts w:ascii="Arial" w:eastAsia="Times New Roman" w:hAnsi="Arial" w:cs="Arial"/>
          <w:color w:val="auto"/>
          <w:kern w:val="0"/>
          <w:sz w:val="24"/>
          <w:szCs w:val="24"/>
          <w:lang w:eastAsia="en-GB"/>
          <w14:ligatures w14:val="none"/>
        </w:rPr>
        <w:t>.6% on average following inclusion of the Supplementary grant. This equates to £</w:t>
      </w:r>
      <w:r w:rsidR="001D5003" w:rsidRPr="00AB5AE6">
        <w:rPr>
          <w:rFonts w:ascii="Arial" w:eastAsia="Times New Roman" w:hAnsi="Arial" w:cs="Arial"/>
          <w:color w:val="auto"/>
          <w:kern w:val="0"/>
          <w:sz w:val="24"/>
          <w:szCs w:val="24"/>
          <w:lang w:eastAsia="en-GB"/>
          <w14:ligatures w14:val="none"/>
        </w:rPr>
        <w:t>248</w:t>
      </w:r>
      <w:r w:rsidRPr="00AB5AE6">
        <w:rPr>
          <w:rFonts w:ascii="Arial" w:eastAsia="Times New Roman" w:hAnsi="Arial" w:cs="Arial"/>
          <w:color w:val="auto"/>
          <w:kern w:val="0"/>
          <w:sz w:val="24"/>
          <w:szCs w:val="24"/>
          <w:lang w:eastAsia="en-GB"/>
          <w14:ligatures w14:val="none"/>
        </w:rPr>
        <w:t xml:space="preserve"> per primary pupil and £</w:t>
      </w:r>
      <w:r w:rsidR="001D5003" w:rsidRPr="00AB5AE6">
        <w:rPr>
          <w:rFonts w:ascii="Arial" w:eastAsia="Times New Roman" w:hAnsi="Arial" w:cs="Arial"/>
          <w:color w:val="auto"/>
          <w:kern w:val="0"/>
          <w:sz w:val="24"/>
          <w:szCs w:val="24"/>
          <w:lang w:eastAsia="en-GB"/>
          <w14:ligatures w14:val="none"/>
        </w:rPr>
        <w:t>330</w:t>
      </w:r>
      <w:r w:rsidRPr="00AB5AE6">
        <w:rPr>
          <w:rFonts w:ascii="Arial" w:eastAsia="Times New Roman" w:hAnsi="Arial" w:cs="Arial"/>
          <w:color w:val="auto"/>
          <w:kern w:val="0"/>
          <w:sz w:val="24"/>
          <w:szCs w:val="24"/>
          <w:lang w:eastAsia="en-GB"/>
          <w14:ligatures w14:val="none"/>
        </w:rPr>
        <w:t xml:space="preserve"> per secondary pupil. Further details </w:t>
      </w:r>
      <w:r w:rsidR="00053256" w:rsidRPr="00AB5AE6">
        <w:rPr>
          <w:rFonts w:ascii="Arial" w:eastAsia="Times New Roman" w:hAnsi="Arial" w:cs="Arial"/>
          <w:color w:val="auto"/>
          <w:kern w:val="0"/>
          <w:sz w:val="24"/>
          <w:szCs w:val="24"/>
          <w:lang w:eastAsia="en-GB"/>
          <w14:ligatures w14:val="none"/>
        </w:rPr>
        <w:t>regarding the main changes to the N</w:t>
      </w:r>
      <w:r w:rsidR="00655897" w:rsidRPr="00AB5AE6">
        <w:rPr>
          <w:rFonts w:ascii="Arial" w:eastAsia="Times New Roman" w:hAnsi="Arial" w:cs="Arial"/>
          <w:color w:val="auto"/>
          <w:kern w:val="0"/>
          <w:sz w:val="24"/>
          <w:szCs w:val="24"/>
          <w:lang w:eastAsia="en-GB"/>
          <w14:ligatures w14:val="none"/>
        </w:rPr>
        <w:t xml:space="preserve">ational </w:t>
      </w:r>
      <w:r w:rsidR="00053256" w:rsidRPr="00AB5AE6">
        <w:rPr>
          <w:rFonts w:ascii="Arial" w:eastAsia="Times New Roman" w:hAnsi="Arial" w:cs="Arial"/>
          <w:color w:val="auto"/>
          <w:kern w:val="0"/>
          <w:sz w:val="24"/>
          <w:szCs w:val="24"/>
          <w:lang w:eastAsia="en-GB"/>
          <w14:ligatures w14:val="none"/>
        </w:rPr>
        <w:t>F</w:t>
      </w:r>
      <w:r w:rsidR="00655897" w:rsidRPr="00AB5AE6">
        <w:rPr>
          <w:rFonts w:ascii="Arial" w:eastAsia="Times New Roman" w:hAnsi="Arial" w:cs="Arial"/>
          <w:color w:val="auto"/>
          <w:kern w:val="0"/>
          <w:sz w:val="24"/>
          <w:szCs w:val="24"/>
          <w:lang w:eastAsia="en-GB"/>
          <w14:ligatures w14:val="none"/>
        </w:rPr>
        <w:t xml:space="preserve">unding </w:t>
      </w:r>
      <w:r w:rsidR="00053256" w:rsidRPr="00AB5AE6">
        <w:rPr>
          <w:rFonts w:ascii="Arial" w:eastAsia="Times New Roman" w:hAnsi="Arial" w:cs="Arial"/>
          <w:color w:val="auto"/>
          <w:kern w:val="0"/>
          <w:sz w:val="24"/>
          <w:szCs w:val="24"/>
          <w:lang w:eastAsia="en-GB"/>
          <w14:ligatures w14:val="none"/>
        </w:rPr>
        <w:t>F</w:t>
      </w:r>
      <w:r w:rsidR="00655897" w:rsidRPr="00AB5AE6">
        <w:rPr>
          <w:rFonts w:ascii="Arial" w:eastAsia="Times New Roman" w:hAnsi="Arial" w:cs="Arial"/>
          <w:color w:val="auto"/>
          <w:kern w:val="0"/>
          <w:sz w:val="24"/>
          <w:szCs w:val="24"/>
          <w:lang w:eastAsia="en-GB"/>
          <w14:ligatures w14:val="none"/>
        </w:rPr>
        <w:t>ormula</w:t>
      </w:r>
      <w:r w:rsidR="00053256" w:rsidRPr="00AB5AE6">
        <w:rPr>
          <w:rFonts w:ascii="Arial" w:eastAsia="Times New Roman" w:hAnsi="Arial" w:cs="Arial"/>
          <w:color w:val="auto"/>
          <w:kern w:val="0"/>
          <w:sz w:val="24"/>
          <w:szCs w:val="24"/>
          <w:lang w:eastAsia="en-GB"/>
          <w14:ligatures w14:val="none"/>
        </w:rPr>
        <w:t xml:space="preserve"> can be found in the </w:t>
      </w:r>
      <w:r w:rsidRPr="00AB5AE6">
        <w:rPr>
          <w:rFonts w:ascii="Arial" w:eastAsia="Times New Roman" w:hAnsi="Arial" w:cs="Arial"/>
          <w:color w:val="auto"/>
          <w:kern w:val="0"/>
          <w:sz w:val="24"/>
          <w:szCs w:val="24"/>
          <w:lang w:eastAsia="en-GB"/>
          <w14:ligatures w14:val="none"/>
        </w:rPr>
        <w:t>202</w:t>
      </w:r>
      <w:r w:rsidR="008B4C49" w:rsidRPr="00AB5AE6">
        <w:rPr>
          <w:rFonts w:ascii="Arial" w:eastAsia="Times New Roman" w:hAnsi="Arial" w:cs="Arial"/>
          <w:color w:val="auto"/>
          <w:kern w:val="0"/>
          <w:sz w:val="24"/>
          <w:szCs w:val="24"/>
          <w:lang w:eastAsia="en-GB"/>
          <w14:ligatures w14:val="none"/>
        </w:rPr>
        <w:t>4</w:t>
      </w:r>
      <w:r w:rsidRPr="00AB5AE6">
        <w:rPr>
          <w:rFonts w:ascii="Arial" w:eastAsia="Times New Roman" w:hAnsi="Arial" w:cs="Arial"/>
          <w:color w:val="auto"/>
          <w:kern w:val="0"/>
          <w:sz w:val="24"/>
          <w:szCs w:val="24"/>
          <w:lang w:eastAsia="en-GB"/>
          <w14:ligatures w14:val="none"/>
        </w:rPr>
        <w:t>/2</w:t>
      </w:r>
      <w:r w:rsidR="008B4C49" w:rsidRPr="00AB5AE6">
        <w:rPr>
          <w:rFonts w:ascii="Arial" w:eastAsia="Times New Roman" w:hAnsi="Arial" w:cs="Arial"/>
          <w:color w:val="auto"/>
          <w:kern w:val="0"/>
          <w:sz w:val="24"/>
          <w:szCs w:val="24"/>
          <w:lang w:eastAsia="en-GB"/>
          <w14:ligatures w14:val="none"/>
        </w:rPr>
        <w:t>5</w:t>
      </w:r>
      <w:r w:rsidRPr="00AB5AE6">
        <w:rPr>
          <w:rFonts w:ascii="Arial" w:eastAsia="Times New Roman" w:hAnsi="Arial" w:cs="Arial"/>
          <w:color w:val="auto"/>
          <w:kern w:val="0"/>
          <w:sz w:val="24"/>
          <w:szCs w:val="24"/>
          <w:lang w:eastAsia="en-GB"/>
          <w14:ligatures w14:val="none"/>
        </w:rPr>
        <w:t xml:space="preserve"> Schools funding report on the </w:t>
      </w:r>
      <w:proofErr w:type="gramStart"/>
      <w:r w:rsidRPr="00AB5AE6">
        <w:rPr>
          <w:rFonts w:ascii="Arial" w:eastAsia="Times New Roman" w:hAnsi="Arial" w:cs="Arial"/>
          <w:color w:val="auto"/>
          <w:kern w:val="0"/>
          <w:sz w:val="24"/>
          <w:szCs w:val="24"/>
          <w:lang w:eastAsia="en-GB"/>
          <w14:ligatures w14:val="none"/>
        </w:rPr>
        <w:t>1</w:t>
      </w:r>
      <w:r w:rsidR="008B4C49" w:rsidRPr="00AB5AE6">
        <w:rPr>
          <w:rFonts w:ascii="Arial" w:eastAsia="Times New Roman" w:hAnsi="Arial" w:cs="Arial"/>
          <w:color w:val="auto"/>
          <w:kern w:val="0"/>
          <w:sz w:val="24"/>
          <w:szCs w:val="24"/>
          <w:lang w:eastAsia="en-GB"/>
          <w14:ligatures w14:val="none"/>
        </w:rPr>
        <w:t>0</w:t>
      </w:r>
      <w:r w:rsidR="001E322D" w:rsidRPr="001E322D">
        <w:rPr>
          <w:rFonts w:ascii="Arial" w:eastAsia="Times New Roman" w:hAnsi="Arial" w:cs="Arial"/>
          <w:color w:val="auto"/>
          <w:kern w:val="0"/>
          <w:sz w:val="24"/>
          <w:szCs w:val="24"/>
          <w:vertAlign w:val="superscript"/>
          <w:lang w:eastAsia="en-GB"/>
          <w14:ligatures w14:val="none"/>
        </w:rPr>
        <w:t>th</w:t>
      </w:r>
      <w:proofErr w:type="gramEnd"/>
      <w:r w:rsidR="001E322D">
        <w:rPr>
          <w:rFonts w:ascii="Arial" w:eastAsia="Times New Roman" w:hAnsi="Arial" w:cs="Arial"/>
          <w:color w:val="auto"/>
          <w:kern w:val="0"/>
          <w:sz w:val="24"/>
          <w:szCs w:val="24"/>
          <w:lang w:eastAsia="en-GB"/>
          <w14:ligatures w14:val="none"/>
        </w:rPr>
        <w:t xml:space="preserve"> </w:t>
      </w:r>
      <w:r w:rsidRPr="00AB5AE6">
        <w:rPr>
          <w:rFonts w:ascii="Arial" w:eastAsia="Times New Roman" w:hAnsi="Arial" w:cs="Arial"/>
          <w:color w:val="auto"/>
          <w:kern w:val="0"/>
          <w:sz w:val="24"/>
          <w:szCs w:val="24"/>
          <w:lang w:eastAsia="en-GB"/>
          <w14:ligatures w14:val="none"/>
        </w:rPr>
        <w:t>October 202</w:t>
      </w:r>
      <w:r w:rsidR="006647CF" w:rsidRPr="00AB5AE6">
        <w:rPr>
          <w:rFonts w:ascii="Arial" w:eastAsia="Times New Roman" w:hAnsi="Arial" w:cs="Arial"/>
          <w:color w:val="auto"/>
          <w:kern w:val="0"/>
          <w:sz w:val="24"/>
          <w:szCs w:val="24"/>
          <w:lang w:eastAsia="en-GB"/>
          <w14:ligatures w14:val="none"/>
        </w:rPr>
        <w:t>3</w:t>
      </w:r>
      <w:r w:rsidRPr="00AB5AE6">
        <w:rPr>
          <w:rFonts w:ascii="Arial" w:eastAsia="Times New Roman" w:hAnsi="Arial" w:cs="Arial"/>
          <w:color w:val="auto"/>
          <w:kern w:val="0"/>
          <w:sz w:val="24"/>
          <w:szCs w:val="24"/>
          <w:lang w:eastAsia="en-GB"/>
          <w14:ligatures w14:val="none"/>
        </w:rPr>
        <w:t xml:space="preserve"> meeting agenda</w:t>
      </w:r>
      <w:r w:rsidR="00621D79" w:rsidRPr="00AB5AE6">
        <w:rPr>
          <w:rFonts w:ascii="Arial" w:eastAsia="Times New Roman" w:hAnsi="Arial" w:cs="Arial"/>
          <w:color w:val="auto"/>
          <w:kern w:val="0"/>
          <w:sz w:val="24"/>
          <w:szCs w:val="24"/>
          <w:lang w:eastAsia="en-GB"/>
          <w14:ligatures w14:val="none"/>
        </w:rPr>
        <w:t>. However</w:t>
      </w:r>
      <w:r w:rsidR="00DC5212">
        <w:rPr>
          <w:rFonts w:ascii="Arial" w:eastAsia="Times New Roman" w:hAnsi="Arial" w:cs="Arial"/>
          <w:color w:val="auto"/>
          <w:kern w:val="0"/>
          <w:sz w:val="24"/>
          <w:szCs w:val="24"/>
          <w:lang w:eastAsia="en-GB"/>
          <w14:ligatures w14:val="none"/>
        </w:rPr>
        <w:t>,</w:t>
      </w:r>
      <w:r w:rsidR="00621D79" w:rsidRPr="00AB5AE6">
        <w:rPr>
          <w:rFonts w:ascii="Arial" w:eastAsia="Times New Roman" w:hAnsi="Arial" w:cs="Arial"/>
          <w:color w:val="auto"/>
          <w:kern w:val="0"/>
          <w:sz w:val="24"/>
          <w:szCs w:val="24"/>
          <w:lang w:eastAsia="en-GB"/>
          <w14:ligatures w14:val="none"/>
        </w:rPr>
        <w:t xml:space="preserve"> please note the figures </w:t>
      </w:r>
      <w:r w:rsidR="00B2039D" w:rsidRPr="00AB5AE6">
        <w:rPr>
          <w:rFonts w:ascii="Arial" w:eastAsia="Times New Roman" w:hAnsi="Arial" w:cs="Arial"/>
          <w:color w:val="auto"/>
          <w:kern w:val="0"/>
          <w:sz w:val="24"/>
          <w:szCs w:val="24"/>
          <w:lang w:eastAsia="en-GB"/>
          <w14:ligatures w14:val="none"/>
        </w:rPr>
        <w:t xml:space="preserve">in this report </w:t>
      </w:r>
      <w:r w:rsidR="00621D79" w:rsidRPr="00AB5AE6">
        <w:rPr>
          <w:rFonts w:ascii="Arial" w:eastAsia="Times New Roman" w:hAnsi="Arial" w:cs="Arial"/>
          <w:color w:val="auto"/>
          <w:kern w:val="0"/>
          <w:sz w:val="24"/>
          <w:szCs w:val="24"/>
          <w:lang w:eastAsia="en-GB"/>
          <w14:ligatures w14:val="none"/>
        </w:rPr>
        <w:t>are based o</w:t>
      </w:r>
      <w:r w:rsidR="00880638" w:rsidRPr="00AB5AE6">
        <w:rPr>
          <w:rFonts w:ascii="Arial" w:eastAsia="Times New Roman" w:hAnsi="Arial" w:cs="Arial"/>
          <w:color w:val="auto"/>
          <w:kern w:val="0"/>
          <w:sz w:val="24"/>
          <w:szCs w:val="24"/>
          <w:lang w:eastAsia="en-GB"/>
          <w14:ligatures w14:val="none"/>
        </w:rPr>
        <w:t xml:space="preserve">n </w:t>
      </w:r>
      <w:r w:rsidR="00061138" w:rsidRPr="00AB5AE6">
        <w:rPr>
          <w:rFonts w:ascii="Arial" w:eastAsia="Times New Roman" w:hAnsi="Arial" w:cs="Arial"/>
          <w:color w:val="auto"/>
          <w:kern w:val="0"/>
          <w:sz w:val="24"/>
          <w:szCs w:val="24"/>
          <w:lang w:eastAsia="en-GB"/>
          <w14:ligatures w14:val="none"/>
        </w:rPr>
        <w:t xml:space="preserve">the </w:t>
      </w:r>
      <w:r w:rsidR="00880638" w:rsidRPr="00AB5AE6">
        <w:rPr>
          <w:rFonts w:ascii="Arial" w:eastAsia="Times New Roman" w:hAnsi="Arial" w:cs="Arial"/>
          <w:color w:val="auto"/>
          <w:kern w:val="0"/>
          <w:sz w:val="24"/>
          <w:szCs w:val="24"/>
          <w:lang w:eastAsia="en-GB"/>
          <w14:ligatures w14:val="none"/>
        </w:rPr>
        <w:t xml:space="preserve">initial indicative </w:t>
      </w:r>
      <w:r w:rsidR="006074A9" w:rsidRPr="00AB5AE6">
        <w:rPr>
          <w:rFonts w:ascii="Arial" w:eastAsia="Times New Roman" w:hAnsi="Arial" w:cs="Arial"/>
          <w:color w:val="auto"/>
          <w:kern w:val="0"/>
          <w:sz w:val="24"/>
          <w:szCs w:val="24"/>
          <w:lang w:eastAsia="en-GB"/>
          <w14:ligatures w14:val="none"/>
        </w:rPr>
        <w:t>allocation</w:t>
      </w:r>
      <w:r w:rsidR="00880638" w:rsidRPr="00AB5AE6">
        <w:rPr>
          <w:rFonts w:ascii="Arial" w:eastAsia="Times New Roman" w:hAnsi="Arial" w:cs="Arial"/>
          <w:color w:val="auto"/>
          <w:kern w:val="0"/>
          <w:sz w:val="24"/>
          <w:szCs w:val="24"/>
          <w:lang w:eastAsia="en-GB"/>
          <w14:ligatures w14:val="none"/>
        </w:rPr>
        <w:t xml:space="preserve"> from the DfE, </w:t>
      </w:r>
      <w:r w:rsidR="00061138" w:rsidRPr="00AB5AE6">
        <w:rPr>
          <w:rFonts w:ascii="Arial" w:eastAsia="Times New Roman" w:hAnsi="Arial" w:cs="Arial"/>
          <w:color w:val="auto"/>
          <w:kern w:val="0"/>
          <w:sz w:val="24"/>
          <w:szCs w:val="24"/>
          <w:lang w:eastAsia="en-GB"/>
          <w14:ligatures w14:val="none"/>
        </w:rPr>
        <w:t>rather</w:t>
      </w:r>
      <w:r w:rsidR="00880638" w:rsidRPr="00AB5AE6">
        <w:rPr>
          <w:rFonts w:ascii="Arial" w:eastAsia="Times New Roman" w:hAnsi="Arial" w:cs="Arial"/>
          <w:color w:val="auto"/>
          <w:kern w:val="0"/>
          <w:sz w:val="24"/>
          <w:szCs w:val="24"/>
          <w:lang w:eastAsia="en-GB"/>
          <w14:ligatures w14:val="none"/>
        </w:rPr>
        <w:t xml:space="preserve"> than the corrected version received in </w:t>
      </w:r>
      <w:r w:rsidR="00061138" w:rsidRPr="00AB5AE6">
        <w:rPr>
          <w:rFonts w:ascii="Arial" w:eastAsia="Times New Roman" w:hAnsi="Arial" w:cs="Arial"/>
          <w:color w:val="auto"/>
          <w:kern w:val="0"/>
          <w:sz w:val="24"/>
          <w:szCs w:val="24"/>
          <w:lang w:eastAsia="en-GB"/>
          <w14:ligatures w14:val="none"/>
        </w:rPr>
        <w:t xml:space="preserve">October. </w:t>
      </w:r>
      <w:hyperlink r:id="rId14" w:history="1">
        <w:r w:rsidR="00061138" w:rsidRPr="0081476F">
          <w:rPr>
            <w:rStyle w:val="Hyperlink"/>
            <w:rFonts w:ascii="Arial" w:eastAsia="Times New Roman" w:hAnsi="Arial" w:cs="Arial"/>
            <w:kern w:val="0"/>
            <w:sz w:val="24"/>
            <w:szCs w:val="24"/>
            <w:lang w:eastAsia="en-GB"/>
            <w14:ligatures w14:val="none"/>
          </w:rPr>
          <w:t>https://www.hants.gov.uk/educationandlearning/schools-forum</w:t>
        </w:r>
      </w:hyperlink>
      <w:r w:rsidR="00621D79" w:rsidRPr="00AB5AE6">
        <w:rPr>
          <w:rFonts w:ascii="Arial" w:eastAsia="Times New Roman" w:hAnsi="Arial" w:cs="Arial"/>
          <w:kern w:val="0"/>
          <w:sz w:val="24"/>
          <w:szCs w:val="24"/>
          <w:lang w:eastAsia="en-GB"/>
          <w14:ligatures w14:val="none"/>
        </w:rPr>
        <w:t>.</w:t>
      </w:r>
    </w:p>
    <w:p w14:paraId="598703C0" w14:textId="0E552116" w:rsidR="0007206D" w:rsidRPr="00B21866" w:rsidRDefault="0007206D" w:rsidP="00B21866">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B21866">
        <w:rPr>
          <w:rFonts w:ascii="Arial" w:eastAsia="Times New Roman" w:hAnsi="Arial" w:cs="Arial"/>
          <w:color w:val="auto"/>
          <w:kern w:val="0"/>
          <w:sz w:val="24"/>
          <w:szCs w:val="24"/>
          <w:lang w:eastAsia="en-GB"/>
          <w14:ligatures w14:val="none"/>
        </w:rPr>
        <w:t>We are still waiting for the DfE to publish results from the Early Years funding formulae consultation in the summer, the detail of which can be found in the 202</w:t>
      </w:r>
      <w:r w:rsidR="00FB2BB4" w:rsidRPr="00B21866">
        <w:rPr>
          <w:rFonts w:ascii="Arial" w:eastAsia="Times New Roman" w:hAnsi="Arial" w:cs="Arial"/>
          <w:color w:val="auto"/>
          <w:kern w:val="0"/>
          <w:sz w:val="24"/>
          <w:szCs w:val="24"/>
          <w:lang w:eastAsia="en-GB"/>
          <w14:ligatures w14:val="none"/>
        </w:rPr>
        <w:t>4</w:t>
      </w:r>
      <w:r w:rsidRPr="00B21866">
        <w:rPr>
          <w:rFonts w:ascii="Arial" w:eastAsia="Times New Roman" w:hAnsi="Arial" w:cs="Arial"/>
          <w:color w:val="auto"/>
          <w:kern w:val="0"/>
          <w:sz w:val="24"/>
          <w:szCs w:val="24"/>
          <w:lang w:eastAsia="en-GB"/>
          <w14:ligatures w14:val="none"/>
        </w:rPr>
        <w:t>/2</w:t>
      </w:r>
      <w:r w:rsidR="00FB2BB4" w:rsidRPr="00B21866">
        <w:rPr>
          <w:rFonts w:ascii="Arial" w:eastAsia="Times New Roman" w:hAnsi="Arial" w:cs="Arial"/>
          <w:color w:val="auto"/>
          <w:kern w:val="0"/>
          <w:sz w:val="24"/>
          <w:szCs w:val="24"/>
          <w:lang w:eastAsia="en-GB"/>
          <w14:ligatures w14:val="none"/>
        </w:rPr>
        <w:t>5</w:t>
      </w:r>
      <w:r w:rsidRPr="00B21866">
        <w:rPr>
          <w:rFonts w:ascii="Arial" w:eastAsia="Times New Roman" w:hAnsi="Arial" w:cs="Arial"/>
          <w:color w:val="auto"/>
          <w:kern w:val="0"/>
          <w:sz w:val="24"/>
          <w:szCs w:val="24"/>
          <w:lang w:eastAsia="en-GB"/>
          <w14:ligatures w14:val="none"/>
        </w:rPr>
        <w:t xml:space="preserve"> Schools funding report on the </w:t>
      </w:r>
      <w:proofErr w:type="gramStart"/>
      <w:r w:rsidRPr="00B21866">
        <w:rPr>
          <w:rFonts w:ascii="Arial" w:eastAsia="Times New Roman" w:hAnsi="Arial" w:cs="Arial"/>
          <w:color w:val="auto"/>
          <w:kern w:val="0"/>
          <w:sz w:val="24"/>
          <w:szCs w:val="24"/>
          <w:lang w:eastAsia="en-GB"/>
          <w14:ligatures w14:val="none"/>
        </w:rPr>
        <w:t>1</w:t>
      </w:r>
      <w:r w:rsidR="00FB2BB4" w:rsidRPr="00B21866">
        <w:rPr>
          <w:rFonts w:ascii="Arial" w:eastAsia="Times New Roman" w:hAnsi="Arial" w:cs="Arial"/>
          <w:color w:val="auto"/>
          <w:kern w:val="0"/>
          <w:sz w:val="24"/>
          <w:szCs w:val="24"/>
          <w:lang w:eastAsia="en-GB"/>
          <w14:ligatures w14:val="none"/>
        </w:rPr>
        <w:t>0</w:t>
      </w:r>
      <w:r w:rsidR="00DC5212" w:rsidRPr="00DC5212">
        <w:rPr>
          <w:rFonts w:ascii="Arial" w:eastAsia="Times New Roman" w:hAnsi="Arial" w:cs="Arial"/>
          <w:color w:val="auto"/>
          <w:kern w:val="0"/>
          <w:sz w:val="24"/>
          <w:szCs w:val="24"/>
          <w:vertAlign w:val="superscript"/>
          <w:lang w:eastAsia="en-GB"/>
          <w14:ligatures w14:val="none"/>
        </w:rPr>
        <w:t>th</w:t>
      </w:r>
      <w:proofErr w:type="gramEnd"/>
      <w:r w:rsidR="00DC5212">
        <w:rPr>
          <w:rFonts w:ascii="Arial" w:eastAsia="Times New Roman" w:hAnsi="Arial" w:cs="Arial"/>
          <w:color w:val="auto"/>
          <w:kern w:val="0"/>
          <w:sz w:val="24"/>
          <w:szCs w:val="24"/>
          <w:lang w:eastAsia="en-GB"/>
          <w14:ligatures w14:val="none"/>
        </w:rPr>
        <w:t xml:space="preserve"> </w:t>
      </w:r>
      <w:r w:rsidRPr="00B21866">
        <w:rPr>
          <w:rFonts w:ascii="Arial" w:eastAsia="Times New Roman" w:hAnsi="Arial" w:cs="Arial"/>
          <w:color w:val="auto"/>
          <w:kern w:val="0"/>
          <w:sz w:val="24"/>
          <w:szCs w:val="24"/>
          <w:lang w:eastAsia="en-GB"/>
          <w14:ligatures w14:val="none"/>
        </w:rPr>
        <w:t>October 202</w:t>
      </w:r>
      <w:r w:rsidR="00FB2BB4" w:rsidRPr="00B21866">
        <w:rPr>
          <w:rFonts w:ascii="Arial" w:eastAsia="Times New Roman" w:hAnsi="Arial" w:cs="Arial"/>
          <w:color w:val="auto"/>
          <w:kern w:val="0"/>
          <w:sz w:val="24"/>
          <w:szCs w:val="24"/>
          <w:lang w:eastAsia="en-GB"/>
          <w14:ligatures w14:val="none"/>
        </w:rPr>
        <w:t>3</w:t>
      </w:r>
      <w:r w:rsidRPr="00B21866">
        <w:rPr>
          <w:rFonts w:ascii="Arial" w:eastAsia="Times New Roman" w:hAnsi="Arial" w:cs="Arial"/>
          <w:color w:val="auto"/>
          <w:kern w:val="0"/>
          <w:sz w:val="24"/>
          <w:szCs w:val="24"/>
          <w:lang w:eastAsia="en-GB"/>
          <w14:ligatures w14:val="none"/>
        </w:rPr>
        <w:t xml:space="preserve"> meeting agenda. Following confirmation any impact on rates will currently be based on January 202</w:t>
      </w:r>
      <w:r w:rsidR="00C30CA4" w:rsidRPr="00B21866">
        <w:rPr>
          <w:rFonts w:ascii="Arial" w:eastAsia="Times New Roman" w:hAnsi="Arial" w:cs="Arial"/>
          <w:color w:val="auto"/>
          <w:kern w:val="0"/>
          <w:sz w:val="24"/>
          <w:szCs w:val="24"/>
          <w:lang w:eastAsia="en-GB"/>
          <w14:ligatures w14:val="none"/>
        </w:rPr>
        <w:t>3</w:t>
      </w:r>
      <w:r w:rsidRPr="00B21866">
        <w:rPr>
          <w:rFonts w:ascii="Arial" w:eastAsia="Times New Roman" w:hAnsi="Arial" w:cs="Arial"/>
          <w:color w:val="auto"/>
          <w:kern w:val="0"/>
          <w:sz w:val="24"/>
          <w:szCs w:val="24"/>
          <w:lang w:eastAsia="en-GB"/>
          <w14:ligatures w14:val="none"/>
        </w:rPr>
        <w:t xml:space="preserve"> census data therefore 24/2</w:t>
      </w:r>
      <w:r w:rsidR="00C30CA4" w:rsidRPr="00B21866">
        <w:rPr>
          <w:rFonts w:ascii="Arial" w:eastAsia="Times New Roman" w:hAnsi="Arial" w:cs="Arial"/>
          <w:color w:val="auto"/>
          <w:kern w:val="0"/>
          <w:sz w:val="24"/>
          <w:szCs w:val="24"/>
          <w:lang w:eastAsia="en-GB"/>
          <w14:ligatures w14:val="none"/>
        </w:rPr>
        <w:t>5</w:t>
      </w:r>
      <w:r w:rsidRPr="00B21866">
        <w:rPr>
          <w:rFonts w:ascii="Arial" w:eastAsia="Times New Roman" w:hAnsi="Arial" w:cs="Arial"/>
          <w:color w:val="auto"/>
          <w:kern w:val="0"/>
          <w:sz w:val="24"/>
          <w:szCs w:val="24"/>
          <w:lang w:eastAsia="en-GB"/>
          <w14:ligatures w14:val="none"/>
        </w:rPr>
        <w:t xml:space="preserve"> rates will be subject to change following the January 202</w:t>
      </w:r>
      <w:r w:rsidR="00C30CA4" w:rsidRPr="00B21866">
        <w:rPr>
          <w:rFonts w:ascii="Arial" w:eastAsia="Times New Roman" w:hAnsi="Arial" w:cs="Arial"/>
          <w:color w:val="auto"/>
          <w:kern w:val="0"/>
          <w:sz w:val="24"/>
          <w:szCs w:val="24"/>
          <w:lang w:eastAsia="en-GB"/>
          <w14:ligatures w14:val="none"/>
        </w:rPr>
        <w:t>4</w:t>
      </w:r>
      <w:r w:rsidRPr="00B21866">
        <w:rPr>
          <w:rFonts w:ascii="Arial" w:eastAsia="Times New Roman" w:hAnsi="Arial" w:cs="Arial"/>
          <w:color w:val="auto"/>
          <w:kern w:val="0"/>
          <w:sz w:val="24"/>
          <w:szCs w:val="24"/>
          <w:lang w:eastAsia="en-GB"/>
          <w14:ligatures w14:val="none"/>
        </w:rPr>
        <w:t xml:space="preserve"> census. </w:t>
      </w:r>
    </w:p>
    <w:p w14:paraId="5C65A29B" w14:textId="77777777" w:rsidR="0007206D" w:rsidRPr="0081476F" w:rsidRDefault="0007206D" w:rsidP="0081476F">
      <w:pPr>
        <w:pStyle w:val="Heading1"/>
        <w:numPr>
          <w:ilvl w:val="0"/>
          <w:numId w:val="20"/>
        </w:numPr>
        <w:tabs>
          <w:tab w:val="num" w:pos="426"/>
          <w:tab w:val="num" w:pos="2843"/>
        </w:tabs>
        <w:spacing w:before="240" w:after="120"/>
        <w:ind w:left="431" w:hanging="431"/>
        <w:rPr>
          <w:rFonts w:eastAsia="Times New Roman"/>
          <w:bCs w:val="0"/>
          <w:noProof w:val="0"/>
          <w:color w:val="auto"/>
          <w:kern w:val="28"/>
          <w:sz w:val="24"/>
          <w:szCs w:val="24"/>
          <w:lang w:eastAsia="en-GB"/>
          <w14:ligatures w14:val="none"/>
        </w:rPr>
      </w:pPr>
      <w:bookmarkStart w:id="2" w:name="_Toc151016897"/>
      <w:r w:rsidRPr="0081476F">
        <w:rPr>
          <w:rFonts w:eastAsia="Times New Roman"/>
          <w:bCs w:val="0"/>
          <w:noProof w:val="0"/>
          <w:color w:val="auto"/>
          <w:kern w:val="28"/>
          <w:sz w:val="24"/>
          <w:szCs w:val="24"/>
          <w:lang w:eastAsia="en-GB"/>
          <w14:ligatures w14:val="none"/>
        </w:rPr>
        <w:t>2024/25 Budget</w:t>
      </w:r>
      <w:bookmarkEnd w:id="2"/>
    </w:p>
    <w:p w14:paraId="164BD668" w14:textId="77777777" w:rsidR="008A14B8" w:rsidRPr="007E5F69" w:rsidRDefault="0007206D" w:rsidP="007E5F6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bookmarkStart w:id="3" w:name="OLE_LINK2"/>
      <w:bookmarkStart w:id="4" w:name="OLE_LINK3"/>
      <w:proofErr w:type="gramStart"/>
      <w:r w:rsidRPr="007E5F69">
        <w:rPr>
          <w:rFonts w:ascii="Arial" w:eastAsia="Times New Roman" w:hAnsi="Arial" w:cs="Arial"/>
          <w:color w:val="auto"/>
          <w:kern w:val="0"/>
          <w:sz w:val="24"/>
          <w:szCs w:val="24"/>
          <w:lang w:eastAsia="en-GB"/>
          <w14:ligatures w14:val="none"/>
        </w:rPr>
        <w:t>A number of</w:t>
      </w:r>
      <w:proofErr w:type="gramEnd"/>
      <w:r w:rsidRPr="007E5F69">
        <w:rPr>
          <w:rFonts w:ascii="Arial" w:eastAsia="Times New Roman" w:hAnsi="Arial" w:cs="Arial"/>
          <w:color w:val="auto"/>
          <w:kern w:val="0"/>
          <w:sz w:val="24"/>
          <w:szCs w:val="24"/>
          <w:lang w:eastAsia="en-GB"/>
          <w14:ligatures w14:val="none"/>
        </w:rPr>
        <w:t xml:space="preserve"> important decisions on the budget setting for 2024/25 need to be agreed now, as the DfE don’t usually confirm the DSG allocations until the middle of December and 2024/25 budgets will need to be approved by Schools Forum and the Executive Lead Member of Children’s Services in January. Decisions made at this meeting will be incorporated into the budgets that will be approved in January.</w:t>
      </w:r>
      <w:bookmarkStart w:id="5" w:name="_Toc151016898"/>
    </w:p>
    <w:p w14:paraId="1FA5EBE2" w14:textId="3B57119F" w:rsidR="003A7F00" w:rsidRPr="002D6930" w:rsidRDefault="0007206D" w:rsidP="002D6930">
      <w:pPr>
        <w:pStyle w:val="Heading1"/>
        <w:tabs>
          <w:tab w:val="num" w:pos="2843"/>
        </w:tabs>
        <w:spacing w:before="240" w:after="120"/>
        <w:ind w:left="431"/>
        <w:rPr>
          <w:rFonts w:eastAsia="Times New Roman"/>
          <w:bCs w:val="0"/>
          <w:noProof w:val="0"/>
          <w:color w:val="auto"/>
          <w:kern w:val="28"/>
          <w:sz w:val="24"/>
          <w:szCs w:val="24"/>
          <w:lang w:eastAsia="en-GB"/>
          <w14:ligatures w14:val="none"/>
        </w:rPr>
      </w:pPr>
      <w:r w:rsidRPr="002D6930">
        <w:rPr>
          <w:rFonts w:eastAsia="Times New Roman"/>
          <w:bCs w:val="0"/>
          <w:noProof w:val="0"/>
          <w:color w:val="auto"/>
          <w:kern w:val="28"/>
          <w:sz w:val="24"/>
          <w:szCs w:val="24"/>
          <w:lang w:eastAsia="en-GB"/>
          <w14:ligatures w14:val="none"/>
        </w:rPr>
        <w:t>Schools Block</w:t>
      </w:r>
      <w:bookmarkEnd w:id="5"/>
    </w:p>
    <w:p w14:paraId="54B992D7" w14:textId="77777777" w:rsidR="0007206D" w:rsidRPr="007E5F69" w:rsidRDefault="0007206D" w:rsidP="007E5F6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7E5F69">
        <w:rPr>
          <w:rFonts w:ascii="Arial" w:eastAsia="Times New Roman" w:hAnsi="Arial" w:cs="Arial"/>
          <w:color w:val="auto"/>
          <w:kern w:val="0"/>
          <w:sz w:val="24"/>
          <w:szCs w:val="24"/>
          <w:lang w:eastAsia="en-GB"/>
          <w14:ligatures w14:val="none"/>
        </w:rPr>
        <w:t>The budget for this block will be set in line with the overall allocation confirmed in December.</w:t>
      </w:r>
    </w:p>
    <w:p w14:paraId="204217BF" w14:textId="57FA9EAC" w:rsidR="0007206D" w:rsidRPr="007E5F69" w:rsidRDefault="0007206D" w:rsidP="007E5F6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7E5F69">
        <w:rPr>
          <w:rFonts w:ascii="Arial" w:eastAsia="Times New Roman" w:hAnsi="Arial" w:cs="Arial"/>
          <w:color w:val="auto"/>
          <w:kern w:val="0"/>
          <w:sz w:val="24"/>
          <w:szCs w:val="24"/>
          <w:lang w:eastAsia="en-GB"/>
          <w14:ligatures w14:val="none"/>
        </w:rPr>
        <w:t>A consultation was published via the school communications on the principles for setting the mainstream schools funding formula for 202</w:t>
      </w:r>
      <w:r w:rsidR="006F5B55" w:rsidRPr="007E5F69">
        <w:rPr>
          <w:rFonts w:ascii="Arial" w:eastAsia="Times New Roman" w:hAnsi="Arial" w:cs="Arial"/>
          <w:color w:val="auto"/>
          <w:kern w:val="0"/>
          <w:sz w:val="24"/>
          <w:szCs w:val="24"/>
          <w:lang w:eastAsia="en-GB"/>
          <w14:ligatures w14:val="none"/>
        </w:rPr>
        <w:t>4</w:t>
      </w:r>
      <w:r w:rsidRPr="007E5F69">
        <w:rPr>
          <w:rFonts w:ascii="Arial" w:eastAsia="Times New Roman" w:hAnsi="Arial" w:cs="Arial"/>
          <w:color w:val="auto"/>
          <w:kern w:val="0"/>
          <w:sz w:val="24"/>
          <w:szCs w:val="24"/>
          <w:lang w:eastAsia="en-GB"/>
          <w14:ligatures w14:val="none"/>
        </w:rPr>
        <w:t>/2</w:t>
      </w:r>
      <w:r w:rsidR="006F5B55" w:rsidRPr="007E5F69">
        <w:rPr>
          <w:rFonts w:ascii="Arial" w:eastAsia="Times New Roman" w:hAnsi="Arial" w:cs="Arial"/>
          <w:color w:val="auto"/>
          <w:kern w:val="0"/>
          <w:sz w:val="24"/>
          <w:szCs w:val="24"/>
          <w:lang w:eastAsia="en-GB"/>
          <w14:ligatures w14:val="none"/>
        </w:rPr>
        <w:t>5</w:t>
      </w:r>
      <w:r w:rsidRPr="007E5F69">
        <w:rPr>
          <w:rFonts w:ascii="Arial" w:eastAsia="Times New Roman" w:hAnsi="Arial" w:cs="Arial"/>
          <w:color w:val="auto"/>
          <w:kern w:val="0"/>
          <w:sz w:val="24"/>
          <w:szCs w:val="24"/>
          <w:lang w:eastAsia="en-GB"/>
          <w14:ligatures w14:val="none"/>
        </w:rPr>
        <w:t>. The consultation close</w:t>
      </w:r>
      <w:r w:rsidR="00CB6F55" w:rsidRPr="007E5F69">
        <w:rPr>
          <w:rFonts w:ascii="Arial" w:eastAsia="Times New Roman" w:hAnsi="Arial" w:cs="Arial"/>
          <w:color w:val="auto"/>
          <w:kern w:val="0"/>
          <w:sz w:val="24"/>
          <w:szCs w:val="24"/>
          <w:lang w:eastAsia="en-GB"/>
          <w14:ligatures w14:val="none"/>
        </w:rPr>
        <w:t>s</w:t>
      </w:r>
      <w:r w:rsidRPr="007E5F69">
        <w:rPr>
          <w:rFonts w:ascii="Arial" w:eastAsia="Times New Roman" w:hAnsi="Arial" w:cs="Arial"/>
          <w:color w:val="auto"/>
          <w:kern w:val="0"/>
          <w:sz w:val="24"/>
          <w:szCs w:val="24"/>
          <w:lang w:eastAsia="en-GB"/>
          <w14:ligatures w14:val="none"/>
        </w:rPr>
        <w:t xml:space="preserve"> on 2</w:t>
      </w:r>
      <w:r w:rsidR="00CB6F55" w:rsidRPr="007E5F69">
        <w:rPr>
          <w:rFonts w:ascii="Arial" w:eastAsia="Times New Roman" w:hAnsi="Arial" w:cs="Arial"/>
          <w:color w:val="auto"/>
          <w:kern w:val="0"/>
          <w:sz w:val="24"/>
          <w:szCs w:val="24"/>
          <w:lang w:eastAsia="en-GB"/>
          <w14:ligatures w14:val="none"/>
        </w:rPr>
        <w:t>4th</w:t>
      </w:r>
      <w:r w:rsidRPr="007E5F69">
        <w:rPr>
          <w:rFonts w:ascii="Arial" w:eastAsia="Times New Roman" w:hAnsi="Arial" w:cs="Arial"/>
          <w:color w:val="auto"/>
          <w:kern w:val="0"/>
          <w:sz w:val="24"/>
          <w:szCs w:val="24"/>
          <w:lang w:eastAsia="en-GB"/>
          <w14:ligatures w14:val="none"/>
        </w:rPr>
        <w:t xml:space="preserve"> November 202</w:t>
      </w:r>
      <w:r w:rsidR="00CB6F55" w:rsidRPr="007E5F69">
        <w:rPr>
          <w:rFonts w:ascii="Arial" w:eastAsia="Times New Roman" w:hAnsi="Arial" w:cs="Arial"/>
          <w:color w:val="auto"/>
          <w:kern w:val="0"/>
          <w:sz w:val="24"/>
          <w:szCs w:val="24"/>
          <w:lang w:eastAsia="en-GB"/>
          <w14:ligatures w14:val="none"/>
        </w:rPr>
        <w:t>3</w:t>
      </w:r>
      <w:r w:rsidRPr="007E5F69">
        <w:rPr>
          <w:rFonts w:ascii="Arial" w:eastAsia="Times New Roman" w:hAnsi="Arial" w:cs="Arial"/>
          <w:color w:val="auto"/>
          <w:kern w:val="0"/>
          <w:sz w:val="24"/>
          <w:szCs w:val="24"/>
          <w:lang w:eastAsia="en-GB"/>
          <w14:ligatures w14:val="none"/>
        </w:rPr>
        <w:t>, with no feedback provided to date.</w:t>
      </w:r>
    </w:p>
    <w:p w14:paraId="76C1D644" w14:textId="77777777" w:rsidR="0007206D" w:rsidRPr="007E5F69" w:rsidRDefault="0007206D" w:rsidP="007E5F6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7E5F69">
        <w:rPr>
          <w:rFonts w:ascii="Arial" w:eastAsia="Times New Roman" w:hAnsi="Arial" w:cs="Arial"/>
          <w:color w:val="auto"/>
          <w:kern w:val="0"/>
          <w:sz w:val="24"/>
          <w:szCs w:val="24"/>
          <w:lang w:eastAsia="en-GB"/>
          <w14:ligatures w14:val="none"/>
        </w:rPr>
        <w:t>The local formula will be based on the DfE’s national funding formula as far as possible. It may not be possible to fully mirror the national funding formula as:</w:t>
      </w:r>
    </w:p>
    <w:p w14:paraId="004CA8E0" w14:textId="140642BC" w:rsidR="0007206D" w:rsidRPr="00166815" w:rsidRDefault="0007206D" w:rsidP="002C54D9">
      <w:pPr>
        <w:pStyle w:val="ListParagraph"/>
        <w:numPr>
          <w:ilvl w:val="0"/>
          <w:numId w:val="22"/>
        </w:numPr>
        <w:spacing w:after="120"/>
        <w:ind w:left="851" w:hanging="357"/>
      </w:pPr>
      <w:r w:rsidRPr="00166815">
        <w:t>The DSG funding allocation provides funding for premises costs at the previous year cost, but schools are funded based on the expected cost in 202</w:t>
      </w:r>
      <w:r w:rsidR="00A4568E" w:rsidRPr="00166815">
        <w:t>4</w:t>
      </w:r>
      <w:r w:rsidRPr="00166815">
        <w:t>/2</w:t>
      </w:r>
      <w:r w:rsidR="00A4568E" w:rsidRPr="00166815">
        <w:t>5</w:t>
      </w:r>
      <w:r w:rsidRPr="00166815">
        <w:t>. These costs generally increase each year.</w:t>
      </w:r>
    </w:p>
    <w:p w14:paraId="1BC0C26B" w14:textId="10E99E61" w:rsidR="0007206D" w:rsidRPr="00166815" w:rsidRDefault="0007206D" w:rsidP="002C54D9">
      <w:pPr>
        <w:pStyle w:val="ListParagraph"/>
        <w:numPr>
          <w:ilvl w:val="0"/>
          <w:numId w:val="22"/>
        </w:numPr>
        <w:spacing w:after="120"/>
        <w:ind w:left="851" w:hanging="357"/>
      </w:pPr>
      <w:r w:rsidRPr="00166815">
        <w:t>The allocation provides funding based on the characteristics of pupils on the October 202</w:t>
      </w:r>
      <w:r w:rsidR="00B92147" w:rsidRPr="00166815">
        <w:t>2</w:t>
      </w:r>
      <w:r w:rsidRPr="00166815">
        <w:t xml:space="preserve"> census, but the funding formula allocates funding to schools based on the characteristics of their pupils on the October 202</w:t>
      </w:r>
      <w:r w:rsidR="00166815" w:rsidRPr="00166815">
        <w:t>3</w:t>
      </w:r>
      <w:r w:rsidRPr="00166815">
        <w:t xml:space="preserve"> census. If there is a change in the level of additional needs, this will not be reflected in the level of funding received for 202</w:t>
      </w:r>
      <w:r w:rsidR="00166815" w:rsidRPr="00166815">
        <w:t>4</w:t>
      </w:r>
      <w:r w:rsidRPr="00166815">
        <w:t>/2</w:t>
      </w:r>
      <w:r w:rsidR="00166815" w:rsidRPr="00166815">
        <w:t>5</w:t>
      </w:r>
      <w:r w:rsidRPr="00166815">
        <w:t>.</w:t>
      </w:r>
    </w:p>
    <w:p w14:paraId="74DF528C" w14:textId="369FEF72" w:rsidR="000A4172" w:rsidRPr="007E5F69" w:rsidRDefault="0007206D" w:rsidP="007E5F6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7E5F69">
        <w:rPr>
          <w:rFonts w:ascii="Arial" w:eastAsia="Times New Roman" w:hAnsi="Arial" w:cs="Arial"/>
          <w:color w:val="auto"/>
          <w:kern w:val="0"/>
          <w:sz w:val="24"/>
          <w:szCs w:val="24"/>
          <w:lang w:eastAsia="en-GB"/>
          <w14:ligatures w14:val="none"/>
        </w:rPr>
        <w:t>The variance in funding will not be known until December when the DSG allocations are confirmed and the DfE provide the school budget share tool for 202</w:t>
      </w:r>
      <w:r w:rsidR="00766E57" w:rsidRPr="007E5F69">
        <w:rPr>
          <w:rFonts w:ascii="Arial" w:eastAsia="Times New Roman" w:hAnsi="Arial" w:cs="Arial"/>
          <w:color w:val="auto"/>
          <w:kern w:val="0"/>
          <w:sz w:val="24"/>
          <w:szCs w:val="24"/>
          <w:lang w:eastAsia="en-GB"/>
          <w14:ligatures w14:val="none"/>
        </w:rPr>
        <w:t>4</w:t>
      </w:r>
      <w:r w:rsidRPr="007E5F69">
        <w:rPr>
          <w:rFonts w:ascii="Arial" w:eastAsia="Times New Roman" w:hAnsi="Arial" w:cs="Arial"/>
          <w:color w:val="auto"/>
          <w:kern w:val="0"/>
          <w:sz w:val="24"/>
          <w:szCs w:val="24"/>
          <w:lang w:eastAsia="en-GB"/>
          <w14:ligatures w14:val="none"/>
        </w:rPr>
        <w:t>/2</w:t>
      </w:r>
      <w:r w:rsidR="00766E57" w:rsidRPr="007E5F69">
        <w:rPr>
          <w:rFonts w:ascii="Arial" w:eastAsia="Times New Roman" w:hAnsi="Arial" w:cs="Arial"/>
          <w:color w:val="auto"/>
          <w:kern w:val="0"/>
          <w:sz w:val="24"/>
          <w:szCs w:val="24"/>
          <w:lang w:eastAsia="en-GB"/>
          <w14:ligatures w14:val="none"/>
        </w:rPr>
        <w:t>5</w:t>
      </w:r>
      <w:r w:rsidRPr="007E5F69">
        <w:rPr>
          <w:rFonts w:ascii="Arial" w:eastAsia="Times New Roman" w:hAnsi="Arial" w:cs="Arial"/>
          <w:color w:val="auto"/>
          <w:kern w:val="0"/>
          <w:sz w:val="24"/>
          <w:szCs w:val="24"/>
          <w:lang w:eastAsia="en-GB"/>
          <w14:ligatures w14:val="none"/>
        </w:rPr>
        <w:t xml:space="preserve"> with the updated pupil characteristics. We have consulted on the principles in advance, as there is only a small window between receiving the information from the DfE and the schools funding formula and budgets for 202</w:t>
      </w:r>
      <w:r w:rsidR="00766E57" w:rsidRPr="007E5F69">
        <w:rPr>
          <w:rFonts w:ascii="Arial" w:eastAsia="Times New Roman" w:hAnsi="Arial" w:cs="Arial"/>
          <w:color w:val="auto"/>
          <w:kern w:val="0"/>
          <w:sz w:val="24"/>
          <w:szCs w:val="24"/>
          <w:lang w:eastAsia="en-GB"/>
          <w14:ligatures w14:val="none"/>
        </w:rPr>
        <w:t>4</w:t>
      </w:r>
      <w:r w:rsidRPr="007E5F69">
        <w:rPr>
          <w:rFonts w:ascii="Arial" w:eastAsia="Times New Roman" w:hAnsi="Arial" w:cs="Arial"/>
          <w:color w:val="auto"/>
          <w:kern w:val="0"/>
          <w:sz w:val="24"/>
          <w:szCs w:val="24"/>
          <w:lang w:eastAsia="en-GB"/>
          <w14:ligatures w14:val="none"/>
        </w:rPr>
        <w:t>/2</w:t>
      </w:r>
      <w:r w:rsidR="00766E57" w:rsidRPr="007E5F69">
        <w:rPr>
          <w:rFonts w:ascii="Arial" w:eastAsia="Times New Roman" w:hAnsi="Arial" w:cs="Arial"/>
          <w:color w:val="auto"/>
          <w:kern w:val="0"/>
          <w:sz w:val="24"/>
          <w:szCs w:val="24"/>
          <w:lang w:eastAsia="en-GB"/>
          <w14:ligatures w14:val="none"/>
        </w:rPr>
        <w:t>5</w:t>
      </w:r>
      <w:r w:rsidRPr="007E5F69">
        <w:rPr>
          <w:rFonts w:ascii="Arial" w:eastAsia="Times New Roman" w:hAnsi="Arial" w:cs="Arial"/>
          <w:color w:val="auto"/>
          <w:kern w:val="0"/>
          <w:sz w:val="24"/>
          <w:szCs w:val="24"/>
          <w:lang w:eastAsia="en-GB"/>
          <w14:ligatures w14:val="none"/>
        </w:rPr>
        <w:t xml:space="preserve"> being approved by Schools Forum and Executive Member for Children’s Services in January 202</w:t>
      </w:r>
      <w:r w:rsidR="00766E57" w:rsidRPr="007E5F69">
        <w:rPr>
          <w:rFonts w:ascii="Arial" w:eastAsia="Times New Roman" w:hAnsi="Arial" w:cs="Arial"/>
          <w:color w:val="auto"/>
          <w:kern w:val="0"/>
          <w:sz w:val="24"/>
          <w:szCs w:val="24"/>
          <w:lang w:eastAsia="en-GB"/>
          <w14:ligatures w14:val="none"/>
        </w:rPr>
        <w:t>4</w:t>
      </w:r>
      <w:r w:rsidRPr="007E5F69">
        <w:rPr>
          <w:rFonts w:ascii="Arial" w:eastAsia="Times New Roman" w:hAnsi="Arial" w:cs="Arial"/>
          <w:color w:val="auto"/>
          <w:kern w:val="0"/>
          <w:sz w:val="24"/>
          <w:szCs w:val="24"/>
          <w:lang w:eastAsia="en-GB"/>
          <w14:ligatures w14:val="none"/>
        </w:rPr>
        <w:t xml:space="preserve">. </w:t>
      </w:r>
    </w:p>
    <w:p w14:paraId="6366015E" w14:textId="77777777" w:rsidR="009C72C0" w:rsidRDefault="009C72C0" w:rsidP="009C72C0">
      <w:pPr>
        <w:pStyle w:val="ListParagraph"/>
        <w:ind w:left="792"/>
        <w:rPr>
          <w:color w:val="FF0000"/>
        </w:rPr>
      </w:pPr>
    </w:p>
    <w:p w14:paraId="1C132F22" w14:textId="77777777" w:rsidR="0069509C" w:rsidRPr="00684612" w:rsidRDefault="0007206D" w:rsidP="00684612">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684612">
        <w:rPr>
          <w:rFonts w:ascii="Arial" w:eastAsia="Times New Roman" w:hAnsi="Arial" w:cs="Arial"/>
          <w:color w:val="auto"/>
          <w:kern w:val="0"/>
          <w:sz w:val="24"/>
          <w:szCs w:val="24"/>
          <w:lang w:eastAsia="en-GB"/>
          <w14:ligatures w14:val="none"/>
        </w:rPr>
        <w:lastRenderedPageBreak/>
        <w:t xml:space="preserve">The proposed approach for the </w:t>
      </w:r>
      <w:r w:rsidR="005B3089" w:rsidRPr="00684612">
        <w:rPr>
          <w:rFonts w:ascii="Arial" w:eastAsia="Times New Roman" w:hAnsi="Arial" w:cs="Arial"/>
          <w:color w:val="auto"/>
          <w:kern w:val="0"/>
          <w:sz w:val="24"/>
          <w:szCs w:val="24"/>
          <w:lang w:eastAsia="en-GB"/>
          <w14:ligatures w14:val="none"/>
        </w:rPr>
        <w:t>2024/25</w:t>
      </w:r>
      <w:r w:rsidRPr="00684612">
        <w:rPr>
          <w:rFonts w:ascii="Arial" w:eastAsia="Times New Roman" w:hAnsi="Arial" w:cs="Arial"/>
          <w:color w:val="auto"/>
          <w:kern w:val="0"/>
          <w:sz w:val="24"/>
          <w:szCs w:val="24"/>
          <w:lang w:eastAsia="en-GB"/>
          <w14:ligatures w14:val="none"/>
        </w:rPr>
        <w:t xml:space="preserve"> mainstream school funding formula is:</w:t>
      </w:r>
    </w:p>
    <w:p w14:paraId="24D202BC" w14:textId="77777777" w:rsidR="0007206D" w:rsidRPr="00AA5901" w:rsidRDefault="0007206D" w:rsidP="00865777">
      <w:pPr>
        <w:pStyle w:val="ListParagraph"/>
        <w:numPr>
          <w:ilvl w:val="0"/>
          <w:numId w:val="22"/>
        </w:numPr>
        <w:spacing w:after="120"/>
        <w:ind w:left="851" w:hanging="357"/>
      </w:pPr>
      <w:r w:rsidRPr="005B3089">
        <w:t>use the growth fund; either to meet the additional cost or to increase the budget for any surplus if the variance is not material.</w:t>
      </w:r>
    </w:p>
    <w:p w14:paraId="250ADC38" w14:textId="2CFE6072" w:rsidR="0007206D" w:rsidRPr="00AA5901" w:rsidRDefault="0007206D" w:rsidP="00865777">
      <w:pPr>
        <w:pStyle w:val="ListParagraph"/>
        <w:numPr>
          <w:ilvl w:val="0"/>
          <w:numId w:val="22"/>
        </w:numPr>
        <w:spacing w:after="120"/>
        <w:ind w:left="851" w:hanging="357"/>
      </w:pPr>
      <w:r w:rsidRPr="005B3089">
        <w:t>adjust the local funding formula by adjusting all unit values on a proportional basis, except the minimum per pupil funding level</w:t>
      </w:r>
      <w:r w:rsidR="00827EDA">
        <w:t xml:space="preserve"> and </w:t>
      </w:r>
      <w:r w:rsidR="00827EDA" w:rsidRPr="00684612">
        <w:rPr>
          <w:lang w:eastAsia="en-GB"/>
        </w:rPr>
        <w:t>minimum funding guarantee</w:t>
      </w:r>
      <w:r w:rsidRPr="005B3089">
        <w:t>, where the variance is more material and cannot be met by an adjustment to the growth fund.</w:t>
      </w:r>
    </w:p>
    <w:p w14:paraId="434FD72D" w14:textId="77777777" w:rsidR="0007206D" w:rsidRPr="00684612" w:rsidRDefault="0007206D" w:rsidP="00684612">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684612">
        <w:rPr>
          <w:rFonts w:ascii="Arial" w:eastAsia="Times New Roman" w:hAnsi="Arial" w:cs="Arial"/>
          <w:color w:val="auto"/>
          <w:kern w:val="0"/>
          <w:sz w:val="24"/>
          <w:szCs w:val="24"/>
          <w:lang w:eastAsia="en-GB"/>
          <w14:ligatures w14:val="none"/>
        </w:rPr>
        <w:t xml:space="preserve">This is the approach used </w:t>
      </w:r>
      <w:r w:rsidR="00296016" w:rsidRPr="00684612">
        <w:rPr>
          <w:rFonts w:ascii="Arial" w:eastAsia="Times New Roman" w:hAnsi="Arial" w:cs="Arial"/>
          <w:color w:val="auto"/>
          <w:kern w:val="0"/>
          <w:sz w:val="24"/>
          <w:szCs w:val="24"/>
          <w:lang w:eastAsia="en-GB"/>
          <w14:ligatures w14:val="none"/>
        </w:rPr>
        <w:t>between</w:t>
      </w:r>
      <w:r w:rsidRPr="00684612">
        <w:rPr>
          <w:rFonts w:ascii="Arial" w:eastAsia="Times New Roman" w:hAnsi="Arial" w:cs="Arial"/>
          <w:color w:val="auto"/>
          <w:kern w:val="0"/>
          <w:sz w:val="24"/>
          <w:szCs w:val="24"/>
          <w:lang w:eastAsia="en-GB"/>
          <w14:ligatures w14:val="none"/>
        </w:rPr>
        <w:t xml:space="preserve"> 2021/22 and </w:t>
      </w:r>
      <w:r w:rsidR="00296016" w:rsidRPr="00684612">
        <w:rPr>
          <w:rFonts w:ascii="Arial" w:eastAsia="Times New Roman" w:hAnsi="Arial" w:cs="Arial"/>
          <w:color w:val="auto"/>
          <w:kern w:val="0"/>
          <w:sz w:val="24"/>
          <w:szCs w:val="24"/>
          <w:lang w:eastAsia="en-GB"/>
          <w14:ligatures w14:val="none"/>
        </w:rPr>
        <w:t>2023/24</w:t>
      </w:r>
      <w:r w:rsidRPr="00684612">
        <w:rPr>
          <w:rFonts w:ascii="Arial" w:eastAsia="Times New Roman" w:hAnsi="Arial" w:cs="Arial"/>
          <w:color w:val="auto"/>
          <w:kern w:val="0"/>
          <w:sz w:val="24"/>
          <w:szCs w:val="24"/>
          <w:lang w:eastAsia="en-GB"/>
          <w14:ligatures w14:val="none"/>
        </w:rPr>
        <w:t>.</w:t>
      </w:r>
    </w:p>
    <w:p w14:paraId="46DA95C9" w14:textId="3AAA9632" w:rsidR="007A1429" w:rsidRPr="00684612" w:rsidRDefault="0007206D" w:rsidP="00684612">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684612">
        <w:rPr>
          <w:rFonts w:ascii="Arial" w:eastAsia="Times New Roman" w:hAnsi="Arial" w:cs="Arial"/>
          <w:color w:val="auto"/>
          <w:kern w:val="0"/>
          <w:sz w:val="24"/>
          <w:szCs w:val="24"/>
          <w:lang w:eastAsia="en-GB"/>
          <w14:ligatures w14:val="none"/>
        </w:rPr>
        <w:t xml:space="preserve">Funding for the growth fund is calculated based on a national funding formula and funding varies each year, however based on the current year position, it is expected that </w:t>
      </w:r>
      <w:r w:rsidR="001D5DEF" w:rsidRPr="00684612">
        <w:rPr>
          <w:rFonts w:ascii="Arial" w:eastAsia="Times New Roman" w:hAnsi="Arial" w:cs="Arial"/>
          <w:color w:val="auto"/>
          <w:kern w:val="0"/>
          <w:sz w:val="24"/>
          <w:szCs w:val="24"/>
          <w:lang w:eastAsia="en-GB"/>
          <w14:ligatures w14:val="none"/>
        </w:rPr>
        <w:t xml:space="preserve">the result will be a balanced budget, leaving </w:t>
      </w:r>
      <w:r w:rsidRPr="00684612">
        <w:rPr>
          <w:rFonts w:ascii="Arial" w:eastAsia="Times New Roman" w:hAnsi="Arial" w:cs="Arial"/>
          <w:color w:val="auto"/>
          <w:kern w:val="0"/>
          <w:sz w:val="24"/>
          <w:szCs w:val="24"/>
          <w:lang w:eastAsia="en-GB"/>
          <w14:ligatures w14:val="none"/>
        </w:rPr>
        <w:t>limited funding available to meet the additional cost of school budgets.</w:t>
      </w:r>
    </w:p>
    <w:p w14:paraId="7C91345F" w14:textId="1ACC0F2D" w:rsidR="00E90211" w:rsidRPr="00684612" w:rsidRDefault="0007206D">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684612">
        <w:rPr>
          <w:rFonts w:ascii="Arial" w:eastAsia="Times New Roman" w:hAnsi="Arial" w:cs="Arial"/>
          <w:color w:val="auto"/>
          <w:kern w:val="0"/>
          <w:sz w:val="24"/>
          <w:szCs w:val="24"/>
          <w:lang w:eastAsia="en-GB"/>
          <w14:ligatures w14:val="none"/>
        </w:rPr>
        <w:t xml:space="preserve">If the variance in funding is too significant and it either exceeds the level that can be supported from the growth fund where there is a funding </w:t>
      </w:r>
      <w:proofErr w:type="gramStart"/>
      <w:r w:rsidRPr="00684612">
        <w:rPr>
          <w:rFonts w:ascii="Arial" w:eastAsia="Times New Roman" w:hAnsi="Arial" w:cs="Arial"/>
          <w:color w:val="auto"/>
          <w:kern w:val="0"/>
          <w:sz w:val="24"/>
          <w:szCs w:val="24"/>
          <w:lang w:eastAsia="en-GB"/>
          <w14:ligatures w14:val="none"/>
        </w:rPr>
        <w:t>shortfall, or</w:t>
      </w:r>
      <w:proofErr w:type="gramEnd"/>
      <w:r w:rsidRPr="00684612">
        <w:rPr>
          <w:rFonts w:ascii="Arial" w:eastAsia="Times New Roman" w:hAnsi="Arial" w:cs="Arial"/>
          <w:color w:val="auto"/>
          <w:kern w:val="0"/>
          <w:sz w:val="24"/>
          <w:szCs w:val="24"/>
          <w:lang w:eastAsia="en-GB"/>
          <w14:ligatures w14:val="none"/>
        </w:rPr>
        <w:t xml:space="preserve"> would have a positive impact on the school funding formula where there is an excess of funding, then the school funding formula would be adjusted on a proportional basis by amending unit values. The only unit value</w:t>
      </w:r>
      <w:r w:rsidR="00036D59" w:rsidRPr="00684612">
        <w:rPr>
          <w:rFonts w:ascii="Arial" w:eastAsia="Times New Roman" w:hAnsi="Arial" w:cs="Arial"/>
          <w:color w:val="auto"/>
          <w:kern w:val="0"/>
          <w:sz w:val="24"/>
          <w:szCs w:val="24"/>
          <w:lang w:eastAsia="en-GB"/>
          <w14:ligatures w14:val="none"/>
        </w:rPr>
        <w:t>s</w:t>
      </w:r>
      <w:r w:rsidRPr="00684612">
        <w:rPr>
          <w:rFonts w:ascii="Arial" w:eastAsia="Times New Roman" w:hAnsi="Arial" w:cs="Arial"/>
          <w:color w:val="auto"/>
          <w:kern w:val="0"/>
          <w:sz w:val="24"/>
          <w:szCs w:val="24"/>
          <w:lang w:eastAsia="en-GB"/>
          <w14:ligatures w14:val="none"/>
        </w:rPr>
        <w:t xml:space="preserve"> </w:t>
      </w:r>
      <w:r w:rsidR="00C509CD">
        <w:rPr>
          <w:rFonts w:ascii="Arial" w:eastAsia="Times New Roman" w:hAnsi="Arial" w:cs="Arial"/>
          <w:color w:val="auto"/>
          <w:kern w:val="0"/>
          <w:sz w:val="24"/>
          <w:szCs w:val="24"/>
          <w:lang w:eastAsia="en-GB"/>
          <w14:ligatures w14:val="none"/>
        </w:rPr>
        <w:t>not</w:t>
      </w:r>
      <w:r w:rsidRPr="00684612">
        <w:rPr>
          <w:rFonts w:ascii="Arial" w:eastAsia="Times New Roman" w:hAnsi="Arial" w:cs="Arial"/>
          <w:color w:val="auto"/>
          <w:kern w:val="0"/>
          <w:sz w:val="24"/>
          <w:szCs w:val="24"/>
          <w:lang w:eastAsia="en-GB"/>
          <w14:ligatures w14:val="none"/>
        </w:rPr>
        <w:t xml:space="preserve"> adjusted </w:t>
      </w:r>
      <w:r w:rsidR="00036D59" w:rsidRPr="00684612">
        <w:rPr>
          <w:rFonts w:ascii="Arial" w:eastAsia="Times New Roman" w:hAnsi="Arial" w:cs="Arial"/>
          <w:color w:val="auto"/>
          <w:kern w:val="0"/>
          <w:sz w:val="24"/>
          <w:szCs w:val="24"/>
          <w:lang w:eastAsia="en-GB"/>
          <w14:ligatures w14:val="none"/>
        </w:rPr>
        <w:t>are</w:t>
      </w:r>
      <w:r w:rsidRPr="00684612">
        <w:rPr>
          <w:rFonts w:ascii="Arial" w:eastAsia="Times New Roman" w:hAnsi="Arial" w:cs="Arial"/>
          <w:color w:val="auto"/>
          <w:kern w:val="0"/>
          <w:sz w:val="24"/>
          <w:szCs w:val="24"/>
          <w:lang w:eastAsia="en-GB"/>
          <w14:ligatures w14:val="none"/>
        </w:rPr>
        <w:t xml:space="preserve"> the minimum per pupil funding level</w:t>
      </w:r>
      <w:r w:rsidR="00036D59" w:rsidRPr="00684612">
        <w:rPr>
          <w:rFonts w:ascii="Arial" w:eastAsia="Times New Roman" w:hAnsi="Arial" w:cs="Arial"/>
          <w:color w:val="auto"/>
          <w:kern w:val="0"/>
          <w:sz w:val="24"/>
          <w:szCs w:val="24"/>
          <w:lang w:eastAsia="en-GB"/>
          <w14:ligatures w14:val="none"/>
        </w:rPr>
        <w:t xml:space="preserve"> and</w:t>
      </w:r>
      <w:r w:rsidR="00EB62E0" w:rsidRPr="00684612">
        <w:rPr>
          <w:rFonts w:ascii="Arial" w:eastAsia="Times New Roman" w:hAnsi="Arial" w:cs="Arial"/>
          <w:color w:val="auto"/>
          <w:kern w:val="0"/>
          <w:sz w:val="24"/>
          <w:szCs w:val="24"/>
          <w:lang w:eastAsia="en-GB"/>
          <w14:ligatures w14:val="none"/>
        </w:rPr>
        <w:t xml:space="preserve"> minimum funding guarantee</w:t>
      </w:r>
      <w:r w:rsidRPr="00684612">
        <w:rPr>
          <w:rFonts w:ascii="Arial" w:eastAsia="Times New Roman" w:hAnsi="Arial" w:cs="Arial"/>
          <w:color w:val="auto"/>
          <w:kern w:val="0"/>
          <w:sz w:val="24"/>
          <w:szCs w:val="24"/>
          <w:lang w:eastAsia="en-GB"/>
          <w14:ligatures w14:val="none"/>
        </w:rPr>
        <w:t>, as th</w:t>
      </w:r>
      <w:r w:rsidR="00E90211" w:rsidRPr="00684612">
        <w:rPr>
          <w:rFonts w:ascii="Arial" w:eastAsia="Times New Roman" w:hAnsi="Arial" w:cs="Arial"/>
          <w:color w:val="auto"/>
          <w:kern w:val="0"/>
          <w:sz w:val="24"/>
          <w:szCs w:val="24"/>
          <w:lang w:eastAsia="en-GB"/>
          <w14:ligatures w14:val="none"/>
        </w:rPr>
        <w:t>ese</w:t>
      </w:r>
      <w:r w:rsidRPr="00684612">
        <w:rPr>
          <w:rFonts w:ascii="Arial" w:eastAsia="Times New Roman" w:hAnsi="Arial" w:cs="Arial"/>
          <w:color w:val="auto"/>
          <w:kern w:val="0"/>
          <w:sz w:val="24"/>
          <w:szCs w:val="24"/>
          <w:lang w:eastAsia="en-GB"/>
          <w14:ligatures w14:val="none"/>
        </w:rPr>
        <w:t xml:space="preserve"> </w:t>
      </w:r>
      <w:r w:rsidR="00E90211" w:rsidRPr="00684612">
        <w:rPr>
          <w:rFonts w:ascii="Arial" w:eastAsia="Times New Roman" w:hAnsi="Arial" w:cs="Arial"/>
          <w:color w:val="auto"/>
          <w:kern w:val="0"/>
          <w:sz w:val="24"/>
          <w:szCs w:val="24"/>
          <w:lang w:eastAsia="en-GB"/>
          <w14:ligatures w14:val="none"/>
        </w:rPr>
        <w:t>are</w:t>
      </w:r>
      <w:r w:rsidRPr="00684612">
        <w:rPr>
          <w:rFonts w:ascii="Arial" w:eastAsia="Times New Roman" w:hAnsi="Arial" w:cs="Arial"/>
          <w:color w:val="auto"/>
          <w:kern w:val="0"/>
          <w:sz w:val="24"/>
          <w:szCs w:val="24"/>
          <w:lang w:eastAsia="en-GB"/>
          <w14:ligatures w14:val="none"/>
        </w:rPr>
        <w:t xml:space="preserve"> statutory value</w:t>
      </w:r>
      <w:r w:rsidR="00E90211" w:rsidRPr="00684612">
        <w:rPr>
          <w:rFonts w:ascii="Arial" w:eastAsia="Times New Roman" w:hAnsi="Arial" w:cs="Arial"/>
          <w:color w:val="auto"/>
          <w:kern w:val="0"/>
          <w:sz w:val="24"/>
          <w:szCs w:val="24"/>
          <w:lang w:eastAsia="en-GB"/>
          <w14:ligatures w14:val="none"/>
        </w:rPr>
        <w:t>s</w:t>
      </w:r>
      <w:r w:rsidRPr="00684612">
        <w:rPr>
          <w:rFonts w:ascii="Arial" w:eastAsia="Times New Roman" w:hAnsi="Arial" w:cs="Arial"/>
          <w:color w:val="auto"/>
          <w:kern w:val="0"/>
          <w:sz w:val="24"/>
          <w:szCs w:val="24"/>
          <w:lang w:eastAsia="en-GB"/>
          <w14:ligatures w14:val="none"/>
        </w:rPr>
        <w:t xml:space="preserve"> set </w:t>
      </w:r>
      <w:r w:rsidR="00DF3463">
        <w:rPr>
          <w:rFonts w:ascii="Arial" w:eastAsia="Times New Roman" w:hAnsi="Arial" w:cs="Arial"/>
          <w:color w:val="auto"/>
          <w:kern w:val="0"/>
          <w:sz w:val="24"/>
          <w:szCs w:val="24"/>
          <w:lang w:eastAsia="en-GB"/>
          <w14:ligatures w14:val="none"/>
        </w:rPr>
        <w:t xml:space="preserve">or limited </w:t>
      </w:r>
      <w:r w:rsidRPr="00684612">
        <w:rPr>
          <w:rFonts w:ascii="Arial" w:eastAsia="Times New Roman" w:hAnsi="Arial" w:cs="Arial"/>
          <w:color w:val="auto"/>
          <w:kern w:val="0"/>
          <w:sz w:val="24"/>
          <w:szCs w:val="24"/>
          <w:lang w:eastAsia="en-GB"/>
          <w14:ligatures w14:val="none"/>
        </w:rPr>
        <w:t>by government.</w:t>
      </w:r>
    </w:p>
    <w:p w14:paraId="10C36912" w14:textId="2CC3FC61" w:rsidR="00FD1026" w:rsidRPr="00684612" w:rsidRDefault="00A42413" w:rsidP="00684612">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684612">
        <w:rPr>
          <w:rFonts w:ascii="Arial" w:eastAsia="Times New Roman" w:hAnsi="Arial" w:cs="Arial"/>
          <w:color w:val="auto"/>
          <w:kern w:val="0"/>
          <w:sz w:val="24"/>
          <w:szCs w:val="24"/>
          <w:lang w:eastAsia="en-GB"/>
          <w14:ligatures w14:val="none"/>
        </w:rPr>
        <w:t xml:space="preserve">The DfE are introducing a formulaic approach to allocating split sites funding in the </w:t>
      </w:r>
      <w:r w:rsidR="00220D60" w:rsidRPr="00684612">
        <w:rPr>
          <w:rFonts w:ascii="Arial" w:eastAsia="Times New Roman" w:hAnsi="Arial" w:cs="Arial"/>
          <w:color w:val="auto"/>
          <w:kern w:val="0"/>
          <w:sz w:val="24"/>
          <w:szCs w:val="24"/>
          <w:lang w:eastAsia="en-GB"/>
          <w14:ligatures w14:val="none"/>
        </w:rPr>
        <w:t>National Funding Formula</w:t>
      </w:r>
      <w:r w:rsidRPr="00684612">
        <w:rPr>
          <w:rFonts w:ascii="Arial" w:eastAsia="Times New Roman" w:hAnsi="Arial" w:cs="Arial"/>
          <w:color w:val="auto"/>
          <w:kern w:val="0"/>
          <w:sz w:val="24"/>
          <w:szCs w:val="24"/>
          <w:lang w:eastAsia="en-GB"/>
          <w14:ligatures w14:val="none"/>
        </w:rPr>
        <w:t xml:space="preserve"> in 2024-25 to ensure that split sites funding will be provided on a consistent basis across the country. The factor is made up of </w:t>
      </w:r>
      <w:r w:rsidR="00C160E1">
        <w:rPr>
          <w:rFonts w:ascii="Arial" w:eastAsia="Times New Roman" w:hAnsi="Arial" w:cs="Arial"/>
          <w:color w:val="auto"/>
          <w:kern w:val="0"/>
          <w:sz w:val="24"/>
          <w:szCs w:val="24"/>
          <w:lang w:eastAsia="en-GB"/>
          <w14:ligatures w14:val="none"/>
        </w:rPr>
        <w:t>two</w:t>
      </w:r>
      <w:r w:rsidRPr="00684612">
        <w:rPr>
          <w:rFonts w:ascii="Arial" w:eastAsia="Times New Roman" w:hAnsi="Arial" w:cs="Arial"/>
          <w:color w:val="auto"/>
          <w:kern w:val="0"/>
          <w:sz w:val="24"/>
          <w:szCs w:val="24"/>
          <w:lang w:eastAsia="en-GB"/>
          <w14:ligatures w14:val="none"/>
        </w:rPr>
        <w:t xml:space="preserve"> parts: 1) basic eligibility funding</w:t>
      </w:r>
      <w:r w:rsidR="00140B2C">
        <w:rPr>
          <w:rFonts w:ascii="Arial" w:eastAsia="Times New Roman" w:hAnsi="Arial" w:cs="Arial"/>
          <w:color w:val="auto"/>
          <w:kern w:val="0"/>
          <w:sz w:val="24"/>
          <w:szCs w:val="24"/>
          <w:lang w:eastAsia="en-GB"/>
          <w14:ligatures w14:val="none"/>
        </w:rPr>
        <w:t xml:space="preserve"> with a</w:t>
      </w:r>
      <w:r w:rsidRPr="00684612">
        <w:rPr>
          <w:rFonts w:ascii="Arial" w:eastAsia="Times New Roman" w:hAnsi="Arial" w:cs="Arial"/>
          <w:color w:val="auto"/>
          <w:kern w:val="0"/>
          <w:sz w:val="24"/>
          <w:szCs w:val="24"/>
          <w:lang w:eastAsia="en-GB"/>
          <w14:ligatures w14:val="none"/>
        </w:rPr>
        <w:t xml:space="preserve"> lump sum payment</w:t>
      </w:r>
      <w:r w:rsidR="00140B2C">
        <w:rPr>
          <w:rFonts w:ascii="Arial" w:eastAsia="Times New Roman" w:hAnsi="Arial" w:cs="Arial"/>
          <w:color w:val="auto"/>
          <w:kern w:val="0"/>
          <w:sz w:val="24"/>
          <w:szCs w:val="24"/>
          <w:lang w:eastAsia="en-GB"/>
          <w14:ligatures w14:val="none"/>
        </w:rPr>
        <w:t xml:space="preserve"> allocated</w:t>
      </w:r>
      <w:r w:rsidRPr="00684612">
        <w:rPr>
          <w:rFonts w:ascii="Arial" w:eastAsia="Times New Roman" w:hAnsi="Arial" w:cs="Arial"/>
          <w:color w:val="auto"/>
          <w:kern w:val="0"/>
          <w:sz w:val="24"/>
          <w:szCs w:val="24"/>
          <w:lang w:eastAsia="en-GB"/>
          <w14:ligatures w14:val="none"/>
        </w:rPr>
        <w:t xml:space="preserve"> for each additional eligible site and 2) distance funding</w:t>
      </w:r>
      <w:r w:rsidR="00B14118">
        <w:rPr>
          <w:rFonts w:ascii="Arial" w:eastAsia="Times New Roman" w:hAnsi="Arial" w:cs="Arial"/>
          <w:color w:val="auto"/>
          <w:kern w:val="0"/>
          <w:sz w:val="24"/>
          <w:szCs w:val="24"/>
          <w:lang w:eastAsia="en-GB"/>
          <w14:ligatures w14:val="none"/>
        </w:rPr>
        <w:t xml:space="preserve">, provided </w:t>
      </w:r>
      <w:r w:rsidRPr="00684612">
        <w:rPr>
          <w:rFonts w:ascii="Arial" w:eastAsia="Times New Roman" w:hAnsi="Arial" w:cs="Arial"/>
          <w:color w:val="auto"/>
          <w:kern w:val="0"/>
          <w:sz w:val="24"/>
          <w:szCs w:val="24"/>
          <w:lang w:eastAsia="en-GB"/>
          <w14:ligatures w14:val="none"/>
        </w:rPr>
        <w:t xml:space="preserve">on top of the basic eligibility lump sum for schools whose eligible sites are separated by more than 100 metres (by road distance) from the main site. Hampshire’s current methodology is in line with this, so no change in eligible schools </w:t>
      </w:r>
      <w:r w:rsidR="00A74C98">
        <w:rPr>
          <w:rFonts w:ascii="Arial" w:eastAsia="Times New Roman" w:hAnsi="Arial" w:cs="Arial"/>
          <w:color w:val="auto"/>
          <w:kern w:val="0"/>
          <w:sz w:val="24"/>
          <w:szCs w:val="24"/>
          <w:lang w:eastAsia="en-GB"/>
          <w14:ligatures w14:val="none"/>
        </w:rPr>
        <w:t xml:space="preserve">is </w:t>
      </w:r>
      <w:r w:rsidRPr="00684612">
        <w:rPr>
          <w:rFonts w:ascii="Arial" w:eastAsia="Times New Roman" w:hAnsi="Arial" w:cs="Arial"/>
          <w:color w:val="auto"/>
          <w:kern w:val="0"/>
          <w:sz w:val="24"/>
          <w:szCs w:val="24"/>
          <w:lang w:eastAsia="en-GB"/>
          <w14:ligatures w14:val="none"/>
        </w:rPr>
        <w:t>anticipated,</w:t>
      </w:r>
      <w:r w:rsidR="00956241">
        <w:rPr>
          <w:rFonts w:ascii="Arial" w:eastAsia="Times New Roman" w:hAnsi="Arial" w:cs="Arial"/>
          <w:color w:val="auto"/>
          <w:kern w:val="0"/>
          <w:sz w:val="24"/>
          <w:szCs w:val="24"/>
          <w:lang w:eastAsia="en-GB"/>
          <w14:ligatures w14:val="none"/>
        </w:rPr>
        <w:t xml:space="preserve"> </w:t>
      </w:r>
      <w:r w:rsidR="00A74C98">
        <w:rPr>
          <w:rFonts w:ascii="Arial" w:eastAsia="Times New Roman" w:hAnsi="Arial" w:cs="Arial"/>
          <w:color w:val="auto"/>
          <w:kern w:val="0"/>
          <w:sz w:val="24"/>
          <w:szCs w:val="24"/>
          <w:lang w:eastAsia="en-GB"/>
          <w14:ligatures w14:val="none"/>
        </w:rPr>
        <w:t xml:space="preserve">however, </w:t>
      </w:r>
      <w:r w:rsidR="00956241">
        <w:rPr>
          <w:rFonts w:ascii="Arial" w:eastAsia="Times New Roman" w:hAnsi="Arial" w:cs="Arial"/>
          <w:color w:val="auto"/>
          <w:kern w:val="0"/>
          <w:sz w:val="24"/>
          <w:szCs w:val="24"/>
          <w:lang w:eastAsia="en-GB"/>
          <w14:ligatures w14:val="none"/>
        </w:rPr>
        <w:t>overall funding is estimated to increase slightly</w:t>
      </w:r>
      <w:r w:rsidRPr="00684612">
        <w:rPr>
          <w:rFonts w:ascii="Arial" w:eastAsia="Times New Roman" w:hAnsi="Arial" w:cs="Arial"/>
          <w:color w:val="auto"/>
          <w:kern w:val="0"/>
          <w:sz w:val="24"/>
          <w:szCs w:val="24"/>
          <w:lang w:eastAsia="en-GB"/>
          <w14:ligatures w14:val="none"/>
        </w:rPr>
        <w:t>.</w:t>
      </w:r>
      <w:bookmarkStart w:id="6" w:name="_Toc151016899"/>
    </w:p>
    <w:p w14:paraId="55B138B1" w14:textId="0107E433" w:rsidR="00FD1026" w:rsidRPr="00684612" w:rsidRDefault="00FD1026" w:rsidP="00684612">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684612">
        <w:rPr>
          <w:rFonts w:ascii="Arial" w:eastAsia="Times New Roman" w:hAnsi="Arial" w:cs="Arial"/>
          <w:color w:val="auto"/>
          <w:kern w:val="0"/>
          <w:sz w:val="24"/>
          <w:szCs w:val="24"/>
          <w:lang w:eastAsia="en-GB"/>
          <w14:ligatures w14:val="none"/>
        </w:rPr>
        <w:t>As mentioned in the 2024</w:t>
      </w:r>
      <w:r w:rsidR="00B605C6" w:rsidRPr="00684612">
        <w:rPr>
          <w:rFonts w:ascii="Arial" w:eastAsia="Times New Roman" w:hAnsi="Arial" w:cs="Arial"/>
          <w:color w:val="auto"/>
          <w:kern w:val="0"/>
          <w:sz w:val="24"/>
          <w:szCs w:val="24"/>
          <w:lang w:eastAsia="en-GB"/>
          <w14:ligatures w14:val="none"/>
        </w:rPr>
        <w:t>/</w:t>
      </w:r>
      <w:r w:rsidRPr="00684612">
        <w:rPr>
          <w:rFonts w:ascii="Arial" w:eastAsia="Times New Roman" w:hAnsi="Arial" w:cs="Arial"/>
          <w:color w:val="auto"/>
          <w:kern w:val="0"/>
          <w:sz w:val="24"/>
          <w:szCs w:val="24"/>
          <w:lang w:eastAsia="en-GB"/>
          <w14:ligatures w14:val="none"/>
        </w:rPr>
        <w:t xml:space="preserve">25 School Funding </w:t>
      </w:r>
      <w:r w:rsidR="00B605C6" w:rsidRPr="00684612">
        <w:rPr>
          <w:rFonts w:ascii="Arial" w:eastAsia="Times New Roman" w:hAnsi="Arial" w:cs="Arial"/>
          <w:color w:val="auto"/>
          <w:kern w:val="0"/>
          <w:sz w:val="24"/>
          <w:szCs w:val="24"/>
          <w:lang w:eastAsia="en-GB"/>
          <w14:ligatures w14:val="none"/>
        </w:rPr>
        <w:t>f</w:t>
      </w:r>
      <w:r w:rsidRPr="00684612">
        <w:rPr>
          <w:rFonts w:ascii="Arial" w:eastAsia="Times New Roman" w:hAnsi="Arial" w:cs="Arial"/>
          <w:color w:val="auto"/>
          <w:kern w:val="0"/>
          <w:sz w:val="24"/>
          <w:szCs w:val="24"/>
          <w:lang w:eastAsia="en-GB"/>
          <w14:ligatures w14:val="none"/>
        </w:rPr>
        <w:t>orum report on 10</w:t>
      </w:r>
      <w:r w:rsidRPr="00956241">
        <w:rPr>
          <w:rFonts w:ascii="Arial" w:eastAsia="Times New Roman" w:hAnsi="Arial" w:cs="Arial"/>
          <w:color w:val="auto"/>
          <w:kern w:val="0"/>
          <w:sz w:val="24"/>
          <w:szCs w:val="24"/>
          <w:vertAlign w:val="superscript"/>
          <w:lang w:eastAsia="en-GB"/>
          <w14:ligatures w14:val="none"/>
        </w:rPr>
        <w:t>th</w:t>
      </w:r>
      <w:r w:rsidR="00956241">
        <w:rPr>
          <w:rFonts w:ascii="Arial" w:eastAsia="Times New Roman" w:hAnsi="Arial" w:cs="Arial"/>
          <w:color w:val="auto"/>
          <w:kern w:val="0"/>
          <w:sz w:val="24"/>
          <w:szCs w:val="24"/>
          <w:lang w:eastAsia="en-GB"/>
          <w14:ligatures w14:val="none"/>
        </w:rPr>
        <w:t xml:space="preserve"> </w:t>
      </w:r>
      <w:r w:rsidRPr="00684612">
        <w:rPr>
          <w:rFonts w:ascii="Arial" w:eastAsia="Times New Roman" w:hAnsi="Arial" w:cs="Arial"/>
          <w:color w:val="auto"/>
          <w:kern w:val="0"/>
          <w:sz w:val="24"/>
          <w:szCs w:val="24"/>
          <w:lang w:eastAsia="en-GB"/>
          <w14:ligatures w14:val="none"/>
        </w:rPr>
        <w:t>October 2023</w:t>
      </w:r>
      <w:r w:rsidR="00D61099" w:rsidRPr="00684612">
        <w:rPr>
          <w:rFonts w:ascii="Arial" w:eastAsia="Times New Roman" w:hAnsi="Arial" w:cs="Arial"/>
          <w:color w:val="auto"/>
          <w:kern w:val="0"/>
          <w:sz w:val="24"/>
          <w:szCs w:val="24"/>
          <w:lang w:eastAsia="en-GB"/>
          <w14:ligatures w14:val="none"/>
        </w:rPr>
        <w:t>, t</w:t>
      </w:r>
      <w:r w:rsidRPr="00684612">
        <w:rPr>
          <w:rFonts w:ascii="Arial" w:eastAsia="Times New Roman" w:hAnsi="Arial" w:cs="Arial"/>
          <w:color w:val="auto"/>
          <w:kern w:val="0"/>
          <w:sz w:val="24"/>
          <w:szCs w:val="24"/>
          <w:lang w:eastAsia="en-GB"/>
          <w14:ligatures w14:val="none"/>
        </w:rPr>
        <w:t>he DfE have also introduced some changes to approach to funding falling rolls.</w:t>
      </w:r>
      <w:r w:rsidR="009E1E9E" w:rsidRPr="00684612">
        <w:rPr>
          <w:rFonts w:ascii="Arial" w:eastAsia="Times New Roman" w:hAnsi="Arial" w:cs="Arial"/>
          <w:color w:val="auto"/>
          <w:kern w:val="0"/>
          <w:sz w:val="24"/>
          <w:szCs w:val="24"/>
          <w:lang w:eastAsia="en-GB"/>
          <w14:ligatures w14:val="none"/>
        </w:rPr>
        <w:t xml:space="preserve"> </w:t>
      </w:r>
      <w:r w:rsidR="0034358D">
        <w:rPr>
          <w:rFonts w:ascii="Arial" w:eastAsia="Times New Roman" w:hAnsi="Arial" w:cs="Arial"/>
          <w:color w:val="auto"/>
          <w:kern w:val="0"/>
          <w:sz w:val="24"/>
          <w:szCs w:val="24"/>
          <w:lang w:eastAsia="en-GB"/>
          <w14:ligatures w14:val="none"/>
        </w:rPr>
        <w:t>This is being reviewed</w:t>
      </w:r>
      <w:r w:rsidR="000C094B">
        <w:rPr>
          <w:rFonts w:ascii="Arial" w:eastAsia="Times New Roman" w:hAnsi="Arial" w:cs="Arial"/>
          <w:color w:val="auto"/>
          <w:kern w:val="0"/>
          <w:sz w:val="24"/>
          <w:szCs w:val="24"/>
          <w:lang w:eastAsia="en-GB"/>
          <w14:ligatures w14:val="none"/>
        </w:rPr>
        <w:t xml:space="preserve"> </w:t>
      </w:r>
      <w:r w:rsidR="009E1E9E" w:rsidRPr="00684612">
        <w:rPr>
          <w:rFonts w:ascii="Arial" w:eastAsia="Times New Roman" w:hAnsi="Arial" w:cs="Arial"/>
          <w:color w:val="auto"/>
          <w:kern w:val="0"/>
          <w:sz w:val="24"/>
          <w:szCs w:val="24"/>
          <w:lang w:eastAsia="en-GB"/>
          <w14:ligatures w14:val="none"/>
        </w:rPr>
        <w:t>to identify the potential impact for Hampshire Schools</w:t>
      </w:r>
      <w:r w:rsidR="0020360B">
        <w:rPr>
          <w:rFonts w:ascii="Arial" w:eastAsia="Times New Roman" w:hAnsi="Arial" w:cs="Arial"/>
          <w:color w:val="auto"/>
          <w:kern w:val="0"/>
          <w:sz w:val="24"/>
          <w:szCs w:val="24"/>
          <w:lang w:eastAsia="en-GB"/>
          <w14:ligatures w14:val="none"/>
        </w:rPr>
        <w:t xml:space="preserve"> w</w:t>
      </w:r>
      <w:r w:rsidR="001C08E4">
        <w:rPr>
          <w:rFonts w:ascii="Arial" w:eastAsia="Times New Roman" w:hAnsi="Arial" w:cs="Arial"/>
          <w:color w:val="auto"/>
          <w:kern w:val="0"/>
          <w:sz w:val="24"/>
          <w:szCs w:val="24"/>
          <w:lang w:eastAsia="en-GB"/>
          <w14:ligatures w14:val="none"/>
        </w:rPr>
        <w:t xml:space="preserve">hich will be shared with Schools Forum following receipt of the </w:t>
      </w:r>
      <w:r w:rsidR="00F11B12">
        <w:rPr>
          <w:rFonts w:ascii="Arial" w:eastAsia="Times New Roman" w:hAnsi="Arial" w:cs="Arial"/>
          <w:color w:val="auto"/>
          <w:kern w:val="0"/>
          <w:sz w:val="24"/>
          <w:szCs w:val="24"/>
          <w:lang w:eastAsia="en-GB"/>
          <w14:ligatures w14:val="none"/>
        </w:rPr>
        <w:t>final</w:t>
      </w:r>
      <w:r w:rsidR="00424183">
        <w:rPr>
          <w:rFonts w:ascii="Arial" w:eastAsia="Times New Roman" w:hAnsi="Arial" w:cs="Arial"/>
          <w:color w:val="auto"/>
          <w:kern w:val="0"/>
          <w:sz w:val="24"/>
          <w:szCs w:val="24"/>
          <w:lang w:eastAsia="en-GB"/>
          <w14:ligatures w14:val="none"/>
        </w:rPr>
        <w:t xml:space="preserve"> allocation.</w:t>
      </w:r>
    </w:p>
    <w:p w14:paraId="080536D4" w14:textId="77777777" w:rsidR="002E3E9E" w:rsidRPr="00684612" w:rsidRDefault="002E3E9E" w:rsidP="00684612">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684612">
        <w:rPr>
          <w:rFonts w:ascii="Arial" w:eastAsia="Times New Roman" w:hAnsi="Arial" w:cs="Arial"/>
          <w:color w:val="auto"/>
          <w:kern w:val="0"/>
          <w:sz w:val="24"/>
          <w:szCs w:val="24"/>
          <w:lang w:eastAsia="en-GB"/>
          <w14:ligatures w14:val="none"/>
        </w:rPr>
        <w:t xml:space="preserve">The DfE have used updated proxy for Low Prior Attainment, using 2019 attainment data as a proxy for 2020 and 2022 attainment data as a proxy for 2021. This differs to 2023/24 where 2019 attainment data was used for both 2020 and 2021.The impact of this is not currently known and could impact the allocation received. This will be confirmed as part of final allocations in December. </w:t>
      </w:r>
    </w:p>
    <w:p w14:paraId="1AC01DDD" w14:textId="77777777" w:rsidR="0007206D" w:rsidRPr="002C54D9" w:rsidRDefault="0007206D" w:rsidP="002C54D9">
      <w:pPr>
        <w:pStyle w:val="Heading1"/>
        <w:tabs>
          <w:tab w:val="num" w:pos="2843"/>
        </w:tabs>
        <w:spacing w:before="240" w:after="120"/>
        <w:ind w:left="431"/>
        <w:rPr>
          <w:rFonts w:eastAsia="Times New Roman"/>
          <w:bCs w:val="0"/>
          <w:noProof w:val="0"/>
          <w:color w:val="auto"/>
          <w:kern w:val="28"/>
          <w:sz w:val="24"/>
          <w:szCs w:val="24"/>
          <w:lang w:eastAsia="en-GB"/>
          <w14:ligatures w14:val="none"/>
        </w:rPr>
      </w:pPr>
      <w:r w:rsidRPr="002C54D9">
        <w:rPr>
          <w:rFonts w:eastAsia="Times New Roman"/>
          <w:bCs w:val="0"/>
          <w:noProof w:val="0"/>
          <w:color w:val="auto"/>
          <w:kern w:val="28"/>
          <w:sz w:val="24"/>
          <w:szCs w:val="24"/>
          <w:lang w:eastAsia="en-GB"/>
          <w14:ligatures w14:val="none"/>
        </w:rPr>
        <w:t>High Needs Block</w:t>
      </w:r>
      <w:bookmarkEnd w:id="6"/>
    </w:p>
    <w:p w14:paraId="2007BE0C" w14:textId="77777777" w:rsidR="00570B8D" w:rsidRPr="002C54D9" w:rsidRDefault="0007206D" w:rsidP="002C54D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2C54D9">
        <w:rPr>
          <w:rFonts w:ascii="Arial" w:eastAsia="Times New Roman" w:hAnsi="Arial" w:cs="Arial"/>
          <w:color w:val="auto"/>
          <w:kern w:val="0"/>
          <w:sz w:val="24"/>
          <w:szCs w:val="24"/>
          <w:lang w:eastAsia="en-GB"/>
          <w14:ligatures w14:val="none"/>
        </w:rPr>
        <w:t>The additional High Needs Block funding will be used to:</w:t>
      </w:r>
    </w:p>
    <w:p w14:paraId="22A14904" w14:textId="03B8CDD2" w:rsidR="0007206D" w:rsidRPr="00CB38DA" w:rsidRDefault="007461AE" w:rsidP="00865777">
      <w:pPr>
        <w:pStyle w:val="ListParagraph"/>
        <w:numPr>
          <w:ilvl w:val="0"/>
          <w:numId w:val="22"/>
        </w:numPr>
        <w:spacing w:after="120"/>
        <w:ind w:left="851" w:hanging="357"/>
      </w:pPr>
      <w:r>
        <w:t>P</w:t>
      </w:r>
      <w:r w:rsidR="0007206D" w:rsidRPr="0096121C">
        <w:t>rovide</w:t>
      </w:r>
      <w:r w:rsidR="0007206D" w:rsidRPr="00CB38DA">
        <w:t xml:space="preserve"> place funding for new provisions and those that have grown.</w:t>
      </w:r>
    </w:p>
    <w:p w14:paraId="5AB33A5D" w14:textId="15B23636" w:rsidR="0007206D" w:rsidRPr="00B303A1" w:rsidRDefault="00276644" w:rsidP="00865777">
      <w:pPr>
        <w:pStyle w:val="ListParagraph"/>
        <w:numPr>
          <w:ilvl w:val="0"/>
          <w:numId w:val="22"/>
        </w:numPr>
        <w:spacing w:after="120"/>
        <w:ind w:left="851" w:hanging="357"/>
      </w:pPr>
      <w:r>
        <w:t>A</w:t>
      </w:r>
      <w:r w:rsidR="0007206D" w:rsidRPr="00B303A1">
        <w:t xml:space="preserve">djust the funding values for early years SEN hubs, </w:t>
      </w:r>
      <w:r w:rsidR="00F65BC8" w:rsidRPr="00B303A1">
        <w:t>and</w:t>
      </w:r>
      <w:r w:rsidR="0007206D" w:rsidRPr="00B303A1">
        <w:t xml:space="preserve"> </w:t>
      </w:r>
      <w:r w:rsidR="00CA6D15" w:rsidRPr="00B303A1">
        <w:t>top-up</w:t>
      </w:r>
      <w:r w:rsidR="0007206D" w:rsidRPr="00B303A1">
        <w:t xml:space="preserve"> </w:t>
      </w:r>
      <w:r w:rsidR="000A082F" w:rsidRPr="00B303A1">
        <w:t>values for</w:t>
      </w:r>
      <w:r w:rsidR="0007206D" w:rsidRPr="00B303A1">
        <w:t xml:space="preserve"> special schools, resourced provisions, education centres</w:t>
      </w:r>
      <w:r w:rsidR="00BA27E6" w:rsidRPr="00B303A1">
        <w:t>,</w:t>
      </w:r>
      <w:r w:rsidR="0007206D" w:rsidRPr="00B303A1">
        <w:t xml:space="preserve"> mainstream schools top up </w:t>
      </w:r>
      <w:r w:rsidR="00C74FD6" w:rsidRPr="00B303A1">
        <w:t xml:space="preserve">and </w:t>
      </w:r>
      <w:r w:rsidR="004135DE" w:rsidRPr="00B303A1">
        <w:t xml:space="preserve">post 16 </w:t>
      </w:r>
      <w:r w:rsidR="0007206D" w:rsidRPr="00B303A1">
        <w:t xml:space="preserve">to reflect a 1.4% increase in </w:t>
      </w:r>
      <w:r w:rsidR="00B303A1" w:rsidRPr="00B303A1">
        <w:t>placement</w:t>
      </w:r>
      <w:r w:rsidR="0007206D" w:rsidRPr="00B303A1">
        <w:t xml:space="preserve"> funding</w:t>
      </w:r>
      <w:r w:rsidR="00B303A1">
        <w:t>.</w:t>
      </w:r>
    </w:p>
    <w:p w14:paraId="7F325516" w14:textId="47DFBA7E" w:rsidR="008D45B3" w:rsidRPr="00B928CE" w:rsidRDefault="001F186A" w:rsidP="00865777">
      <w:pPr>
        <w:pStyle w:val="ListParagraph"/>
        <w:numPr>
          <w:ilvl w:val="0"/>
          <w:numId w:val="22"/>
        </w:numPr>
        <w:spacing w:after="120"/>
        <w:ind w:left="851" w:hanging="357"/>
      </w:pPr>
      <w:r>
        <w:lastRenderedPageBreak/>
        <w:t>Implement a</w:t>
      </w:r>
      <w:r w:rsidR="006A130C">
        <w:t xml:space="preserve">n enhanced banding framework </w:t>
      </w:r>
      <w:r w:rsidR="004435E3">
        <w:t xml:space="preserve">for special schools </w:t>
      </w:r>
      <w:r w:rsidR="00F054AB">
        <w:t>to support greater transparency and</w:t>
      </w:r>
      <w:r w:rsidR="00F57C06">
        <w:t xml:space="preserve"> </w:t>
      </w:r>
      <w:r w:rsidR="00A80A52">
        <w:t>re</w:t>
      </w:r>
      <w:r w:rsidR="00F57C06">
        <w:t>duce</w:t>
      </w:r>
      <w:r w:rsidR="00A80A52">
        <w:t xml:space="preserve"> the need for additional</w:t>
      </w:r>
      <w:r w:rsidR="00B66532">
        <w:t xml:space="preserve"> discretionary arrangements</w:t>
      </w:r>
      <w:r w:rsidR="00B82F9D">
        <w:t>.</w:t>
      </w:r>
    </w:p>
    <w:p w14:paraId="224F03D9" w14:textId="51950796" w:rsidR="0007206D" w:rsidRPr="00AB1894" w:rsidRDefault="00EA59B8" w:rsidP="00865777">
      <w:pPr>
        <w:pStyle w:val="ListParagraph"/>
        <w:numPr>
          <w:ilvl w:val="0"/>
          <w:numId w:val="22"/>
        </w:numPr>
        <w:spacing w:after="120"/>
        <w:ind w:left="851" w:hanging="357"/>
      </w:pPr>
      <w:r w:rsidRPr="00AB1894">
        <w:t xml:space="preserve">Support additional </w:t>
      </w:r>
      <w:r w:rsidR="001A4B15" w:rsidRPr="00AB1894">
        <w:t xml:space="preserve">staff </w:t>
      </w:r>
      <w:r w:rsidR="00D6323F" w:rsidRPr="00AB1894">
        <w:t xml:space="preserve">recruited </w:t>
      </w:r>
      <w:r w:rsidR="001A4B15" w:rsidRPr="00AB1894">
        <w:t xml:space="preserve">in </w:t>
      </w:r>
      <w:r w:rsidR="002B4771">
        <w:t xml:space="preserve">the Specialist Teacher </w:t>
      </w:r>
      <w:r w:rsidR="00FB177D">
        <w:t xml:space="preserve">Advisory </w:t>
      </w:r>
      <w:r w:rsidR="002B4771">
        <w:t>Serv</w:t>
      </w:r>
      <w:r w:rsidR="004D75F2">
        <w:t>ice</w:t>
      </w:r>
      <w:r w:rsidR="00FB177D">
        <w:t xml:space="preserve"> (STAS)</w:t>
      </w:r>
      <w:r w:rsidR="0007206D" w:rsidRPr="00AB1894">
        <w:t xml:space="preserve"> </w:t>
      </w:r>
      <w:r w:rsidR="001776A4" w:rsidRPr="00AB1894">
        <w:t>in relation</w:t>
      </w:r>
      <w:r w:rsidR="005A5353" w:rsidRPr="00AB1894">
        <w:t xml:space="preserve"> to</w:t>
      </w:r>
      <w:r w:rsidR="0007206D" w:rsidRPr="00AB1894">
        <w:t xml:space="preserve"> growth</w:t>
      </w:r>
      <w:r w:rsidR="00FF7051" w:rsidRPr="00AB1894">
        <w:t xml:space="preserve"> in demand for therapists</w:t>
      </w:r>
      <w:r w:rsidR="00A14697" w:rsidRPr="00AB1894">
        <w:t xml:space="preserve">. </w:t>
      </w:r>
    </w:p>
    <w:p w14:paraId="2E50C320" w14:textId="2C00A5BE" w:rsidR="00D1467F" w:rsidRPr="00D20E06" w:rsidRDefault="00FA2F7F" w:rsidP="00980BF5">
      <w:pPr>
        <w:pStyle w:val="ListParagraph"/>
        <w:numPr>
          <w:ilvl w:val="0"/>
          <w:numId w:val="22"/>
        </w:numPr>
        <w:spacing w:after="120"/>
        <w:ind w:left="850" w:hanging="357"/>
        <w:contextualSpacing w:val="0"/>
      </w:pPr>
      <w:r>
        <w:t xml:space="preserve">Support </w:t>
      </w:r>
      <w:r w:rsidR="00461D45">
        <w:t xml:space="preserve">further </w:t>
      </w:r>
      <w:r w:rsidR="0077100A">
        <w:t xml:space="preserve">investment in cost avoidance </w:t>
      </w:r>
      <w:r w:rsidR="004B19EE">
        <w:t>activity</w:t>
      </w:r>
      <w:r w:rsidR="00B61166">
        <w:t xml:space="preserve"> </w:t>
      </w:r>
      <w:r w:rsidR="004841F4">
        <w:t xml:space="preserve">identified by the </w:t>
      </w:r>
      <w:r w:rsidR="00284C57">
        <w:t xml:space="preserve">Transforming SEND </w:t>
      </w:r>
      <w:r w:rsidR="00873679">
        <w:t xml:space="preserve">Hampshire </w:t>
      </w:r>
      <w:r w:rsidR="00D34BE8">
        <w:t>work.</w:t>
      </w:r>
    </w:p>
    <w:p w14:paraId="2B02C1DF" w14:textId="65B4091B" w:rsidR="00BE4A5B" w:rsidRPr="00980BF5" w:rsidRDefault="007B5B66" w:rsidP="00980BF5">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980BF5">
        <w:rPr>
          <w:rFonts w:ascii="Arial" w:eastAsia="Times New Roman" w:hAnsi="Arial" w:cs="Arial"/>
          <w:color w:val="auto"/>
          <w:kern w:val="0"/>
          <w:sz w:val="24"/>
          <w:szCs w:val="24"/>
          <w:lang w:eastAsia="en-GB"/>
          <w14:ligatures w14:val="none"/>
        </w:rPr>
        <w:t xml:space="preserve">The additional requirements will be partially offset by the following </w:t>
      </w:r>
      <w:r w:rsidR="000A07DF" w:rsidRPr="00980BF5">
        <w:rPr>
          <w:rFonts w:ascii="Arial" w:eastAsia="Times New Roman" w:hAnsi="Arial" w:cs="Arial"/>
          <w:color w:val="auto"/>
          <w:kern w:val="0"/>
          <w:sz w:val="24"/>
          <w:szCs w:val="24"/>
          <w:lang w:eastAsia="en-GB"/>
          <w14:ligatures w14:val="none"/>
        </w:rPr>
        <w:t>budget reductions</w:t>
      </w:r>
      <w:r w:rsidR="00980BF5" w:rsidRPr="00980BF5">
        <w:rPr>
          <w:rFonts w:ascii="Arial" w:eastAsia="Times New Roman" w:hAnsi="Arial" w:cs="Arial"/>
          <w:color w:val="auto"/>
          <w:kern w:val="0"/>
          <w:sz w:val="24"/>
          <w:szCs w:val="24"/>
          <w:lang w:eastAsia="en-GB"/>
          <w14:ligatures w14:val="none"/>
        </w:rPr>
        <w:t>:</w:t>
      </w:r>
    </w:p>
    <w:p w14:paraId="7959938D" w14:textId="61AA2484" w:rsidR="00E95D28" w:rsidRPr="004438A1" w:rsidRDefault="00E95D28" w:rsidP="00980BF5">
      <w:pPr>
        <w:pStyle w:val="ListParagraph"/>
        <w:numPr>
          <w:ilvl w:val="0"/>
          <w:numId w:val="22"/>
        </w:numPr>
        <w:spacing w:after="120"/>
        <w:ind w:left="851" w:hanging="357"/>
      </w:pPr>
      <w:r w:rsidRPr="004438A1">
        <w:t xml:space="preserve">Ending of Sector Led </w:t>
      </w:r>
      <w:r w:rsidR="00F009DF" w:rsidRPr="004438A1">
        <w:t>improvement</w:t>
      </w:r>
      <w:r w:rsidRPr="004438A1">
        <w:t xml:space="preserve"> funding</w:t>
      </w:r>
      <w:r w:rsidR="00812062" w:rsidRPr="004438A1">
        <w:t xml:space="preserve"> following the completion of the </w:t>
      </w:r>
      <w:r w:rsidR="00F009DF" w:rsidRPr="004438A1">
        <w:t>projects.</w:t>
      </w:r>
    </w:p>
    <w:p w14:paraId="5BD7FD34" w14:textId="020397E6" w:rsidR="003144FB" w:rsidRPr="004438A1" w:rsidRDefault="00B0214B" w:rsidP="00980BF5">
      <w:pPr>
        <w:pStyle w:val="ListParagraph"/>
        <w:numPr>
          <w:ilvl w:val="0"/>
          <w:numId w:val="22"/>
        </w:numPr>
        <w:spacing w:after="120"/>
        <w:ind w:left="851" w:hanging="357"/>
      </w:pPr>
      <w:r w:rsidRPr="004438A1">
        <w:t xml:space="preserve">Reduction of special school discretionary budgets relating to elements </w:t>
      </w:r>
      <w:r w:rsidR="00E1221A" w:rsidRPr="004438A1">
        <w:t>covered by the new framework</w:t>
      </w:r>
      <w:r w:rsidR="004C7F52" w:rsidRPr="004438A1">
        <w:t>.</w:t>
      </w:r>
    </w:p>
    <w:p w14:paraId="3FC3EA53" w14:textId="4A3A6426" w:rsidR="00E82076" w:rsidRPr="004438A1" w:rsidRDefault="00E82076" w:rsidP="00980BF5">
      <w:pPr>
        <w:pStyle w:val="ListParagraph"/>
        <w:numPr>
          <w:ilvl w:val="0"/>
          <w:numId w:val="22"/>
        </w:numPr>
        <w:spacing w:after="120"/>
        <w:ind w:left="851" w:hanging="357"/>
      </w:pPr>
      <w:r w:rsidRPr="004438A1">
        <w:t>Reduction in discretionary</w:t>
      </w:r>
      <w:r w:rsidR="004C7F52" w:rsidRPr="004438A1">
        <w:t xml:space="preserve"> funding pressures in relation to externally commissioned therapists.</w:t>
      </w:r>
    </w:p>
    <w:p w14:paraId="7C7E83B3" w14:textId="5CA9C23E" w:rsidR="00E95D28" w:rsidRPr="004438A1" w:rsidRDefault="00E95D28" w:rsidP="00980BF5">
      <w:pPr>
        <w:pStyle w:val="ListParagraph"/>
        <w:numPr>
          <w:ilvl w:val="0"/>
          <w:numId w:val="22"/>
        </w:numPr>
        <w:spacing w:after="120"/>
        <w:ind w:left="850" w:hanging="357"/>
        <w:contextualSpacing w:val="0"/>
      </w:pPr>
      <w:r w:rsidRPr="004438A1">
        <w:t xml:space="preserve">Use of HN Contingency budget to support transition to </w:t>
      </w:r>
      <w:r w:rsidR="00F450F7">
        <w:t>special school</w:t>
      </w:r>
      <w:r w:rsidRPr="004438A1">
        <w:t xml:space="preserve"> bandings</w:t>
      </w:r>
      <w:r w:rsidR="004C7F52" w:rsidRPr="004438A1">
        <w:t>.</w:t>
      </w:r>
    </w:p>
    <w:p w14:paraId="7D91E4A3" w14:textId="7D8D2649" w:rsidR="0007206D" w:rsidRPr="00980BF5" w:rsidRDefault="00852EF8" w:rsidP="00980BF5">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980BF5">
        <w:rPr>
          <w:rFonts w:ascii="Arial" w:eastAsia="Times New Roman" w:hAnsi="Arial" w:cs="Arial"/>
          <w:color w:val="auto"/>
          <w:kern w:val="0"/>
          <w:sz w:val="24"/>
          <w:szCs w:val="24"/>
          <w:lang w:eastAsia="en-GB"/>
          <w14:ligatures w14:val="none"/>
        </w:rPr>
        <w:t>T</w:t>
      </w:r>
      <w:r w:rsidR="0007206D" w:rsidRPr="00980BF5">
        <w:rPr>
          <w:rFonts w:ascii="Arial" w:eastAsia="Times New Roman" w:hAnsi="Arial" w:cs="Arial"/>
          <w:color w:val="auto"/>
          <w:kern w:val="0"/>
          <w:sz w:val="24"/>
          <w:szCs w:val="24"/>
          <w:lang w:eastAsia="en-GB"/>
          <w14:ligatures w14:val="none"/>
        </w:rPr>
        <w:t>he remaining funding will be allocated across the block to offset pressures, as far as possible.</w:t>
      </w:r>
    </w:p>
    <w:p w14:paraId="290EF5B2" w14:textId="03FC1966" w:rsidR="0007206D" w:rsidRPr="00980BF5" w:rsidRDefault="0007206D" w:rsidP="00980BF5">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980BF5">
        <w:rPr>
          <w:rFonts w:ascii="Arial" w:eastAsia="Times New Roman" w:hAnsi="Arial" w:cs="Arial"/>
          <w:color w:val="auto"/>
          <w:kern w:val="0"/>
          <w:sz w:val="24"/>
          <w:szCs w:val="24"/>
          <w:lang w:eastAsia="en-GB"/>
          <w14:ligatures w14:val="none"/>
        </w:rPr>
        <w:t>The DSG Deficit Management Plan shows that despite an increase in funding, a</w:t>
      </w:r>
      <w:r w:rsidR="00E8267C" w:rsidRPr="00980BF5">
        <w:rPr>
          <w:rFonts w:ascii="Arial" w:eastAsia="Times New Roman" w:hAnsi="Arial" w:cs="Arial"/>
          <w:color w:val="auto"/>
          <w:kern w:val="0"/>
          <w:sz w:val="24"/>
          <w:szCs w:val="24"/>
          <w:lang w:eastAsia="en-GB"/>
          <w14:ligatures w14:val="none"/>
        </w:rPr>
        <w:t>n in-year</w:t>
      </w:r>
      <w:r w:rsidRPr="00980BF5">
        <w:rPr>
          <w:rFonts w:ascii="Arial" w:eastAsia="Times New Roman" w:hAnsi="Arial" w:cs="Arial"/>
          <w:color w:val="auto"/>
          <w:kern w:val="0"/>
          <w:sz w:val="24"/>
          <w:szCs w:val="24"/>
          <w:lang w:eastAsia="en-GB"/>
          <w14:ligatures w14:val="none"/>
        </w:rPr>
        <w:t xml:space="preserve"> pressure of £</w:t>
      </w:r>
      <w:r w:rsidR="003F2953" w:rsidRPr="00980BF5">
        <w:rPr>
          <w:rFonts w:ascii="Arial" w:eastAsia="Times New Roman" w:hAnsi="Arial" w:cs="Arial"/>
          <w:color w:val="auto"/>
          <w:kern w:val="0"/>
          <w:sz w:val="24"/>
          <w:szCs w:val="24"/>
          <w:lang w:eastAsia="en-GB"/>
          <w14:ligatures w14:val="none"/>
        </w:rPr>
        <w:t>61</w:t>
      </w:r>
      <w:r w:rsidRPr="00980BF5">
        <w:rPr>
          <w:rFonts w:ascii="Arial" w:eastAsia="Times New Roman" w:hAnsi="Arial" w:cs="Arial"/>
          <w:color w:val="auto"/>
          <w:kern w:val="0"/>
          <w:sz w:val="24"/>
          <w:szCs w:val="24"/>
          <w:lang w:eastAsia="en-GB"/>
          <w14:ligatures w14:val="none"/>
        </w:rPr>
        <w:t xml:space="preserve">m </w:t>
      </w:r>
      <w:r w:rsidR="00E8267C" w:rsidRPr="00980BF5">
        <w:rPr>
          <w:rFonts w:ascii="Arial" w:eastAsia="Times New Roman" w:hAnsi="Arial" w:cs="Arial"/>
          <w:color w:val="auto"/>
          <w:kern w:val="0"/>
          <w:sz w:val="24"/>
          <w:szCs w:val="24"/>
          <w:lang w:eastAsia="en-GB"/>
          <w14:ligatures w14:val="none"/>
        </w:rPr>
        <w:t>is</w:t>
      </w:r>
      <w:r w:rsidRPr="00980BF5">
        <w:rPr>
          <w:rFonts w:ascii="Arial" w:eastAsia="Times New Roman" w:hAnsi="Arial" w:cs="Arial"/>
          <w:color w:val="auto"/>
          <w:kern w:val="0"/>
          <w:sz w:val="24"/>
          <w:szCs w:val="24"/>
          <w:lang w:eastAsia="en-GB"/>
          <w14:ligatures w14:val="none"/>
        </w:rPr>
        <w:t xml:space="preserve"> expected in 2024/25</w:t>
      </w:r>
      <w:r w:rsidR="006912EC" w:rsidRPr="00980BF5">
        <w:rPr>
          <w:rFonts w:ascii="Arial" w:eastAsia="Times New Roman" w:hAnsi="Arial" w:cs="Arial"/>
          <w:color w:val="auto"/>
          <w:kern w:val="0"/>
          <w:sz w:val="24"/>
          <w:szCs w:val="24"/>
          <w:lang w:eastAsia="en-GB"/>
          <w14:ligatures w14:val="none"/>
        </w:rPr>
        <w:t xml:space="preserve">.  </w:t>
      </w:r>
      <w:r w:rsidR="0065619F" w:rsidRPr="00980BF5">
        <w:rPr>
          <w:rFonts w:ascii="Arial" w:eastAsia="Times New Roman" w:hAnsi="Arial" w:cs="Arial"/>
          <w:color w:val="auto"/>
          <w:kern w:val="0"/>
          <w:sz w:val="24"/>
          <w:szCs w:val="24"/>
          <w:lang w:eastAsia="en-GB"/>
          <w14:ligatures w14:val="none"/>
        </w:rPr>
        <w:t>It is expected with further investment in</w:t>
      </w:r>
      <w:r w:rsidR="005B2493" w:rsidRPr="00980BF5">
        <w:rPr>
          <w:rFonts w:ascii="Arial" w:eastAsia="Times New Roman" w:hAnsi="Arial" w:cs="Arial"/>
          <w:color w:val="auto"/>
          <w:kern w:val="0"/>
          <w:sz w:val="24"/>
          <w:szCs w:val="24"/>
          <w:lang w:eastAsia="en-GB"/>
          <w14:ligatures w14:val="none"/>
        </w:rPr>
        <w:t xml:space="preserve"> </w:t>
      </w:r>
      <w:r w:rsidR="006C2B7E" w:rsidRPr="00980BF5">
        <w:rPr>
          <w:rFonts w:ascii="Arial" w:eastAsia="Times New Roman" w:hAnsi="Arial" w:cs="Arial"/>
          <w:color w:val="auto"/>
          <w:kern w:val="0"/>
          <w:sz w:val="24"/>
          <w:szCs w:val="24"/>
          <w:lang w:eastAsia="en-GB"/>
          <w14:ligatures w14:val="none"/>
        </w:rPr>
        <w:t xml:space="preserve">work identified through the </w:t>
      </w:r>
      <w:r w:rsidR="000A3CD7" w:rsidRPr="00980BF5">
        <w:rPr>
          <w:rFonts w:ascii="Arial" w:eastAsia="Times New Roman" w:hAnsi="Arial" w:cs="Arial"/>
          <w:color w:val="auto"/>
          <w:kern w:val="0"/>
          <w:sz w:val="24"/>
          <w:szCs w:val="24"/>
          <w:lang w:eastAsia="en-GB"/>
          <w14:ligatures w14:val="none"/>
        </w:rPr>
        <w:t>Transforming SEND Hampshire</w:t>
      </w:r>
      <w:r w:rsidR="006C2B7E" w:rsidRPr="00980BF5">
        <w:rPr>
          <w:rFonts w:ascii="Arial" w:eastAsia="Times New Roman" w:hAnsi="Arial" w:cs="Arial"/>
          <w:color w:val="auto"/>
          <w:kern w:val="0"/>
          <w:sz w:val="24"/>
          <w:szCs w:val="24"/>
          <w:lang w:eastAsia="en-GB"/>
          <w14:ligatures w14:val="none"/>
        </w:rPr>
        <w:t xml:space="preserve"> programme that </w:t>
      </w:r>
      <w:r w:rsidR="007368DE" w:rsidRPr="00980BF5">
        <w:rPr>
          <w:rFonts w:ascii="Arial" w:eastAsia="Times New Roman" w:hAnsi="Arial" w:cs="Arial"/>
          <w:color w:val="auto"/>
          <w:kern w:val="0"/>
          <w:sz w:val="24"/>
          <w:szCs w:val="24"/>
          <w:lang w:eastAsia="en-GB"/>
          <w14:ligatures w14:val="none"/>
        </w:rPr>
        <w:t>the</w:t>
      </w:r>
      <w:r w:rsidR="001A7829" w:rsidRPr="00980BF5">
        <w:rPr>
          <w:rFonts w:ascii="Arial" w:eastAsia="Times New Roman" w:hAnsi="Arial" w:cs="Arial"/>
          <w:color w:val="auto"/>
          <w:kern w:val="0"/>
          <w:sz w:val="24"/>
          <w:szCs w:val="24"/>
          <w:lang w:eastAsia="en-GB"/>
          <w14:ligatures w14:val="none"/>
        </w:rPr>
        <w:t xml:space="preserve"> </w:t>
      </w:r>
      <w:r w:rsidR="00141175" w:rsidRPr="00980BF5">
        <w:rPr>
          <w:rFonts w:ascii="Arial" w:eastAsia="Times New Roman" w:hAnsi="Arial" w:cs="Arial"/>
          <w:color w:val="auto"/>
          <w:kern w:val="0"/>
          <w:sz w:val="24"/>
          <w:szCs w:val="24"/>
          <w:lang w:eastAsia="en-GB"/>
          <w14:ligatures w14:val="none"/>
        </w:rPr>
        <w:t xml:space="preserve">currently forecast </w:t>
      </w:r>
      <w:r w:rsidR="001A7829" w:rsidRPr="00980BF5">
        <w:rPr>
          <w:rFonts w:ascii="Arial" w:eastAsia="Times New Roman" w:hAnsi="Arial" w:cs="Arial"/>
          <w:color w:val="auto"/>
          <w:kern w:val="0"/>
          <w:sz w:val="24"/>
          <w:szCs w:val="24"/>
          <w:lang w:eastAsia="en-GB"/>
          <w14:ligatures w14:val="none"/>
        </w:rPr>
        <w:t>deficit</w:t>
      </w:r>
      <w:r w:rsidR="007368DE" w:rsidRPr="00980BF5">
        <w:rPr>
          <w:rFonts w:ascii="Arial" w:eastAsia="Times New Roman" w:hAnsi="Arial" w:cs="Arial"/>
          <w:color w:val="auto"/>
          <w:kern w:val="0"/>
          <w:sz w:val="24"/>
          <w:szCs w:val="24"/>
          <w:lang w:eastAsia="en-GB"/>
          <w14:ligatures w14:val="none"/>
        </w:rPr>
        <w:t xml:space="preserve"> can be reduced</w:t>
      </w:r>
      <w:r w:rsidRPr="00980BF5">
        <w:rPr>
          <w:rFonts w:ascii="Arial" w:eastAsia="Times New Roman" w:hAnsi="Arial" w:cs="Arial"/>
          <w:color w:val="auto"/>
          <w:kern w:val="0"/>
          <w:sz w:val="24"/>
          <w:szCs w:val="24"/>
          <w:lang w:eastAsia="en-GB"/>
          <w14:ligatures w14:val="none"/>
        </w:rPr>
        <w:t>.</w:t>
      </w:r>
    </w:p>
    <w:p w14:paraId="03022478" w14:textId="77777777" w:rsidR="0007206D" w:rsidRPr="00D47C64" w:rsidRDefault="0007206D" w:rsidP="00D47C64">
      <w:pPr>
        <w:pStyle w:val="Heading1"/>
        <w:tabs>
          <w:tab w:val="num" w:pos="2843"/>
        </w:tabs>
        <w:spacing w:before="240" w:after="120"/>
        <w:ind w:left="431"/>
        <w:rPr>
          <w:rFonts w:eastAsia="Times New Roman"/>
          <w:bCs w:val="0"/>
          <w:noProof w:val="0"/>
          <w:color w:val="auto"/>
          <w:kern w:val="28"/>
          <w:sz w:val="24"/>
          <w:szCs w:val="24"/>
          <w:lang w:eastAsia="en-GB"/>
          <w14:ligatures w14:val="none"/>
        </w:rPr>
      </w:pPr>
      <w:bookmarkStart w:id="7" w:name="_Toc151016900"/>
      <w:r w:rsidRPr="00D47C64">
        <w:rPr>
          <w:rFonts w:eastAsia="Times New Roman"/>
          <w:bCs w:val="0"/>
          <w:noProof w:val="0"/>
          <w:color w:val="auto"/>
          <w:kern w:val="28"/>
          <w:sz w:val="24"/>
          <w:szCs w:val="24"/>
          <w:lang w:eastAsia="en-GB"/>
          <w14:ligatures w14:val="none"/>
        </w:rPr>
        <w:t>Central School Services Block</w:t>
      </w:r>
      <w:bookmarkEnd w:id="7"/>
    </w:p>
    <w:p w14:paraId="51E9EA45" w14:textId="77777777" w:rsidR="0007206D" w:rsidRPr="00D47C64" w:rsidRDefault="0007206D" w:rsidP="00D47C6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D47C64">
        <w:rPr>
          <w:rFonts w:ascii="Arial" w:eastAsia="Times New Roman" w:hAnsi="Arial" w:cs="Arial"/>
          <w:color w:val="auto"/>
          <w:kern w:val="0"/>
          <w:sz w:val="24"/>
          <w:szCs w:val="24"/>
          <w:lang w:eastAsia="en-GB"/>
          <w14:ligatures w14:val="none"/>
        </w:rPr>
        <w:t>The Central Schools Services Block (CSSB) provides funding for local authorities to carry out central functions on behalf of maintained schools and academies, comprising of two distinct elements:</w:t>
      </w:r>
    </w:p>
    <w:p w14:paraId="7D761605" w14:textId="77777777" w:rsidR="0007206D" w:rsidRPr="006A27D8" w:rsidRDefault="0007206D" w:rsidP="00D47C64">
      <w:pPr>
        <w:pStyle w:val="ListParagraph"/>
        <w:numPr>
          <w:ilvl w:val="0"/>
          <w:numId w:val="22"/>
        </w:numPr>
        <w:spacing w:after="120"/>
        <w:ind w:left="851" w:hanging="357"/>
      </w:pPr>
      <w:r w:rsidRPr="00F165B8">
        <w:t>funding for on-going responsibilities</w:t>
      </w:r>
    </w:p>
    <w:p w14:paraId="1E5F848E" w14:textId="77777777" w:rsidR="0007206D" w:rsidRPr="006A27D8" w:rsidRDefault="0007206D" w:rsidP="00D47C64">
      <w:pPr>
        <w:pStyle w:val="ListParagraph"/>
        <w:numPr>
          <w:ilvl w:val="0"/>
          <w:numId w:val="22"/>
        </w:numPr>
        <w:spacing w:after="120"/>
        <w:ind w:left="850" w:hanging="357"/>
        <w:contextualSpacing w:val="0"/>
      </w:pPr>
      <w:r w:rsidRPr="00F165B8">
        <w:t>residual funding for historic commitments</w:t>
      </w:r>
    </w:p>
    <w:p w14:paraId="0917924D" w14:textId="77777777" w:rsidR="0007206D" w:rsidRPr="006A7519" w:rsidRDefault="0007206D" w:rsidP="006A751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proofErr w:type="gramStart"/>
      <w:r w:rsidRPr="006A7519">
        <w:rPr>
          <w:rFonts w:ascii="Arial" w:eastAsia="Times New Roman" w:hAnsi="Arial" w:cs="Arial"/>
          <w:color w:val="auto"/>
          <w:kern w:val="0"/>
          <w:sz w:val="24"/>
          <w:szCs w:val="24"/>
          <w:lang w:eastAsia="en-GB"/>
          <w14:ligatures w14:val="none"/>
        </w:rPr>
        <w:t>Schools</w:t>
      </w:r>
      <w:proofErr w:type="gramEnd"/>
      <w:r w:rsidRPr="006A7519">
        <w:rPr>
          <w:rFonts w:ascii="Arial" w:eastAsia="Times New Roman" w:hAnsi="Arial" w:cs="Arial"/>
          <w:color w:val="auto"/>
          <w:kern w:val="0"/>
          <w:sz w:val="24"/>
          <w:szCs w:val="24"/>
          <w:lang w:eastAsia="en-GB"/>
          <w14:ligatures w14:val="none"/>
        </w:rPr>
        <w:t xml:space="preserve"> Forum approval is required each year for the budgets held centrally.</w:t>
      </w:r>
    </w:p>
    <w:p w14:paraId="7D7473E6" w14:textId="2E210A9B" w:rsidR="0007206D" w:rsidRPr="006A7519" w:rsidRDefault="0007206D" w:rsidP="006A751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6A7519">
        <w:rPr>
          <w:rFonts w:ascii="Arial" w:eastAsia="Times New Roman" w:hAnsi="Arial" w:cs="Arial"/>
          <w:color w:val="auto"/>
          <w:kern w:val="0"/>
          <w:sz w:val="24"/>
          <w:szCs w:val="24"/>
          <w:lang w:eastAsia="en-GB"/>
          <w14:ligatures w14:val="none"/>
        </w:rPr>
        <w:t>The provisional allocations provide a reduction in funding for the block of £</w:t>
      </w:r>
      <w:r w:rsidR="00D92B62" w:rsidRPr="006A7519">
        <w:rPr>
          <w:rFonts w:ascii="Arial" w:eastAsia="Times New Roman" w:hAnsi="Arial" w:cs="Arial"/>
          <w:color w:val="auto"/>
          <w:kern w:val="0"/>
          <w:sz w:val="24"/>
          <w:szCs w:val="24"/>
          <w:lang w:eastAsia="en-GB"/>
          <w14:ligatures w14:val="none"/>
        </w:rPr>
        <w:t>3</w:t>
      </w:r>
      <w:r w:rsidRPr="006A7519">
        <w:rPr>
          <w:rFonts w:ascii="Arial" w:eastAsia="Times New Roman" w:hAnsi="Arial" w:cs="Arial"/>
          <w:color w:val="auto"/>
          <w:kern w:val="0"/>
          <w:sz w:val="24"/>
          <w:szCs w:val="24"/>
          <w:lang w:eastAsia="en-GB"/>
          <w14:ligatures w14:val="none"/>
        </w:rPr>
        <w:t xml:space="preserve">,000 however this is subject to change as the allocations will be updated in December based on </w:t>
      </w:r>
      <w:proofErr w:type="gramStart"/>
      <w:r w:rsidRPr="006A7519">
        <w:rPr>
          <w:rFonts w:ascii="Arial" w:eastAsia="Times New Roman" w:hAnsi="Arial" w:cs="Arial"/>
          <w:color w:val="auto"/>
          <w:kern w:val="0"/>
          <w:sz w:val="24"/>
          <w:szCs w:val="24"/>
          <w:lang w:eastAsia="en-GB"/>
          <w14:ligatures w14:val="none"/>
        </w:rPr>
        <w:t>up to date</w:t>
      </w:r>
      <w:proofErr w:type="gramEnd"/>
      <w:r w:rsidRPr="006A7519">
        <w:rPr>
          <w:rFonts w:ascii="Arial" w:eastAsia="Times New Roman" w:hAnsi="Arial" w:cs="Arial"/>
          <w:color w:val="auto"/>
          <w:kern w:val="0"/>
          <w:sz w:val="24"/>
          <w:szCs w:val="24"/>
          <w:lang w:eastAsia="en-GB"/>
          <w14:ligatures w14:val="none"/>
        </w:rPr>
        <w:t xml:space="preserve"> pupil numbers.</w:t>
      </w:r>
    </w:p>
    <w:p w14:paraId="3ECD957C" w14:textId="39C5A71C" w:rsidR="0007206D" w:rsidRPr="006A7519" w:rsidRDefault="0007206D" w:rsidP="006A751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6A7519">
        <w:rPr>
          <w:rFonts w:ascii="Arial" w:eastAsia="Times New Roman" w:hAnsi="Arial" w:cs="Arial"/>
          <w:color w:val="auto"/>
          <w:kern w:val="0"/>
          <w:sz w:val="24"/>
          <w:szCs w:val="24"/>
          <w:lang w:eastAsia="en-GB"/>
          <w14:ligatures w14:val="none"/>
        </w:rPr>
        <w:t xml:space="preserve">Overall, the budget for the block will be set in line with the allocation provided. </w:t>
      </w:r>
      <w:r w:rsidR="0081682A" w:rsidRPr="006A7519">
        <w:rPr>
          <w:rFonts w:ascii="Arial" w:eastAsia="Times New Roman" w:hAnsi="Arial" w:cs="Arial"/>
          <w:color w:val="auto"/>
          <w:kern w:val="0"/>
          <w:sz w:val="24"/>
          <w:szCs w:val="24"/>
          <w:lang w:eastAsia="en-GB"/>
          <w14:ligatures w14:val="none"/>
        </w:rPr>
        <w:t xml:space="preserve">Work is ongoing to balance the budget, as </w:t>
      </w:r>
      <w:r w:rsidR="002363CC" w:rsidRPr="006A7519">
        <w:rPr>
          <w:rFonts w:ascii="Arial" w:eastAsia="Times New Roman" w:hAnsi="Arial" w:cs="Arial"/>
          <w:color w:val="auto"/>
          <w:kern w:val="0"/>
          <w:sz w:val="24"/>
          <w:szCs w:val="24"/>
          <w:lang w:eastAsia="en-GB"/>
          <w14:ligatures w14:val="none"/>
        </w:rPr>
        <w:t>for 2024/25</w:t>
      </w:r>
      <w:r w:rsidR="00C0796E">
        <w:rPr>
          <w:rFonts w:ascii="Arial" w:eastAsia="Times New Roman" w:hAnsi="Arial" w:cs="Arial"/>
          <w:color w:val="auto"/>
          <w:kern w:val="0"/>
          <w:sz w:val="24"/>
          <w:szCs w:val="24"/>
          <w:lang w:eastAsia="en-GB"/>
          <w14:ligatures w14:val="none"/>
        </w:rPr>
        <w:t>, due to rising demand the funding requirement identified exceeds the allocation provided</w:t>
      </w:r>
      <w:r w:rsidR="002363CC" w:rsidRPr="006A7519">
        <w:rPr>
          <w:rFonts w:ascii="Arial" w:eastAsia="Times New Roman" w:hAnsi="Arial" w:cs="Arial"/>
          <w:color w:val="auto"/>
          <w:kern w:val="0"/>
          <w:sz w:val="24"/>
          <w:szCs w:val="24"/>
          <w:lang w:eastAsia="en-GB"/>
          <w14:ligatures w14:val="none"/>
        </w:rPr>
        <w:t>.</w:t>
      </w:r>
    </w:p>
    <w:p w14:paraId="08433D0D" w14:textId="1689C815" w:rsidR="0007206D" w:rsidRPr="00BC4031" w:rsidRDefault="0007206D" w:rsidP="003039DC">
      <w:pPr>
        <w:spacing w:after="120"/>
        <w:ind w:firstLine="425"/>
        <w:contextualSpacing/>
        <w:rPr>
          <w:u w:val="single"/>
        </w:rPr>
      </w:pPr>
      <w:r w:rsidRPr="00BC4031">
        <w:rPr>
          <w:u w:val="single"/>
        </w:rPr>
        <w:t>On-going responsibilities</w:t>
      </w:r>
    </w:p>
    <w:p w14:paraId="7CE12B74" w14:textId="0BDDDCFF" w:rsidR="00CA7F82" w:rsidRDefault="0007206D" w:rsidP="003039DC">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3039DC">
        <w:rPr>
          <w:rFonts w:ascii="Arial" w:eastAsia="Times New Roman" w:hAnsi="Arial" w:cs="Arial"/>
          <w:color w:val="auto"/>
          <w:kern w:val="0"/>
          <w:sz w:val="24"/>
          <w:szCs w:val="24"/>
          <w:lang w:eastAsia="en-GB"/>
          <w14:ligatures w14:val="none"/>
        </w:rPr>
        <w:t>This element funds local authorities for the statutory functions they are required to deliver for all pupils in maintained schools and academies.</w:t>
      </w:r>
    </w:p>
    <w:p w14:paraId="5973D92F" w14:textId="77777777" w:rsidR="00CA7F82" w:rsidRDefault="00CA7F82">
      <w:pPr>
        <w:spacing w:after="160" w:line="259" w:lineRule="auto"/>
        <w:rPr>
          <w:rFonts w:eastAsia="Times New Roman"/>
          <w:kern w:val="0"/>
          <w:lang w:eastAsia="en-GB"/>
          <w14:ligatures w14:val="none"/>
        </w:rPr>
      </w:pPr>
      <w:r>
        <w:rPr>
          <w:rFonts w:eastAsia="Times New Roman"/>
          <w:kern w:val="0"/>
          <w:lang w:eastAsia="en-GB"/>
          <w14:ligatures w14:val="none"/>
        </w:rPr>
        <w:br w:type="page"/>
      </w:r>
    </w:p>
    <w:p w14:paraId="2683DFB7" w14:textId="3150055B" w:rsidR="00B265BD" w:rsidRPr="003039DC" w:rsidRDefault="0007206D" w:rsidP="003039DC">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3039DC">
        <w:rPr>
          <w:rFonts w:ascii="Arial" w:eastAsia="Times New Roman" w:hAnsi="Arial" w:cs="Arial"/>
          <w:color w:val="auto"/>
          <w:kern w:val="0"/>
          <w:sz w:val="24"/>
          <w:szCs w:val="24"/>
          <w:lang w:eastAsia="en-GB"/>
          <w14:ligatures w14:val="none"/>
        </w:rPr>
        <w:lastRenderedPageBreak/>
        <w:t>The following table provides a breakdown of on-going responsibilities:</w:t>
      </w:r>
    </w:p>
    <w:tbl>
      <w:tblPr>
        <w:tblW w:w="82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5"/>
        <w:gridCol w:w="1502"/>
        <w:gridCol w:w="1323"/>
      </w:tblGrid>
      <w:tr w:rsidR="002D43AC" w:rsidRPr="0096121C" w14:paraId="6173E0D3" w14:textId="77777777">
        <w:trPr>
          <w:trHeight w:val="454"/>
        </w:trPr>
        <w:tc>
          <w:tcPr>
            <w:tcW w:w="5465" w:type="dxa"/>
            <w:shd w:val="clear" w:color="auto" w:fill="auto"/>
          </w:tcPr>
          <w:p w14:paraId="6B6A3AC0" w14:textId="77777777" w:rsidR="002D43AC" w:rsidRPr="002D43AC" w:rsidRDefault="002D43AC" w:rsidP="00C53404">
            <w:pPr>
              <w:rPr>
                <w:b/>
                <w:iCs/>
              </w:rPr>
            </w:pPr>
            <w:r w:rsidRPr="002D43AC">
              <w:rPr>
                <w:b/>
                <w:iCs/>
              </w:rPr>
              <w:t>Service</w:t>
            </w:r>
          </w:p>
        </w:tc>
        <w:tc>
          <w:tcPr>
            <w:tcW w:w="1502" w:type="dxa"/>
          </w:tcPr>
          <w:p w14:paraId="655CB9C1" w14:textId="34222663" w:rsidR="002D43AC" w:rsidRPr="00472EDE" w:rsidRDefault="002D43AC" w:rsidP="00897E6C">
            <w:pPr>
              <w:jc w:val="center"/>
              <w:rPr>
                <w:b/>
                <w:iCs/>
              </w:rPr>
            </w:pPr>
            <w:r w:rsidRPr="00472EDE">
              <w:rPr>
                <w:b/>
                <w:iCs/>
              </w:rPr>
              <w:t>2023/24 Budget</w:t>
            </w:r>
          </w:p>
          <w:p w14:paraId="314F116F" w14:textId="77777777" w:rsidR="002D43AC" w:rsidRPr="0096121C" w:rsidRDefault="002D43AC" w:rsidP="00897E6C">
            <w:pPr>
              <w:jc w:val="center"/>
              <w:rPr>
                <w:b/>
                <w:iCs/>
              </w:rPr>
            </w:pPr>
          </w:p>
          <w:p w14:paraId="415C8D84" w14:textId="77777777" w:rsidR="002D43AC" w:rsidRPr="00472EDE" w:rsidRDefault="002D43AC" w:rsidP="00897E6C">
            <w:pPr>
              <w:jc w:val="center"/>
              <w:rPr>
                <w:b/>
                <w:iCs/>
              </w:rPr>
            </w:pPr>
            <w:r w:rsidRPr="00472EDE">
              <w:rPr>
                <w:b/>
                <w:iCs/>
              </w:rPr>
              <w:t>£000</w:t>
            </w:r>
          </w:p>
        </w:tc>
        <w:tc>
          <w:tcPr>
            <w:tcW w:w="1323" w:type="dxa"/>
          </w:tcPr>
          <w:p w14:paraId="16ADD1A7" w14:textId="77777777" w:rsidR="002D43AC" w:rsidRPr="00D135C8" w:rsidRDefault="002D43AC" w:rsidP="00897E6C">
            <w:pPr>
              <w:jc w:val="center"/>
              <w:rPr>
                <w:b/>
              </w:rPr>
            </w:pPr>
            <w:r w:rsidRPr="00D135C8">
              <w:rPr>
                <w:b/>
              </w:rPr>
              <w:t>2024/25</w:t>
            </w:r>
          </w:p>
          <w:p w14:paraId="2550BF33" w14:textId="1D2777F6" w:rsidR="002D43AC" w:rsidRPr="00D135C8" w:rsidRDefault="002D43AC" w:rsidP="00897E6C">
            <w:pPr>
              <w:jc w:val="center"/>
              <w:rPr>
                <w:b/>
              </w:rPr>
            </w:pPr>
            <w:r w:rsidRPr="00D135C8">
              <w:rPr>
                <w:b/>
              </w:rPr>
              <w:t>Proposed Budget</w:t>
            </w:r>
          </w:p>
          <w:p w14:paraId="25C3BE9A" w14:textId="77777777" w:rsidR="002D43AC" w:rsidRPr="00472EDE" w:rsidRDefault="002D43AC" w:rsidP="00897E6C">
            <w:pPr>
              <w:jc w:val="center"/>
              <w:rPr>
                <w:b/>
                <w:iCs/>
                <w:color w:val="FF0000"/>
              </w:rPr>
            </w:pPr>
            <w:r w:rsidRPr="00D135C8">
              <w:rPr>
                <w:b/>
              </w:rPr>
              <w:t>£000</w:t>
            </w:r>
          </w:p>
        </w:tc>
      </w:tr>
      <w:tr w:rsidR="002D43AC" w:rsidRPr="0096121C" w14:paraId="7FBF5C70" w14:textId="77777777">
        <w:trPr>
          <w:trHeight w:val="20"/>
        </w:trPr>
        <w:tc>
          <w:tcPr>
            <w:tcW w:w="5465" w:type="dxa"/>
            <w:tcBorders>
              <w:bottom w:val="single" w:sz="4" w:space="0" w:color="auto"/>
            </w:tcBorders>
            <w:shd w:val="clear" w:color="auto" w:fill="auto"/>
          </w:tcPr>
          <w:p w14:paraId="3584F869" w14:textId="77777777" w:rsidR="002D43AC" w:rsidRPr="00472EDE" w:rsidRDefault="002D43AC">
            <w:pPr>
              <w:rPr>
                <w:iCs/>
              </w:rPr>
            </w:pPr>
            <w:r w:rsidRPr="00472EDE">
              <w:rPr>
                <w:iCs/>
              </w:rPr>
              <w:t>Admissions</w:t>
            </w:r>
          </w:p>
        </w:tc>
        <w:tc>
          <w:tcPr>
            <w:tcW w:w="1502" w:type="dxa"/>
            <w:tcBorders>
              <w:bottom w:val="single" w:sz="4" w:space="0" w:color="auto"/>
            </w:tcBorders>
          </w:tcPr>
          <w:p w14:paraId="493AB45A" w14:textId="77777777" w:rsidR="002D43AC" w:rsidRPr="0096121C" w:rsidRDefault="002D43AC" w:rsidP="00FF5F30">
            <w:pPr>
              <w:jc w:val="right"/>
            </w:pPr>
            <w:r w:rsidRPr="0096121C">
              <w:t>1,299</w:t>
            </w:r>
          </w:p>
        </w:tc>
        <w:tc>
          <w:tcPr>
            <w:tcW w:w="1323" w:type="dxa"/>
            <w:tcBorders>
              <w:bottom w:val="single" w:sz="4" w:space="0" w:color="auto"/>
            </w:tcBorders>
          </w:tcPr>
          <w:p w14:paraId="6C25C339" w14:textId="71CD9B72" w:rsidR="002D43AC" w:rsidRPr="003A4FB6" w:rsidRDefault="002D43AC" w:rsidP="00FF5F30">
            <w:pPr>
              <w:jc w:val="right"/>
            </w:pPr>
            <w:r w:rsidRPr="003A4FB6">
              <w:t>1,</w:t>
            </w:r>
            <w:r w:rsidR="003A4FB6" w:rsidRPr="003A4FB6">
              <w:t>5</w:t>
            </w:r>
            <w:r w:rsidR="009452EB">
              <w:t>09</w:t>
            </w:r>
          </w:p>
        </w:tc>
      </w:tr>
      <w:tr w:rsidR="002D43AC" w:rsidRPr="0096121C" w14:paraId="069C7D28" w14:textId="77777777">
        <w:trPr>
          <w:trHeight w:val="20"/>
        </w:trPr>
        <w:tc>
          <w:tcPr>
            <w:tcW w:w="5465" w:type="dxa"/>
            <w:tcBorders>
              <w:top w:val="single" w:sz="4" w:space="0" w:color="auto"/>
              <w:left w:val="single" w:sz="4" w:space="0" w:color="auto"/>
              <w:bottom w:val="single" w:sz="4" w:space="0" w:color="auto"/>
              <w:right w:val="single" w:sz="4" w:space="0" w:color="auto"/>
            </w:tcBorders>
            <w:shd w:val="clear" w:color="auto" w:fill="auto"/>
          </w:tcPr>
          <w:p w14:paraId="6B4A22E8" w14:textId="77777777" w:rsidR="002D43AC" w:rsidRPr="00472EDE" w:rsidRDefault="002D43AC">
            <w:pPr>
              <w:rPr>
                <w:iCs/>
              </w:rPr>
            </w:pPr>
            <w:r w:rsidRPr="0096121C">
              <w:t>Fees to independent schools for pupils without SEN</w:t>
            </w:r>
          </w:p>
        </w:tc>
        <w:tc>
          <w:tcPr>
            <w:tcW w:w="1502" w:type="dxa"/>
            <w:tcBorders>
              <w:top w:val="single" w:sz="4" w:space="0" w:color="auto"/>
              <w:left w:val="single" w:sz="4" w:space="0" w:color="auto"/>
              <w:bottom w:val="single" w:sz="4" w:space="0" w:color="auto"/>
              <w:right w:val="single" w:sz="4" w:space="0" w:color="auto"/>
            </w:tcBorders>
          </w:tcPr>
          <w:p w14:paraId="1629FF9E" w14:textId="77777777" w:rsidR="002D43AC" w:rsidRPr="0096121C" w:rsidRDefault="002D43AC" w:rsidP="00FF5F30">
            <w:pPr>
              <w:jc w:val="right"/>
            </w:pPr>
            <w:r w:rsidRPr="0096121C">
              <w:t>400</w:t>
            </w:r>
          </w:p>
        </w:tc>
        <w:tc>
          <w:tcPr>
            <w:tcW w:w="1323" w:type="dxa"/>
            <w:tcBorders>
              <w:top w:val="single" w:sz="4" w:space="0" w:color="auto"/>
              <w:left w:val="single" w:sz="4" w:space="0" w:color="auto"/>
              <w:bottom w:val="single" w:sz="4" w:space="0" w:color="auto"/>
              <w:right w:val="single" w:sz="4" w:space="0" w:color="auto"/>
            </w:tcBorders>
          </w:tcPr>
          <w:p w14:paraId="64400213" w14:textId="35CBE1A1" w:rsidR="002D43AC" w:rsidRPr="003A4FB6" w:rsidRDefault="002D43AC" w:rsidP="00FF5F30">
            <w:pPr>
              <w:jc w:val="right"/>
            </w:pPr>
            <w:r w:rsidRPr="003A4FB6">
              <w:t>1</w:t>
            </w:r>
            <w:r w:rsidR="009452EB">
              <w:t>4</w:t>
            </w:r>
            <w:r w:rsidRPr="003A4FB6">
              <w:t>0</w:t>
            </w:r>
          </w:p>
        </w:tc>
      </w:tr>
      <w:tr w:rsidR="002D43AC" w:rsidRPr="0096121C" w14:paraId="6821C59F" w14:textId="77777777">
        <w:trPr>
          <w:trHeight w:val="20"/>
        </w:trPr>
        <w:tc>
          <w:tcPr>
            <w:tcW w:w="5465" w:type="dxa"/>
            <w:tcBorders>
              <w:top w:val="single" w:sz="4" w:space="0" w:color="auto"/>
              <w:left w:val="single" w:sz="4" w:space="0" w:color="auto"/>
              <w:bottom w:val="single" w:sz="4" w:space="0" w:color="auto"/>
              <w:right w:val="single" w:sz="4" w:space="0" w:color="auto"/>
            </w:tcBorders>
            <w:shd w:val="clear" w:color="auto" w:fill="auto"/>
          </w:tcPr>
          <w:p w14:paraId="3C7A0A60" w14:textId="77777777" w:rsidR="002D43AC" w:rsidRPr="0096121C" w:rsidRDefault="002D43AC">
            <w:r w:rsidRPr="0096121C">
              <w:t>Central copyright licences</w:t>
            </w:r>
          </w:p>
        </w:tc>
        <w:tc>
          <w:tcPr>
            <w:tcW w:w="1502" w:type="dxa"/>
            <w:tcBorders>
              <w:top w:val="single" w:sz="4" w:space="0" w:color="auto"/>
              <w:left w:val="single" w:sz="4" w:space="0" w:color="auto"/>
              <w:bottom w:val="single" w:sz="4" w:space="0" w:color="auto"/>
              <w:right w:val="single" w:sz="4" w:space="0" w:color="auto"/>
            </w:tcBorders>
          </w:tcPr>
          <w:p w14:paraId="30ECCA1C" w14:textId="77777777" w:rsidR="002D43AC" w:rsidRPr="0096121C" w:rsidRDefault="002D43AC" w:rsidP="00FF5F30">
            <w:pPr>
              <w:jc w:val="right"/>
            </w:pPr>
            <w:r w:rsidRPr="0096121C">
              <w:t>1090</w:t>
            </w:r>
          </w:p>
        </w:tc>
        <w:tc>
          <w:tcPr>
            <w:tcW w:w="1323" w:type="dxa"/>
            <w:tcBorders>
              <w:top w:val="single" w:sz="4" w:space="0" w:color="auto"/>
              <w:left w:val="single" w:sz="4" w:space="0" w:color="auto"/>
              <w:bottom w:val="single" w:sz="4" w:space="0" w:color="auto"/>
              <w:right w:val="single" w:sz="4" w:space="0" w:color="auto"/>
            </w:tcBorders>
          </w:tcPr>
          <w:p w14:paraId="071267B9" w14:textId="5531E8C2" w:rsidR="002D43AC" w:rsidRPr="003A4FB6" w:rsidRDefault="002D43AC" w:rsidP="00FF5F30">
            <w:pPr>
              <w:jc w:val="right"/>
            </w:pPr>
            <w:r w:rsidRPr="003A4FB6">
              <w:t>1</w:t>
            </w:r>
            <w:r w:rsidR="00006834" w:rsidRPr="003A4FB6">
              <w:t>,</w:t>
            </w:r>
            <w:r w:rsidRPr="003A4FB6">
              <w:t>145</w:t>
            </w:r>
          </w:p>
        </w:tc>
      </w:tr>
      <w:tr w:rsidR="002D43AC" w:rsidRPr="0096121C" w14:paraId="39B20DA4" w14:textId="77777777">
        <w:trPr>
          <w:trHeight w:val="20"/>
        </w:trPr>
        <w:tc>
          <w:tcPr>
            <w:tcW w:w="5465" w:type="dxa"/>
            <w:tcBorders>
              <w:top w:val="single" w:sz="4" w:space="0" w:color="auto"/>
              <w:left w:val="single" w:sz="4" w:space="0" w:color="auto"/>
              <w:bottom w:val="single" w:sz="4" w:space="0" w:color="auto"/>
              <w:right w:val="single" w:sz="4" w:space="0" w:color="auto"/>
            </w:tcBorders>
            <w:shd w:val="clear" w:color="auto" w:fill="auto"/>
          </w:tcPr>
          <w:p w14:paraId="72A76569" w14:textId="77777777" w:rsidR="002D43AC" w:rsidRPr="0096121C" w:rsidRDefault="002D43AC">
            <w:r w:rsidRPr="0096121C">
              <w:t>Servicing of Schools Forum</w:t>
            </w:r>
          </w:p>
        </w:tc>
        <w:tc>
          <w:tcPr>
            <w:tcW w:w="1502" w:type="dxa"/>
            <w:tcBorders>
              <w:top w:val="single" w:sz="4" w:space="0" w:color="auto"/>
              <w:left w:val="single" w:sz="4" w:space="0" w:color="auto"/>
              <w:bottom w:val="single" w:sz="4" w:space="0" w:color="auto"/>
              <w:right w:val="single" w:sz="4" w:space="0" w:color="auto"/>
            </w:tcBorders>
          </w:tcPr>
          <w:p w14:paraId="1AEA68A1" w14:textId="77777777" w:rsidR="002D43AC" w:rsidRPr="0096121C" w:rsidRDefault="002D43AC" w:rsidP="00FF5F30">
            <w:pPr>
              <w:jc w:val="right"/>
            </w:pPr>
            <w:r w:rsidRPr="0096121C">
              <w:t>39</w:t>
            </w:r>
          </w:p>
        </w:tc>
        <w:tc>
          <w:tcPr>
            <w:tcW w:w="1323" w:type="dxa"/>
            <w:tcBorders>
              <w:top w:val="single" w:sz="4" w:space="0" w:color="auto"/>
              <w:left w:val="single" w:sz="4" w:space="0" w:color="auto"/>
              <w:bottom w:val="single" w:sz="4" w:space="0" w:color="auto"/>
              <w:right w:val="single" w:sz="4" w:space="0" w:color="auto"/>
            </w:tcBorders>
          </w:tcPr>
          <w:p w14:paraId="2DBCA927" w14:textId="77777777" w:rsidR="002D43AC" w:rsidRPr="003A4FB6" w:rsidRDefault="002D43AC" w:rsidP="00FF5F30">
            <w:pPr>
              <w:jc w:val="right"/>
            </w:pPr>
            <w:r w:rsidRPr="003A4FB6">
              <w:t>39</w:t>
            </w:r>
          </w:p>
        </w:tc>
      </w:tr>
      <w:tr w:rsidR="002D43AC" w:rsidRPr="0096121C" w14:paraId="36B1BC48" w14:textId="77777777">
        <w:trPr>
          <w:trHeight w:val="20"/>
        </w:trPr>
        <w:tc>
          <w:tcPr>
            <w:tcW w:w="5465" w:type="dxa"/>
            <w:tcBorders>
              <w:top w:val="single" w:sz="4" w:space="0" w:color="auto"/>
              <w:left w:val="single" w:sz="4" w:space="0" w:color="auto"/>
              <w:bottom w:val="single" w:sz="4" w:space="0" w:color="auto"/>
              <w:right w:val="single" w:sz="4" w:space="0" w:color="auto"/>
            </w:tcBorders>
            <w:shd w:val="clear" w:color="auto" w:fill="auto"/>
          </w:tcPr>
          <w:p w14:paraId="7EC22990" w14:textId="77777777" w:rsidR="002D43AC" w:rsidRPr="0096121C" w:rsidRDefault="002D43AC">
            <w:r w:rsidRPr="00472EDE">
              <w:rPr>
                <w:iCs/>
              </w:rPr>
              <w:t>Education welfare</w:t>
            </w:r>
          </w:p>
        </w:tc>
        <w:tc>
          <w:tcPr>
            <w:tcW w:w="1502" w:type="dxa"/>
            <w:tcBorders>
              <w:top w:val="single" w:sz="4" w:space="0" w:color="auto"/>
              <w:left w:val="single" w:sz="4" w:space="0" w:color="auto"/>
              <w:bottom w:val="single" w:sz="4" w:space="0" w:color="auto"/>
              <w:right w:val="single" w:sz="4" w:space="0" w:color="auto"/>
            </w:tcBorders>
          </w:tcPr>
          <w:p w14:paraId="79C1631C" w14:textId="77777777" w:rsidR="002D43AC" w:rsidRPr="0096121C" w:rsidRDefault="002D43AC" w:rsidP="00FF5F30">
            <w:pPr>
              <w:jc w:val="right"/>
            </w:pPr>
            <w:r w:rsidRPr="0096121C">
              <w:t>1,728</w:t>
            </w:r>
          </w:p>
        </w:tc>
        <w:tc>
          <w:tcPr>
            <w:tcW w:w="1323" w:type="dxa"/>
            <w:tcBorders>
              <w:top w:val="single" w:sz="4" w:space="0" w:color="auto"/>
              <w:left w:val="single" w:sz="4" w:space="0" w:color="auto"/>
              <w:bottom w:val="single" w:sz="4" w:space="0" w:color="auto"/>
              <w:right w:val="single" w:sz="4" w:space="0" w:color="auto"/>
            </w:tcBorders>
          </w:tcPr>
          <w:p w14:paraId="0B04154C" w14:textId="7E7E2165" w:rsidR="002D43AC" w:rsidRPr="00251A82" w:rsidRDefault="002D43AC" w:rsidP="00FF5F30">
            <w:pPr>
              <w:jc w:val="right"/>
              <w:rPr>
                <w:color w:val="FF0000"/>
              </w:rPr>
            </w:pPr>
            <w:r w:rsidRPr="00704F94">
              <w:t>1,7</w:t>
            </w:r>
            <w:r w:rsidR="00621AFB">
              <w:t>00</w:t>
            </w:r>
          </w:p>
        </w:tc>
      </w:tr>
      <w:tr w:rsidR="002D43AC" w:rsidRPr="0096121C" w14:paraId="596B8F52" w14:textId="77777777">
        <w:trPr>
          <w:trHeight w:val="20"/>
        </w:trPr>
        <w:tc>
          <w:tcPr>
            <w:tcW w:w="5465" w:type="dxa"/>
            <w:tcBorders>
              <w:top w:val="single" w:sz="4" w:space="0" w:color="auto"/>
              <w:left w:val="single" w:sz="4" w:space="0" w:color="auto"/>
              <w:bottom w:val="single" w:sz="4" w:space="0" w:color="auto"/>
              <w:right w:val="single" w:sz="4" w:space="0" w:color="auto"/>
            </w:tcBorders>
            <w:shd w:val="clear" w:color="auto" w:fill="auto"/>
          </w:tcPr>
          <w:p w14:paraId="5B90EE6C" w14:textId="77777777" w:rsidR="002D43AC" w:rsidRPr="0096121C" w:rsidRDefault="002D43AC">
            <w:r w:rsidRPr="0096121C">
              <w:t>Asset management</w:t>
            </w:r>
          </w:p>
        </w:tc>
        <w:tc>
          <w:tcPr>
            <w:tcW w:w="1502" w:type="dxa"/>
            <w:tcBorders>
              <w:top w:val="single" w:sz="4" w:space="0" w:color="auto"/>
              <w:left w:val="single" w:sz="4" w:space="0" w:color="auto"/>
              <w:bottom w:val="single" w:sz="4" w:space="0" w:color="auto"/>
              <w:right w:val="single" w:sz="4" w:space="0" w:color="auto"/>
            </w:tcBorders>
          </w:tcPr>
          <w:p w14:paraId="62177E06" w14:textId="77777777" w:rsidR="002D43AC" w:rsidRPr="0096121C" w:rsidRDefault="002D43AC" w:rsidP="00FF5F30">
            <w:pPr>
              <w:jc w:val="right"/>
            </w:pPr>
            <w:r w:rsidRPr="0096121C">
              <w:t>851</w:t>
            </w:r>
          </w:p>
        </w:tc>
        <w:tc>
          <w:tcPr>
            <w:tcW w:w="1323" w:type="dxa"/>
            <w:tcBorders>
              <w:top w:val="single" w:sz="4" w:space="0" w:color="auto"/>
              <w:left w:val="single" w:sz="4" w:space="0" w:color="auto"/>
              <w:bottom w:val="single" w:sz="4" w:space="0" w:color="auto"/>
              <w:right w:val="single" w:sz="4" w:space="0" w:color="auto"/>
            </w:tcBorders>
          </w:tcPr>
          <w:p w14:paraId="3A4A8F63" w14:textId="59A1B5F1" w:rsidR="002D43AC" w:rsidRPr="00251A82" w:rsidRDefault="009655A0" w:rsidP="00FF5F30">
            <w:pPr>
              <w:jc w:val="right"/>
              <w:rPr>
                <w:color w:val="FF0000"/>
              </w:rPr>
            </w:pPr>
            <w:r w:rsidRPr="009655A0">
              <w:t>9</w:t>
            </w:r>
            <w:r w:rsidR="0041768A">
              <w:t>24</w:t>
            </w:r>
          </w:p>
        </w:tc>
      </w:tr>
      <w:tr w:rsidR="006345DC" w:rsidRPr="006345DC" w14:paraId="451A5EF1" w14:textId="77777777">
        <w:trPr>
          <w:trHeight w:val="20"/>
        </w:trPr>
        <w:tc>
          <w:tcPr>
            <w:tcW w:w="5465" w:type="dxa"/>
            <w:tcBorders>
              <w:top w:val="single" w:sz="4" w:space="0" w:color="auto"/>
              <w:left w:val="single" w:sz="4" w:space="0" w:color="auto"/>
              <w:bottom w:val="single" w:sz="4" w:space="0" w:color="auto"/>
              <w:right w:val="single" w:sz="4" w:space="0" w:color="auto"/>
            </w:tcBorders>
            <w:shd w:val="clear" w:color="auto" w:fill="auto"/>
          </w:tcPr>
          <w:p w14:paraId="0E662C23" w14:textId="77777777" w:rsidR="002D43AC" w:rsidRPr="0096121C" w:rsidRDefault="002D43AC">
            <w:r w:rsidRPr="0096121C">
              <w:t>Statutory and regulatory</w:t>
            </w:r>
          </w:p>
        </w:tc>
        <w:tc>
          <w:tcPr>
            <w:tcW w:w="1502" w:type="dxa"/>
            <w:tcBorders>
              <w:top w:val="single" w:sz="4" w:space="0" w:color="auto"/>
              <w:left w:val="single" w:sz="4" w:space="0" w:color="auto"/>
              <w:bottom w:val="single" w:sz="4" w:space="0" w:color="auto"/>
              <w:right w:val="single" w:sz="4" w:space="0" w:color="auto"/>
            </w:tcBorders>
          </w:tcPr>
          <w:p w14:paraId="00B7EB0C" w14:textId="77777777" w:rsidR="002D43AC" w:rsidRPr="0096121C" w:rsidRDefault="002D43AC" w:rsidP="00FF5F30">
            <w:pPr>
              <w:jc w:val="right"/>
            </w:pPr>
            <w:r w:rsidRPr="0096121C">
              <w:t>1,213</w:t>
            </w:r>
          </w:p>
        </w:tc>
        <w:tc>
          <w:tcPr>
            <w:tcW w:w="1323" w:type="dxa"/>
            <w:tcBorders>
              <w:top w:val="single" w:sz="4" w:space="0" w:color="auto"/>
              <w:left w:val="single" w:sz="4" w:space="0" w:color="auto"/>
              <w:bottom w:val="single" w:sz="4" w:space="0" w:color="auto"/>
              <w:right w:val="single" w:sz="4" w:space="0" w:color="auto"/>
            </w:tcBorders>
          </w:tcPr>
          <w:p w14:paraId="2AC0E4E8" w14:textId="449C54A4" w:rsidR="002D43AC" w:rsidRPr="006345DC" w:rsidRDefault="002D43AC" w:rsidP="00FF5F30">
            <w:pPr>
              <w:jc w:val="right"/>
            </w:pPr>
            <w:r w:rsidRPr="006345DC">
              <w:t>1,</w:t>
            </w:r>
            <w:r w:rsidR="00621AFB">
              <w:t>1</w:t>
            </w:r>
            <w:r w:rsidR="009349D7">
              <w:t>60</w:t>
            </w:r>
          </w:p>
        </w:tc>
      </w:tr>
      <w:tr w:rsidR="006345DC" w:rsidRPr="006345DC" w14:paraId="4C7D76B9" w14:textId="77777777">
        <w:trPr>
          <w:trHeight w:val="20"/>
        </w:trPr>
        <w:tc>
          <w:tcPr>
            <w:tcW w:w="5465" w:type="dxa"/>
            <w:tcBorders>
              <w:top w:val="single" w:sz="4" w:space="0" w:color="auto"/>
            </w:tcBorders>
            <w:shd w:val="clear" w:color="auto" w:fill="auto"/>
          </w:tcPr>
          <w:p w14:paraId="1FB90D8B" w14:textId="77777777" w:rsidR="002D43AC" w:rsidRPr="00472EDE" w:rsidRDefault="002D43AC">
            <w:pPr>
              <w:rPr>
                <w:bCs/>
              </w:rPr>
            </w:pPr>
            <w:r w:rsidRPr="00472EDE">
              <w:rPr>
                <w:bCs/>
              </w:rPr>
              <w:t xml:space="preserve">Centrally employed </w:t>
            </w:r>
            <w:proofErr w:type="spellStart"/>
            <w:r w:rsidRPr="00472EDE">
              <w:rPr>
                <w:bCs/>
              </w:rPr>
              <w:t>teachers</w:t>
            </w:r>
            <w:proofErr w:type="spellEnd"/>
            <w:r w:rsidRPr="00472EDE">
              <w:rPr>
                <w:bCs/>
              </w:rPr>
              <w:t xml:space="preserve"> pension grant</w:t>
            </w:r>
          </w:p>
        </w:tc>
        <w:tc>
          <w:tcPr>
            <w:tcW w:w="1502" w:type="dxa"/>
            <w:tcBorders>
              <w:top w:val="single" w:sz="4" w:space="0" w:color="auto"/>
            </w:tcBorders>
          </w:tcPr>
          <w:p w14:paraId="19496251" w14:textId="77777777" w:rsidR="002D43AC" w:rsidRPr="00472EDE" w:rsidRDefault="002D43AC" w:rsidP="00FF5F30">
            <w:pPr>
              <w:jc w:val="right"/>
              <w:rPr>
                <w:bCs/>
              </w:rPr>
            </w:pPr>
            <w:r w:rsidRPr="00472EDE">
              <w:rPr>
                <w:bCs/>
              </w:rPr>
              <w:t>489</w:t>
            </w:r>
          </w:p>
        </w:tc>
        <w:tc>
          <w:tcPr>
            <w:tcW w:w="1323" w:type="dxa"/>
            <w:tcBorders>
              <w:top w:val="single" w:sz="4" w:space="0" w:color="auto"/>
            </w:tcBorders>
          </w:tcPr>
          <w:p w14:paraId="2F4D8895" w14:textId="77777777" w:rsidR="002D43AC" w:rsidRPr="006345DC" w:rsidRDefault="002D43AC" w:rsidP="00FF5F30">
            <w:pPr>
              <w:jc w:val="right"/>
            </w:pPr>
            <w:r w:rsidRPr="006345DC">
              <w:t>489</w:t>
            </w:r>
          </w:p>
        </w:tc>
      </w:tr>
      <w:tr w:rsidR="006345DC" w:rsidRPr="006345DC" w14:paraId="4933B54C" w14:textId="77777777">
        <w:trPr>
          <w:trHeight w:val="20"/>
        </w:trPr>
        <w:tc>
          <w:tcPr>
            <w:tcW w:w="5465" w:type="dxa"/>
            <w:tcBorders>
              <w:top w:val="single" w:sz="4" w:space="0" w:color="auto"/>
            </w:tcBorders>
            <w:shd w:val="clear" w:color="auto" w:fill="auto"/>
          </w:tcPr>
          <w:p w14:paraId="044072B3" w14:textId="77777777" w:rsidR="002D43AC" w:rsidRPr="00472EDE" w:rsidRDefault="002D43AC">
            <w:pPr>
              <w:rPr>
                <w:iCs/>
              </w:rPr>
            </w:pPr>
            <w:r w:rsidRPr="00472EDE">
              <w:rPr>
                <w:b/>
              </w:rPr>
              <w:t>Total</w:t>
            </w:r>
          </w:p>
        </w:tc>
        <w:tc>
          <w:tcPr>
            <w:tcW w:w="1502" w:type="dxa"/>
            <w:tcBorders>
              <w:top w:val="single" w:sz="4" w:space="0" w:color="auto"/>
            </w:tcBorders>
          </w:tcPr>
          <w:p w14:paraId="377CE830" w14:textId="77777777" w:rsidR="002D43AC" w:rsidRPr="00472EDE" w:rsidRDefault="002D43AC" w:rsidP="00FF5F30">
            <w:pPr>
              <w:jc w:val="right"/>
              <w:rPr>
                <w:b/>
              </w:rPr>
            </w:pPr>
            <w:r w:rsidRPr="00472EDE">
              <w:rPr>
                <w:b/>
              </w:rPr>
              <w:t>7,109</w:t>
            </w:r>
          </w:p>
        </w:tc>
        <w:tc>
          <w:tcPr>
            <w:tcW w:w="1323" w:type="dxa"/>
            <w:tcBorders>
              <w:top w:val="single" w:sz="4" w:space="0" w:color="auto"/>
            </w:tcBorders>
          </w:tcPr>
          <w:p w14:paraId="4DE444E4" w14:textId="77F0A6B5" w:rsidR="002D43AC" w:rsidRPr="006345DC" w:rsidRDefault="002D43AC" w:rsidP="00FF5F30">
            <w:pPr>
              <w:jc w:val="right"/>
              <w:rPr>
                <w:b/>
              </w:rPr>
            </w:pPr>
            <w:r w:rsidRPr="006345DC">
              <w:rPr>
                <w:b/>
              </w:rPr>
              <w:t>7,</w:t>
            </w:r>
            <w:r w:rsidR="00032954">
              <w:rPr>
                <w:b/>
              </w:rPr>
              <w:t>10</w:t>
            </w:r>
            <w:r w:rsidR="009349D7">
              <w:rPr>
                <w:b/>
              </w:rPr>
              <w:t>6</w:t>
            </w:r>
          </w:p>
        </w:tc>
      </w:tr>
    </w:tbl>
    <w:p w14:paraId="3DBCDDB2" w14:textId="77777777" w:rsidR="002D43AC" w:rsidRDefault="002D43AC" w:rsidP="00C53404"/>
    <w:p w14:paraId="19CBB732" w14:textId="77777777" w:rsidR="00B265BD" w:rsidRPr="00CA7F82" w:rsidRDefault="00B265BD" w:rsidP="00CA7F82">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CA7F82">
        <w:rPr>
          <w:rFonts w:ascii="Arial" w:eastAsia="Times New Roman" w:hAnsi="Arial" w:cs="Arial"/>
          <w:color w:val="auto"/>
          <w:kern w:val="0"/>
          <w:sz w:val="24"/>
          <w:szCs w:val="24"/>
          <w:lang w:eastAsia="en-GB"/>
          <w14:ligatures w14:val="none"/>
        </w:rPr>
        <w:t>The budgets are reviewed annually and adjusted for inflationary pressures, increases in demand and any savings.</w:t>
      </w:r>
    </w:p>
    <w:p w14:paraId="5CE95828" w14:textId="77777777" w:rsidR="0007206D" w:rsidRPr="00CA7F82" w:rsidRDefault="0007206D" w:rsidP="00CA7F82">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CA7F82">
        <w:rPr>
          <w:rFonts w:ascii="Arial" w:eastAsia="Times New Roman" w:hAnsi="Arial" w:cs="Arial"/>
          <w:color w:val="auto"/>
          <w:kern w:val="0"/>
          <w:sz w:val="24"/>
          <w:szCs w:val="24"/>
          <w:lang w:eastAsia="en-GB"/>
          <w14:ligatures w14:val="none"/>
        </w:rPr>
        <w:t xml:space="preserve">The central copyright licenses are negotiated by the Secretary of State on behalf of all mainstream schools and academies and confirmation of the </w:t>
      </w:r>
      <w:r w:rsidR="001815DA" w:rsidRPr="00CA7F82">
        <w:rPr>
          <w:rFonts w:ascii="Arial" w:eastAsia="Times New Roman" w:hAnsi="Arial" w:cs="Arial"/>
          <w:color w:val="auto"/>
          <w:kern w:val="0"/>
          <w:sz w:val="24"/>
          <w:szCs w:val="24"/>
          <w:lang w:eastAsia="en-GB"/>
          <w14:ligatures w14:val="none"/>
        </w:rPr>
        <w:t>2024/25</w:t>
      </w:r>
      <w:r w:rsidRPr="00CA7F82">
        <w:rPr>
          <w:rFonts w:ascii="Arial" w:eastAsia="Times New Roman" w:hAnsi="Arial" w:cs="Arial"/>
          <w:color w:val="auto"/>
          <w:kern w:val="0"/>
          <w:sz w:val="24"/>
          <w:szCs w:val="24"/>
          <w:lang w:eastAsia="en-GB"/>
          <w14:ligatures w14:val="none"/>
        </w:rPr>
        <w:t xml:space="preserve"> charge will be provided in December. The provisional budget includes an estimated increase of £</w:t>
      </w:r>
      <w:r w:rsidR="007418DE" w:rsidRPr="00CA7F82">
        <w:rPr>
          <w:rFonts w:ascii="Arial" w:eastAsia="Times New Roman" w:hAnsi="Arial" w:cs="Arial"/>
          <w:color w:val="auto"/>
          <w:kern w:val="0"/>
          <w:sz w:val="24"/>
          <w:szCs w:val="24"/>
          <w:lang w:eastAsia="en-GB"/>
          <w14:ligatures w14:val="none"/>
        </w:rPr>
        <w:t>55</w:t>
      </w:r>
      <w:r w:rsidRPr="00CA7F82">
        <w:rPr>
          <w:rFonts w:ascii="Arial" w:eastAsia="Times New Roman" w:hAnsi="Arial" w:cs="Arial"/>
          <w:color w:val="auto"/>
          <w:kern w:val="0"/>
          <w:sz w:val="24"/>
          <w:szCs w:val="24"/>
          <w:lang w:eastAsia="en-GB"/>
          <w14:ligatures w14:val="none"/>
        </w:rPr>
        <w:t xml:space="preserve">,000, based on an average of the previous </w:t>
      </w:r>
      <w:r w:rsidR="00C2031A" w:rsidRPr="00CA7F82">
        <w:rPr>
          <w:rFonts w:ascii="Arial" w:eastAsia="Times New Roman" w:hAnsi="Arial" w:cs="Arial"/>
          <w:color w:val="auto"/>
          <w:kern w:val="0"/>
          <w:sz w:val="24"/>
          <w:szCs w:val="24"/>
          <w:lang w:eastAsia="en-GB"/>
          <w14:ligatures w14:val="none"/>
        </w:rPr>
        <w:t>4</w:t>
      </w:r>
      <w:r w:rsidRPr="00CA7F82">
        <w:rPr>
          <w:rFonts w:ascii="Arial" w:eastAsia="Times New Roman" w:hAnsi="Arial" w:cs="Arial"/>
          <w:color w:val="auto"/>
          <w:kern w:val="0"/>
          <w:sz w:val="24"/>
          <w:szCs w:val="24"/>
          <w:lang w:eastAsia="en-GB"/>
          <w14:ligatures w14:val="none"/>
        </w:rPr>
        <w:t xml:space="preserve"> years increases.</w:t>
      </w:r>
    </w:p>
    <w:p w14:paraId="1E16AD30" w14:textId="4A1B09A6" w:rsidR="0007206D" w:rsidRPr="00CA7F82" w:rsidRDefault="004A6A48" w:rsidP="00CA7F82">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CA7F82">
        <w:rPr>
          <w:rFonts w:ascii="Arial" w:eastAsia="Times New Roman" w:hAnsi="Arial" w:cs="Arial"/>
          <w:color w:val="auto"/>
          <w:kern w:val="0"/>
          <w:sz w:val="24"/>
          <w:szCs w:val="24"/>
          <w:lang w:eastAsia="en-GB"/>
          <w14:ligatures w14:val="none"/>
        </w:rPr>
        <w:t>The largest</w:t>
      </w:r>
      <w:r w:rsidR="0007206D" w:rsidRPr="00CA7F82">
        <w:rPr>
          <w:rFonts w:ascii="Arial" w:eastAsia="Times New Roman" w:hAnsi="Arial" w:cs="Arial"/>
          <w:color w:val="auto"/>
          <w:kern w:val="0"/>
          <w:sz w:val="24"/>
          <w:szCs w:val="24"/>
          <w:lang w:eastAsia="en-GB"/>
          <w14:ligatures w14:val="none"/>
        </w:rPr>
        <w:t xml:space="preserve"> </w:t>
      </w:r>
      <w:r w:rsidR="004A56AB" w:rsidRPr="00CA7F82">
        <w:rPr>
          <w:rFonts w:ascii="Arial" w:eastAsia="Times New Roman" w:hAnsi="Arial" w:cs="Arial"/>
          <w:color w:val="auto"/>
          <w:kern w:val="0"/>
          <w:sz w:val="24"/>
          <w:szCs w:val="24"/>
          <w:lang w:eastAsia="en-GB"/>
          <w14:ligatures w14:val="none"/>
        </w:rPr>
        <w:t xml:space="preserve">proposed increases relate to the following </w:t>
      </w:r>
      <w:r w:rsidR="0007206D" w:rsidRPr="00CA7F82">
        <w:rPr>
          <w:rFonts w:ascii="Arial" w:eastAsia="Times New Roman" w:hAnsi="Arial" w:cs="Arial"/>
          <w:color w:val="auto"/>
          <w:kern w:val="0"/>
          <w:sz w:val="24"/>
          <w:szCs w:val="24"/>
          <w:lang w:eastAsia="en-GB"/>
          <w14:ligatures w14:val="none"/>
        </w:rPr>
        <w:t>services:</w:t>
      </w:r>
    </w:p>
    <w:p w14:paraId="5AEEB094" w14:textId="14335DD2" w:rsidR="00D54665" w:rsidRPr="00FB0EDE" w:rsidRDefault="0007206D" w:rsidP="004001A2">
      <w:pPr>
        <w:pStyle w:val="ListParagraph"/>
        <w:spacing w:after="120"/>
        <w:ind w:left="431"/>
        <w:contextualSpacing w:val="0"/>
      </w:pPr>
      <w:r w:rsidRPr="00FB0EDE">
        <w:rPr>
          <w:u w:val="single"/>
        </w:rPr>
        <w:t>Admissions</w:t>
      </w:r>
      <w:r w:rsidRPr="00FB0EDE">
        <w:t xml:space="preserve"> – this relates to </w:t>
      </w:r>
      <w:r w:rsidR="008E2AC5">
        <w:t>recruitment of an additional</w:t>
      </w:r>
      <w:r w:rsidR="00E607BA">
        <w:t xml:space="preserve"> </w:t>
      </w:r>
      <w:r w:rsidR="008E2AC5" w:rsidRPr="008E2AC5">
        <w:t>appeals and business coordinator</w:t>
      </w:r>
      <w:r w:rsidR="00E607BA">
        <w:t xml:space="preserve"> </w:t>
      </w:r>
      <w:r w:rsidR="00E607BA" w:rsidRPr="00E607BA">
        <w:t xml:space="preserve">to help manage short term increased demand in appeals driven by secondary place pressure, as well as support operational improvement activity to ensure longer term resilience in the future. </w:t>
      </w:r>
    </w:p>
    <w:p w14:paraId="2FD2E9F1" w14:textId="5D9EE515" w:rsidR="00D54665" w:rsidRPr="00FB0EDE" w:rsidRDefault="00585575" w:rsidP="00246A93">
      <w:pPr>
        <w:pStyle w:val="ListParagraph"/>
        <w:spacing w:after="120"/>
        <w:ind w:left="431"/>
        <w:contextualSpacing w:val="0"/>
      </w:pPr>
      <w:r w:rsidRPr="00585575">
        <w:rPr>
          <w:u w:val="single"/>
        </w:rPr>
        <w:t>Admissions Appeals</w:t>
      </w:r>
      <w:r w:rsidR="00D5197A" w:rsidRPr="00FC36AC">
        <w:t xml:space="preserve"> - </w:t>
      </w:r>
      <w:r w:rsidR="00D54665" w:rsidRPr="00FB0EDE">
        <w:t>Over the last year, the volume of appeals</w:t>
      </w:r>
      <w:r w:rsidR="00960010">
        <w:t>,</w:t>
      </w:r>
      <w:r w:rsidR="00FC36AC">
        <w:t xml:space="preserve"> dealt with by the </w:t>
      </w:r>
      <w:r w:rsidR="00960010">
        <w:t>appeals service,</w:t>
      </w:r>
      <w:r w:rsidR="00D54665" w:rsidRPr="00FB0EDE">
        <w:t xml:space="preserve"> has continued to increase at an exponential rate. During the 2022/23 school year a total of 1662 appeals were received, with 925 heard at appeal.  This is an additional increase of 42% for appeals received, and 47% for the number heard.</w:t>
      </w:r>
    </w:p>
    <w:p w14:paraId="56988341" w14:textId="43690F57" w:rsidR="00D54665" w:rsidRPr="00FB0EDE" w:rsidRDefault="00E16B54" w:rsidP="00246A93">
      <w:pPr>
        <w:pStyle w:val="ListParagraph"/>
        <w:spacing w:after="120"/>
        <w:ind w:left="431"/>
        <w:contextualSpacing w:val="0"/>
      </w:pPr>
      <w:r>
        <w:t>A</w:t>
      </w:r>
      <w:r w:rsidR="00D435C3">
        <w:t>s t</w:t>
      </w:r>
      <w:r w:rsidR="00D54665" w:rsidRPr="00FB0EDE">
        <w:t>he number of perm</w:t>
      </w:r>
      <w:r>
        <w:t>a</w:t>
      </w:r>
      <w:r w:rsidR="00D54665" w:rsidRPr="00FB0EDE">
        <w:t>nent exclusions across schools in Hampshire has increased significantly</w:t>
      </w:r>
      <w:r>
        <w:t xml:space="preserve">, </w:t>
      </w:r>
      <w:r w:rsidRPr="00FB0EDE">
        <w:t>the service has seen a significant increase in requests for Independent Review Panels (IRPs)</w:t>
      </w:r>
      <w:r w:rsidR="009F43A8">
        <w:t>, in addition to the above increase in appeals.</w:t>
      </w:r>
    </w:p>
    <w:p w14:paraId="21AB78DF" w14:textId="7F600BC1" w:rsidR="00D54665" w:rsidRPr="00FB0EDE" w:rsidRDefault="00D54665" w:rsidP="00211953">
      <w:pPr>
        <w:pStyle w:val="ListParagraph"/>
        <w:spacing w:after="120"/>
        <w:ind w:left="431"/>
        <w:contextualSpacing w:val="0"/>
      </w:pPr>
      <w:r w:rsidRPr="00FB0EDE">
        <w:t>The additional workload has required an increase to the staffing base to ensure sufficient capacity to properly manage appeals in accordance with the provisions set out in the Appeals Code.  The recent inflationary increases have also impacted the costs associated with holding appeals, such as venue hire, and is causing pressure to the budget.</w:t>
      </w:r>
    </w:p>
    <w:p w14:paraId="6E423995" w14:textId="047C0035" w:rsidR="004A6A48" w:rsidRPr="00795D74" w:rsidRDefault="00E00405" w:rsidP="00795D7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795D74">
        <w:rPr>
          <w:rFonts w:ascii="Arial" w:eastAsia="Times New Roman" w:hAnsi="Arial" w:cs="Arial"/>
          <w:color w:val="auto"/>
          <w:kern w:val="0"/>
          <w:sz w:val="24"/>
          <w:szCs w:val="24"/>
          <w:lang w:eastAsia="en-GB"/>
          <w14:ligatures w14:val="none"/>
        </w:rPr>
        <w:t>There have bee</w:t>
      </w:r>
      <w:r w:rsidR="00CD501F" w:rsidRPr="00795D74">
        <w:rPr>
          <w:rFonts w:ascii="Arial" w:eastAsia="Times New Roman" w:hAnsi="Arial" w:cs="Arial"/>
          <w:color w:val="auto"/>
          <w:kern w:val="0"/>
          <w:sz w:val="24"/>
          <w:szCs w:val="24"/>
          <w:lang w:eastAsia="en-GB"/>
          <w14:ligatures w14:val="none"/>
        </w:rPr>
        <w:t xml:space="preserve">n </w:t>
      </w:r>
      <w:r w:rsidR="0032650F">
        <w:rPr>
          <w:rFonts w:ascii="Arial" w:eastAsia="Times New Roman" w:hAnsi="Arial" w:cs="Arial"/>
          <w:color w:val="auto"/>
          <w:kern w:val="0"/>
          <w:sz w:val="24"/>
          <w:szCs w:val="24"/>
          <w:lang w:eastAsia="en-GB"/>
          <w14:ligatures w14:val="none"/>
        </w:rPr>
        <w:t xml:space="preserve">smaller </w:t>
      </w:r>
      <w:r w:rsidR="004A6A48" w:rsidRPr="00795D74">
        <w:rPr>
          <w:rFonts w:ascii="Arial" w:eastAsia="Times New Roman" w:hAnsi="Arial" w:cs="Arial"/>
          <w:color w:val="auto"/>
          <w:kern w:val="0"/>
          <w:sz w:val="24"/>
          <w:szCs w:val="24"/>
          <w:lang w:eastAsia="en-GB"/>
          <w14:ligatures w14:val="none"/>
        </w:rPr>
        <w:t>increases</w:t>
      </w:r>
      <w:r w:rsidR="0032650F">
        <w:rPr>
          <w:rFonts w:ascii="Arial" w:eastAsia="Times New Roman" w:hAnsi="Arial" w:cs="Arial"/>
          <w:color w:val="auto"/>
          <w:kern w:val="0"/>
          <w:sz w:val="24"/>
          <w:szCs w:val="24"/>
          <w:lang w:eastAsia="en-GB"/>
          <w14:ligatures w14:val="none"/>
        </w:rPr>
        <w:t>/decreases</w:t>
      </w:r>
      <w:r w:rsidR="004A6A48" w:rsidRPr="00795D74">
        <w:rPr>
          <w:rFonts w:ascii="Arial" w:eastAsia="Times New Roman" w:hAnsi="Arial" w:cs="Arial"/>
          <w:color w:val="auto"/>
          <w:kern w:val="0"/>
          <w:sz w:val="24"/>
          <w:szCs w:val="24"/>
          <w:lang w:eastAsia="en-GB"/>
          <w14:ligatures w14:val="none"/>
        </w:rPr>
        <w:t xml:space="preserve"> </w:t>
      </w:r>
      <w:r w:rsidRPr="00795D74">
        <w:rPr>
          <w:rFonts w:ascii="Arial" w:eastAsia="Times New Roman" w:hAnsi="Arial" w:cs="Arial"/>
          <w:color w:val="auto"/>
          <w:kern w:val="0"/>
          <w:sz w:val="24"/>
          <w:szCs w:val="24"/>
          <w:lang w:eastAsia="en-GB"/>
          <w14:ligatures w14:val="none"/>
        </w:rPr>
        <w:t>in relation</w:t>
      </w:r>
      <w:r w:rsidR="004A6A48" w:rsidRPr="00795D74">
        <w:rPr>
          <w:rFonts w:ascii="Arial" w:eastAsia="Times New Roman" w:hAnsi="Arial" w:cs="Arial"/>
          <w:color w:val="auto"/>
          <w:kern w:val="0"/>
          <w:sz w:val="24"/>
          <w:szCs w:val="24"/>
          <w:lang w:eastAsia="en-GB"/>
          <w14:ligatures w14:val="none"/>
        </w:rPr>
        <w:t xml:space="preserve"> to pay inflation</w:t>
      </w:r>
      <w:r w:rsidR="009F0EC0">
        <w:rPr>
          <w:rFonts w:ascii="Arial" w:eastAsia="Times New Roman" w:hAnsi="Arial" w:cs="Arial"/>
          <w:color w:val="auto"/>
          <w:kern w:val="0"/>
          <w:sz w:val="24"/>
          <w:szCs w:val="24"/>
          <w:lang w:eastAsia="en-GB"/>
          <w14:ligatures w14:val="none"/>
        </w:rPr>
        <w:t xml:space="preserve">, </w:t>
      </w:r>
      <w:r w:rsidR="00F32BE6" w:rsidRPr="00795D74">
        <w:rPr>
          <w:rFonts w:ascii="Arial" w:eastAsia="Times New Roman" w:hAnsi="Arial" w:cs="Arial"/>
          <w:color w:val="auto"/>
          <w:kern w:val="0"/>
          <w:sz w:val="24"/>
          <w:szCs w:val="24"/>
          <w:lang w:eastAsia="en-GB"/>
          <w14:ligatures w14:val="none"/>
        </w:rPr>
        <w:t>other minor</w:t>
      </w:r>
      <w:r w:rsidR="003534BB" w:rsidRPr="00795D74">
        <w:rPr>
          <w:rFonts w:ascii="Arial" w:eastAsia="Times New Roman" w:hAnsi="Arial" w:cs="Arial"/>
          <w:color w:val="auto"/>
          <w:kern w:val="0"/>
          <w:sz w:val="24"/>
          <w:szCs w:val="24"/>
          <w:lang w:eastAsia="en-GB"/>
          <w14:ligatures w14:val="none"/>
        </w:rPr>
        <w:t xml:space="preserve"> </w:t>
      </w:r>
      <w:r w:rsidR="00522C12" w:rsidRPr="00795D74">
        <w:rPr>
          <w:rFonts w:ascii="Arial" w:eastAsia="Times New Roman" w:hAnsi="Arial" w:cs="Arial"/>
          <w:color w:val="auto"/>
          <w:kern w:val="0"/>
          <w:sz w:val="24"/>
          <w:szCs w:val="24"/>
          <w:lang w:eastAsia="en-GB"/>
          <w14:ligatures w14:val="none"/>
        </w:rPr>
        <w:t xml:space="preserve">changes to </w:t>
      </w:r>
      <w:r w:rsidR="00F32BE6" w:rsidRPr="00795D74">
        <w:rPr>
          <w:rFonts w:ascii="Arial" w:eastAsia="Times New Roman" w:hAnsi="Arial" w:cs="Arial"/>
          <w:color w:val="auto"/>
          <w:kern w:val="0"/>
          <w:sz w:val="24"/>
          <w:szCs w:val="24"/>
          <w:lang w:eastAsia="en-GB"/>
          <w14:ligatures w14:val="none"/>
        </w:rPr>
        <w:t xml:space="preserve">staffing </w:t>
      </w:r>
      <w:r w:rsidR="009F0EC0">
        <w:rPr>
          <w:rFonts w:ascii="Arial" w:eastAsia="Times New Roman" w:hAnsi="Arial" w:cs="Arial"/>
          <w:color w:val="auto"/>
          <w:kern w:val="0"/>
          <w:sz w:val="24"/>
          <w:szCs w:val="24"/>
          <w:lang w:eastAsia="en-GB"/>
          <w14:ligatures w14:val="none"/>
        </w:rPr>
        <w:t>(</w:t>
      </w:r>
      <w:r w:rsidR="00F32BE6" w:rsidRPr="00795D74">
        <w:rPr>
          <w:rFonts w:ascii="Arial" w:eastAsia="Times New Roman" w:hAnsi="Arial" w:cs="Arial"/>
          <w:color w:val="auto"/>
          <w:kern w:val="0"/>
          <w:sz w:val="24"/>
          <w:szCs w:val="24"/>
          <w:lang w:eastAsia="en-GB"/>
          <w14:ligatures w14:val="none"/>
        </w:rPr>
        <w:t>such as changes to working patterns</w:t>
      </w:r>
      <w:r w:rsidR="00B64B2A" w:rsidRPr="00795D74">
        <w:rPr>
          <w:rFonts w:ascii="Arial" w:eastAsia="Times New Roman" w:hAnsi="Arial" w:cs="Arial"/>
          <w:color w:val="auto"/>
          <w:kern w:val="0"/>
          <w:sz w:val="24"/>
          <w:szCs w:val="24"/>
          <w:lang w:eastAsia="en-GB"/>
          <w14:ligatures w14:val="none"/>
        </w:rPr>
        <w:t xml:space="preserve"> or</w:t>
      </w:r>
      <w:r w:rsidR="00F32BE6" w:rsidRPr="00795D74">
        <w:rPr>
          <w:rFonts w:ascii="Arial" w:eastAsia="Times New Roman" w:hAnsi="Arial" w:cs="Arial"/>
          <w:color w:val="auto"/>
          <w:kern w:val="0"/>
          <w:sz w:val="24"/>
          <w:szCs w:val="24"/>
          <w:lang w:eastAsia="en-GB"/>
          <w14:ligatures w14:val="none"/>
        </w:rPr>
        <w:t xml:space="preserve"> </w:t>
      </w:r>
      <w:r w:rsidR="009F5F1B" w:rsidRPr="00795D74">
        <w:rPr>
          <w:rFonts w:ascii="Arial" w:eastAsia="Times New Roman" w:hAnsi="Arial" w:cs="Arial"/>
          <w:color w:val="auto"/>
          <w:kern w:val="0"/>
          <w:sz w:val="24"/>
          <w:szCs w:val="24"/>
          <w:lang w:eastAsia="en-GB"/>
          <w14:ligatures w14:val="none"/>
        </w:rPr>
        <w:t xml:space="preserve">required </w:t>
      </w:r>
      <w:r w:rsidR="00F32BE6" w:rsidRPr="00795D74">
        <w:rPr>
          <w:rFonts w:ascii="Arial" w:eastAsia="Times New Roman" w:hAnsi="Arial" w:cs="Arial"/>
          <w:color w:val="auto"/>
          <w:kern w:val="0"/>
          <w:sz w:val="24"/>
          <w:szCs w:val="24"/>
          <w:lang w:eastAsia="en-GB"/>
          <w14:ligatures w14:val="none"/>
        </w:rPr>
        <w:t>FTE</w:t>
      </w:r>
      <w:r w:rsidR="009F5F1B" w:rsidRPr="00795D74">
        <w:rPr>
          <w:rFonts w:ascii="Arial" w:eastAsia="Times New Roman" w:hAnsi="Arial" w:cs="Arial"/>
          <w:color w:val="auto"/>
          <w:kern w:val="0"/>
          <w:sz w:val="24"/>
          <w:szCs w:val="24"/>
          <w:lang w:eastAsia="en-GB"/>
          <w14:ligatures w14:val="none"/>
        </w:rPr>
        <w:t>’s</w:t>
      </w:r>
      <w:r w:rsidR="009F0EC0">
        <w:rPr>
          <w:rFonts w:ascii="Arial" w:eastAsia="Times New Roman" w:hAnsi="Arial" w:cs="Arial"/>
          <w:color w:val="auto"/>
          <w:kern w:val="0"/>
          <w:sz w:val="24"/>
          <w:szCs w:val="24"/>
          <w:lang w:eastAsia="en-GB"/>
          <w14:ligatures w14:val="none"/>
        </w:rPr>
        <w:t>)</w:t>
      </w:r>
      <w:r w:rsidR="00875CC8">
        <w:rPr>
          <w:rFonts w:ascii="Arial" w:eastAsia="Times New Roman" w:hAnsi="Arial" w:cs="Arial"/>
          <w:color w:val="auto"/>
          <w:kern w:val="0"/>
          <w:sz w:val="24"/>
          <w:szCs w:val="24"/>
          <w:lang w:eastAsia="en-GB"/>
          <w14:ligatures w14:val="none"/>
        </w:rPr>
        <w:t xml:space="preserve">, </w:t>
      </w:r>
      <w:r w:rsidR="00BA4EC7">
        <w:rPr>
          <w:rFonts w:ascii="Arial" w:eastAsia="Times New Roman" w:hAnsi="Arial" w:cs="Arial"/>
          <w:color w:val="auto"/>
          <w:kern w:val="0"/>
          <w:sz w:val="24"/>
          <w:szCs w:val="24"/>
          <w:lang w:eastAsia="en-GB"/>
          <w14:ligatures w14:val="none"/>
        </w:rPr>
        <w:t xml:space="preserve">and </w:t>
      </w:r>
      <w:r w:rsidR="00795170">
        <w:rPr>
          <w:rFonts w:ascii="Arial" w:eastAsia="Times New Roman" w:hAnsi="Arial" w:cs="Arial"/>
          <w:color w:val="auto"/>
          <w:kern w:val="0"/>
          <w:sz w:val="24"/>
          <w:szCs w:val="24"/>
          <w:lang w:eastAsia="en-GB"/>
          <w14:ligatures w14:val="none"/>
        </w:rPr>
        <w:t xml:space="preserve">realignment </w:t>
      </w:r>
      <w:r w:rsidR="00BA4EC7">
        <w:rPr>
          <w:rFonts w:ascii="Arial" w:eastAsia="Times New Roman" w:hAnsi="Arial" w:cs="Arial"/>
          <w:color w:val="auto"/>
          <w:kern w:val="0"/>
          <w:sz w:val="24"/>
          <w:szCs w:val="24"/>
          <w:lang w:eastAsia="en-GB"/>
          <w14:ligatures w14:val="none"/>
        </w:rPr>
        <w:t>of/</w:t>
      </w:r>
      <w:r w:rsidR="009F0EC0">
        <w:rPr>
          <w:rFonts w:ascii="Arial" w:eastAsia="Times New Roman" w:hAnsi="Arial" w:cs="Arial"/>
          <w:color w:val="auto"/>
          <w:kern w:val="0"/>
          <w:sz w:val="24"/>
          <w:szCs w:val="24"/>
          <w:lang w:eastAsia="en-GB"/>
          <w14:ligatures w14:val="none"/>
        </w:rPr>
        <w:t xml:space="preserve">changes to services </w:t>
      </w:r>
      <w:proofErr w:type="gramStart"/>
      <w:r w:rsidR="009F0EC0">
        <w:rPr>
          <w:rFonts w:ascii="Arial" w:eastAsia="Times New Roman" w:hAnsi="Arial" w:cs="Arial"/>
          <w:color w:val="auto"/>
          <w:kern w:val="0"/>
          <w:sz w:val="24"/>
          <w:szCs w:val="24"/>
          <w:lang w:eastAsia="en-GB"/>
          <w14:ligatures w14:val="none"/>
        </w:rPr>
        <w:t xml:space="preserve">provided </w:t>
      </w:r>
      <w:r w:rsidR="00F32BE6" w:rsidRPr="00795D74">
        <w:rPr>
          <w:rFonts w:ascii="Arial" w:eastAsia="Times New Roman" w:hAnsi="Arial" w:cs="Arial"/>
          <w:color w:val="auto"/>
          <w:kern w:val="0"/>
          <w:sz w:val="24"/>
          <w:szCs w:val="24"/>
          <w:lang w:eastAsia="en-GB"/>
          <w14:ligatures w14:val="none"/>
        </w:rPr>
        <w:t>.</w:t>
      </w:r>
      <w:proofErr w:type="gramEnd"/>
      <w:r w:rsidR="00F32BE6" w:rsidRPr="00795D74">
        <w:rPr>
          <w:rFonts w:ascii="Arial" w:eastAsia="Times New Roman" w:hAnsi="Arial" w:cs="Arial"/>
          <w:color w:val="auto"/>
          <w:kern w:val="0"/>
          <w:sz w:val="24"/>
          <w:szCs w:val="24"/>
          <w:lang w:eastAsia="en-GB"/>
          <w14:ligatures w14:val="none"/>
        </w:rPr>
        <w:t xml:space="preserve"> </w:t>
      </w:r>
    </w:p>
    <w:p w14:paraId="22F4F857" w14:textId="6831B495" w:rsidR="003C795E" w:rsidRPr="00795D74" w:rsidRDefault="00B12947" w:rsidP="00795D7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795D74">
        <w:rPr>
          <w:rFonts w:ascii="Arial" w:eastAsia="Times New Roman" w:hAnsi="Arial" w:cs="Arial"/>
          <w:color w:val="auto"/>
          <w:kern w:val="0"/>
          <w:sz w:val="24"/>
          <w:szCs w:val="24"/>
          <w:lang w:eastAsia="en-GB"/>
          <w14:ligatures w14:val="none"/>
        </w:rPr>
        <w:t xml:space="preserve">The </w:t>
      </w:r>
      <w:r w:rsidR="00BA4EC7">
        <w:rPr>
          <w:rFonts w:ascii="Arial" w:eastAsia="Times New Roman" w:hAnsi="Arial" w:cs="Arial"/>
          <w:color w:val="auto"/>
          <w:kern w:val="0"/>
          <w:sz w:val="24"/>
          <w:szCs w:val="24"/>
          <w:lang w:eastAsia="en-GB"/>
          <w14:ligatures w14:val="none"/>
        </w:rPr>
        <w:t xml:space="preserve">largest </w:t>
      </w:r>
      <w:r w:rsidRPr="00795D74">
        <w:rPr>
          <w:rFonts w:ascii="Arial" w:eastAsia="Times New Roman" w:hAnsi="Arial" w:cs="Arial"/>
          <w:color w:val="auto"/>
          <w:kern w:val="0"/>
          <w:sz w:val="24"/>
          <w:szCs w:val="24"/>
          <w:lang w:eastAsia="en-GB"/>
          <w14:ligatures w14:val="none"/>
        </w:rPr>
        <w:t>p</w:t>
      </w:r>
      <w:r w:rsidR="00CC1419" w:rsidRPr="00795D74">
        <w:rPr>
          <w:rFonts w:ascii="Arial" w:eastAsia="Times New Roman" w:hAnsi="Arial" w:cs="Arial"/>
          <w:color w:val="auto"/>
          <w:kern w:val="0"/>
          <w:sz w:val="24"/>
          <w:szCs w:val="24"/>
          <w:lang w:eastAsia="en-GB"/>
          <w14:ligatures w14:val="none"/>
        </w:rPr>
        <w:t xml:space="preserve">roposed </w:t>
      </w:r>
      <w:r w:rsidR="006E07AF" w:rsidRPr="00795D74">
        <w:rPr>
          <w:rFonts w:ascii="Arial" w:eastAsia="Times New Roman" w:hAnsi="Arial" w:cs="Arial"/>
          <w:color w:val="auto"/>
          <w:kern w:val="0"/>
          <w:sz w:val="24"/>
          <w:szCs w:val="24"/>
          <w:lang w:eastAsia="en-GB"/>
          <w14:ligatures w14:val="none"/>
        </w:rPr>
        <w:t>decrease</w:t>
      </w:r>
      <w:r w:rsidR="00636BDC" w:rsidRPr="00795D74">
        <w:rPr>
          <w:rFonts w:ascii="Arial" w:eastAsia="Times New Roman" w:hAnsi="Arial" w:cs="Arial"/>
          <w:color w:val="auto"/>
          <w:kern w:val="0"/>
          <w:sz w:val="24"/>
          <w:szCs w:val="24"/>
          <w:lang w:eastAsia="en-GB"/>
          <w14:ligatures w14:val="none"/>
        </w:rPr>
        <w:t xml:space="preserve"> relate</w:t>
      </w:r>
      <w:r w:rsidRPr="00795D74">
        <w:rPr>
          <w:rFonts w:ascii="Arial" w:eastAsia="Times New Roman" w:hAnsi="Arial" w:cs="Arial"/>
          <w:color w:val="auto"/>
          <w:kern w:val="0"/>
          <w:sz w:val="24"/>
          <w:szCs w:val="24"/>
          <w:lang w:eastAsia="en-GB"/>
          <w14:ligatures w14:val="none"/>
        </w:rPr>
        <w:t>s</w:t>
      </w:r>
      <w:r w:rsidR="00636BDC" w:rsidRPr="00795D74">
        <w:rPr>
          <w:rFonts w:ascii="Arial" w:eastAsia="Times New Roman" w:hAnsi="Arial" w:cs="Arial"/>
          <w:color w:val="auto"/>
          <w:kern w:val="0"/>
          <w:sz w:val="24"/>
          <w:szCs w:val="24"/>
          <w:lang w:eastAsia="en-GB"/>
          <w14:ligatures w14:val="none"/>
        </w:rPr>
        <w:t xml:space="preserve"> to the following area:</w:t>
      </w:r>
    </w:p>
    <w:p w14:paraId="03DCB2D4" w14:textId="77777777" w:rsidR="00F325A0" w:rsidRDefault="00F325A0" w:rsidP="00F325A0">
      <w:pPr>
        <w:pStyle w:val="ListParagraph"/>
        <w:ind w:left="432"/>
      </w:pPr>
    </w:p>
    <w:p w14:paraId="4D9E1C23" w14:textId="3F75C96C" w:rsidR="00636BDC" w:rsidRPr="004D6483" w:rsidRDefault="005A13FB" w:rsidP="004D6483">
      <w:pPr>
        <w:pStyle w:val="ListParagraph"/>
        <w:spacing w:after="120"/>
        <w:ind w:left="431"/>
        <w:contextualSpacing w:val="0"/>
      </w:pPr>
      <w:r w:rsidRPr="004D6483">
        <w:rPr>
          <w:u w:val="single"/>
        </w:rPr>
        <w:t>Fees to independent schools for pupils without SEN</w:t>
      </w:r>
      <w:r w:rsidRPr="004D6483">
        <w:t xml:space="preserve"> </w:t>
      </w:r>
      <w:r w:rsidR="004D6483">
        <w:t xml:space="preserve">- </w:t>
      </w:r>
      <w:r w:rsidRPr="004D6483">
        <w:t xml:space="preserve">It has been identified that </w:t>
      </w:r>
      <w:r w:rsidR="00E67896" w:rsidRPr="004D6483">
        <w:t>most</w:t>
      </w:r>
      <w:r w:rsidRPr="004D6483">
        <w:t xml:space="preserve"> </w:t>
      </w:r>
      <w:r w:rsidR="00A979D4" w:rsidRPr="004D6483">
        <w:t>provision</w:t>
      </w:r>
      <w:r w:rsidRPr="004D6483">
        <w:t xml:space="preserve"> </w:t>
      </w:r>
      <w:r w:rsidR="005C532C" w:rsidRPr="004D6483">
        <w:t xml:space="preserve">relating to this budget </w:t>
      </w:r>
      <w:r w:rsidR="00723042" w:rsidRPr="004D6483">
        <w:t xml:space="preserve">relates to </w:t>
      </w:r>
      <w:r w:rsidR="00BB6D7A" w:rsidRPr="004D6483">
        <w:t xml:space="preserve">pupils with </w:t>
      </w:r>
      <w:r w:rsidR="00FE6963" w:rsidRPr="004D6483">
        <w:t xml:space="preserve">behavioural or </w:t>
      </w:r>
      <w:r w:rsidR="00CA3675" w:rsidRPr="004D6483">
        <w:t>health related needs</w:t>
      </w:r>
      <w:r w:rsidR="00495CB0" w:rsidRPr="004D6483">
        <w:t xml:space="preserve"> that </w:t>
      </w:r>
      <w:r w:rsidR="002214E4" w:rsidRPr="004D6483">
        <w:t>should be supported by the High Needs Block</w:t>
      </w:r>
      <w:r w:rsidR="00384F3A" w:rsidRPr="004D6483">
        <w:t xml:space="preserve">.  The remaining budget will support learners without an EHCP </w:t>
      </w:r>
      <w:r w:rsidR="008300ED" w:rsidRPr="004D6483">
        <w:t>outside compulsory school age</w:t>
      </w:r>
      <w:r w:rsidR="009B3DF8" w:rsidRPr="004D6483">
        <w:t>.</w:t>
      </w:r>
    </w:p>
    <w:p w14:paraId="4F140FC4" w14:textId="04BC80D5" w:rsidR="0007206D" w:rsidRDefault="0007206D" w:rsidP="00AE3B36">
      <w:pPr>
        <w:spacing w:after="120"/>
        <w:ind w:firstLine="425"/>
        <w:contextualSpacing/>
        <w:rPr>
          <w:u w:val="single"/>
        </w:rPr>
      </w:pPr>
      <w:r w:rsidRPr="00CE2A2B">
        <w:rPr>
          <w:u w:val="single"/>
        </w:rPr>
        <w:t>Historic Commitments</w:t>
      </w:r>
    </w:p>
    <w:p w14:paraId="0A69A1CD" w14:textId="77777777" w:rsidR="0007206D" w:rsidRPr="00AE3B36" w:rsidRDefault="0007206D" w:rsidP="00AE3B36">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AE3B36">
        <w:rPr>
          <w:rFonts w:ascii="Arial" w:eastAsia="Times New Roman" w:hAnsi="Arial" w:cs="Arial"/>
          <w:color w:val="auto"/>
          <w:kern w:val="0"/>
          <w:sz w:val="24"/>
          <w:szCs w:val="24"/>
          <w:lang w:eastAsia="en-GB"/>
          <w14:ligatures w14:val="none"/>
        </w:rPr>
        <w:t xml:space="preserve">The DfE continues to reduce funding year on year by 20% for commitments made prior to 2013/14 that some local authorities still have. </w:t>
      </w:r>
    </w:p>
    <w:p w14:paraId="72292110" w14:textId="5E3E6446" w:rsidR="00CE2A2B" w:rsidRPr="00AE3B36" w:rsidRDefault="0007206D" w:rsidP="00AE3B36">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AE3B36">
        <w:rPr>
          <w:rFonts w:ascii="Arial" w:eastAsia="Times New Roman" w:hAnsi="Arial" w:cs="Arial"/>
          <w:color w:val="auto"/>
          <w:kern w:val="0"/>
          <w:sz w:val="24"/>
          <w:szCs w:val="24"/>
          <w:lang w:eastAsia="en-GB"/>
          <w14:ligatures w14:val="none"/>
        </w:rPr>
        <w:t>As a result of the reduction in funding, many of the activities previously funded through this element of the funding have been ceased or are now funded through a different means.</w:t>
      </w:r>
    </w:p>
    <w:p w14:paraId="3E6E7E66" w14:textId="2563FC51" w:rsidR="0007206D" w:rsidRPr="0097175C" w:rsidRDefault="0007206D" w:rsidP="0097175C">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97175C">
        <w:rPr>
          <w:rFonts w:ascii="Arial" w:eastAsia="Times New Roman" w:hAnsi="Arial" w:cs="Arial"/>
          <w:color w:val="auto"/>
          <w:kern w:val="0"/>
          <w:sz w:val="24"/>
          <w:szCs w:val="24"/>
          <w:lang w:eastAsia="en-GB"/>
          <w14:ligatures w14:val="none"/>
        </w:rPr>
        <w:t>The following table provides a breakdown of historic commitments:</w:t>
      </w:r>
    </w:p>
    <w:tbl>
      <w:tblPr>
        <w:tblW w:w="8438"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4"/>
        <w:gridCol w:w="1323"/>
        <w:gridCol w:w="1461"/>
      </w:tblGrid>
      <w:tr w:rsidR="0007206D" w:rsidRPr="006F5D6D" w14:paraId="7A1D878E" w14:textId="77777777" w:rsidTr="0077633E">
        <w:tc>
          <w:tcPr>
            <w:tcW w:w="5654" w:type="dxa"/>
            <w:shd w:val="clear" w:color="auto" w:fill="auto"/>
          </w:tcPr>
          <w:p w14:paraId="2FF3E5BF" w14:textId="77777777" w:rsidR="0007206D" w:rsidRPr="00395E4A" w:rsidRDefault="0007206D" w:rsidP="00D04A08">
            <w:pPr>
              <w:rPr>
                <w:b/>
              </w:rPr>
            </w:pPr>
            <w:r w:rsidRPr="00395E4A">
              <w:rPr>
                <w:b/>
              </w:rPr>
              <w:t>Service</w:t>
            </w:r>
          </w:p>
        </w:tc>
        <w:tc>
          <w:tcPr>
            <w:tcW w:w="1323" w:type="dxa"/>
          </w:tcPr>
          <w:p w14:paraId="476885C0" w14:textId="0BE0AD0F" w:rsidR="00395E4A" w:rsidRPr="00395E4A" w:rsidRDefault="00395E4A" w:rsidP="00F86E5A">
            <w:pPr>
              <w:jc w:val="center"/>
              <w:rPr>
                <w:b/>
                <w:bCs/>
              </w:rPr>
            </w:pPr>
            <w:r w:rsidRPr="00395E4A">
              <w:rPr>
                <w:b/>
                <w:bCs/>
              </w:rPr>
              <w:t>2023/24 Budget £000</w:t>
            </w:r>
          </w:p>
        </w:tc>
        <w:tc>
          <w:tcPr>
            <w:tcW w:w="1461" w:type="dxa"/>
            <w:shd w:val="clear" w:color="auto" w:fill="auto"/>
          </w:tcPr>
          <w:p w14:paraId="33951A45" w14:textId="7B7D4AC9" w:rsidR="0007206D" w:rsidRPr="00395E4A" w:rsidRDefault="00395E4A" w:rsidP="00F86E5A">
            <w:pPr>
              <w:jc w:val="center"/>
              <w:rPr>
                <w:b/>
              </w:rPr>
            </w:pPr>
            <w:r w:rsidRPr="00395E4A">
              <w:rPr>
                <w:b/>
                <w:bCs/>
              </w:rPr>
              <w:t>2024/25</w:t>
            </w:r>
            <w:r w:rsidR="0007206D" w:rsidRPr="00395E4A">
              <w:rPr>
                <w:b/>
              </w:rPr>
              <w:t xml:space="preserve"> Budget £000</w:t>
            </w:r>
          </w:p>
        </w:tc>
      </w:tr>
      <w:tr w:rsidR="0007206D" w:rsidRPr="006F5D6D" w14:paraId="356B1447" w14:textId="77777777" w:rsidTr="0077633E">
        <w:tc>
          <w:tcPr>
            <w:tcW w:w="5654" w:type="dxa"/>
            <w:shd w:val="clear" w:color="auto" w:fill="auto"/>
          </w:tcPr>
          <w:p w14:paraId="199D1124" w14:textId="3926345C" w:rsidR="0007206D" w:rsidRPr="00395E4A" w:rsidRDefault="0007206D" w:rsidP="00D04A08">
            <w:r w:rsidRPr="00395E4A">
              <w:t xml:space="preserve">Contribution to combined budget </w:t>
            </w:r>
            <w:r w:rsidR="00045F67">
              <w:t>–</w:t>
            </w:r>
            <w:r w:rsidRPr="00395E4A">
              <w:t xml:space="preserve"> NEET</w:t>
            </w:r>
            <w:r w:rsidR="00045F67">
              <w:t xml:space="preserve"> services</w:t>
            </w:r>
          </w:p>
        </w:tc>
        <w:tc>
          <w:tcPr>
            <w:tcW w:w="1323" w:type="dxa"/>
          </w:tcPr>
          <w:p w14:paraId="1F032069" w14:textId="6EA52984" w:rsidR="00395E4A" w:rsidRPr="00395E4A" w:rsidRDefault="00395E4A" w:rsidP="00F86E5A">
            <w:pPr>
              <w:jc w:val="right"/>
            </w:pPr>
            <w:r w:rsidRPr="00395E4A">
              <w:t>200</w:t>
            </w:r>
          </w:p>
        </w:tc>
        <w:tc>
          <w:tcPr>
            <w:tcW w:w="1461" w:type="dxa"/>
            <w:shd w:val="clear" w:color="auto" w:fill="auto"/>
          </w:tcPr>
          <w:p w14:paraId="62B0D869" w14:textId="77777777" w:rsidR="0007206D" w:rsidRPr="00395E4A" w:rsidRDefault="0007206D" w:rsidP="00F86E5A">
            <w:pPr>
              <w:jc w:val="right"/>
            </w:pPr>
            <w:r w:rsidRPr="00395E4A">
              <w:t>200</w:t>
            </w:r>
          </w:p>
        </w:tc>
      </w:tr>
      <w:tr w:rsidR="0007206D" w:rsidRPr="006F5D6D" w14:paraId="59A1C86D" w14:textId="77777777" w:rsidTr="0077633E">
        <w:tc>
          <w:tcPr>
            <w:tcW w:w="5654" w:type="dxa"/>
            <w:shd w:val="clear" w:color="auto" w:fill="auto"/>
          </w:tcPr>
          <w:p w14:paraId="67F5C35A" w14:textId="77777777" w:rsidR="0007206D" w:rsidRPr="00395E4A" w:rsidRDefault="0007206D" w:rsidP="00D04A08">
            <w:r w:rsidRPr="00395E4A">
              <w:t>Termination of employment costs</w:t>
            </w:r>
          </w:p>
        </w:tc>
        <w:tc>
          <w:tcPr>
            <w:tcW w:w="1323" w:type="dxa"/>
          </w:tcPr>
          <w:p w14:paraId="7FFB5FB1" w14:textId="51369F71" w:rsidR="00395E4A" w:rsidRPr="00395E4A" w:rsidRDefault="00395E4A" w:rsidP="00F86E5A">
            <w:pPr>
              <w:jc w:val="right"/>
            </w:pPr>
            <w:r w:rsidRPr="00395E4A">
              <w:t>658</w:t>
            </w:r>
          </w:p>
        </w:tc>
        <w:tc>
          <w:tcPr>
            <w:tcW w:w="1461" w:type="dxa"/>
            <w:shd w:val="clear" w:color="auto" w:fill="auto"/>
          </w:tcPr>
          <w:p w14:paraId="6FEFB28D" w14:textId="77777777" w:rsidR="0007206D" w:rsidRPr="00395E4A" w:rsidRDefault="0007206D" w:rsidP="00F86E5A">
            <w:pPr>
              <w:jc w:val="right"/>
            </w:pPr>
            <w:r w:rsidRPr="00395E4A">
              <w:t>658</w:t>
            </w:r>
          </w:p>
        </w:tc>
      </w:tr>
      <w:tr w:rsidR="0007206D" w:rsidRPr="006F5D6D" w14:paraId="3C8EE721" w14:textId="77777777" w:rsidTr="0077633E">
        <w:tc>
          <w:tcPr>
            <w:tcW w:w="5654" w:type="dxa"/>
            <w:shd w:val="clear" w:color="auto" w:fill="auto"/>
          </w:tcPr>
          <w:p w14:paraId="2E92EB85" w14:textId="77777777" w:rsidR="0007206D" w:rsidRPr="00395E4A" w:rsidRDefault="0007206D" w:rsidP="00D04A08">
            <w:pPr>
              <w:rPr>
                <w:b/>
              </w:rPr>
            </w:pPr>
            <w:r w:rsidRPr="00395E4A">
              <w:rPr>
                <w:b/>
              </w:rPr>
              <w:t>Total</w:t>
            </w:r>
          </w:p>
        </w:tc>
        <w:tc>
          <w:tcPr>
            <w:tcW w:w="1323" w:type="dxa"/>
          </w:tcPr>
          <w:p w14:paraId="1F682225" w14:textId="378FA0DF" w:rsidR="00395E4A" w:rsidRPr="00395E4A" w:rsidRDefault="00395E4A" w:rsidP="00F86E5A">
            <w:pPr>
              <w:jc w:val="right"/>
              <w:rPr>
                <w:b/>
                <w:bCs/>
              </w:rPr>
            </w:pPr>
            <w:r w:rsidRPr="00395E4A">
              <w:rPr>
                <w:b/>
                <w:bCs/>
              </w:rPr>
              <w:t>858</w:t>
            </w:r>
          </w:p>
        </w:tc>
        <w:tc>
          <w:tcPr>
            <w:tcW w:w="1461" w:type="dxa"/>
            <w:shd w:val="clear" w:color="auto" w:fill="auto"/>
          </w:tcPr>
          <w:p w14:paraId="2E743E83" w14:textId="77777777" w:rsidR="0007206D" w:rsidRPr="00395E4A" w:rsidRDefault="0007206D" w:rsidP="00F86E5A">
            <w:pPr>
              <w:jc w:val="right"/>
              <w:rPr>
                <w:b/>
              </w:rPr>
            </w:pPr>
            <w:r w:rsidRPr="00395E4A">
              <w:rPr>
                <w:b/>
              </w:rPr>
              <w:t>858</w:t>
            </w:r>
          </w:p>
        </w:tc>
      </w:tr>
    </w:tbl>
    <w:p w14:paraId="5145B807" w14:textId="77777777" w:rsidR="0007206D" w:rsidRPr="006F5D6D" w:rsidRDefault="0007206D" w:rsidP="00D40536">
      <w:pPr>
        <w:rPr>
          <w:color w:val="FF0000"/>
        </w:rPr>
      </w:pPr>
    </w:p>
    <w:p w14:paraId="7AB1B29D" w14:textId="5D229B54" w:rsidR="0007206D" w:rsidRPr="003B1039" w:rsidRDefault="0007206D" w:rsidP="003B103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3B1039">
        <w:rPr>
          <w:rFonts w:ascii="Arial" w:eastAsia="Times New Roman" w:hAnsi="Arial" w:cs="Arial"/>
          <w:color w:val="auto"/>
          <w:kern w:val="0"/>
          <w:sz w:val="24"/>
          <w:szCs w:val="24"/>
          <w:lang w:eastAsia="en-GB"/>
          <w14:ligatures w14:val="none"/>
        </w:rPr>
        <w:t xml:space="preserve">Due to the reduction in funding for historic commitments </w:t>
      </w:r>
      <w:r w:rsidR="001279DA" w:rsidRPr="003B1039">
        <w:rPr>
          <w:rFonts w:ascii="Arial" w:eastAsia="Times New Roman" w:hAnsi="Arial" w:cs="Arial"/>
          <w:color w:val="auto"/>
          <w:kern w:val="0"/>
          <w:sz w:val="24"/>
          <w:szCs w:val="24"/>
          <w:lang w:eastAsia="en-GB"/>
          <w14:ligatures w14:val="none"/>
        </w:rPr>
        <w:t>Not in Education, Employment or Training (</w:t>
      </w:r>
      <w:r w:rsidRPr="003B1039">
        <w:rPr>
          <w:rFonts w:ascii="Arial" w:eastAsia="Times New Roman" w:hAnsi="Arial" w:cs="Arial"/>
          <w:color w:val="auto"/>
          <w:kern w:val="0"/>
          <w:sz w:val="24"/>
          <w:szCs w:val="24"/>
          <w:lang w:eastAsia="en-GB"/>
          <w14:ligatures w14:val="none"/>
        </w:rPr>
        <w:t>NEET</w:t>
      </w:r>
      <w:r w:rsidR="001279DA" w:rsidRPr="003B1039">
        <w:rPr>
          <w:rFonts w:ascii="Arial" w:eastAsia="Times New Roman" w:hAnsi="Arial" w:cs="Arial"/>
          <w:color w:val="auto"/>
          <w:kern w:val="0"/>
          <w:sz w:val="24"/>
          <w:szCs w:val="24"/>
          <w:lang w:eastAsia="en-GB"/>
          <w14:ligatures w14:val="none"/>
        </w:rPr>
        <w:t>)</w:t>
      </w:r>
      <w:r w:rsidRPr="003B1039">
        <w:rPr>
          <w:rFonts w:ascii="Arial" w:eastAsia="Times New Roman" w:hAnsi="Arial" w:cs="Arial"/>
          <w:color w:val="auto"/>
          <w:kern w:val="0"/>
          <w:sz w:val="24"/>
          <w:szCs w:val="24"/>
          <w:lang w:eastAsia="en-GB"/>
          <w14:ligatures w14:val="none"/>
        </w:rPr>
        <w:t xml:space="preserve"> </w:t>
      </w:r>
      <w:r w:rsidR="00A163B5" w:rsidRPr="003B1039">
        <w:rPr>
          <w:rFonts w:ascii="Arial" w:eastAsia="Times New Roman" w:hAnsi="Arial" w:cs="Arial"/>
          <w:color w:val="auto"/>
          <w:kern w:val="0"/>
          <w:sz w:val="24"/>
          <w:szCs w:val="24"/>
          <w:lang w:eastAsia="en-GB"/>
          <w14:ligatures w14:val="none"/>
        </w:rPr>
        <w:t xml:space="preserve">services </w:t>
      </w:r>
      <w:r w:rsidR="001411D7" w:rsidRPr="003B1039">
        <w:rPr>
          <w:rFonts w:ascii="Arial" w:eastAsia="Times New Roman" w:hAnsi="Arial" w:cs="Arial"/>
          <w:color w:val="auto"/>
          <w:kern w:val="0"/>
          <w:sz w:val="24"/>
          <w:szCs w:val="24"/>
          <w:lang w:eastAsia="en-GB"/>
          <w14:ligatures w14:val="none"/>
        </w:rPr>
        <w:t xml:space="preserve">have </w:t>
      </w:r>
      <w:r w:rsidR="000055F4" w:rsidRPr="003B1039">
        <w:rPr>
          <w:rFonts w:ascii="Arial" w:eastAsia="Times New Roman" w:hAnsi="Arial" w:cs="Arial"/>
          <w:color w:val="auto"/>
          <w:kern w:val="0"/>
          <w:sz w:val="24"/>
          <w:szCs w:val="24"/>
          <w:lang w:eastAsia="en-GB"/>
          <w14:ligatures w14:val="none"/>
        </w:rPr>
        <w:t>received additional funding</w:t>
      </w:r>
      <w:r w:rsidR="00A163B5" w:rsidRPr="003B1039">
        <w:rPr>
          <w:rFonts w:ascii="Arial" w:eastAsia="Times New Roman" w:hAnsi="Arial" w:cs="Arial"/>
          <w:color w:val="auto"/>
          <w:kern w:val="0"/>
          <w:sz w:val="24"/>
          <w:szCs w:val="24"/>
          <w:lang w:eastAsia="en-GB"/>
          <w14:ligatures w14:val="none"/>
        </w:rPr>
        <w:t xml:space="preserve"> from </w:t>
      </w:r>
      <w:r w:rsidR="007236B9" w:rsidRPr="003B1039">
        <w:rPr>
          <w:rFonts w:ascii="Arial" w:eastAsia="Times New Roman" w:hAnsi="Arial" w:cs="Arial"/>
          <w:color w:val="auto"/>
          <w:kern w:val="0"/>
          <w:sz w:val="24"/>
          <w:szCs w:val="24"/>
          <w:lang w:eastAsia="en-GB"/>
          <w14:ligatures w14:val="none"/>
        </w:rPr>
        <w:t xml:space="preserve">the </w:t>
      </w:r>
      <w:r w:rsidRPr="003B1039">
        <w:rPr>
          <w:rFonts w:ascii="Arial" w:eastAsia="Times New Roman" w:hAnsi="Arial" w:cs="Arial"/>
          <w:color w:val="auto"/>
          <w:kern w:val="0"/>
          <w:sz w:val="24"/>
          <w:szCs w:val="24"/>
          <w:lang w:eastAsia="en-GB"/>
          <w14:ligatures w14:val="none"/>
        </w:rPr>
        <w:t>local authority budget where other savings have been identified</w:t>
      </w:r>
      <w:r w:rsidR="007236B9" w:rsidRPr="003B1039">
        <w:rPr>
          <w:rFonts w:ascii="Arial" w:eastAsia="Times New Roman" w:hAnsi="Arial" w:cs="Arial"/>
          <w:color w:val="auto"/>
          <w:kern w:val="0"/>
          <w:sz w:val="24"/>
          <w:szCs w:val="24"/>
          <w:lang w:eastAsia="en-GB"/>
          <w14:ligatures w14:val="none"/>
        </w:rPr>
        <w:t>.  The current re</w:t>
      </w:r>
      <w:r w:rsidR="00CE6F81" w:rsidRPr="003B1039">
        <w:rPr>
          <w:rFonts w:ascii="Arial" w:eastAsia="Times New Roman" w:hAnsi="Arial" w:cs="Arial"/>
          <w:color w:val="auto"/>
          <w:kern w:val="0"/>
          <w:sz w:val="24"/>
          <w:szCs w:val="24"/>
          <w:lang w:eastAsia="en-GB"/>
          <w14:ligatures w14:val="none"/>
        </w:rPr>
        <w:t xml:space="preserve">quirement </w:t>
      </w:r>
      <w:r w:rsidR="00333BC3" w:rsidRPr="003B1039">
        <w:rPr>
          <w:rFonts w:ascii="Arial" w:eastAsia="Times New Roman" w:hAnsi="Arial" w:cs="Arial"/>
          <w:color w:val="auto"/>
          <w:kern w:val="0"/>
          <w:sz w:val="24"/>
          <w:szCs w:val="24"/>
          <w:lang w:eastAsia="en-GB"/>
          <w14:ligatures w14:val="none"/>
        </w:rPr>
        <w:t xml:space="preserve">relates to a further shortfall the service has </w:t>
      </w:r>
      <w:r w:rsidR="00A6612D" w:rsidRPr="003B1039">
        <w:rPr>
          <w:rFonts w:ascii="Arial" w:eastAsia="Times New Roman" w:hAnsi="Arial" w:cs="Arial"/>
          <w:color w:val="auto"/>
          <w:kern w:val="0"/>
          <w:sz w:val="24"/>
          <w:szCs w:val="24"/>
          <w:lang w:eastAsia="en-GB"/>
          <w14:ligatures w14:val="none"/>
        </w:rPr>
        <w:t xml:space="preserve">been subject to </w:t>
      </w:r>
      <w:r w:rsidR="008A451C" w:rsidRPr="003B1039">
        <w:rPr>
          <w:rFonts w:ascii="Arial" w:eastAsia="Times New Roman" w:hAnsi="Arial" w:cs="Arial"/>
          <w:color w:val="auto"/>
          <w:kern w:val="0"/>
          <w:sz w:val="24"/>
          <w:szCs w:val="24"/>
          <w:lang w:eastAsia="en-GB"/>
          <w14:ligatures w14:val="none"/>
        </w:rPr>
        <w:t>because</w:t>
      </w:r>
      <w:r w:rsidR="00A6612D" w:rsidRPr="003B1039">
        <w:rPr>
          <w:rFonts w:ascii="Arial" w:eastAsia="Times New Roman" w:hAnsi="Arial" w:cs="Arial"/>
          <w:color w:val="auto"/>
          <w:kern w:val="0"/>
          <w:sz w:val="24"/>
          <w:szCs w:val="24"/>
          <w:lang w:eastAsia="en-GB"/>
          <w14:ligatures w14:val="none"/>
        </w:rPr>
        <w:t xml:space="preserve"> of the ending of the European Social Fund</w:t>
      </w:r>
      <w:r w:rsidR="004B34F6" w:rsidRPr="003B1039">
        <w:rPr>
          <w:rFonts w:ascii="Arial" w:eastAsia="Times New Roman" w:hAnsi="Arial" w:cs="Arial"/>
          <w:color w:val="auto"/>
          <w:kern w:val="0"/>
          <w:sz w:val="24"/>
          <w:szCs w:val="24"/>
          <w:lang w:eastAsia="en-GB"/>
          <w14:ligatures w14:val="none"/>
        </w:rPr>
        <w:t>.  W</w:t>
      </w:r>
      <w:r w:rsidR="00E80327" w:rsidRPr="003B1039">
        <w:rPr>
          <w:rFonts w:ascii="Arial" w:eastAsia="Times New Roman" w:hAnsi="Arial" w:cs="Arial"/>
          <w:color w:val="auto"/>
          <w:kern w:val="0"/>
          <w:sz w:val="24"/>
          <w:szCs w:val="24"/>
          <w:lang w:eastAsia="en-GB"/>
          <w14:ligatures w14:val="none"/>
        </w:rPr>
        <w:t xml:space="preserve">ork is </w:t>
      </w:r>
      <w:r w:rsidR="0036291E" w:rsidRPr="003B1039">
        <w:rPr>
          <w:rFonts w:ascii="Arial" w:eastAsia="Times New Roman" w:hAnsi="Arial" w:cs="Arial"/>
          <w:color w:val="auto"/>
          <w:kern w:val="0"/>
          <w:sz w:val="24"/>
          <w:szCs w:val="24"/>
          <w:lang w:eastAsia="en-GB"/>
          <w14:ligatures w14:val="none"/>
        </w:rPr>
        <w:t>underway</w:t>
      </w:r>
      <w:r w:rsidR="00E80327" w:rsidRPr="003B1039">
        <w:rPr>
          <w:rFonts w:ascii="Arial" w:eastAsia="Times New Roman" w:hAnsi="Arial" w:cs="Arial"/>
          <w:color w:val="auto"/>
          <w:kern w:val="0"/>
          <w:sz w:val="24"/>
          <w:szCs w:val="24"/>
          <w:lang w:eastAsia="en-GB"/>
          <w14:ligatures w14:val="none"/>
        </w:rPr>
        <w:t xml:space="preserve"> to identify </w:t>
      </w:r>
      <w:r w:rsidR="009E63F8" w:rsidRPr="003B1039">
        <w:rPr>
          <w:rFonts w:ascii="Arial" w:eastAsia="Times New Roman" w:hAnsi="Arial" w:cs="Arial"/>
          <w:color w:val="auto"/>
          <w:kern w:val="0"/>
          <w:sz w:val="24"/>
          <w:szCs w:val="24"/>
          <w:lang w:eastAsia="en-GB"/>
          <w14:ligatures w14:val="none"/>
        </w:rPr>
        <w:t xml:space="preserve">longer term </w:t>
      </w:r>
      <w:r w:rsidR="00E80327" w:rsidRPr="003B1039">
        <w:rPr>
          <w:rFonts w:ascii="Arial" w:eastAsia="Times New Roman" w:hAnsi="Arial" w:cs="Arial"/>
          <w:color w:val="auto"/>
          <w:kern w:val="0"/>
          <w:sz w:val="24"/>
          <w:szCs w:val="24"/>
          <w:lang w:eastAsia="en-GB"/>
          <w14:ligatures w14:val="none"/>
        </w:rPr>
        <w:t>funding arrangements</w:t>
      </w:r>
      <w:r w:rsidR="005D5A12" w:rsidRPr="003B1039">
        <w:rPr>
          <w:rFonts w:ascii="Arial" w:eastAsia="Times New Roman" w:hAnsi="Arial" w:cs="Arial"/>
          <w:color w:val="auto"/>
          <w:kern w:val="0"/>
          <w:sz w:val="24"/>
          <w:szCs w:val="24"/>
          <w:lang w:eastAsia="en-GB"/>
          <w14:ligatures w14:val="none"/>
        </w:rPr>
        <w:t xml:space="preserve"> </w:t>
      </w:r>
      <w:proofErr w:type="gramStart"/>
      <w:r w:rsidR="009E63F8" w:rsidRPr="003B1039">
        <w:rPr>
          <w:rFonts w:ascii="Arial" w:eastAsia="Times New Roman" w:hAnsi="Arial" w:cs="Arial"/>
          <w:color w:val="auto"/>
          <w:kern w:val="0"/>
          <w:sz w:val="24"/>
          <w:szCs w:val="24"/>
          <w:lang w:eastAsia="en-GB"/>
          <w14:ligatures w14:val="none"/>
        </w:rPr>
        <w:t>in light of</w:t>
      </w:r>
      <w:proofErr w:type="gramEnd"/>
      <w:r w:rsidR="009E63F8" w:rsidRPr="003B1039">
        <w:rPr>
          <w:rFonts w:ascii="Arial" w:eastAsia="Times New Roman" w:hAnsi="Arial" w:cs="Arial"/>
          <w:color w:val="auto"/>
          <w:kern w:val="0"/>
          <w:sz w:val="24"/>
          <w:szCs w:val="24"/>
          <w:lang w:eastAsia="en-GB"/>
          <w14:ligatures w14:val="none"/>
        </w:rPr>
        <w:t xml:space="preserve"> the </w:t>
      </w:r>
      <w:r w:rsidR="005000AC" w:rsidRPr="003B1039">
        <w:rPr>
          <w:rFonts w:ascii="Arial" w:eastAsia="Times New Roman" w:hAnsi="Arial" w:cs="Arial"/>
          <w:color w:val="auto"/>
          <w:kern w:val="0"/>
          <w:sz w:val="24"/>
          <w:szCs w:val="24"/>
          <w:lang w:eastAsia="en-GB"/>
          <w14:ligatures w14:val="none"/>
        </w:rPr>
        <w:t xml:space="preserve">ongoing reduction </w:t>
      </w:r>
      <w:r w:rsidR="00901704" w:rsidRPr="003B1039">
        <w:rPr>
          <w:rFonts w:ascii="Arial" w:eastAsia="Times New Roman" w:hAnsi="Arial" w:cs="Arial"/>
          <w:color w:val="auto"/>
          <w:kern w:val="0"/>
          <w:sz w:val="24"/>
          <w:szCs w:val="24"/>
          <w:lang w:eastAsia="en-GB"/>
          <w14:ligatures w14:val="none"/>
        </w:rPr>
        <w:t>planned</w:t>
      </w:r>
      <w:r w:rsidR="005000AC" w:rsidRPr="003B1039">
        <w:rPr>
          <w:rFonts w:ascii="Arial" w:eastAsia="Times New Roman" w:hAnsi="Arial" w:cs="Arial"/>
          <w:color w:val="auto"/>
          <w:kern w:val="0"/>
          <w:sz w:val="24"/>
          <w:szCs w:val="24"/>
          <w:lang w:eastAsia="en-GB"/>
          <w14:ligatures w14:val="none"/>
        </w:rPr>
        <w:t xml:space="preserve"> </w:t>
      </w:r>
      <w:r w:rsidR="00FA0F36" w:rsidRPr="003B1039">
        <w:rPr>
          <w:rFonts w:ascii="Arial" w:eastAsia="Times New Roman" w:hAnsi="Arial" w:cs="Arial"/>
          <w:color w:val="auto"/>
          <w:kern w:val="0"/>
          <w:sz w:val="24"/>
          <w:szCs w:val="24"/>
          <w:lang w:eastAsia="en-GB"/>
          <w14:ligatures w14:val="none"/>
        </w:rPr>
        <w:t>by the DfE</w:t>
      </w:r>
      <w:r w:rsidR="00713DAE" w:rsidRPr="003B1039">
        <w:rPr>
          <w:rFonts w:ascii="Arial" w:eastAsia="Times New Roman" w:hAnsi="Arial" w:cs="Arial"/>
          <w:color w:val="auto"/>
          <w:kern w:val="0"/>
          <w:sz w:val="24"/>
          <w:szCs w:val="24"/>
          <w:lang w:eastAsia="en-GB"/>
          <w14:ligatures w14:val="none"/>
        </w:rPr>
        <w:t xml:space="preserve"> in </w:t>
      </w:r>
      <w:r w:rsidR="008A451C" w:rsidRPr="003B1039">
        <w:rPr>
          <w:rFonts w:ascii="Arial" w:eastAsia="Times New Roman" w:hAnsi="Arial" w:cs="Arial"/>
          <w:color w:val="auto"/>
          <w:kern w:val="0"/>
          <w:sz w:val="24"/>
          <w:szCs w:val="24"/>
          <w:lang w:eastAsia="en-GB"/>
          <w14:ligatures w14:val="none"/>
        </w:rPr>
        <w:t>relation</w:t>
      </w:r>
      <w:r w:rsidR="00D62C73" w:rsidRPr="003B1039">
        <w:rPr>
          <w:rFonts w:ascii="Arial" w:eastAsia="Times New Roman" w:hAnsi="Arial" w:cs="Arial"/>
          <w:color w:val="auto"/>
          <w:kern w:val="0"/>
          <w:sz w:val="24"/>
          <w:szCs w:val="24"/>
          <w:lang w:eastAsia="en-GB"/>
          <w14:ligatures w14:val="none"/>
        </w:rPr>
        <w:t xml:space="preserve"> to </w:t>
      </w:r>
      <w:r w:rsidRPr="003B1039">
        <w:rPr>
          <w:rFonts w:ascii="Arial" w:eastAsia="Times New Roman" w:hAnsi="Arial" w:cs="Arial"/>
          <w:color w:val="auto"/>
          <w:kern w:val="0"/>
          <w:sz w:val="24"/>
          <w:szCs w:val="24"/>
          <w:lang w:eastAsia="en-GB"/>
          <w14:ligatures w14:val="none"/>
        </w:rPr>
        <w:t>historic commitment</w:t>
      </w:r>
      <w:r w:rsidR="008A451C" w:rsidRPr="003B1039">
        <w:rPr>
          <w:rFonts w:ascii="Arial" w:eastAsia="Times New Roman" w:hAnsi="Arial" w:cs="Arial"/>
          <w:color w:val="auto"/>
          <w:kern w:val="0"/>
          <w:sz w:val="24"/>
          <w:szCs w:val="24"/>
          <w:lang w:eastAsia="en-GB"/>
          <w14:ligatures w14:val="none"/>
        </w:rPr>
        <w:t>s</w:t>
      </w:r>
      <w:r w:rsidR="002C59A6" w:rsidRPr="003B1039">
        <w:rPr>
          <w:rFonts w:ascii="Arial" w:eastAsia="Times New Roman" w:hAnsi="Arial" w:cs="Arial"/>
          <w:color w:val="auto"/>
          <w:kern w:val="0"/>
          <w:sz w:val="24"/>
          <w:szCs w:val="24"/>
          <w:lang w:eastAsia="en-GB"/>
          <w14:ligatures w14:val="none"/>
        </w:rPr>
        <w:t>.</w:t>
      </w:r>
    </w:p>
    <w:p w14:paraId="0E1E3B95" w14:textId="77777777" w:rsidR="0007206D" w:rsidRPr="003B1039" w:rsidRDefault="0007206D" w:rsidP="003B103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3B1039">
        <w:rPr>
          <w:rFonts w:ascii="Arial" w:eastAsia="Times New Roman" w:hAnsi="Arial" w:cs="Arial"/>
          <w:color w:val="auto"/>
          <w:kern w:val="0"/>
          <w:sz w:val="24"/>
          <w:szCs w:val="24"/>
          <w:lang w:eastAsia="en-GB"/>
          <w14:ligatures w14:val="none"/>
        </w:rPr>
        <w:t>It is not possible to reduce the budget for the termination of employment costs, as the pension commitments against this have yet not reduced. In recognition of this, the DfE will provide funding protection to local authorities where the overall allocation for historic commitments falls below the current value of the termination of employment costs.</w:t>
      </w:r>
    </w:p>
    <w:p w14:paraId="38E07110" w14:textId="77777777" w:rsidR="0007206D" w:rsidRPr="004C0D14" w:rsidRDefault="0007206D" w:rsidP="004C0D14">
      <w:pPr>
        <w:pStyle w:val="Heading1"/>
        <w:tabs>
          <w:tab w:val="num" w:pos="2843"/>
        </w:tabs>
        <w:spacing w:before="240" w:after="120"/>
        <w:ind w:left="431"/>
        <w:rPr>
          <w:rFonts w:eastAsia="Times New Roman"/>
          <w:bCs w:val="0"/>
          <w:noProof w:val="0"/>
          <w:color w:val="auto"/>
          <w:kern w:val="28"/>
          <w:sz w:val="24"/>
          <w:szCs w:val="24"/>
          <w:lang w:eastAsia="en-GB"/>
          <w14:ligatures w14:val="none"/>
        </w:rPr>
      </w:pPr>
      <w:r w:rsidRPr="004C0D14">
        <w:rPr>
          <w:rFonts w:eastAsia="Times New Roman"/>
          <w:bCs w:val="0"/>
          <w:noProof w:val="0"/>
          <w:color w:val="auto"/>
          <w:kern w:val="28"/>
          <w:sz w:val="24"/>
          <w:szCs w:val="24"/>
          <w:lang w:eastAsia="en-GB"/>
          <w14:ligatures w14:val="none"/>
        </w:rPr>
        <w:t>Services for maintained schools</w:t>
      </w:r>
    </w:p>
    <w:p w14:paraId="155E338E" w14:textId="77777777" w:rsidR="0007206D" w:rsidRPr="003A0733" w:rsidRDefault="0007206D" w:rsidP="004C0D14">
      <w:pPr>
        <w:spacing w:after="120"/>
        <w:ind w:firstLine="425"/>
        <w:contextualSpacing/>
        <w:rPr>
          <w:u w:val="single"/>
        </w:rPr>
      </w:pPr>
      <w:r w:rsidRPr="003A0733">
        <w:rPr>
          <w:u w:val="single"/>
        </w:rPr>
        <w:t>Central Provision Funded by Maintained Schools</w:t>
      </w:r>
    </w:p>
    <w:p w14:paraId="59EC7FAA" w14:textId="77777777" w:rsidR="0007206D" w:rsidRPr="004C0D14" w:rsidRDefault="0007206D" w:rsidP="004C0D1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4C0D14">
        <w:rPr>
          <w:rFonts w:ascii="Arial" w:eastAsia="Times New Roman" w:hAnsi="Arial" w:cs="Arial"/>
          <w:color w:val="auto"/>
          <w:kern w:val="0"/>
          <w:sz w:val="24"/>
          <w:szCs w:val="24"/>
          <w:lang w:eastAsia="en-GB"/>
          <w14:ligatures w14:val="none"/>
        </w:rPr>
        <w:t>From September 2017, funding for statutory functions relating to maintained schools, previously received through the general services element of the Education Services Grant, ceased and have been funded from maintained schools budget shares.</w:t>
      </w:r>
    </w:p>
    <w:p w14:paraId="60EA759F" w14:textId="77777777" w:rsidR="0007206D" w:rsidRPr="004C0D14" w:rsidRDefault="0007206D" w:rsidP="004C0D1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4C0D14">
        <w:rPr>
          <w:rFonts w:ascii="Arial" w:eastAsia="Times New Roman" w:hAnsi="Arial" w:cs="Arial"/>
          <w:color w:val="auto"/>
          <w:kern w:val="0"/>
          <w:sz w:val="24"/>
          <w:szCs w:val="24"/>
          <w:lang w:eastAsia="en-GB"/>
          <w14:ligatures w14:val="none"/>
        </w:rPr>
        <w:t>The local authority has sought to identify only core statutory activities. To keep the cost to schools as low as possible, these activities have been extensively challenged to ensure efficiency and where interactions and dependencies have been identified with other services, these have been excluded from the top slice.</w:t>
      </w:r>
    </w:p>
    <w:p w14:paraId="1FBA93B8" w14:textId="77777777" w:rsidR="00032278" w:rsidRPr="005040DF" w:rsidRDefault="00032278" w:rsidP="00D40536"/>
    <w:p w14:paraId="3AD717DC" w14:textId="77777777" w:rsidR="00AE0D24" w:rsidRDefault="00AE0D24">
      <w:pPr>
        <w:spacing w:after="160" w:line="259" w:lineRule="auto"/>
        <w:rPr>
          <w:rFonts w:eastAsia="Times New Roman"/>
          <w:kern w:val="0"/>
          <w14:ligatures w14:val="none"/>
        </w:rPr>
      </w:pPr>
      <w:r>
        <w:br w:type="page"/>
      </w:r>
    </w:p>
    <w:p w14:paraId="1DAF3EF0" w14:textId="471CE702" w:rsidR="0007206D" w:rsidRPr="00E45B57" w:rsidRDefault="0007206D" w:rsidP="00E45B57">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E45B57">
        <w:rPr>
          <w:rFonts w:ascii="Arial" w:eastAsia="Times New Roman" w:hAnsi="Arial" w:cs="Arial"/>
          <w:color w:val="auto"/>
          <w:kern w:val="0"/>
          <w:sz w:val="24"/>
          <w:szCs w:val="24"/>
          <w:lang w:eastAsia="en-GB"/>
          <w14:ligatures w14:val="none"/>
        </w:rPr>
        <w:lastRenderedPageBreak/>
        <w:t xml:space="preserve">The table below sets out the </w:t>
      </w:r>
      <w:r w:rsidR="00B94D84" w:rsidRPr="00E45B57">
        <w:rPr>
          <w:rFonts w:ascii="Arial" w:eastAsia="Times New Roman" w:hAnsi="Arial" w:cs="Arial"/>
          <w:color w:val="auto"/>
          <w:kern w:val="0"/>
          <w:sz w:val="24"/>
          <w:szCs w:val="24"/>
          <w:lang w:eastAsia="en-GB"/>
          <w14:ligatures w14:val="none"/>
        </w:rPr>
        <w:t>2023/24</w:t>
      </w:r>
      <w:r w:rsidRPr="00E45B57">
        <w:rPr>
          <w:rFonts w:ascii="Arial" w:eastAsia="Times New Roman" w:hAnsi="Arial" w:cs="Arial"/>
          <w:color w:val="auto"/>
          <w:kern w:val="0"/>
          <w:sz w:val="24"/>
          <w:szCs w:val="24"/>
          <w:lang w:eastAsia="en-GB"/>
          <w14:ligatures w14:val="none"/>
        </w:rPr>
        <w:t xml:space="preserve"> budgets and proposed budgets for </w:t>
      </w:r>
      <w:r w:rsidR="00B94D84" w:rsidRPr="00E45B57">
        <w:rPr>
          <w:rFonts w:ascii="Arial" w:eastAsia="Times New Roman" w:hAnsi="Arial" w:cs="Arial"/>
          <w:color w:val="auto"/>
          <w:kern w:val="0"/>
          <w:sz w:val="24"/>
          <w:szCs w:val="24"/>
          <w:lang w:eastAsia="en-GB"/>
          <w14:ligatures w14:val="none"/>
        </w:rPr>
        <w:t>2024/25</w:t>
      </w:r>
      <w:r w:rsidRPr="00E45B57">
        <w:rPr>
          <w:rFonts w:ascii="Arial" w:eastAsia="Times New Roman" w:hAnsi="Arial" w:cs="Arial"/>
          <w:color w:val="auto"/>
          <w:kern w:val="0"/>
          <w:sz w:val="24"/>
          <w:szCs w:val="24"/>
          <w:lang w:eastAsia="en-GB"/>
          <w14:ligatures w14:val="none"/>
        </w:rPr>
        <w:t>:</w:t>
      </w:r>
    </w:p>
    <w:tbl>
      <w:tblPr>
        <w:tblW w:w="7894"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1559"/>
        <w:gridCol w:w="1560"/>
      </w:tblGrid>
      <w:tr w:rsidR="0007206D" w:rsidRPr="006F5D6D" w14:paraId="0D50B6DE" w14:textId="77777777" w:rsidTr="00B94D84">
        <w:trPr>
          <w:trHeight w:val="915"/>
        </w:trPr>
        <w:tc>
          <w:tcPr>
            <w:tcW w:w="4775" w:type="dxa"/>
            <w:shd w:val="clear" w:color="auto" w:fill="auto"/>
          </w:tcPr>
          <w:p w14:paraId="670E3F6C" w14:textId="77777777" w:rsidR="0007206D" w:rsidRPr="00B94D84" w:rsidRDefault="0007206D" w:rsidP="00D04A08">
            <w:pPr>
              <w:rPr>
                <w:b/>
              </w:rPr>
            </w:pPr>
            <w:r w:rsidRPr="00B94D84">
              <w:br w:type="page"/>
            </w:r>
            <w:r w:rsidRPr="00B94D84">
              <w:rPr>
                <w:b/>
              </w:rPr>
              <w:t>Service</w:t>
            </w:r>
          </w:p>
        </w:tc>
        <w:tc>
          <w:tcPr>
            <w:tcW w:w="1559" w:type="dxa"/>
          </w:tcPr>
          <w:p w14:paraId="0E4FF354" w14:textId="7BC1DF18" w:rsidR="00B94D84" w:rsidRPr="00B94D84" w:rsidRDefault="00B94D84" w:rsidP="002D3D45">
            <w:pPr>
              <w:jc w:val="center"/>
              <w:rPr>
                <w:b/>
                <w:iCs/>
              </w:rPr>
            </w:pPr>
            <w:r w:rsidRPr="00B94D84">
              <w:rPr>
                <w:b/>
                <w:iCs/>
              </w:rPr>
              <w:t>2023/24 Budget £000</w:t>
            </w:r>
          </w:p>
        </w:tc>
        <w:tc>
          <w:tcPr>
            <w:tcW w:w="1560" w:type="dxa"/>
          </w:tcPr>
          <w:p w14:paraId="36EBC0D0" w14:textId="3196770C" w:rsidR="0007206D" w:rsidRPr="00B94D84" w:rsidRDefault="00B94D84" w:rsidP="002D3D45">
            <w:pPr>
              <w:jc w:val="center"/>
              <w:rPr>
                <w:b/>
              </w:rPr>
            </w:pPr>
            <w:r w:rsidRPr="00B94D84">
              <w:rPr>
                <w:b/>
                <w:iCs/>
              </w:rPr>
              <w:t>2024/25</w:t>
            </w:r>
            <w:r w:rsidR="0007206D" w:rsidRPr="00B94D84">
              <w:rPr>
                <w:b/>
              </w:rPr>
              <w:t xml:space="preserve"> Budget £000</w:t>
            </w:r>
          </w:p>
        </w:tc>
      </w:tr>
      <w:tr w:rsidR="0007206D" w:rsidRPr="006F5D6D" w14:paraId="01319314" w14:textId="77777777" w:rsidTr="00B94D84">
        <w:tc>
          <w:tcPr>
            <w:tcW w:w="4775" w:type="dxa"/>
            <w:shd w:val="clear" w:color="auto" w:fill="auto"/>
          </w:tcPr>
          <w:p w14:paraId="6C842B2D" w14:textId="77777777" w:rsidR="0007206D" w:rsidRPr="00B94D84" w:rsidRDefault="0007206D" w:rsidP="00D04A08">
            <w:r w:rsidRPr="00B94D84">
              <w:t>Central management</w:t>
            </w:r>
          </w:p>
        </w:tc>
        <w:tc>
          <w:tcPr>
            <w:tcW w:w="1559" w:type="dxa"/>
          </w:tcPr>
          <w:p w14:paraId="5D9932C5" w14:textId="579890E8" w:rsidR="00B94D84" w:rsidRPr="00F6068C" w:rsidRDefault="00B94D84" w:rsidP="002D3D45">
            <w:pPr>
              <w:jc w:val="right"/>
            </w:pPr>
            <w:r w:rsidRPr="00EA3AD4">
              <w:t>194</w:t>
            </w:r>
          </w:p>
        </w:tc>
        <w:tc>
          <w:tcPr>
            <w:tcW w:w="1560" w:type="dxa"/>
          </w:tcPr>
          <w:p w14:paraId="3B09C75A" w14:textId="77777777" w:rsidR="0007206D" w:rsidRPr="00F6068C" w:rsidRDefault="0007206D" w:rsidP="002D3D45">
            <w:pPr>
              <w:jc w:val="right"/>
            </w:pPr>
            <w:r w:rsidRPr="00F6068C">
              <w:t>194</w:t>
            </w:r>
          </w:p>
        </w:tc>
      </w:tr>
      <w:tr w:rsidR="0007206D" w:rsidRPr="006F5D6D" w14:paraId="61ECBC8A" w14:textId="77777777" w:rsidTr="00B94D84">
        <w:tc>
          <w:tcPr>
            <w:tcW w:w="4775" w:type="dxa"/>
            <w:shd w:val="clear" w:color="auto" w:fill="auto"/>
          </w:tcPr>
          <w:p w14:paraId="65E40F66" w14:textId="77777777" w:rsidR="0007206D" w:rsidRPr="00B94D84" w:rsidRDefault="0007206D" w:rsidP="00D04A08">
            <w:r w:rsidRPr="00B94D84">
              <w:t>Asset management</w:t>
            </w:r>
          </w:p>
        </w:tc>
        <w:tc>
          <w:tcPr>
            <w:tcW w:w="1559" w:type="dxa"/>
          </w:tcPr>
          <w:p w14:paraId="0DFE8579" w14:textId="12FBF16C" w:rsidR="00B94D84" w:rsidRPr="00F82FEE" w:rsidRDefault="00B94D84" w:rsidP="002D3D45">
            <w:pPr>
              <w:jc w:val="right"/>
            </w:pPr>
            <w:r w:rsidRPr="00F82FEE">
              <w:t>607</w:t>
            </w:r>
          </w:p>
        </w:tc>
        <w:tc>
          <w:tcPr>
            <w:tcW w:w="1560" w:type="dxa"/>
          </w:tcPr>
          <w:p w14:paraId="35BAFF9B" w14:textId="77777777" w:rsidR="0007206D" w:rsidRPr="00F82FEE" w:rsidRDefault="0007206D" w:rsidP="002D3D45">
            <w:pPr>
              <w:jc w:val="right"/>
            </w:pPr>
            <w:r w:rsidRPr="00F6068C">
              <w:t>607</w:t>
            </w:r>
          </w:p>
        </w:tc>
      </w:tr>
      <w:tr w:rsidR="0007206D" w:rsidRPr="006F5D6D" w14:paraId="3542B14A" w14:textId="77777777" w:rsidTr="00B94D84">
        <w:tc>
          <w:tcPr>
            <w:tcW w:w="4775" w:type="dxa"/>
            <w:shd w:val="clear" w:color="auto" w:fill="auto"/>
          </w:tcPr>
          <w:p w14:paraId="5209F52A" w14:textId="77777777" w:rsidR="0007206D" w:rsidRPr="00B94D84" w:rsidRDefault="0007206D" w:rsidP="00D04A08">
            <w:r w:rsidRPr="00B94D84">
              <w:t>Statutory and regulatory</w:t>
            </w:r>
          </w:p>
        </w:tc>
        <w:tc>
          <w:tcPr>
            <w:tcW w:w="1559" w:type="dxa"/>
          </w:tcPr>
          <w:p w14:paraId="60D7E83A" w14:textId="6669673E" w:rsidR="00B94D84" w:rsidRPr="009543BD" w:rsidRDefault="00B94D84" w:rsidP="002D3D45">
            <w:pPr>
              <w:jc w:val="right"/>
            </w:pPr>
            <w:r w:rsidRPr="009543BD">
              <w:t>1,226</w:t>
            </w:r>
          </w:p>
        </w:tc>
        <w:tc>
          <w:tcPr>
            <w:tcW w:w="1560" w:type="dxa"/>
          </w:tcPr>
          <w:p w14:paraId="58AB0DF1" w14:textId="20E5B1A2" w:rsidR="0007206D" w:rsidRPr="009543BD" w:rsidRDefault="0007206D" w:rsidP="002D3D45">
            <w:pPr>
              <w:jc w:val="right"/>
            </w:pPr>
            <w:r w:rsidRPr="009543BD">
              <w:t>1,</w:t>
            </w:r>
            <w:r w:rsidR="007855A5" w:rsidRPr="009543BD">
              <w:t>3</w:t>
            </w:r>
            <w:r w:rsidR="003C6451">
              <w:t>91</w:t>
            </w:r>
          </w:p>
        </w:tc>
      </w:tr>
      <w:tr w:rsidR="0007206D" w:rsidRPr="006F5D6D" w14:paraId="5EC8A4C4" w14:textId="77777777" w:rsidTr="00B94D84">
        <w:tc>
          <w:tcPr>
            <w:tcW w:w="4775" w:type="dxa"/>
            <w:shd w:val="clear" w:color="auto" w:fill="auto"/>
          </w:tcPr>
          <w:p w14:paraId="5A983C72" w14:textId="77777777" w:rsidR="0007206D" w:rsidRPr="00B94D84" w:rsidRDefault="0007206D" w:rsidP="00D04A08">
            <w:r w:rsidRPr="00B94D84">
              <w:t>Premature retirement / redundancy</w:t>
            </w:r>
          </w:p>
        </w:tc>
        <w:tc>
          <w:tcPr>
            <w:tcW w:w="1559" w:type="dxa"/>
          </w:tcPr>
          <w:p w14:paraId="2CD6BB55" w14:textId="74AA9966" w:rsidR="00B94D84" w:rsidRPr="00F82FEE" w:rsidRDefault="00B94D84" w:rsidP="002D3D45">
            <w:pPr>
              <w:jc w:val="right"/>
            </w:pPr>
            <w:r w:rsidRPr="00F82FEE">
              <w:t>897</w:t>
            </w:r>
          </w:p>
        </w:tc>
        <w:tc>
          <w:tcPr>
            <w:tcW w:w="1560" w:type="dxa"/>
          </w:tcPr>
          <w:p w14:paraId="34488FFD" w14:textId="1A9F584B" w:rsidR="0007206D" w:rsidRPr="00F82FEE" w:rsidRDefault="00752FEB" w:rsidP="002D3D45">
            <w:pPr>
              <w:jc w:val="right"/>
            </w:pPr>
            <w:r w:rsidRPr="00F6068C">
              <w:t>759</w:t>
            </w:r>
          </w:p>
        </w:tc>
      </w:tr>
      <w:tr w:rsidR="0007206D" w:rsidRPr="006F5D6D" w14:paraId="44EED8E4" w14:textId="77777777" w:rsidTr="00B94D84">
        <w:tc>
          <w:tcPr>
            <w:tcW w:w="4775" w:type="dxa"/>
            <w:shd w:val="clear" w:color="auto" w:fill="auto"/>
          </w:tcPr>
          <w:p w14:paraId="5265D476" w14:textId="77777777" w:rsidR="0007206D" w:rsidRPr="00B94D84" w:rsidRDefault="0007206D" w:rsidP="00D04A08">
            <w:r w:rsidRPr="00B94D84">
              <w:t>Monitoring of national curriculum assessments</w:t>
            </w:r>
          </w:p>
        </w:tc>
        <w:tc>
          <w:tcPr>
            <w:tcW w:w="1559" w:type="dxa"/>
          </w:tcPr>
          <w:p w14:paraId="6F787E50" w14:textId="4FCBE320" w:rsidR="00B94D84" w:rsidRPr="00E45530" w:rsidRDefault="00B94D84" w:rsidP="002D3D45">
            <w:pPr>
              <w:jc w:val="right"/>
            </w:pPr>
            <w:r w:rsidRPr="00F20DD4">
              <w:t>101</w:t>
            </w:r>
          </w:p>
        </w:tc>
        <w:tc>
          <w:tcPr>
            <w:tcW w:w="1560" w:type="dxa"/>
          </w:tcPr>
          <w:p w14:paraId="07939CB1" w14:textId="0436CAB7" w:rsidR="0007206D" w:rsidRPr="00E45530" w:rsidRDefault="00F20DD4" w:rsidP="002D3D45">
            <w:pPr>
              <w:jc w:val="right"/>
            </w:pPr>
            <w:r w:rsidRPr="00E45530">
              <w:t>85</w:t>
            </w:r>
          </w:p>
        </w:tc>
      </w:tr>
      <w:tr w:rsidR="0007206D" w:rsidRPr="006F5D6D" w14:paraId="562043B2" w14:textId="77777777" w:rsidTr="00B94D84">
        <w:tc>
          <w:tcPr>
            <w:tcW w:w="4775" w:type="dxa"/>
            <w:shd w:val="clear" w:color="auto" w:fill="auto"/>
          </w:tcPr>
          <w:p w14:paraId="1A036B36" w14:textId="77777777" w:rsidR="0007206D" w:rsidRPr="00B94D84" w:rsidRDefault="0007206D" w:rsidP="00D04A08">
            <w:r w:rsidRPr="00B94D84">
              <w:t>School Improvement</w:t>
            </w:r>
          </w:p>
        </w:tc>
        <w:tc>
          <w:tcPr>
            <w:tcW w:w="1559" w:type="dxa"/>
          </w:tcPr>
          <w:p w14:paraId="2F2D2E95" w14:textId="5BD5333E" w:rsidR="00B94D84" w:rsidRPr="006F5D6D" w:rsidRDefault="00B94D84" w:rsidP="002D3D45">
            <w:pPr>
              <w:jc w:val="right"/>
              <w:rPr>
                <w:bCs/>
                <w:color w:val="FF0000"/>
              </w:rPr>
            </w:pPr>
            <w:r w:rsidRPr="00ED7E46">
              <w:t>2,292</w:t>
            </w:r>
          </w:p>
        </w:tc>
        <w:tc>
          <w:tcPr>
            <w:tcW w:w="1560" w:type="dxa"/>
          </w:tcPr>
          <w:p w14:paraId="521A4D9C" w14:textId="57C3B683" w:rsidR="0007206D" w:rsidRPr="00091D8D" w:rsidRDefault="005E4D4A" w:rsidP="002D3D45">
            <w:pPr>
              <w:jc w:val="right"/>
              <w:rPr>
                <w:color w:val="FF0000"/>
              </w:rPr>
            </w:pPr>
            <w:r w:rsidRPr="00091D8D">
              <w:t>3,474</w:t>
            </w:r>
          </w:p>
        </w:tc>
      </w:tr>
      <w:tr w:rsidR="0007206D" w:rsidRPr="006F5D6D" w14:paraId="76EDC959" w14:textId="77777777" w:rsidTr="00B94D84">
        <w:tc>
          <w:tcPr>
            <w:tcW w:w="4775" w:type="dxa"/>
            <w:shd w:val="clear" w:color="auto" w:fill="auto"/>
          </w:tcPr>
          <w:p w14:paraId="2ED1DE54" w14:textId="77777777" w:rsidR="0007206D" w:rsidRPr="00B94D84" w:rsidRDefault="0007206D" w:rsidP="00D04A08">
            <w:r w:rsidRPr="00B94D84">
              <w:rPr>
                <w:b/>
              </w:rPr>
              <w:t>Total</w:t>
            </w:r>
          </w:p>
        </w:tc>
        <w:tc>
          <w:tcPr>
            <w:tcW w:w="1559" w:type="dxa"/>
          </w:tcPr>
          <w:p w14:paraId="4E992F2F" w14:textId="1D1BAB97" w:rsidR="00B94D84" w:rsidRPr="00091D8D" w:rsidRDefault="00B94D84" w:rsidP="002D3D45">
            <w:pPr>
              <w:jc w:val="right"/>
              <w:rPr>
                <w:b/>
              </w:rPr>
            </w:pPr>
            <w:r w:rsidRPr="007F64E3">
              <w:rPr>
                <w:b/>
              </w:rPr>
              <w:t>5,317</w:t>
            </w:r>
          </w:p>
        </w:tc>
        <w:tc>
          <w:tcPr>
            <w:tcW w:w="1560" w:type="dxa"/>
          </w:tcPr>
          <w:p w14:paraId="0E6940F6" w14:textId="7070E91F" w:rsidR="0007206D" w:rsidRPr="00091D8D" w:rsidRDefault="002A0478" w:rsidP="002D3D45">
            <w:pPr>
              <w:jc w:val="right"/>
              <w:rPr>
                <w:b/>
              </w:rPr>
            </w:pPr>
            <w:r w:rsidRPr="00091D8D">
              <w:rPr>
                <w:b/>
              </w:rPr>
              <w:t>6,</w:t>
            </w:r>
            <w:r w:rsidR="006434C6">
              <w:rPr>
                <w:b/>
              </w:rPr>
              <w:t>510</w:t>
            </w:r>
          </w:p>
        </w:tc>
      </w:tr>
    </w:tbl>
    <w:p w14:paraId="1B99C93A" w14:textId="77777777" w:rsidR="00856963" w:rsidRDefault="00856963" w:rsidP="00D40536">
      <w:pPr>
        <w:rPr>
          <w:color w:val="FF0000"/>
        </w:rPr>
      </w:pPr>
    </w:p>
    <w:p w14:paraId="1B524D13" w14:textId="1913112D" w:rsidR="0007206D" w:rsidRPr="006060E3" w:rsidRDefault="0007206D" w:rsidP="006060E3">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6060E3">
        <w:rPr>
          <w:rFonts w:ascii="Arial" w:eastAsia="Times New Roman" w:hAnsi="Arial" w:cs="Arial"/>
          <w:color w:val="auto"/>
          <w:kern w:val="0"/>
          <w:sz w:val="24"/>
          <w:szCs w:val="24"/>
          <w:lang w:eastAsia="en-GB"/>
          <w14:ligatures w14:val="none"/>
        </w:rPr>
        <w:t xml:space="preserve">All budgets have been reviewed for </w:t>
      </w:r>
      <w:r w:rsidR="00B94D84" w:rsidRPr="006060E3">
        <w:rPr>
          <w:rFonts w:ascii="Arial" w:eastAsia="Times New Roman" w:hAnsi="Arial" w:cs="Arial"/>
          <w:color w:val="auto"/>
          <w:kern w:val="0"/>
          <w:sz w:val="24"/>
          <w:szCs w:val="24"/>
          <w:lang w:eastAsia="en-GB"/>
          <w14:ligatures w14:val="none"/>
        </w:rPr>
        <w:t>2024/25</w:t>
      </w:r>
      <w:r w:rsidRPr="006060E3">
        <w:rPr>
          <w:rFonts w:ascii="Arial" w:eastAsia="Times New Roman" w:hAnsi="Arial" w:cs="Arial"/>
          <w:color w:val="auto"/>
          <w:kern w:val="0"/>
          <w:sz w:val="24"/>
          <w:szCs w:val="24"/>
          <w:lang w:eastAsia="en-GB"/>
          <w14:ligatures w14:val="none"/>
        </w:rPr>
        <w:t>. It is proposed that many budgets will remain the same, with spend being managed within the current allocation and additional cost pressures not being passed on to schools.</w:t>
      </w:r>
    </w:p>
    <w:p w14:paraId="509700FD" w14:textId="74D6368F" w:rsidR="009C6E97" w:rsidRPr="006060E3" w:rsidRDefault="0007206D" w:rsidP="006060E3">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6060E3">
        <w:rPr>
          <w:rFonts w:ascii="Arial" w:eastAsia="Times New Roman" w:hAnsi="Arial" w:cs="Arial"/>
          <w:color w:val="auto"/>
          <w:kern w:val="0"/>
          <w:sz w:val="24"/>
          <w:szCs w:val="24"/>
          <w:lang w:eastAsia="en-GB"/>
          <w14:ligatures w14:val="none"/>
        </w:rPr>
        <w:t>The change in budget requirement for statutory and regulatory is due to</w:t>
      </w:r>
      <w:r w:rsidR="000B5D16" w:rsidRPr="006060E3">
        <w:rPr>
          <w:rFonts w:ascii="Arial" w:eastAsia="Times New Roman" w:hAnsi="Arial" w:cs="Arial"/>
          <w:color w:val="auto"/>
          <w:kern w:val="0"/>
          <w:sz w:val="24"/>
          <w:szCs w:val="24"/>
          <w:lang w:eastAsia="en-GB"/>
          <w14:ligatures w14:val="none"/>
        </w:rPr>
        <w:t>:</w:t>
      </w:r>
    </w:p>
    <w:p w14:paraId="7721B4C5" w14:textId="77777777" w:rsidR="000B5D16" w:rsidRDefault="000B5D16" w:rsidP="00A73B14">
      <w:pPr>
        <w:pStyle w:val="ListParagraph"/>
        <w:numPr>
          <w:ilvl w:val="0"/>
          <w:numId w:val="22"/>
        </w:numPr>
        <w:spacing w:after="120"/>
        <w:ind w:left="851" w:hanging="357"/>
      </w:pPr>
      <w:r w:rsidRPr="00BE61F8">
        <w:t xml:space="preserve">An additional post in the Apprenticeship Levy Team to be able to continue to provide support, </w:t>
      </w:r>
      <w:proofErr w:type="gramStart"/>
      <w:r w:rsidRPr="00BE61F8">
        <w:t>advice</w:t>
      </w:r>
      <w:proofErr w:type="gramEnd"/>
      <w:r w:rsidRPr="00BE61F8">
        <w:t xml:space="preserve"> and guidance for schools to ensure schools benefit from relevant programmes.</w:t>
      </w:r>
    </w:p>
    <w:p w14:paraId="64983EAC" w14:textId="327BFF8A" w:rsidR="002645D6" w:rsidRDefault="002645D6" w:rsidP="00A73B14">
      <w:pPr>
        <w:pStyle w:val="ListParagraph"/>
        <w:numPr>
          <w:ilvl w:val="0"/>
          <w:numId w:val="22"/>
        </w:numPr>
        <w:spacing w:after="120"/>
        <w:ind w:left="851" w:hanging="357"/>
      </w:pPr>
      <w:r>
        <w:t xml:space="preserve">Increases in statutory work </w:t>
      </w:r>
      <w:r w:rsidR="00386F7A">
        <w:t>by Education Financial Services, especially regarding closures/conversions of schools.</w:t>
      </w:r>
    </w:p>
    <w:p w14:paraId="6320E2F3" w14:textId="0AD30D8D" w:rsidR="000B5D16" w:rsidRPr="006046A9" w:rsidRDefault="00DF6C13" w:rsidP="00A73B14">
      <w:pPr>
        <w:pStyle w:val="ListParagraph"/>
        <w:numPr>
          <w:ilvl w:val="0"/>
          <w:numId w:val="22"/>
        </w:numPr>
        <w:spacing w:after="120"/>
        <w:ind w:left="851" w:hanging="357"/>
      </w:pPr>
      <w:r w:rsidRPr="006046A9">
        <w:t xml:space="preserve">Increases </w:t>
      </w:r>
      <w:r w:rsidR="00C61E4A" w:rsidRPr="006046A9">
        <w:t>in relation to</w:t>
      </w:r>
      <w:r w:rsidRPr="006046A9">
        <w:t xml:space="preserve"> </w:t>
      </w:r>
      <w:r w:rsidR="009543BD" w:rsidRPr="006046A9">
        <w:t>Health &amp; Safety</w:t>
      </w:r>
      <w:r w:rsidR="00C61E4A" w:rsidRPr="006046A9">
        <w:t xml:space="preserve"> to ensure budgets cover the cost of provision</w:t>
      </w:r>
      <w:r w:rsidR="006046A9" w:rsidRPr="006046A9">
        <w:t>.</w:t>
      </w:r>
    </w:p>
    <w:p w14:paraId="44DF1CD2" w14:textId="732E879B" w:rsidR="009D0F0C" w:rsidRPr="006060E3" w:rsidRDefault="009D0F0C" w:rsidP="006060E3">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6060E3">
        <w:rPr>
          <w:rFonts w:ascii="Arial" w:eastAsia="Times New Roman" w:hAnsi="Arial" w:cs="Arial"/>
          <w:color w:val="auto"/>
          <w:kern w:val="0"/>
          <w:sz w:val="24"/>
          <w:szCs w:val="24"/>
          <w:lang w:eastAsia="en-GB"/>
          <w14:ligatures w14:val="none"/>
        </w:rPr>
        <w:t xml:space="preserve">Following the removal of the DfE funded School Improvement Grant, Schools Forum agreed the funding of statutory school improvement activity from a </w:t>
      </w:r>
      <w:proofErr w:type="gramStart"/>
      <w:r w:rsidRPr="006060E3">
        <w:rPr>
          <w:rFonts w:ascii="Arial" w:eastAsia="Times New Roman" w:hAnsi="Arial" w:cs="Arial"/>
          <w:color w:val="auto"/>
          <w:kern w:val="0"/>
          <w:sz w:val="24"/>
          <w:szCs w:val="24"/>
          <w:lang w:eastAsia="en-GB"/>
          <w14:ligatures w14:val="none"/>
        </w:rPr>
        <w:t>top-slice</w:t>
      </w:r>
      <w:proofErr w:type="gramEnd"/>
      <w:r w:rsidRPr="006060E3">
        <w:rPr>
          <w:rFonts w:ascii="Arial" w:eastAsia="Times New Roman" w:hAnsi="Arial" w:cs="Arial"/>
          <w:color w:val="auto"/>
          <w:kern w:val="0"/>
          <w:sz w:val="24"/>
          <w:szCs w:val="24"/>
          <w:lang w:eastAsia="en-GB"/>
          <w14:ligatures w14:val="none"/>
        </w:rPr>
        <w:t xml:space="preserve"> of budgets. The budget reflects this change and the growth of support required including some additional support focused on activity relating to vulnerable children, including those with SEND, those from </w:t>
      </w:r>
      <w:proofErr w:type="gramStart"/>
      <w:r w:rsidRPr="006060E3">
        <w:rPr>
          <w:rFonts w:ascii="Arial" w:eastAsia="Times New Roman" w:hAnsi="Arial" w:cs="Arial"/>
          <w:color w:val="auto"/>
          <w:kern w:val="0"/>
          <w:sz w:val="24"/>
          <w:szCs w:val="24"/>
          <w:lang w:eastAsia="en-GB"/>
          <w14:ligatures w14:val="none"/>
        </w:rPr>
        <w:t>economically disadvantaged</w:t>
      </w:r>
      <w:proofErr w:type="gramEnd"/>
      <w:r w:rsidRPr="006060E3">
        <w:rPr>
          <w:rFonts w:ascii="Arial" w:eastAsia="Times New Roman" w:hAnsi="Arial" w:cs="Arial"/>
          <w:color w:val="auto"/>
          <w:kern w:val="0"/>
          <w:sz w:val="24"/>
          <w:szCs w:val="24"/>
          <w:lang w:eastAsia="en-GB"/>
          <w14:ligatures w14:val="none"/>
        </w:rPr>
        <w:t xml:space="preserve"> backgrounds and those open to social care. This also includes the support in place for schools before and during an Ofsted inspection. There is an increasing challenge related to external complaints and HIAS support to schools through this process. HIAS also wants to continue to be available for informal support and advice for headteachers whenever required. </w:t>
      </w:r>
    </w:p>
    <w:p w14:paraId="1C1D6C94" w14:textId="6D5FDD25" w:rsidR="0007206D" w:rsidRPr="006060E3" w:rsidRDefault="0007206D" w:rsidP="006060E3">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6060E3">
        <w:rPr>
          <w:rFonts w:ascii="Arial" w:eastAsia="Times New Roman" w:hAnsi="Arial" w:cs="Arial"/>
          <w:color w:val="auto"/>
          <w:kern w:val="0"/>
          <w:sz w:val="24"/>
          <w:szCs w:val="24"/>
          <w:lang w:eastAsia="en-GB"/>
          <w14:ligatures w14:val="none"/>
        </w:rPr>
        <w:t>The 202</w:t>
      </w:r>
      <w:r w:rsidR="009B2DAC" w:rsidRPr="006060E3">
        <w:rPr>
          <w:rFonts w:ascii="Arial" w:eastAsia="Times New Roman" w:hAnsi="Arial" w:cs="Arial"/>
          <w:color w:val="auto"/>
          <w:kern w:val="0"/>
          <w:sz w:val="24"/>
          <w:szCs w:val="24"/>
          <w:lang w:eastAsia="en-GB"/>
          <w14:ligatures w14:val="none"/>
        </w:rPr>
        <w:t>3</w:t>
      </w:r>
      <w:r w:rsidRPr="006060E3">
        <w:rPr>
          <w:rFonts w:ascii="Arial" w:eastAsia="Times New Roman" w:hAnsi="Arial" w:cs="Arial"/>
          <w:color w:val="auto"/>
          <w:kern w:val="0"/>
          <w:sz w:val="24"/>
          <w:szCs w:val="24"/>
          <w:lang w:eastAsia="en-GB"/>
          <w14:ligatures w14:val="none"/>
        </w:rPr>
        <w:t>/2</w:t>
      </w:r>
      <w:r w:rsidR="009B2DAC" w:rsidRPr="006060E3">
        <w:rPr>
          <w:rFonts w:ascii="Arial" w:eastAsia="Times New Roman" w:hAnsi="Arial" w:cs="Arial"/>
          <w:color w:val="auto"/>
          <w:kern w:val="0"/>
          <w:sz w:val="24"/>
          <w:szCs w:val="24"/>
          <w:lang w:eastAsia="en-GB"/>
          <w14:ligatures w14:val="none"/>
        </w:rPr>
        <w:t>4</w:t>
      </w:r>
      <w:r w:rsidRPr="006060E3">
        <w:rPr>
          <w:rFonts w:ascii="Arial" w:eastAsia="Times New Roman" w:hAnsi="Arial" w:cs="Arial"/>
          <w:color w:val="auto"/>
          <w:kern w:val="0"/>
          <w:sz w:val="24"/>
          <w:szCs w:val="24"/>
          <w:lang w:eastAsia="en-GB"/>
          <w14:ligatures w14:val="none"/>
        </w:rPr>
        <w:t xml:space="preserve"> overall charge was £</w:t>
      </w:r>
      <w:r w:rsidR="00E25A2F" w:rsidRPr="006060E3">
        <w:rPr>
          <w:rFonts w:ascii="Arial" w:eastAsia="Times New Roman" w:hAnsi="Arial" w:cs="Arial"/>
          <w:color w:val="auto"/>
          <w:kern w:val="0"/>
          <w:sz w:val="24"/>
          <w:szCs w:val="24"/>
          <w:lang w:eastAsia="en-GB"/>
          <w14:ligatures w14:val="none"/>
        </w:rPr>
        <w:t>38</w:t>
      </w:r>
      <w:r w:rsidRPr="006060E3">
        <w:rPr>
          <w:rFonts w:ascii="Arial" w:eastAsia="Times New Roman" w:hAnsi="Arial" w:cs="Arial"/>
          <w:color w:val="auto"/>
          <w:kern w:val="0"/>
          <w:sz w:val="24"/>
          <w:szCs w:val="24"/>
          <w:lang w:eastAsia="en-GB"/>
          <w14:ligatures w14:val="none"/>
        </w:rPr>
        <w:t>.</w:t>
      </w:r>
      <w:r w:rsidR="00E25A2F" w:rsidRPr="006060E3">
        <w:rPr>
          <w:rFonts w:ascii="Arial" w:eastAsia="Times New Roman" w:hAnsi="Arial" w:cs="Arial"/>
          <w:color w:val="auto"/>
          <w:kern w:val="0"/>
          <w:sz w:val="24"/>
          <w:szCs w:val="24"/>
          <w:lang w:eastAsia="en-GB"/>
          <w14:ligatures w14:val="none"/>
        </w:rPr>
        <w:t>65</w:t>
      </w:r>
      <w:r w:rsidRPr="006060E3">
        <w:rPr>
          <w:rFonts w:ascii="Arial" w:eastAsia="Times New Roman" w:hAnsi="Arial" w:cs="Arial"/>
          <w:color w:val="auto"/>
          <w:kern w:val="0"/>
          <w:sz w:val="24"/>
          <w:szCs w:val="24"/>
          <w:lang w:eastAsia="en-GB"/>
          <w14:ligatures w14:val="none"/>
        </w:rPr>
        <w:t xml:space="preserve"> per pupil / per place. Based on 202</w:t>
      </w:r>
      <w:r w:rsidR="009B2DAC" w:rsidRPr="006060E3">
        <w:rPr>
          <w:rFonts w:ascii="Arial" w:eastAsia="Times New Roman" w:hAnsi="Arial" w:cs="Arial"/>
          <w:color w:val="auto"/>
          <w:kern w:val="0"/>
          <w:sz w:val="24"/>
          <w:szCs w:val="24"/>
          <w:lang w:eastAsia="en-GB"/>
          <w14:ligatures w14:val="none"/>
        </w:rPr>
        <w:t>3</w:t>
      </w:r>
      <w:r w:rsidRPr="006060E3">
        <w:rPr>
          <w:rFonts w:ascii="Arial" w:eastAsia="Times New Roman" w:hAnsi="Arial" w:cs="Arial"/>
          <w:color w:val="auto"/>
          <w:kern w:val="0"/>
          <w:sz w:val="24"/>
          <w:szCs w:val="24"/>
          <w:lang w:eastAsia="en-GB"/>
          <w14:ligatures w14:val="none"/>
        </w:rPr>
        <w:t>/2</w:t>
      </w:r>
      <w:r w:rsidR="009B2DAC" w:rsidRPr="006060E3">
        <w:rPr>
          <w:rFonts w:ascii="Arial" w:eastAsia="Times New Roman" w:hAnsi="Arial" w:cs="Arial"/>
          <w:color w:val="auto"/>
          <w:kern w:val="0"/>
          <w:sz w:val="24"/>
          <w:szCs w:val="24"/>
          <w:lang w:eastAsia="en-GB"/>
          <w14:ligatures w14:val="none"/>
        </w:rPr>
        <w:t>4</w:t>
      </w:r>
      <w:r w:rsidRPr="006060E3">
        <w:rPr>
          <w:rFonts w:ascii="Arial" w:eastAsia="Times New Roman" w:hAnsi="Arial" w:cs="Arial"/>
          <w:color w:val="auto"/>
          <w:kern w:val="0"/>
          <w:sz w:val="24"/>
          <w:szCs w:val="24"/>
          <w:lang w:eastAsia="en-GB"/>
          <w14:ligatures w14:val="none"/>
        </w:rPr>
        <w:t xml:space="preserve"> pupil numbers, the per pupil / per place charge for 202</w:t>
      </w:r>
      <w:r w:rsidR="009B2DAC" w:rsidRPr="006060E3">
        <w:rPr>
          <w:rFonts w:ascii="Arial" w:eastAsia="Times New Roman" w:hAnsi="Arial" w:cs="Arial"/>
          <w:color w:val="auto"/>
          <w:kern w:val="0"/>
          <w:sz w:val="24"/>
          <w:szCs w:val="24"/>
          <w:lang w:eastAsia="en-GB"/>
          <w14:ligatures w14:val="none"/>
        </w:rPr>
        <w:t>4</w:t>
      </w:r>
      <w:r w:rsidRPr="006060E3">
        <w:rPr>
          <w:rFonts w:ascii="Arial" w:eastAsia="Times New Roman" w:hAnsi="Arial" w:cs="Arial"/>
          <w:color w:val="auto"/>
          <w:kern w:val="0"/>
          <w:sz w:val="24"/>
          <w:szCs w:val="24"/>
          <w:lang w:eastAsia="en-GB"/>
          <w14:ligatures w14:val="none"/>
        </w:rPr>
        <w:t>/2</w:t>
      </w:r>
      <w:r w:rsidR="009B2DAC" w:rsidRPr="006060E3">
        <w:rPr>
          <w:rFonts w:ascii="Arial" w:eastAsia="Times New Roman" w:hAnsi="Arial" w:cs="Arial"/>
          <w:color w:val="auto"/>
          <w:kern w:val="0"/>
          <w:sz w:val="24"/>
          <w:szCs w:val="24"/>
          <w:lang w:eastAsia="en-GB"/>
          <w14:ligatures w14:val="none"/>
        </w:rPr>
        <w:t>5</w:t>
      </w:r>
      <w:r w:rsidRPr="006060E3">
        <w:rPr>
          <w:rFonts w:ascii="Arial" w:eastAsia="Times New Roman" w:hAnsi="Arial" w:cs="Arial"/>
          <w:color w:val="auto"/>
          <w:kern w:val="0"/>
          <w:sz w:val="24"/>
          <w:szCs w:val="24"/>
          <w:lang w:eastAsia="en-GB"/>
          <w14:ligatures w14:val="none"/>
        </w:rPr>
        <w:t xml:space="preserve"> will be £</w:t>
      </w:r>
      <w:r w:rsidR="00E92A52" w:rsidRPr="006060E3">
        <w:rPr>
          <w:rFonts w:ascii="Arial" w:eastAsia="Times New Roman" w:hAnsi="Arial" w:cs="Arial"/>
          <w:color w:val="auto"/>
          <w:kern w:val="0"/>
          <w:sz w:val="24"/>
          <w:szCs w:val="24"/>
          <w:lang w:eastAsia="en-GB"/>
          <w14:ligatures w14:val="none"/>
        </w:rPr>
        <w:t>47</w:t>
      </w:r>
      <w:r w:rsidRPr="006060E3">
        <w:rPr>
          <w:rFonts w:ascii="Arial" w:eastAsia="Times New Roman" w:hAnsi="Arial" w:cs="Arial"/>
          <w:color w:val="auto"/>
          <w:kern w:val="0"/>
          <w:sz w:val="24"/>
          <w:szCs w:val="24"/>
          <w:lang w:eastAsia="en-GB"/>
          <w14:ligatures w14:val="none"/>
        </w:rPr>
        <w:t>.</w:t>
      </w:r>
      <w:r w:rsidR="00E92A52" w:rsidRPr="006060E3">
        <w:rPr>
          <w:rFonts w:ascii="Arial" w:eastAsia="Times New Roman" w:hAnsi="Arial" w:cs="Arial"/>
          <w:color w:val="auto"/>
          <w:kern w:val="0"/>
          <w:sz w:val="24"/>
          <w:szCs w:val="24"/>
          <w:lang w:eastAsia="en-GB"/>
          <w14:ligatures w14:val="none"/>
        </w:rPr>
        <w:t>22</w:t>
      </w:r>
      <w:r w:rsidRPr="006060E3">
        <w:rPr>
          <w:rFonts w:ascii="Arial" w:eastAsia="Times New Roman" w:hAnsi="Arial" w:cs="Arial"/>
          <w:color w:val="auto"/>
          <w:kern w:val="0"/>
          <w:sz w:val="24"/>
          <w:szCs w:val="24"/>
          <w:lang w:eastAsia="en-GB"/>
          <w14:ligatures w14:val="none"/>
        </w:rPr>
        <w:t>, an increase of £</w:t>
      </w:r>
      <w:r w:rsidR="00711350">
        <w:rPr>
          <w:rFonts w:ascii="Arial" w:eastAsia="Times New Roman" w:hAnsi="Arial" w:cs="Arial"/>
          <w:color w:val="auto"/>
          <w:kern w:val="0"/>
          <w:sz w:val="24"/>
          <w:szCs w:val="24"/>
          <w:lang w:eastAsia="en-GB"/>
          <w14:ligatures w14:val="none"/>
        </w:rPr>
        <w:t>9</w:t>
      </w:r>
      <w:r w:rsidRPr="006060E3">
        <w:rPr>
          <w:rFonts w:ascii="Arial" w:eastAsia="Times New Roman" w:hAnsi="Arial" w:cs="Arial"/>
          <w:color w:val="auto"/>
          <w:kern w:val="0"/>
          <w:sz w:val="24"/>
          <w:szCs w:val="24"/>
          <w:lang w:eastAsia="en-GB"/>
          <w14:ligatures w14:val="none"/>
        </w:rPr>
        <w:t>.</w:t>
      </w:r>
      <w:r w:rsidR="00711350">
        <w:rPr>
          <w:rFonts w:ascii="Arial" w:eastAsia="Times New Roman" w:hAnsi="Arial" w:cs="Arial"/>
          <w:color w:val="auto"/>
          <w:kern w:val="0"/>
          <w:sz w:val="24"/>
          <w:szCs w:val="24"/>
          <w:lang w:eastAsia="en-GB"/>
          <w14:ligatures w14:val="none"/>
        </w:rPr>
        <w:t>34</w:t>
      </w:r>
      <w:r w:rsidRPr="006060E3">
        <w:rPr>
          <w:rFonts w:ascii="Arial" w:eastAsia="Times New Roman" w:hAnsi="Arial" w:cs="Arial"/>
          <w:color w:val="auto"/>
          <w:kern w:val="0"/>
          <w:sz w:val="24"/>
          <w:szCs w:val="24"/>
          <w:lang w:eastAsia="en-GB"/>
          <w14:ligatures w14:val="none"/>
        </w:rPr>
        <w:t>. This will be confirmed in January following receipt of updated pupil numbers.</w:t>
      </w:r>
    </w:p>
    <w:p w14:paraId="2FDB3A64" w14:textId="77777777" w:rsidR="0007206D" w:rsidRPr="00FC6CD8" w:rsidRDefault="0007206D" w:rsidP="00A73B14">
      <w:pPr>
        <w:spacing w:after="120"/>
        <w:ind w:firstLine="425"/>
        <w:contextualSpacing/>
        <w:rPr>
          <w:u w:val="single"/>
        </w:rPr>
      </w:pPr>
      <w:r w:rsidRPr="00FC6CD8">
        <w:rPr>
          <w:u w:val="single"/>
        </w:rPr>
        <w:t>De-delegation of services</w:t>
      </w:r>
    </w:p>
    <w:p w14:paraId="21F25232" w14:textId="48ED88E6" w:rsidR="00A73B14" w:rsidRDefault="0007206D" w:rsidP="00A73B1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A73B14">
        <w:rPr>
          <w:rFonts w:ascii="Arial" w:eastAsia="Times New Roman" w:hAnsi="Arial" w:cs="Arial"/>
          <w:color w:val="auto"/>
          <w:kern w:val="0"/>
          <w:sz w:val="24"/>
          <w:szCs w:val="24"/>
          <w:lang w:eastAsia="en-GB"/>
          <w14:ligatures w14:val="none"/>
        </w:rPr>
        <w:t>There aren’t any changes to the services that can be de-delegated or the processes and procedures for this.</w:t>
      </w:r>
    </w:p>
    <w:p w14:paraId="5BA9C874" w14:textId="77777777" w:rsidR="00A73B14" w:rsidRDefault="00A73B14">
      <w:pPr>
        <w:spacing w:after="160" w:line="259" w:lineRule="auto"/>
        <w:rPr>
          <w:rFonts w:eastAsia="Times New Roman"/>
          <w:kern w:val="0"/>
          <w:lang w:eastAsia="en-GB"/>
          <w14:ligatures w14:val="none"/>
        </w:rPr>
      </w:pPr>
      <w:r>
        <w:rPr>
          <w:rFonts w:eastAsia="Times New Roman"/>
          <w:kern w:val="0"/>
          <w:lang w:eastAsia="en-GB"/>
          <w14:ligatures w14:val="none"/>
        </w:rPr>
        <w:br w:type="page"/>
      </w:r>
    </w:p>
    <w:p w14:paraId="45B63005" w14:textId="085C09A6" w:rsidR="0007206D" w:rsidRPr="00A73B14" w:rsidRDefault="0007206D" w:rsidP="00A73B1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A73B14">
        <w:rPr>
          <w:rFonts w:ascii="Arial" w:eastAsia="Times New Roman" w:hAnsi="Arial" w:cs="Arial"/>
          <w:color w:val="auto"/>
          <w:kern w:val="0"/>
          <w:sz w:val="24"/>
          <w:szCs w:val="24"/>
          <w:lang w:eastAsia="en-GB"/>
          <w14:ligatures w14:val="none"/>
        </w:rPr>
        <w:lastRenderedPageBreak/>
        <w:t>The following table sets out the current 202</w:t>
      </w:r>
      <w:r w:rsidR="00ED4FCF" w:rsidRPr="00A73B14">
        <w:rPr>
          <w:rFonts w:ascii="Arial" w:eastAsia="Times New Roman" w:hAnsi="Arial" w:cs="Arial"/>
          <w:color w:val="auto"/>
          <w:kern w:val="0"/>
          <w:sz w:val="24"/>
          <w:szCs w:val="24"/>
          <w:lang w:eastAsia="en-GB"/>
          <w14:ligatures w14:val="none"/>
        </w:rPr>
        <w:t>3</w:t>
      </w:r>
      <w:r w:rsidRPr="00A73B14">
        <w:rPr>
          <w:rFonts w:ascii="Arial" w:eastAsia="Times New Roman" w:hAnsi="Arial" w:cs="Arial"/>
          <w:color w:val="auto"/>
          <w:kern w:val="0"/>
          <w:sz w:val="24"/>
          <w:szCs w:val="24"/>
          <w:lang w:eastAsia="en-GB"/>
          <w14:ligatures w14:val="none"/>
        </w:rPr>
        <w:t>/2</w:t>
      </w:r>
      <w:r w:rsidR="00ED4FCF" w:rsidRPr="00A73B14">
        <w:rPr>
          <w:rFonts w:ascii="Arial" w:eastAsia="Times New Roman" w:hAnsi="Arial" w:cs="Arial"/>
          <w:color w:val="auto"/>
          <w:kern w:val="0"/>
          <w:sz w:val="24"/>
          <w:szCs w:val="24"/>
          <w:lang w:eastAsia="en-GB"/>
          <w14:ligatures w14:val="none"/>
        </w:rPr>
        <w:t>4</w:t>
      </w:r>
      <w:r w:rsidRPr="00A73B14">
        <w:rPr>
          <w:rFonts w:ascii="Arial" w:eastAsia="Times New Roman" w:hAnsi="Arial" w:cs="Arial"/>
          <w:color w:val="auto"/>
          <w:kern w:val="0"/>
          <w:sz w:val="24"/>
          <w:szCs w:val="24"/>
          <w:lang w:eastAsia="en-GB"/>
          <w14:ligatures w14:val="none"/>
        </w:rPr>
        <w:t xml:space="preserve"> de-delegation budgets and the basis for de-delegation.</w:t>
      </w:r>
    </w:p>
    <w:tbl>
      <w:tblPr>
        <w:tblW w:w="86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134"/>
        <w:gridCol w:w="1259"/>
        <w:gridCol w:w="1200"/>
        <w:gridCol w:w="1500"/>
      </w:tblGrid>
      <w:tr w:rsidR="0007206D" w:rsidRPr="006F5D6D" w14:paraId="00C17895" w14:textId="77777777">
        <w:trPr>
          <w:trHeight w:val="654"/>
        </w:trPr>
        <w:tc>
          <w:tcPr>
            <w:tcW w:w="3544" w:type="dxa"/>
            <w:shd w:val="clear" w:color="auto" w:fill="auto"/>
          </w:tcPr>
          <w:p w14:paraId="795D1CAF" w14:textId="77777777" w:rsidR="0007206D" w:rsidRPr="004B33D5" w:rsidRDefault="0007206D" w:rsidP="00D04A08">
            <w:pPr>
              <w:rPr>
                <w:b/>
              </w:rPr>
            </w:pPr>
            <w:bookmarkStart w:id="8" w:name="OLE_LINK8"/>
            <w:bookmarkStart w:id="9" w:name="OLE_LINK9"/>
            <w:r w:rsidRPr="004B33D5">
              <w:rPr>
                <w:b/>
              </w:rPr>
              <w:t>Service</w:t>
            </w:r>
          </w:p>
        </w:tc>
        <w:tc>
          <w:tcPr>
            <w:tcW w:w="1134" w:type="dxa"/>
            <w:shd w:val="clear" w:color="auto" w:fill="auto"/>
          </w:tcPr>
          <w:p w14:paraId="042262DC" w14:textId="1D0BDC28" w:rsidR="0007206D" w:rsidRPr="004B33D5" w:rsidRDefault="0007206D" w:rsidP="002D3D45">
            <w:pPr>
              <w:jc w:val="center"/>
              <w:rPr>
                <w:b/>
              </w:rPr>
            </w:pPr>
            <w:r w:rsidRPr="004B33D5">
              <w:rPr>
                <w:b/>
              </w:rPr>
              <w:t>20</w:t>
            </w:r>
            <w:r w:rsidR="004B33D5" w:rsidRPr="004B33D5">
              <w:rPr>
                <w:b/>
              </w:rPr>
              <w:t>23</w:t>
            </w:r>
            <w:r w:rsidRPr="004B33D5">
              <w:rPr>
                <w:b/>
              </w:rPr>
              <w:t>/2</w:t>
            </w:r>
            <w:r w:rsidR="004B33D5" w:rsidRPr="004B33D5">
              <w:rPr>
                <w:b/>
              </w:rPr>
              <w:t>4</w:t>
            </w:r>
            <w:r w:rsidRPr="004B33D5">
              <w:rPr>
                <w:b/>
              </w:rPr>
              <w:t xml:space="preserve"> Budget</w:t>
            </w:r>
          </w:p>
        </w:tc>
        <w:tc>
          <w:tcPr>
            <w:tcW w:w="1259" w:type="dxa"/>
          </w:tcPr>
          <w:p w14:paraId="36373A02" w14:textId="77777777" w:rsidR="0007206D" w:rsidRPr="004B33D5" w:rsidRDefault="0007206D" w:rsidP="002D3D45">
            <w:pPr>
              <w:jc w:val="center"/>
              <w:rPr>
                <w:b/>
              </w:rPr>
            </w:pPr>
            <w:r w:rsidRPr="004B33D5">
              <w:rPr>
                <w:b/>
              </w:rPr>
              <w:t>Basis</w:t>
            </w:r>
          </w:p>
        </w:tc>
        <w:tc>
          <w:tcPr>
            <w:tcW w:w="2700" w:type="dxa"/>
            <w:gridSpan w:val="2"/>
          </w:tcPr>
          <w:p w14:paraId="7FB93F61" w14:textId="7B878CE9" w:rsidR="0007206D" w:rsidRPr="004B33D5" w:rsidRDefault="0007206D" w:rsidP="002D3D45">
            <w:pPr>
              <w:jc w:val="center"/>
              <w:rPr>
                <w:b/>
              </w:rPr>
            </w:pPr>
            <w:r w:rsidRPr="004B33D5">
              <w:rPr>
                <w:b/>
              </w:rPr>
              <w:t>202</w:t>
            </w:r>
            <w:r w:rsidR="004B33D5" w:rsidRPr="004B33D5">
              <w:rPr>
                <w:b/>
              </w:rPr>
              <w:t>3</w:t>
            </w:r>
            <w:r w:rsidRPr="004B33D5">
              <w:rPr>
                <w:b/>
              </w:rPr>
              <w:t>/2</w:t>
            </w:r>
            <w:r w:rsidR="004B33D5" w:rsidRPr="004B33D5">
              <w:rPr>
                <w:b/>
              </w:rPr>
              <w:t>4</w:t>
            </w:r>
            <w:r w:rsidRPr="004B33D5">
              <w:rPr>
                <w:b/>
              </w:rPr>
              <w:t xml:space="preserve"> Per Pupil</w:t>
            </w:r>
          </w:p>
        </w:tc>
      </w:tr>
      <w:tr w:rsidR="0007206D" w:rsidRPr="006F5D6D" w14:paraId="2F516256" w14:textId="77777777">
        <w:tc>
          <w:tcPr>
            <w:tcW w:w="3544" w:type="dxa"/>
            <w:shd w:val="clear" w:color="auto" w:fill="auto"/>
          </w:tcPr>
          <w:p w14:paraId="193BA7D9" w14:textId="77777777" w:rsidR="0007206D" w:rsidRPr="004B33D5" w:rsidRDefault="0007206D" w:rsidP="00D04A08"/>
        </w:tc>
        <w:tc>
          <w:tcPr>
            <w:tcW w:w="1134" w:type="dxa"/>
            <w:shd w:val="clear" w:color="auto" w:fill="auto"/>
          </w:tcPr>
          <w:p w14:paraId="20A300C2" w14:textId="77777777" w:rsidR="0007206D" w:rsidRPr="004B33D5" w:rsidRDefault="0007206D" w:rsidP="00D04A08">
            <w:pPr>
              <w:rPr>
                <w:b/>
              </w:rPr>
            </w:pPr>
            <w:r w:rsidRPr="004B33D5">
              <w:rPr>
                <w:b/>
              </w:rPr>
              <w:t>£’000</w:t>
            </w:r>
          </w:p>
        </w:tc>
        <w:tc>
          <w:tcPr>
            <w:tcW w:w="1259" w:type="dxa"/>
          </w:tcPr>
          <w:p w14:paraId="2860D80D" w14:textId="77777777" w:rsidR="0007206D" w:rsidRPr="004B33D5" w:rsidRDefault="0007206D" w:rsidP="00D04A08"/>
        </w:tc>
        <w:tc>
          <w:tcPr>
            <w:tcW w:w="1200" w:type="dxa"/>
          </w:tcPr>
          <w:p w14:paraId="264D2415" w14:textId="77777777" w:rsidR="0007206D" w:rsidRPr="004B33D5" w:rsidRDefault="0007206D" w:rsidP="00D04A08">
            <w:pPr>
              <w:rPr>
                <w:b/>
              </w:rPr>
            </w:pPr>
            <w:r w:rsidRPr="004B33D5">
              <w:rPr>
                <w:b/>
              </w:rPr>
              <w:t>Primary</w:t>
            </w:r>
          </w:p>
        </w:tc>
        <w:tc>
          <w:tcPr>
            <w:tcW w:w="1500" w:type="dxa"/>
          </w:tcPr>
          <w:p w14:paraId="786E020B" w14:textId="77777777" w:rsidR="0007206D" w:rsidRPr="004B33D5" w:rsidRDefault="0007206D" w:rsidP="00D04A08">
            <w:pPr>
              <w:rPr>
                <w:b/>
              </w:rPr>
            </w:pPr>
            <w:r w:rsidRPr="004B33D5">
              <w:rPr>
                <w:b/>
              </w:rPr>
              <w:t>Secondary</w:t>
            </w:r>
          </w:p>
        </w:tc>
      </w:tr>
      <w:tr w:rsidR="0007206D" w:rsidRPr="006F5D6D" w14:paraId="5F706314" w14:textId="77777777">
        <w:tc>
          <w:tcPr>
            <w:tcW w:w="3544" w:type="dxa"/>
            <w:shd w:val="clear" w:color="auto" w:fill="auto"/>
          </w:tcPr>
          <w:p w14:paraId="6036428D" w14:textId="77777777" w:rsidR="0007206D" w:rsidRPr="004B33D5" w:rsidRDefault="0007206D" w:rsidP="00D04A08">
            <w:r w:rsidRPr="004B33D5">
              <w:t>Contingency</w:t>
            </w:r>
          </w:p>
        </w:tc>
        <w:tc>
          <w:tcPr>
            <w:tcW w:w="1134" w:type="dxa"/>
            <w:shd w:val="clear" w:color="auto" w:fill="auto"/>
          </w:tcPr>
          <w:p w14:paraId="1CA3F5BD" w14:textId="1A24D3DB" w:rsidR="0007206D" w:rsidRPr="004B33D5" w:rsidRDefault="002D1BF1" w:rsidP="002D3D45">
            <w:pPr>
              <w:jc w:val="right"/>
            </w:pPr>
            <w:r>
              <w:t>296</w:t>
            </w:r>
          </w:p>
        </w:tc>
        <w:tc>
          <w:tcPr>
            <w:tcW w:w="1259" w:type="dxa"/>
          </w:tcPr>
          <w:p w14:paraId="59171752" w14:textId="77777777" w:rsidR="0007206D" w:rsidRPr="004B33D5" w:rsidRDefault="0007206D" w:rsidP="00D04A08">
            <w:r w:rsidRPr="004B33D5">
              <w:t>Per Pupil</w:t>
            </w:r>
          </w:p>
        </w:tc>
        <w:tc>
          <w:tcPr>
            <w:tcW w:w="1200" w:type="dxa"/>
          </w:tcPr>
          <w:p w14:paraId="65E67F73" w14:textId="37884A2C" w:rsidR="0007206D" w:rsidRPr="00214A7A" w:rsidRDefault="0007206D" w:rsidP="002D3D45">
            <w:pPr>
              <w:jc w:val="right"/>
            </w:pPr>
            <w:r w:rsidRPr="00214A7A">
              <w:t>£2.</w:t>
            </w:r>
            <w:r w:rsidR="00C56BFC" w:rsidRPr="00214A7A">
              <w:t>23</w:t>
            </w:r>
          </w:p>
        </w:tc>
        <w:tc>
          <w:tcPr>
            <w:tcW w:w="1500" w:type="dxa"/>
          </w:tcPr>
          <w:p w14:paraId="56B456BD" w14:textId="2016E39B" w:rsidR="0007206D" w:rsidRPr="00214A7A" w:rsidRDefault="0007206D" w:rsidP="002D3D45">
            <w:pPr>
              <w:jc w:val="right"/>
            </w:pPr>
            <w:r w:rsidRPr="00214A7A">
              <w:t>£2.</w:t>
            </w:r>
            <w:r w:rsidR="00C56BFC" w:rsidRPr="00214A7A">
              <w:t>23</w:t>
            </w:r>
          </w:p>
        </w:tc>
      </w:tr>
      <w:tr w:rsidR="0007206D" w:rsidRPr="006F5D6D" w14:paraId="1667BFDD" w14:textId="77777777">
        <w:tc>
          <w:tcPr>
            <w:tcW w:w="3544" w:type="dxa"/>
            <w:shd w:val="clear" w:color="auto" w:fill="auto"/>
          </w:tcPr>
          <w:p w14:paraId="7595EEF9" w14:textId="77777777" w:rsidR="0007206D" w:rsidRPr="004B33D5" w:rsidRDefault="0007206D" w:rsidP="00D04A08">
            <w:r w:rsidRPr="004B33D5">
              <w:t>Licences &amp; Subscriptions</w:t>
            </w:r>
          </w:p>
        </w:tc>
        <w:tc>
          <w:tcPr>
            <w:tcW w:w="1134" w:type="dxa"/>
            <w:shd w:val="clear" w:color="auto" w:fill="auto"/>
          </w:tcPr>
          <w:p w14:paraId="13FDB834" w14:textId="63D77AF8" w:rsidR="0007206D" w:rsidRPr="004B33D5" w:rsidRDefault="00322430" w:rsidP="002D3D45">
            <w:pPr>
              <w:jc w:val="right"/>
            </w:pPr>
            <w:r w:rsidRPr="004B33D5">
              <w:t>1</w:t>
            </w:r>
            <w:r w:rsidR="009D4318">
              <w:t>7</w:t>
            </w:r>
            <w:r w:rsidR="002D1BF1">
              <w:t>7</w:t>
            </w:r>
          </w:p>
        </w:tc>
        <w:tc>
          <w:tcPr>
            <w:tcW w:w="1259" w:type="dxa"/>
          </w:tcPr>
          <w:p w14:paraId="07904C2E" w14:textId="77777777" w:rsidR="0007206D" w:rsidRPr="004B33D5" w:rsidRDefault="0007206D" w:rsidP="00D04A08">
            <w:r w:rsidRPr="004B33D5">
              <w:t>Per Pupil</w:t>
            </w:r>
          </w:p>
        </w:tc>
        <w:tc>
          <w:tcPr>
            <w:tcW w:w="1200" w:type="dxa"/>
          </w:tcPr>
          <w:p w14:paraId="45C73769" w14:textId="6DA3C254" w:rsidR="0007206D" w:rsidRPr="00214A7A" w:rsidRDefault="0007206D" w:rsidP="002D3D45">
            <w:pPr>
              <w:jc w:val="right"/>
            </w:pPr>
            <w:r w:rsidRPr="00214A7A">
              <w:t>£1.</w:t>
            </w:r>
            <w:r w:rsidR="00C56BFC" w:rsidRPr="00214A7A">
              <w:t>36</w:t>
            </w:r>
          </w:p>
        </w:tc>
        <w:tc>
          <w:tcPr>
            <w:tcW w:w="1500" w:type="dxa"/>
          </w:tcPr>
          <w:p w14:paraId="06A5818D" w14:textId="6FF43536" w:rsidR="0007206D" w:rsidRPr="00214A7A" w:rsidRDefault="0007206D" w:rsidP="002D3D45">
            <w:pPr>
              <w:jc w:val="right"/>
            </w:pPr>
            <w:r w:rsidRPr="00214A7A">
              <w:t>£1.</w:t>
            </w:r>
            <w:r w:rsidR="00B0563A" w:rsidRPr="00214A7A">
              <w:t>31</w:t>
            </w:r>
          </w:p>
        </w:tc>
      </w:tr>
      <w:tr w:rsidR="0007206D" w:rsidRPr="006F5D6D" w14:paraId="5EEC19CF" w14:textId="77777777">
        <w:tc>
          <w:tcPr>
            <w:tcW w:w="3544" w:type="dxa"/>
            <w:shd w:val="clear" w:color="auto" w:fill="auto"/>
          </w:tcPr>
          <w:p w14:paraId="25383942" w14:textId="77777777" w:rsidR="0007206D" w:rsidRPr="004B33D5" w:rsidRDefault="0007206D" w:rsidP="00D04A08">
            <w:r w:rsidRPr="004B33D5">
              <w:t>Staff Costs</w:t>
            </w:r>
          </w:p>
        </w:tc>
        <w:tc>
          <w:tcPr>
            <w:tcW w:w="1134" w:type="dxa"/>
            <w:shd w:val="clear" w:color="auto" w:fill="auto"/>
          </w:tcPr>
          <w:p w14:paraId="78F966C0" w14:textId="7C3AA490" w:rsidR="0007206D" w:rsidRPr="004B33D5" w:rsidRDefault="00322430" w:rsidP="002D3D45">
            <w:pPr>
              <w:jc w:val="right"/>
            </w:pPr>
            <w:r w:rsidRPr="004B33D5">
              <w:t>5</w:t>
            </w:r>
            <w:r w:rsidR="0034592C">
              <w:t>06</w:t>
            </w:r>
          </w:p>
        </w:tc>
        <w:tc>
          <w:tcPr>
            <w:tcW w:w="1259" w:type="dxa"/>
          </w:tcPr>
          <w:p w14:paraId="12E7C26C" w14:textId="77777777" w:rsidR="0007206D" w:rsidRPr="004B33D5" w:rsidRDefault="0007206D" w:rsidP="00D04A08">
            <w:r w:rsidRPr="004B33D5">
              <w:t>Per Pupil</w:t>
            </w:r>
          </w:p>
        </w:tc>
        <w:tc>
          <w:tcPr>
            <w:tcW w:w="1200" w:type="dxa"/>
          </w:tcPr>
          <w:p w14:paraId="601A67A6" w14:textId="0B17924A" w:rsidR="0007206D" w:rsidRPr="00214A7A" w:rsidRDefault="0007206D" w:rsidP="002D3D45">
            <w:pPr>
              <w:jc w:val="right"/>
            </w:pPr>
            <w:r w:rsidRPr="00214A7A">
              <w:t>£</w:t>
            </w:r>
            <w:r w:rsidR="00CD54A8" w:rsidRPr="00214A7A">
              <w:t>3.12</w:t>
            </w:r>
          </w:p>
        </w:tc>
        <w:tc>
          <w:tcPr>
            <w:tcW w:w="1500" w:type="dxa"/>
          </w:tcPr>
          <w:p w14:paraId="700730E8" w14:textId="2090251B" w:rsidR="0007206D" w:rsidRPr="00214A7A" w:rsidRDefault="0007206D" w:rsidP="002D3D45">
            <w:pPr>
              <w:jc w:val="right"/>
            </w:pPr>
            <w:r w:rsidRPr="00214A7A">
              <w:t>£5.</w:t>
            </w:r>
            <w:r w:rsidR="00CD54A8" w:rsidRPr="00214A7A">
              <w:t>80</w:t>
            </w:r>
          </w:p>
        </w:tc>
      </w:tr>
      <w:tr w:rsidR="0007206D" w:rsidRPr="006F5D6D" w14:paraId="7DC65E29" w14:textId="77777777">
        <w:trPr>
          <w:trHeight w:val="399"/>
        </w:trPr>
        <w:tc>
          <w:tcPr>
            <w:tcW w:w="3544" w:type="dxa"/>
            <w:vMerge w:val="restart"/>
            <w:shd w:val="clear" w:color="auto" w:fill="auto"/>
          </w:tcPr>
          <w:p w14:paraId="22A6F8D6" w14:textId="77777777" w:rsidR="0007206D" w:rsidRPr="004B33D5" w:rsidRDefault="0007206D" w:rsidP="00D04A08">
            <w:r w:rsidRPr="004B33D5">
              <w:t>Ethnic Minority &amp; Traveler Achievement Service (EMTAS)</w:t>
            </w:r>
          </w:p>
        </w:tc>
        <w:tc>
          <w:tcPr>
            <w:tcW w:w="1134" w:type="dxa"/>
            <w:vMerge w:val="restart"/>
            <w:shd w:val="clear" w:color="auto" w:fill="auto"/>
          </w:tcPr>
          <w:p w14:paraId="7AA4ED06" w14:textId="40E70F8A" w:rsidR="0007206D" w:rsidRPr="004B33D5" w:rsidRDefault="0007206D" w:rsidP="002D3D45">
            <w:pPr>
              <w:jc w:val="right"/>
            </w:pPr>
            <w:r w:rsidRPr="004B33D5">
              <w:t>1,</w:t>
            </w:r>
            <w:r w:rsidR="004B33D5" w:rsidRPr="004B33D5">
              <w:t>31</w:t>
            </w:r>
            <w:r w:rsidR="00BB3B78">
              <w:t>0</w:t>
            </w:r>
          </w:p>
        </w:tc>
        <w:tc>
          <w:tcPr>
            <w:tcW w:w="1259" w:type="dxa"/>
          </w:tcPr>
          <w:p w14:paraId="242603BB" w14:textId="77777777" w:rsidR="0007206D" w:rsidRPr="004B33D5" w:rsidRDefault="0007206D" w:rsidP="00D04A08">
            <w:r w:rsidRPr="004B33D5">
              <w:t xml:space="preserve">Per Pupil </w:t>
            </w:r>
          </w:p>
        </w:tc>
        <w:tc>
          <w:tcPr>
            <w:tcW w:w="1200" w:type="dxa"/>
          </w:tcPr>
          <w:p w14:paraId="6169DCD9" w14:textId="23AD8FCA" w:rsidR="0007206D" w:rsidRPr="00214A7A" w:rsidRDefault="0007206D" w:rsidP="002D3D45">
            <w:pPr>
              <w:jc w:val="right"/>
            </w:pPr>
            <w:r w:rsidRPr="00214A7A">
              <w:t>£3.</w:t>
            </w:r>
            <w:r w:rsidR="00435CA2" w:rsidRPr="00214A7A">
              <w:t>24</w:t>
            </w:r>
          </w:p>
        </w:tc>
        <w:tc>
          <w:tcPr>
            <w:tcW w:w="1500" w:type="dxa"/>
          </w:tcPr>
          <w:p w14:paraId="354A4859" w14:textId="32B9E83D" w:rsidR="0007206D" w:rsidRPr="00214A7A" w:rsidRDefault="0007206D" w:rsidP="002D3D45">
            <w:pPr>
              <w:jc w:val="right"/>
            </w:pPr>
            <w:r w:rsidRPr="00214A7A">
              <w:t>£1.1</w:t>
            </w:r>
            <w:r w:rsidR="00435CA2" w:rsidRPr="00214A7A">
              <w:t>4</w:t>
            </w:r>
          </w:p>
        </w:tc>
      </w:tr>
      <w:tr w:rsidR="0007206D" w:rsidRPr="006F5D6D" w14:paraId="7E6F1FA2" w14:textId="77777777">
        <w:trPr>
          <w:trHeight w:val="379"/>
        </w:trPr>
        <w:tc>
          <w:tcPr>
            <w:tcW w:w="3544" w:type="dxa"/>
            <w:vMerge/>
          </w:tcPr>
          <w:p w14:paraId="3E175750" w14:textId="77777777" w:rsidR="0007206D" w:rsidRPr="006F5D6D" w:rsidRDefault="0007206D" w:rsidP="00D04A08">
            <w:pPr>
              <w:rPr>
                <w:color w:val="FF0000"/>
              </w:rPr>
            </w:pPr>
          </w:p>
        </w:tc>
        <w:tc>
          <w:tcPr>
            <w:tcW w:w="1134" w:type="dxa"/>
            <w:vMerge/>
          </w:tcPr>
          <w:p w14:paraId="207D5AD3" w14:textId="77777777" w:rsidR="0007206D" w:rsidRPr="006F5D6D" w:rsidRDefault="0007206D" w:rsidP="002D3D45">
            <w:pPr>
              <w:jc w:val="right"/>
              <w:rPr>
                <w:color w:val="FF0000"/>
              </w:rPr>
            </w:pPr>
          </w:p>
        </w:tc>
        <w:tc>
          <w:tcPr>
            <w:tcW w:w="1259" w:type="dxa"/>
          </w:tcPr>
          <w:p w14:paraId="0412246D" w14:textId="77777777" w:rsidR="0007206D" w:rsidRPr="004B33D5" w:rsidRDefault="0007206D" w:rsidP="00D04A08">
            <w:r w:rsidRPr="004B33D5">
              <w:t>EAL</w:t>
            </w:r>
          </w:p>
        </w:tc>
        <w:tc>
          <w:tcPr>
            <w:tcW w:w="1200" w:type="dxa"/>
          </w:tcPr>
          <w:p w14:paraId="470C1FEC" w14:textId="28881E22" w:rsidR="0007206D" w:rsidRPr="00214A7A" w:rsidRDefault="0007206D" w:rsidP="002D3D45">
            <w:pPr>
              <w:jc w:val="right"/>
            </w:pPr>
            <w:r w:rsidRPr="00214A7A">
              <w:t>£1</w:t>
            </w:r>
            <w:r w:rsidR="001A6D6B" w:rsidRPr="00214A7A">
              <w:t>34.07</w:t>
            </w:r>
          </w:p>
        </w:tc>
        <w:tc>
          <w:tcPr>
            <w:tcW w:w="1500" w:type="dxa"/>
          </w:tcPr>
          <w:p w14:paraId="37316EA9" w14:textId="76BBF770" w:rsidR="0007206D" w:rsidRPr="00214A7A" w:rsidRDefault="0007206D" w:rsidP="002D3D45">
            <w:pPr>
              <w:jc w:val="right"/>
            </w:pPr>
            <w:r w:rsidRPr="00214A7A">
              <w:t>£2</w:t>
            </w:r>
            <w:r w:rsidR="00214A7A" w:rsidRPr="00214A7A">
              <w:t>16</w:t>
            </w:r>
            <w:r w:rsidRPr="00214A7A">
              <w:t>.</w:t>
            </w:r>
            <w:r w:rsidR="00214A7A" w:rsidRPr="00214A7A">
              <w:t>61</w:t>
            </w:r>
          </w:p>
        </w:tc>
      </w:tr>
      <w:tr w:rsidR="0007206D" w:rsidRPr="006F5D6D" w14:paraId="5421A8E7" w14:textId="77777777">
        <w:trPr>
          <w:trHeight w:val="345"/>
        </w:trPr>
        <w:tc>
          <w:tcPr>
            <w:tcW w:w="3544" w:type="dxa"/>
            <w:shd w:val="clear" w:color="auto" w:fill="auto"/>
          </w:tcPr>
          <w:p w14:paraId="081D8CAE" w14:textId="77777777" w:rsidR="0007206D" w:rsidRPr="006B710D" w:rsidRDefault="0007206D" w:rsidP="00D04A08">
            <w:pPr>
              <w:rPr>
                <w:b/>
              </w:rPr>
            </w:pPr>
            <w:r w:rsidRPr="006B710D">
              <w:rPr>
                <w:b/>
              </w:rPr>
              <w:t>Total</w:t>
            </w:r>
          </w:p>
        </w:tc>
        <w:tc>
          <w:tcPr>
            <w:tcW w:w="1134" w:type="dxa"/>
            <w:shd w:val="clear" w:color="auto" w:fill="auto"/>
          </w:tcPr>
          <w:p w14:paraId="70AAA861" w14:textId="76CD90C4" w:rsidR="0007206D" w:rsidRPr="006B710D" w:rsidRDefault="0007206D" w:rsidP="002D3D45">
            <w:pPr>
              <w:jc w:val="right"/>
              <w:rPr>
                <w:b/>
              </w:rPr>
            </w:pPr>
            <w:r w:rsidRPr="006B710D">
              <w:rPr>
                <w:b/>
              </w:rPr>
              <w:t>2,</w:t>
            </w:r>
            <w:r w:rsidR="00C3769E">
              <w:rPr>
                <w:b/>
              </w:rPr>
              <w:t>289</w:t>
            </w:r>
          </w:p>
        </w:tc>
        <w:tc>
          <w:tcPr>
            <w:tcW w:w="3959" w:type="dxa"/>
            <w:gridSpan w:val="3"/>
          </w:tcPr>
          <w:p w14:paraId="5E0A81C7" w14:textId="77777777" w:rsidR="0007206D" w:rsidRPr="006F5D6D" w:rsidRDefault="0007206D" w:rsidP="00D04A08">
            <w:pPr>
              <w:rPr>
                <w:b/>
                <w:color w:val="FF0000"/>
              </w:rPr>
            </w:pPr>
          </w:p>
        </w:tc>
      </w:tr>
      <w:bookmarkEnd w:id="8"/>
      <w:bookmarkEnd w:id="9"/>
    </w:tbl>
    <w:p w14:paraId="2A597831" w14:textId="77777777" w:rsidR="0007206D" w:rsidRPr="00D127E8" w:rsidRDefault="0007206D" w:rsidP="00D40536"/>
    <w:p w14:paraId="134E2366" w14:textId="3A374DE0" w:rsidR="00487A04" w:rsidRPr="00A73B14" w:rsidRDefault="0007206D" w:rsidP="00A73B1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A73B14">
        <w:rPr>
          <w:rFonts w:ascii="Arial" w:eastAsia="Times New Roman" w:hAnsi="Arial" w:cs="Arial"/>
          <w:color w:val="auto"/>
          <w:kern w:val="0"/>
          <w:sz w:val="24"/>
          <w:szCs w:val="24"/>
          <w:lang w:eastAsia="en-GB"/>
          <w14:ligatures w14:val="none"/>
        </w:rPr>
        <w:t>The contingency budget has been reviewed for 202</w:t>
      </w:r>
      <w:r w:rsidR="00283478" w:rsidRPr="00A73B14">
        <w:rPr>
          <w:rFonts w:ascii="Arial" w:eastAsia="Times New Roman" w:hAnsi="Arial" w:cs="Arial"/>
          <w:color w:val="auto"/>
          <w:kern w:val="0"/>
          <w:sz w:val="24"/>
          <w:szCs w:val="24"/>
          <w:lang w:eastAsia="en-GB"/>
          <w14:ligatures w14:val="none"/>
        </w:rPr>
        <w:t>4</w:t>
      </w:r>
      <w:r w:rsidRPr="00A73B14">
        <w:rPr>
          <w:rFonts w:ascii="Arial" w:eastAsia="Times New Roman" w:hAnsi="Arial" w:cs="Arial"/>
          <w:color w:val="auto"/>
          <w:kern w:val="0"/>
          <w:sz w:val="24"/>
          <w:szCs w:val="24"/>
          <w:lang w:eastAsia="en-GB"/>
          <w14:ligatures w14:val="none"/>
        </w:rPr>
        <w:t>/2</w:t>
      </w:r>
      <w:r w:rsidR="00283478" w:rsidRPr="00A73B14">
        <w:rPr>
          <w:rFonts w:ascii="Arial" w:eastAsia="Times New Roman" w:hAnsi="Arial" w:cs="Arial"/>
          <w:color w:val="auto"/>
          <w:kern w:val="0"/>
          <w:sz w:val="24"/>
          <w:szCs w:val="24"/>
          <w:lang w:eastAsia="en-GB"/>
          <w14:ligatures w14:val="none"/>
        </w:rPr>
        <w:t>5</w:t>
      </w:r>
      <w:r w:rsidRPr="00A73B14">
        <w:rPr>
          <w:rFonts w:ascii="Arial" w:eastAsia="Times New Roman" w:hAnsi="Arial" w:cs="Arial"/>
          <w:color w:val="auto"/>
          <w:kern w:val="0"/>
          <w:sz w:val="24"/>
          <w:szCs w:val="24"/>
          <w:lang w:eastAsia="en-GB"/>
          <w14:ligatures w14:val="none"/>
        </w:rPr>
        <w:t xml:space="preserve"> and </w:t>
      </w:r>
      <w:r w:rsidR="00D127E8" w:rsidRPr="00A73B14">
        <w:rPr>
          <w:rFonts w:ascii="Arial" w:eastAsia="Times New Roman" w:hAnsi="Arial" w:cs="Arial"/>
          <w:color w:val="auto"/>
          <w:kern w:val="0"/>
          <w:sz w:val="24"/>
          <w:szCs w:val="24"/>
          <w:lang w:eastAsia="en-GB"/>
          <w14:ligatures w14:val="none"/>
        </w:rPr>
        <w:t xml:space="preserve">remains as it was for 2023/24. </w:t>
      </w:r>
    </w:p>
    <w:p w14:paraId="21B6485D" w14:textId="1C72317F" w:rsidR="00AD478D" w:rsidRPr="00A73B14" w:rsidRDefault="00065378" w:rsidP="00A73B1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A73B14">
        <w:rPr>
          <w:rFonts w:ascii="Arial" w:eastAsia="Times New Roman" w:hAnsi="Arial" w:cs="Arial"/>
          <w:color w:val="auto"/>
          <w:kern w:val="0"/>
          <w:sz w:val="24"/>
          <w:szCs w:val="24"/>
          <w:lang w:eastAsia="en-GB"/>
          <w14:ligatures w14:val="none"/>
        </w:rPr>
        <w:t xml:space="preserve">There has been minimal change to the Licences and </w:t>
      </w:r>
      <w:r w:rsidR="00E041BD" w:rsidRPr="00A73B14">
        <w:rPr>
          <w:rFonts w:ascii="Arial" w:eastAsia="Times New Roman" w:hAnsi="Arial" w:cs="Arial"/>
          <w:color w:val="auto"/>
          <w:kern w:val="0"/>
          <w:sz w:val="24"/>
          <w:szCs w:val="24"/>
          <w:lang w:eastAsia="en-GB"/>
          <w14:ligatures w14:val="none"/>
        </w:rPr>
        <w:t>Subscriptions</w:t>
      </w:r>
      <w:r w:rsidRPr="00A73B14">
        <w:rPr>
          <w:rFonts w:ascii="Arial" w:eastAsia="Times New Roman" w:hAnsi="Arial" w:cs="Arial"/>
          <w:color w:val="auto"/>
          <w:kern w:val="0"/>
          <w:sz w:val="24"/>
          <w:szCs w:val="24"/>
          <w:lang w:eastAsia="en-GB"/>
          <w14:ligatures w14:val="none"/>
        </w:rPr>
        <w:t xml:space="preserve"> budget</w:t>
      </w:r>
      <w:r w:rsidR="00E041BD" w:rsidRPr="00A73B14">
        <w:rPr>
          <w:rFonts w:ascii="Arial" w:eastAsia="Times New Roman" w:hAnsi="Arial" w:cs="Arial"/>
          <w:color w:val="auto"/>
          <w:kern w:val="0"/>
          <w:sz w:val="24"/>
          <w:szCs w:val="24"/>
          <w:lang w:eastAsia="en-GB"/>
          <w14:ligatures w14:val="none"/>
        </w:rPr>
        <w:t xml:space="preserve"> overall.  </w:t>
      </w:r>
      <w:r w:rsidR="00A40BF3" w:rsidRPr="00A73B14">
        <w:rPr>
          <w:rFonts w:ascii="Arial" w:eastAsia="Times New Roman" w:hAnsi="Arial" w:cs="Arial"/>
          <w:color w:val="auto"/>
          <w:kern w:val="0"/>
          <w:sz w:val="24"/>
          <w:szCs w:val="24"/>
          <w:lang w:eastAsia="en-GB"/>
          <w14:ligatures w14:val="none"/>
        </w:rPr>
        <w:t>The b</w:t>
      </w:r>
      <w:r w:rsidR="00A03359" w:rsidRPr="00A73B14">
        <w:rPr>
          <w:rFonts w:ascii="Arial" w:eastAsia="Times New Roman" w:hAnsi="Arial" w:cs="Arial"/>
          <w:color w:val="auto"/>
          <w:kern w:val="0"/>
          <w:sz w:val="24"/>
          <w:szCs w:val="24"/>
          <w:lang w:eastAsia="en-GB"/>
          <w14:ligatures w14:val="none"/>
        </w:rPr>
        <w:t xml:space="preserve">udget has been maintained </w:t>
      </w:r>
      <w:r w:rsidR="0007206D" w:rsidRPr="00A73B14">
        <w:rPr>
          <w:rFonts w:ascii="Arial" w:eastAsia="Times New Roman" w:hAnsi="Arial" w:cs="Arial"/>
          <w:color w:val="auto"/>
          <w:kern w:val="0"/>
          <w:sz w:val="24"/>
          <w:szCs w:val="24"/>
          <w:lang w:eastAsia="en-GB"/>
          <w14:ligatures w14:val="none"/>
        </w:rPr>
        <w:t xml:space="preserve">for </w:t>
      </w:r>
      <w:r w:rsidR="0083362B" w:rsidRPr="00A73B14">
        <w:rPr>
          <w:rFonts w:ascii="Arial" w:eastAsia="Times New Roman" w:hAnsi="Arial" w:cs="Arial"/>
          <w:color w:val="auto"/>
          <w:kern w:val="0"/>
          <w:sz w:val="24"/>
          <w:szCs w:val="24"/>
          <w:lang w:eastAsia="en-GB"/>
          <w14:ligatures w14:val="none"/>
        </w:rPr>
        <w:t xml:space="preserve">the </w:t>
      </w:r>
      <w:r w:rsidR="009167D2" w:rsidRPr="00A73B14">
        <w:rPr>
          <w:rFonts w:ascii="Arial" w:eastAsia="Times New Roman" w:hAnsi="Arial" w:cs="Arial"/>
          <w:color w:val="auto"/>
          <w:kern w:val="0"/>
          <w:sz w:val="24"/>
          <w:szCs w:val="24"/>
          <w:lang w:eastAsia="en-GB"/>
          <w14:ligatures w14:val="none"/>
        </w:rPr>
        <w:t xml:space="preserve">Fischer Family Trust </w:t>
      </w:r>
      <w:r w:rsidR="003561FB" w:rsidRPr="00A73B14">
        <w:rPr>
          <w:rFonts w:ascii="Arial" w:eastAsia="Times New Roman" w:hAnsi="Arial" w:cs="Arial"/>
          <w:color w:val="auto"/>
          <w:kern w:val="0"/>
          <w:sz w:val="24"/>
          <w:szCs w:val="24"/>
          <w:lang w:eastAsia="en-GB"/>
          <w14:ligatures w14:val="none"/>
        </w:rPr>
        <w:t>(FFT)</w:t>
      </w:r>
      <w:r w:rsidR="009167D2" w:rsidRPr="00A73B14">
        <w:rPr>
          <w:rFonts w:ascii="Arial" w:eastAsia="Times New Roman" w:hAnsi="Arial" w:cs="Arial"/>
          <w:color w:val="auto"/>
          <w:kern w:val="0"/>
          <w:sz w:val="24"/>
          <w:szCs w:val="24"/>
          <w:lang w:eastAsia="en-GB"/>
          <w14:ligatures w14:val="none"/>
        </w:rPr>
        <w:t xml:space="preserve"> licences </w:t>
      </w:r>
      <w:r w:rsidR="006942E6" w:rsidRPr="00A73B14">
        <w:rPr>
          <w:rFonts w:ascii="Arial" w:eastAsia="Times New Roman" w:hAnsi="Arial" w:cs="Arial"/>
          <w:color w:val="auto"/>
          <w:kern w:val="0"/>
          <w:sz w:val="24"/>
          <w:szCs w:val="24"/>
          <w:lang w:eastAsia="en-GB"/>
          <w14:ligatures w14:val="none"/>
        </w:rPr>
        <w:t>with a small</w:t>
      </w:r>
      <w:r w:rsidR="000355AA" w:rsidRPr="00A73B14">
        <w:rPr>
          <w:rFonts w:ascii="Arial" w:eastAsia="Times New Roman" w:hAnsi="Arial" w:cs="Arial"/>
          <w:color w:val="auto"/>
          <w:kern w:val="0"/>
          <w:sz w:val="24"/>
          <w:szCs w:val="24"/>
          <w:lang w:eastAsia="en-GB"/>
          <w14:ligatures w14:val="none"/>
        </w:rPr>
        <w:t xml:space="preserve"> </w:t>
      </w:r>
      <w:r w:rsidR="00DB25F0" w:rsidRPr="00A73B14">
        <w:rPr>
          <w:rFonts w:ascii="Arial" w:eastAsia="Times New Roman" w:hAnsi="Arial" w:cs="Arial"/>
          <w:color w:val="auto"/>
          <w:kern w:val="0"/>
          <w:sz w:val="24"/>
          <w:szCs w:val="24"/>
          <w:lang w:eastAsia="en-GB"/>
          <w14:ligatures w14:val="none"/>
        </w:rPr>
        <w:t>change to the contribution rate in relation to the number of maintained school pupils</w:t>
      </w:r>
      <w:r w:rsidR="007F7DB9" w:rsidRPr="00A73B14">
        <w:rPr>
          <w:rFonts w:ascii="Arial" w:eastAsia="Times New Roman" w:hAnsi="Arial" w:cs="Arial"/>
          <w:color w:val="auto"/>
          <w:kern w:val="0"/>
          <w:sz w:val="24"/>
          <w:szCs w:val="24"/>
          <w:lang w:eastAsia="en-GB"/>
          <w14:ligatures w14:val="none"/>
        </w:rPr>
        <w:t xml:space="preserve"> and </w:t>
      </w:r>
      <w:r w:rsidR="00253F81" w:rsidRPr="00A73B14">
        <w:rPr>
          <w:rFonts w:ascii="Arial" w:eastAsia="Times New Roman" w:hAnsi="Arial" w:cs="Arial"/>
          <w:color w:val="auto"/>
          <w:kern w:val="0"/>
          <w:sz w:val="24"/>
          <w:szCs w:val="24"/>
          <w:lang w:eastAsia="en-GB"/>
          <w14:ligatures w14:val="none"/>
        </w:rPr>
        <w:t>correction to the phase split</w:t>
      </w:r>
      <w:r w:rsidR="003561FB" w:rsidRPr="00A73B14">
        <w:rPr>
          <w:rFonts w:ascii="Arial" w:eastAsia="Times New Roman" w:hAnsi="Arial" w:cs="Arial"/>
          <w:color w:val="auto"/>
          <w:kern w:val="0"/>
          <w:sz w:val="24"/>
          <w:szCs w:val="24"/>
          <w:lang w:eastAsia="en-GB"/>
          <w14:ligatures w14:val="none"/>
        </w:rPr>
        <w:t>.  Provisional FFT</w:t>
      </w:r>
      <w:r w:rsidR="009B6C08" w:rsidRPr="00A73B14">
        <w:rPr>
          <w:rFonts w:ascii="Arial" w:eastAsia="Times New Roman" w:hAnsi="Arial" w:cs="Arial"/>
          <w:color w:val="auto"/>
          <w:kern w:val="0"/>
          <w:sz w:val="24"/>
          <w:szCs w:val="24"/>
          <w:lang w:eastAsia="en-GB"/>
          <w14:ligatures w14:val="none"/>
        </w:rPr>
        <w:t xml:space="preserve"> rates will be </w:t>
      </w:r>
      <w:r w:rsidR="00940008" w:rsidRPr="00A73B14">
        <w:rPr>
          <w:rFonts w:ascii="Arial" w:eastAsia="Times New Roman" w:hAnsi="Arial" w:cs="Arial"/>
          <w:color w:val="auto"/>
          <w:kern w:val="0"/>
          <w:sz w:val="24"/>
          <w:szCs w:val="24"/>
          <w:lang w:eastAsia="en-GB"/>
          <w14:ligatures w14:val="none"/>
        </w:rPr>
        <w:t>£</w:t>
      </w:r>
      <w:r w:rsidR="00854476" w:rsidRPr="00A73B14">
        <w:rPr>
          <w:rFonts w:ascii="Arial" w:eastAsia="Times New Roman" w:hAnsi="Arial" w:cs="Arial"/>
          <w:color w:val="auto"/>
          <w:kern w:val="0"/>
          <w:sz w:val="24"/>
          <w:szCs w:val="24"/>
          <w:lang w:eastAsia="en-GB"/>
          <w14:ligatures w14:val="none"/>
        </w:rPr>
        <w:t>0.59</w:t>
      </w:r>
      <w:r w:rsidR="00602FE3" w:rsidRPr="00A73B14">
        <w:rPr>
          <w:rFonts w:ascii="Arial" w:eastAsia="Times New Roman" w:hAnsi="Arial" w:cs="Arial"/>
          <w:color w:val="auto"/>
          <w:kern w:val="0"/>
          <w:sz w:val="24"/>
          <w:szCs w:val="24"/>
          <w:lang w:eastAsia="en-GB"/>
          <w14:ligatures w14:val="none"/>
        </w:rPr>
        <w:t xml:space="preserve"> per primary pupil and £1.07 per secondary pupil</w:t>
      </w:r>
      <w:r w:rsidR="00673DDD" w:rsidRPr="00A73B14">
        <w:rPr>
          <w:rFonts w:ascii="Arial" w:eastAsia="Times New Roman" w:hAnsi="Arial" w:cs="Arial"/>
          <w:color w:val="auto"/>
          <w:kern w:val="0"/>
          <w:sz w:val="24"/>
          <w:szCs w:val="24"/>
          <w:lang w:eastAsia="en-GB"/>
          <w14:ligatures w14:val="none"/>
        </w:rPr>
        <w:t>.</w:t>
      </w:r>
      <w:r w:rsidR="00945BE4" w:rsidRPr="00A73B14">
        <w:rPr>
          <w:rFonts w:ascii="Arial" w:eastAsia="Times New Roman" w:hAnsi="Arial" w:cs="Arial"/>
          <w:color w:val="auto"/>
          <w:kern w:val="0"/>
          <w:sz w:val="24"/>
          <w:szCs w:val="24"/>
          <w:lang w:eastAsia="en-GB"/>
          <w14:ligatures w14:val="none"/>
        </w:rPr>
        <w:t xml:space="preserve">  </w:t>
      </w:r>
      <w:r w:rsidR="00F61AA8" w:rsidRPr="00A73B14">
        <w:rPr>
          <w:rFonts w:ascii="Arial" w:eastAsia="Times New Roman" w:hAnsi="Arial" w:cs="Arial"/>
          <w:color w:val="auto"/>
          <w:kern w:val="0"/>
          <w:sz w:val="24"/>
          <w:szCs w:val="24"/>
          <w:lang w:eastAsia="en-GB"/>
          <w14:ligatures w14:val="none"/>
        </w:rPr>
        <w:t>The Head</w:t>
      </w:r>
      <w:r w:rsidR="00B01BEE" w:rsidRPr="00A73B14">
        <w:rPr>
          <w:rFonts w:ascii="Arial" w:eastAsia="Times New Roman" w:hAnsi="Arial" w:cs="Arial"/>
          <w:color w:val="auto"/>
          <w:kern w:val="0"/>
          <w:sz w:val="24"/>
          <w:szCs w:val="24"/>
          <w:lang w:eastAsia="en-GB"/>
          <w14:ligatures w14:val="none"/>
        </w:rPr>
        <w:t>teacher Con</w:t>
      </w:r>
      <w:r w:rsidR="00D57918" w:rsidRPr="00A73B14">
        <w:rPr>
          <w:rFonts w:ascii="Arial" w:eastAsia="Times New Roman" w:hAnsi="Arial" w:cs="Arial"/>
          <w:color w:val="auto"/>
          <w:kern w:val="0"/>
          <w:sz w:val="24"/>
          <w:szCs w:val="24"/>
          <w:lang w:eastAsia="en-GB"/>
          <w14:ligatures w14:val="none"/>
        </w:rPr>
        <w:t xml:space="preserve">ferences budget </w:t>
      </w:r>
      <w:r w:rsidR="00E92BBB" w:rsidRPr="00A73B14">
        <w:rPr>
          <w:rFonts w:ascii="Arial" w:eastAsia="Times New Roman" w:hAnsi="Arial" w:cs="Arial"/>
          <w:color w:val="auto"/>
          <w:kern w:val="0"/>
          <w:sz w:val="24"/>
          <w:szCs w:val="24"/>
          <w:lang w:eastAsia="en-GB"/>
          <w14:ligatures w14:val="none"/>
        </w:rPr>
        <w:t xml:space="preserve">has reduced slightly </w:t>
      </w:r>
      <w:r w:rsidR="00632E28" w:rsidRPr="00A73B14">
        <w:rPr>
          <w:rFonts w:ascii="Arial" w:eastAsia="Times New Roman" w:hAnsi="Arial" w:cs="Arial"/>
          <w:color w:val="auto"/>
          <w:kern w:val="0"/>
          <w:sz w:val="24"/>
          <w:szCs w:val="24"/>
          <w:lang w:eastAsia="en-GB"/>
          <w14:ligatures w14:val="none"/>
        </w:rPr>
        <w:t>with a small realignment of funding between the phases</w:t>
      </w:r>
      <w:r w:rsidR="00DC7C14" w:rsidRPr="00A73B14">
        <w:rPr>
          <w:rFonts w:ascii="Arial" w:eastAsia="Times New Roman" w:hAnsi="Arial" w:cs="Arial"/>
          <w:color w:val="auto"/>
          <w:kern w:val="0"/>
          <w:sz w:val="24"/>
          <w:szCs w:val="24"/>
          <w:lang w:eastAsia="en-GB"/>
          <w14:ligatures w14:val="none"/>
        </w:rPr>
        <w:t xml:space="preserve">.  The provisional </w:t>
      </w:r>
      <w:r w:rsidR="00345D14" w:rsidRPr="00A73B14">
        <w:rPr>
          <w:rFonts w:ascii="Arial" w:eastAsia="Times New Roman" w:hAnsi="Arial" w:cs="Arial"/>
          <w:color w:val="auto"/>
          <w:kern w:val="0"/>
          <w:sz w:val="24"/>
          <w:szCs w:val="24"/>
          <w:lang w:eastAsia="en-GB"/>
          <w14:ligatures w14:val="none"/>
        </w:rPr>
        <w:t>H</w:t>
      </w:r>
      <w:r w:rsidR="00990B3F" w:rsidRPr="00A73B14">
        <w:rPr>
          <w:rFonts w:ascii="Arial" w:eastAsia="Times New Roman" w:hAnsi="Arial" w:cs="Arial"/>
          <w:color w:val="auto"/>
          <w:kern w:val="0"/>
          <w:sz w:val="24"/>
          <w:szCs w:val="24"/>
          <w:lang w:eastAsia="en-GB"/>
          <w14:ligatures w14:val="none"/>
        </w:rPr>
        <w:t>eadteacher conference rates will be £0.</w:t>
      </w:r>
      <w:r w:rsidR="00237018" w:rsidRPr="00A73B14">
        <w:rPr>
          <w:rFonts w:ascii="Arial" w:eastAsia="Times New Roman" w:hAnsi="Arial" w:cs="Arial"/>
          <w:color w:val="auto"/>
          <w:kern w:val="0"/>
          <w:sz w:val="24"/>
          <w:szCs w:val="24"/>
          <w:lang w:eastAsia="en-GB"/>
          <w14:ligatures w14:val="none"/>
        </w:rPr>
        <w:t>82</w:t>
      </w:r>
      <w:r w:rsidR="00990B3F" w:rsidRPr="00A73B14">
        <w:rPr>
          <w:rFonts w:ascii="Arial" w:eastAsia="Times New Roman" w:hAnsi="Arial" w:cs="Arial"/>
          <w:color w:val="auto"/>
          <w:kern w:val="0"/>
          <w:sz w:val="24"/>
          <w:szCs w:val="24"/>
          <w:lang w:eastAsia="en-GB"/>
          <w14:ligatures w14:val="none"/>
        </w:rPr>
        <w:t xml:space="preserve"> per primary pupil and £</w:t>
      </w:r>
      <w:r w:rsidR="004921E8" w:rsidRPr="00A73B14">
        <w:rPr>
          <w:rFonts w:ascii="Arial" w:eastAsia="Times New Roman" w:hAnsi="Arial" w:cs="Arial"/>
          <w:color w:val="auto"/>
          <w:kern w:val="0"/>
          <w:sz w:val="24"/>
          <w:szCs w:val="24"/>
          <w:lang w:eastAsia="en-GB"/>
          <w14:ligatures w14:val="none"/>
        </w:rPr>
        <w:t>0</w:t>
      </w:r>
      <w:r w:rsidR="00990B3F" w:rsidRPr="00A73B14">
        <w:rPr>
          <w:rFonts w:ascii="Arial" w:eastAsia="Times New Roman" w:hAnsi="Arial" w:cs="Arial"/>
          <w:color w:val="auto"/>
          <w:kern w:val="0"/>
          <w:sz w:val="24"/>
          <w:szCs w:val="24"/>
          <w:lang w:eastAsia="en-GB"/>
          <w14:ligatures w14:val="none"/>
        </w:rPr>
        <w:t>.</w:t>
      </w:r>
      <w:r w:rsidR="004921E8" w:rsidRPr="00A73B14">
        <w:rPr>
          <w:rFonts w:ascii="Arial" w:eastAsia="Times New Roman" w:hAnsi="Arial" w:cs="Arial"/>
          <w:color w:val="auto"/>
          <w:kern w:val="0"/>
          <w:sz w:val="24"/>
          <w:szCs w:val="24"/>
          <w:lang w:eastAsia="en-GB"/>
          <w14:ligatures w14:val="none"/>
        </w:rPr>
        <w:t>10</w:t>
      </w:r>
      <w:r w:rsidR="00990B3F" w:rsidRPr="00A73B14">
        <w:rPr>
          <w:rFonts w:ascii="Arial" w:eastAsia="Times New Roman" w:hAnsi="Arial" w:cs="Arial"/>
          <w:color w:val="auto"/>
          <w:kern w:val="0"/>
          <w:sz w:val="24"/>
          <w:szCs w:val="24"/>
          <w:lang w:eastAsia="en-GB"/>
          <w14:ligatures w14:val="none"/>
        </w:rPr>
        <w:t xml:space="preserve"> per secondary pupil</w:t>
      </w:r>
      <w:r w:rsidR="004A0E79" w:rsidRPr="00A73B14">
        <w:rPr>
          <w:rFonts w:ascii="Arial" w:eastAsia="Times New Roman" w:hAnsi="Arial" w:cs="Arial"/>
          <w:color w:val="auto"/>
          <w:kern w:val="0"/>
          <w:sz w:val="24"/>
          <w:szCs w:val="24"/>
          <w:lang w:eastAsia="en-GB"/>
          <w14:ligatures w14:val="none"/>
        </w:rPr>
        <w:t>.  These rates are</w:t>
      </w:r>
      <w:r w:rsidR="00724080" w:rsidRPr="00A73B14">
        <w:rPr>
          <w:rFonts w:ascii="Arial" w:eastAsia="Times New Roman" w:hAnsi="Arial" w:cs="Arial"/>
          <w:color w:val="auto"/>
          <w:kern w:val="0"/>
          <w:sz w:val="24"/>
          <w:szCs w:val="24"/>
          <w:lang w:eastAsia="en-GB"/>
          <w14:ligatures w14:val="none"/>
        </w:rPr>
        <w:t xml:space="preserve"> subject to change </w:t>
      </w:r>
      <w:r w:rsidR="00912DE2" w:rsidRPr="00A73B14">
        <w:rPr>
          <w:rFonts w:ascii="Arial" w:eastAsia="Times New Roman" w:hAnsi="Arial" w:cs="Arial"/>
          <w:color w:val="auto"/>
          <w:kern w:val="0"/>
          <w:sz w:val="24"/>
          <w:szCs w:val="24"/>
          <w:lang w:eastAsia="en-GB"/>
          <w14:ligatures w14:val="none"/>
        </w:rPr>
        <w:t>in line with the December cen</w:t>
      </w:r>
      <w:r w:rsidR="00A34EDE" w:rsidRPr="00A73B14">
        <w:rPr>
          <w:rFonts w:ascii="Arial" w:eastAsia="Times New Roman" w:hAnsi="Arial" w:cs="Arial"/>
          <w:color w:val="auto"/>
          <w:kern w:val="0"/>
          <w:sz w:val="24"/>
          <w:szCs w:val="24"/>
          <w:lang w:eastAsia="en-GB"/>
          <w14:ligatures w14:val="none"/>
        </w:rPr>
        <w:t>sus published numbers.</w:t>
      </w:r>
    </w:p>
    <w:p w14:paraId="2D86A5E9" w14:textId="10668FEA" w:rsidR="0007206D" w:rsidRPr="00A73B14" w:rsidRDefault="008553AA" w:rsidP="00A73B1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A73B14">
        <w:rPr>
          <w:rFonts w:ascii="Arial" w:eastAsia="Times New Roman" w:hAnsi="Arial" w:cs="Arial"/>
          <w:color w:val="auto"/>
          <w:kern w:val="0"/>
          <w:sz w:val="24"/>
          <w:szCs w:val="24"/>
          <w:lang w:eastAsia="en-GB"/>
          <w14:ligatures w14:val="none"/>
        </w:rPr>
        <w:t>Suspended Teachers budget</w:t>
      </w:r>
      <w:r w:rsidR="000827B9" w:rsidRPr="00A73B14">
        <w:rPr>
          <w:rFonts w:ascii="Arial" w:eastAsia="Times New Roman" w:hAnsi="Arial" w:cs="Arial"/>
          <w:color w:val="auto"/>
          <w:kern w:val="0"/>
          <w:sz w:val="24"/>
          <w:szCs w:val="24"/>
          <w:lang w:eastAsia="en-GB"/>
          <w14:ligatures w14:val="none"/>
        </w:rPr>
        <w:t xml:space="preserve"> will be increasing by the £138,</w:t>
      </w:r>
      <w:r w:rsidR="00270D32" w:rsidRPr="00A73B14">
        <w:rPr>
          <w:rFonts w:ascii="Arial" w:eastAsia="Times New Roman" w:hAnsi="Arial" w:cs="Arial"/>
          <w:color w:val="auto"/>
          <w:kern w:val="0"/>
          <w:sz w:val="24"/>
          <w:szCs w:val="24"/>
          <w:lang w:eastAsia="en-GB"/>
          <w14:ligatures w14:val="none"/>
        </w:rPr>
        <w:t xml:space="preserve">000 reduction to </w:t>
      </w:r>
      <w:r w:rsidR="00283478" w:rsidRPr="00A73B14">
        <w:rPr>
          <w:rFonts w:ascii="Arial" w:eastAsia="Times New Roman" w:hAnsi="Arial" w:cs="Arial"/>
          <w:color w:val="auto"/>
          <w:kern w:val="0"/>
          <w:sz w:val="24"/>
          <w:szCs w:val="24"/>
          <w:lang w:eastAsia="en-GB"/>
          <w14:ligatures w14:val="none"/>
        </w:rPr>
        <w:t>premature retirement/redundancy</w:t>
      </w:r>
      <w:r w:rsidRPr="00A73B14">
        <w:rPr>
          <w:rFonts w:ascii="Arial" w:eastAsia="Times New Roman" w:hAnsi="Arial" w:cs="Arial"/>
          <w:color w:val="auto"/>
          <w:kern w:val="0"/>
          <w:sz w:val="24"/>
          <w:szCs w:val="24"/>
          <w:lang w:eastAsia="en-GB"/>
          <w14:ligatures w14:val="none"/>
        </w:rPr>
        <w:t xml:space="preserve"> </w:t>
      </w:r>
      <w:r w:rsidR="00D127E8" w:rsidRPr="00A73B14">
        <w:rPr>
          <w:rFonts w:ascii="Arial" w:eastAsia="Times New Roman" w:hAnsi="Arial" w:cs="Arial"/>
          <w:color w:val="auto"/>
          <w:kern w:val="0"/>
          <w:sz w:val="24"/>
          <w:szCs w:val="24"/>
          <w:lang w:eastAsia="en-GB"/>
          <w14:ligatures w14:val="none"/>
        </w:rPr>
        <w:t xml:space="preserve">budget, </w:t>
      </w:r>
      <w:r w:rsidRPr="00A73B14">
        <w:rPr>
          <w:rFonts w:ascii="Arial" w:eastAsia="Times New Roman" w:hAnsi="Arial" w:cs="Arial"/>
          <w:color w:val="auto"/>
          <w:kern w:val="0"/>
          <w:sz w:val="24"/>
          <w:szCs w:val="24"/>
          <w:lang w:eastAsia="en-GB"/>
          <w14:ligatures w14:val="none"/>
        </w:rPr>
        <w:t>due to change in levels of suspension vs redundancy.</w:t>
      </w:r>
    </w:p>
    <w:p w14:paraId="769E456E" w14:textId="1C5B3CF3" w:rsidR="00AD2849" w:rsidRPr="00A73B14" w:rsidRDefault="0007206D" w:rsidP="00A73B1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A73B14">
        <w:rPr>
          <w:rFonts w:ascii="Arial" w:eastAsia="Times New Roman" w:hAnsi="Arial" w:cs="Arial"/>
          <w:color w:val="auto"/>
          <w:kern w:val="0"/>
          <w:sz w:val="24"/>
          <w:szCs w:val="24"/>
          <w:lang w:eastAsia="en-GB"/>
          <w14:ligatures w14:val="none"/>
        </w:rPr>
        <w:t xml:space="preserve">The number of referrals </w:t>
      </w:r>
      <w:r w:rsidR="001D6A9F" w:rsidRPr="00A73B14">
        <w:rPr>
          <w:rFonts w:ascii="Arial" w:eastAsia="Times New Roman" w:hAnsi="Arial" w:cs="Arial"/>
          <w:color w:val="auto"/>
          <w:kern w:val="0"/>
          <w:sz w:val="24"/>
          <w:szCs w:val="24"/>
          <w:lang w:eastAsia="en-GB"/>
          <w14:ligatures w14:val="none"/>
        </w:rPr>
        <w:t xml:space="preserve">from schools </w:t>
      </w:r>
      <w:r w:rsidRPr="00A73B14">
        <w:rPr>
          <w:rFonts w:ascii="Arial" w:eastAsia="Times New Roman" w:hAnsi="Arial" w:cs="Arial"/>
          <w:color w:val="auto"/>
          <w:kern w:val="0"/>
          <w:sz w:val="24"/>
          <w:szCs w:val="24"/>
          <w:lang w:eastAsia="en-GB"/>
          <w14:ligatures w14:val="none"/>
        </w:rPr>
        <w:t xml:space="preserve">into the </w:t>
      </w:r>
      <w:r w:rsidR="00B030A3" w:rsidRPr="00A73B14">
        <w:rPr>
          <w:rFonts w:ascii="Arial" w:eastAsia="Times New Roman" w:hAnsi="Arial" w:cs="Arial"/>
          <w:color w:val="auto"/>
          <w:kern w:val="0"/>
          <w:sz w:val="24"/>
          <w:szCs w:val="24"/>
          <w:lang w:eastAsia="en-GB"/>
          <w14:ligatures w14:val="none"/>
        </w:rPr>
        <w:t>Ethnic, Minority and Traveller Achievement Service (EMTAS)</w:t>
      </w:r>
      <w:r w:rsidRPr="00A73B14">
        <w:rPr>
          <w:rFonts w:ascii="Arial" w:eastAsia="Times New Roman" w:hAnsi="Arial" w:cs="Arial"/>
          <w:color w:val="auto"/>
          <w:kern w:val="0"/>
          <w:sz w:val="24"/>
          <w:szCs w:val="24"/>
          <w:lang w:eastAsia="en-GB"/>
          <w14:ligatures w14:val="none"/>
        </w:rPr>
        <w:t xml:space="preserve"> continues to show significant growth</w:t>
      </w:r>
      <w:r w:rsidR="00152EF3" w:rsidRPr="00A73B14">
        <w:rPr>
          <w:rFonts w:ascii="Arial" w:eastAsia="Times New Roman" w:hAnsi="Arial" w:cs="Arial"/>
          <w:color w:val="auto"/>
          <w:kern w:val="0"/>
          <w:sz w:val="24"/>
          <w:szCs w:val="24"/>
          <w:lang w:eastAsia="en-GB"/>
          <w14:ligatures w14:val="none"/>
        </w:rPr>
        <w:t>,</w:t>
      </w:r>
      <w:r w:rsidRPr="00A73B14">
        <w:rPr>
          <w:rFonts w:ascii="Arial" w:eastAsia="Times New Roman" w:hAnsi="Arial" w:cs="Arial"/>
          <w:color w:val="auto"/>
          <w:kern w:val="0"/>
          <w:sz w:val="24"/>
          <w:szCs w:val="24"/>
          <w:lang w:eastAsia="en-GB"/>
          <w14:ligatures w14:val="none"/>
        </w:rPr>
        <w:t xml:space="preserve"> most notably </w:t>
      </w:r>
      <w:r w:rsidR="008D33FD" w:rsidRPr="00A73B14">
        <w:rPr>
          <w:rFonts w:ascii="Arial" w:eastAsia="Times New Roman" w:hAnsi="Arial" w:cs="Arial"/>
          <w:color w:val="auto"/>
          <w:kern w:val="0"/>
          <w:sz w:val="24"/>
          <w:szCs w:val="24"/>
          <w:lang w:eastAsia="en-GB"/>
          <w14:ligatures w14:val="none"/>
        </w:rPr>
        <w:t>in</w:t>
      </w:r>
      <w:r w:rsidRPr="00A73B14">
        <w:rPr>
          <w:rFonts w:ascii="Arial" w:eastAsia="Times New Roman" w:hAnsi="Arial" w:cs="Arial"/>
          <w:color w:val="auto"/>
          <w:kern w:val="0"/>
          <w:sz w:val="24"/>
          <w:szCs w:val="24"/>
          <w:lang w:eastAsia="en-GB"/>
          <w14:ligatures w14:val="none"/>
        </w:rPr>
        <w:t xml:space="preserve"> relation to children from Ukraine and Hong Kong as well as rising numbers of referrals for children speaking various African and Indian languages.</w:t>
      </w:r>
      <w:r w:rsidR="00C621F0" w:rsidRPr="00A73B14">
        <w:rPr>
          <w:rFonts w:ascii="Arial" w:eastAsia="Times New Roman" w:hAnsi="Arial" w:cs="Arial"/>
          <w:color w:val="auto"/>
          <w:kern w:val="0"/>
          <w:sz w:val="24"/>
          <w:szCs w:val="24"/>
          <w:lang w:eastAsia="en-GB"/>
          <w14:ligatures w14:val="none"/>
        </w:rPr>
        <w:t xml:space="preserve"> </w:t>
      </w:r>
      <w:r w:rsidR="008E102D" w:rsidRPr="00A73B14">
        <w:rPr>
          <w:rFonts w:ascii="Arial" w:eastAsia="Times New Roman" w:hAnsi="Arial" w:cs="Arial"/>
          <w:color w:val="auto"/>
          <w:kern w:val="0"/>
          <w:sz w:val="24"/>
          <w:szCs w:val="24"/>
          <w:lang w:eastAsia="en-GB"/>
          <w14:ligatures w14:val="none"/>
        </w:rPr>
        <w:t>The</w:t>
      </w:r>
      <w:r w:rsidR="00152EF3" w:rsidRPr="00A73B14">
        <w:rPr>
          <w:rFonts w:ascii="Arial" w:eastAsia="Times New Roman" w:hAnsi="Arial" w:cs="Arial"/>
          <w:color w:val="auto"/>
          <w:kern w:val="0"/>
          <w:sz w:val="24"/>
          <w:szCs w:val="24"/>
          <w:lang w:eastAsia="en-GB"/>
          <w14:ligatures w14:val="none"/>
        </w:rPr>
        <w:t xml:space="preserve"> service has </w:t>
      </w:r>
      <w:r w:rsidR="008A04F0" w:rsidRPr="00A73B14">
        <w:rPr>
          <w:rFonts w:ascii="Arial" w:eastAsia="Times New Roman" w:hAnsi="Arial" w:cs="Arial"/>
          <w:color w:val="auto"/>
          <w:kern w:val="0"/>
          <w:sz w:val="24"/>
          <w:szCs w:val="24"/>
          <w:lang w:eastAsia="en-GB"/>
          <w14:ligatures w14:val="none"/>
        </w:rPr>
        <w:t xml:space="preserve">introduced </w:t>
      </w:r>
      <w:r w:rsidR="00CA2E01" w:rsidRPr="00A73B14">
        <w:rPr>
          <w:rFonts w:ascii="Arial" w:eastAsia="Times New Roman" w:hAnsi="Arial" w:cs="Arial"/>
          <w:color w:val="auto"/>
          <w:kern w:val="0"/>
          <w:sz w:val="24"/>
          <w:szCs w:val="24"/>
          <w:lang w:eastAsia="en-GB"/>
          <w14:ligatures w14:val="none"/>
        </w:rPr>
        <w:t xml:space="preserve">several efficiency measures to </w:t>
      </w:r>
      <w:r w:rsidR="00FD06DC" w:rsidRPr="00A73B14">
        <w:rPr>
          <w:rFonts w:ascii="Arial" w:eastAsia="Times New Roman" w:hAnsi="Arial" w:cs="Arial"/>
          <w:color w:val="auto"/>
          <w:kern w:val="0"/>
          <w:sz w:val="24"/>
          <w:szCs w:val="24"/>
          <w:lang w:eastAsia="en-GB"/>
          <w14:ligatures w14:val="none"/>
        </w:rPr>
        <w:t xml:space="preserve">increase productivity and </w:t>
      </w:r>
      <w:r w:rsidR="00547E5C" w:rsidRPr="00A73B14">
        <w:rPr>
          <w:rFonts w:ascii="Arial" w:eastAsia="Times New Roman" w:hAnsi="Arial" w:cs="Arial"/>
          <w:color w:val="auto"/>
          <w:kern w:val="0"/>
          <w:sz w:val="24"/>
          <w:szCs w:val="24"/>
          <w:lang w:eastAsia="en-GB"/>
          <w14:ligatures w14:val="none"/>
        </w:rPr>
        <w:t>contain cost</w:t>
      </w:r>
      <w:r w:rsidR="00226825" w:rsidRPr="00A73B14">
        <w:rPr>
          <w:rFonts w:ascii="Arial" w:eastAsia="Times New Roman" w:hAnsi="Arial" w:cs="Arial"/>
          <w:color w:val="auto"/>
          <w:kern w:val="0"/>
          <w:sz w:val="24"/>
          <w:szCs w:val="24"/>
          <w:lang w:eastAsia="en-GB"/>
          <w14:ligatures w14:val="none"/>
        </w:rPr>
        <w:t>s</w:t>
      </w:r>
      <w:r w:rsidR="00B96716" w:rsidRPr="00A73B14">
        <w:rPr>
          <w:rFonts w:ascii="Arial" w:eastAsia="Times New Roman" w:hAnsi="Arial" w:cs="Arial"/>
          <w:color w:val="auto"/>
          <w:kern w:val="0"/>
          <w:sz w:val="24"/>
          <w:szCs w:val="24"/>
          <w:lang w:eastAsia="en-GB"/>
          <w14:ligatures w14:val="none"/>
        </w:rPr>
        <w:t xml:space="preserve"> </w:t>
      </w:r>
      <w:r w:rsidR="009B5DDF" w:rsidRPr="00A73B14">
        <w:rPr>
          <w:rFonts w:ascii="Arial" w:eastAsia="Times New Roman" w:hAnsi="Arial" w:cs="Arial"/>
          <w:color w:val="auto"/>
          <w:kern w:val="0"/>
          <w:sz w:val="24"/>
          <w:szCs w:val="24"/>
          <w:lang w:eastAsia="en-GB"/>
          <w14:ligatures w14:val="none"/>
        </w:rPr>
        <w:t>including</w:t>
      </w:r>
      <w:r w:rsidR="00683BB9" w:rsidRPr="00A73B14">
        <w:rPr>
          <w:rFonts w:ascii="Arial" w:eastAsia="Times New Roman" w:hAnsi="Arial" w:cs="Arial"/>
          <w:color w:val="auto"/>
          <w:kern w:val="0"/>
          <w:sz w:val="24"/>
          <w:szCs w:val="24"/>
          <w:lang w:eastAsia="en-GB"/>
          <w14:ligatures w14:val="none"/>
        </w:rPr>
        <w:t xml:space="preserve"> </w:t>
      </w:r>
      <w:r w:rsidR="0097622D" w:rsidRPr="00A73B14">
        <w:rPr>
          <w:rFonts w:ascii="Arial" w:eastAsia="Times New Roman" w:hAnsi="Arial" w:cs="Arial"/>
          <w:color w:val="auto"/>
          <w:kern w:val="0"/>
          <w:sz w:val="24"/>
          <w:szCs w:val="24"/>
          <w:lang w:eastAsia="en-GB"/>
          <w14:ligatures w14:val="none"/>
        </w:rPr>
        <w:t>seeking</w:t>
      </w:r>
      <w:r w:rsidR="00683BB9" w:rsidRPr="00A73B14">
        <w:rPr>
          <w:rFonts w:ascii="Arial" w:eastAsia="Times New Roman" w:hAnsi="Arial" w:cs="Arial"/>
          <w:color w:val="auto"/>
          <w:kern w:val="0"/>
          <w:sz w:val="24"/>
          <w:szCs w:val="24"/>
          <w:lang w:eastAsia="en-GB"/>
          <w14:ligatures w14:val="none"/>
        </w:rPr>
        <w:t xml:space="preserve"> grant funding </w:t>
      </w:r>
      <w:r w:rsidR="00FF1109" w:rsidRPr="00A73B14">
        <w:rPr>
          <w:rFonts w:ascii="Arial" w:eastAsia="Times New Roman" w:hAnsi="Arial" w:cs="Arial"/>
          <w:color w:val="auto"/>
          <w:kern w:val="0"/>
          <w:sz w:val="24"/>
          <w:szCs w:val="24"/>
          <w:lang w:eastAsia="en-GB"/>
          <w14:ligatures w14:val="none"/>
        </w:rPr>
        <w:t>for Ukrainian families</w:t>
      </w:r>
      <w:r w:rsidR="00B6134E" w:rsidRPr="00A73B14">
        <w:rPr>
          <w:rFonts w:ascii="Arial" w:eastAsia="Times New Roman" w:hAnsi="Arial" w:cs="Arial"/>
          <w:color w:val="auto"/>
          <w:kern w:val="0"/>
          <w:sz w:val="24"/>
          <w:szCs w:val="24"/>
          <w:lang w:eastAsia="en-GB"/>
          <w14:ligatures w14:val="none"/>
        </w:rPr>
        <w:t xml:space="preserve"> </w:t>
      </w:r>
      <w:r w:rsidR="00815D65" w:rsidRPr="00A73B14">
        <w:rPr>
          <w:rFonts w:ascii="Arial" w:eastAsia="Times New Roman" w:hAnsi="Arial" w:cs="Arial"/>
          <w:color w:val="auto"/>
          <w:kern w:val="0"/>
          <w:sz w:val="24"/>
          <w:szCs w:val="24"/>
          <w:lang w:eastAsia="en-GB"/>
          <w14:ligatures w14:val="none"/>
        </w:rPr>
        <w:t xml:space="preserve">available </w:t>
      </w:r>
      <w:r w:rsidR="00F74E56" w:rsidRPr="00A73B14">
        <w:rPr>
          <w:rFonts w:ascii="Arial" w:eastAsia="Times New Roman" w:hAnsi="Arial" w:cs="Arial"/>
          <w:color w:val="auto"/>
          <w:kern w:val="0"/>
          <w:sz w:val="24"/>
          <w:szCs w:val="24"/>
          <w:lang w:eastAsia="en-GB"/>
          <w14:ligatures w14:val="none"/>
        </w:rPr>
        <w:t>for part of the year</w:t>
      </w:r>
      <w:r w:rsidR="001A60C9" w:rsidRPr="00A73B14">
        <w:rPr>
          <w:rFonts w:ascii="Arial" w:eastAsia="Times New Roman" w:hAnsi="Arial" w:cs="Arial"/>
          <w:color w:val="auto"/>
          <w:kern w:val="0"/>
          <w:sz w:val="24"/>
          <w:szCs w:val="24"/>
          <w:lang w:eastAsia="en-GB"/>
          <w14:ligatures w14:val="none"/>
        </w:rPr>
        <w:t>.</w:t>
      </w:r>
      <w:r w:rsidR="00FC087C" w:rsidRPr="00A73B14">
        <w:rPr>
          <w:rFonts w:ascii="Arial" w:eastAsia="Times New Roman" w:hAnsi="Arial" w:cs="Arial"/>
          <w:color w:val="auto"/>
          <w:kern w:val="0"/>
          <w:sz w:val="24"/>
          <w:szCs w:val="24"/>
          <w:lang w:eastAsia="en-GB"/>
          <w14:ligatures w14:val="none"/>
        </w:rPr>
        <w:t xml:space="preserve">  </w:t>
      </w:r>
      <w:r w:rsidR="00395844" w:rsidRPr="00A73B14">
        <w:rPr>
          <w:rFonts w:ascii="Arial" w:eastAsia="Times New Roman" w:hAnsi="Arial" w:cs="Arial"/>
          <w:color w:val="auto"/>
          <w:kern w:val="0"/>
          <w:sz w:val="24"/>
          <w:szCs w:val="24"/>
          <w:lang w:eastAsia="en-GB"/>
          <w14:ligatures w14:val="none"/>
        </w:rPr>
        <w:t>Despite</w:t>
      </w:r>
      <w:r w:rsidR="00E960FC" w:rsidRPr="00A73B14">
        <w:rPr>
          <w:rFonts w:ascii="Arial" w:eastAsia="Times New Roman" w:hAnsi="Arial" w:cs="Arial"/>
          <w:color w:val="auto"/>
          <w:kern w:val="0"/>
          <w:sz w:val="24"/>
          <w:szCs w:val="24"/>
          <w:lang w:eastAsia="en-GB"/>
          <w14:ligatures w14:val="none"/>
        </w:rPr>
        <w:t xml:space="preserve"> significant efforts</w:t>
      </w:r>
      <w:r w:rsidR="00CC68BE">
        <w:rPr>
          <w:rFonts w:ascii="Arial" w:eastAsia="Times New Roman" w:hAnsi="Arial" w:cs="Arial"/>
          <w:color w:val="auto"/>
          <w:kern w:val="0"/>
          <w:sz w:val="24"/>
          <w:szCs w:val="24"/>
          <w:lang w:eastAsia="en-GB"/>
          <w14:ligatures w14:val="none"/>
        </w:rPr>
        <w:t>,</w:t>
      </w:r>
      <w:r w:rsidR="00E960FC" w:rsidRPr="00A73B14">
        <w:rPr>
          <w:rFonts w:ascii="Arial" w:eastAsia="Times New Roman" w:hAnsi="Arial" w:cs="Arial"/>
          <w:color w:val="auto"/>
          <w:kern w:val="0"/>
          <w:sz w:val="24"/>
          <w:szCs w:val="24"/>
          <w:lang w:eastAsia="en-GB"/>
          <w14:ligatures w14:val="none"/>
        </w:rPr>
        <w:t xml:space="preserve"> t</w:t>
      </w:r>
      <w:r w:rsidR="00AD626B" w:rsidRPr="00A73B14">
        <w:rPr>
          <w:rFonts w:ascii="Arial" w:eastAsia="Times New Roman" w:hAnsi="Arial" w:cs="Arial"/>
          <w:color w:val="auto"/>
          <w:kern w:val="0"/>
          <w:sz w:val="24"/>
          <w:szCs w:val="24"/>
          <w:lang w:eastAsia="en-GB"/>
          <w14:ligatures w14:val="none"/>
        </w:rPr>
        <w:t>here continues to be a requirement</w:t>
      </w:r>
      <w:r w:rsidR="00075505" w:rsidRPr="00A73B14">
        <w:rPr>
          <w:rFonts w:ascii="Arial" w:eastAsia="Times New Roman" w:hAnsi="Arial" w:cs="Arial"/>
          <w:color w:val="auto"/>
          <w:kern w:val="0"/>
          <w:sz w:val="24"/>
          <w:szCs w:val="24"/>
          <w:lang w:eastAsia="en-GB"/>
          <w14:ligatures w14:val="none"/>
        </w:rPr>
        <w:t xml:space="preserve"> for a</w:t>
      </w:r>
      <w:r w:rsidR="00C621F0" w:rsidRPr="00A73B14">
        <w:rPr>
          <w:rFonts w:ascii="Arial" w:eastAsia="Times New Roman" w:hAnsi="Arial" w:cs="Arial"/>
          <w:color w:val="auto"/>
          <w:kern w:val="0"/>
          <w:sz w:val="24"/>
          <w:szCs w:val="24"/>
          <w:lang w:eastAsia="en-GB"/>
          <w14:ligatures w14:val="none"/>
        </w:rPr>
        <w:t>dditional funding</w:t>
      </w:r>
      <w:r w:rsidR="003A3B55" w:rsidRPr="00A73B14">
        <w:rPr>
          <w:rFonts w:ascii="Arial" w:eastAsia="Times New Roman" w:hAnsi="Arial" w:cs="Arial"/>
          <w:color w:val="auto"/>
          <w:kern w:val="0"/>
          <w:sz w:val="24"/>
          <w:szCs w:val="24"/>
          <w:lang w:eastAsia="en-GB"/>
          <w14:ligatures w14:val="none"/>
        </w:rPr>
        <w:t xml:space="preserve"> of £</w:t>
      </w:r>
      <w:r w:rsidR="00A465F1" w:rsidRPr="00A73B14">
        <w:rPr>
          <w:rFonts w:ascii="Arial" w:eastAsia="Times New Roman" w:hAnsi="Arial" w:cs="Arial"/>
          <w:color w:val="auto"/>
          <w:kern w:val="0"/>
          <w:sz w:val="24"/>
          <w:szCs w:val="24"/>
          <w:lang w:eastAsia="en-GB"/>
          <w14:ligatures w14:val="none"/>
        </w:rPr>
        <w:t xml:space="preserve">104,000 to support </w:t>
      </w:r>
      <w:r w:rsidR="002D1F95" w:rsidRPr="00A73B14">
        <w:rPr>
          <w:rFonts w:ascii="Arial" w:eastAsia="Times New Roman" w:hAnsi="Arial" w:cs="Arial"/>
          <w:color w:val="auto"/>
          <w:kern w:val="0"/>
          <w:sz w:val="24"/>
          <w:szCs w:val="24"/>
          <w:lang w:eastAsia="en-GB"/>
          <w14:ligatures w14:val="none"/>
        </w:rPr>
        <w:t>an</w:t>
      </w:r>
      <w:r w:rsidR="008E1C2B" w:rsidRPr="00A73B14">
        <w:rPr>
          <w:rFonts w:ascii="Arial" w:eastAsia="Times New Roman" w:hAnsi="Arial" w:cs="Arial"/>
          <w:color w:val="auto"/>
          <w:kern w:val="0"/>
          <w:sz w:val="24"/>
          <w:szCs w:val="24"/>
          <w:lang w:eastAsia="en-GB"/>
          <w14:ligatures w14:val="none"/>
        </w:rPr>
        <w:t xml:space="preserve"> add</w:t>
      </w:r>
      <w:r w:rsidR="007B2797" w:rsidRPr="00A73B14">
        <w:rPr>
          <w:rFonts w:ascii="Arial" w:eastAsia="Times New Roman" w:hAnsi="Arial" w:cs="Arial"/>
          <w:color w:val="auto"/>
          <w:kern w:val="0"/>
          <w:sz w:val="24"/>
          <w:szCs w:val="24"/>
          <w:lang w:eastAsia="en-GB"/>
          <w14:ligatures w14:val="none"/>
        </w:rPr>
        <w:t xml:space="preserve">itional </w:t>
      </w:r>
      <w:r w:rsidR="00E27C8D" w:rsidRPr="00A73B14">
        <w:rPr>
          <w:rFonts w:ascii="Arial" w:eastAsia="Times New Roman" w:hAnsi="Arial" w:cs="Arial"/>
          <w:color w:val="auto"/>
          <w:kern w:val="0"/>
          <w:sz w:val="24"/>
          <w:szCs w:val="24"/>
          <w:lang w:eastAsia="en-GB"/>
          <w14:ligatures w14:val="none"/>
        </w:rPr>
        <w:t xml:space="preserve">2 FTE term-time </w:t>
      </w:r>
      <w:r w:rsidR="004E7F98" w:rsidRPr="00A73B14">
        <w:rPr>
          <w:rFonts w:ascii="Arial" w:eastAsia="Times New Roman" w:hAnsi="Arial" w:cs="Arial"/>
          <w:color w:val="auto"/>
          <w:kern w:val="0"/>
          <w:sz w:val="24"/>
          <w:szCs w:val="24"/>
          <w:lang w:eastAsia="en-GB"/>
          <w14:ligatures w14:val="none"/>
        </w:rPr>
        <w:t>bilingual assistant</w:t>
      </w:r>
      <w:r w:rsidR="00BA3EF7" w:rsidRPr="00A73B14">
        <w:rPr>
          <w:rFonts w:ascii="Arial" w:eastAsia="Times New Roman" w:hAnsi="Arial" w:cs="Arial"/>
          <w:color w:val="auto"/>
          <w:kern w:val="0"/>
          <w:sz w:val="24"/>
          <w:szCs w:val="24"/>
          <w:lang w:eastAsia="en-GB"/>
          <w14:ligatures w14:val="none"/>
        </w:rPr>
        <w:t>s</w:t>
      </w:r>
      <w:r w:rsidR="002D1F95" w:rsidRPr="00A73B14">
        <w:rPr>
          <w:rFonts w:ascii="Arial" w:eastAsia="Times New Roman" w:hAnsi="Arial" w:cs="Arial"/>
          <w:color w:val="auto"/>
          <w:kern w:val="0"/>
          <w:sz w:val="24"/>
          <w:szCs w:val="24"/>
          <w:lang w:eastAsia="en-GB"/>
          <w14:ligatures w14:val="none"/>
        </w:rPr>
        <w:t xml:space="preserve"> and</w:t>
      </w:r>
      <w:r w:rsidR="005026B9" w:rsidRPr="00A73B14">
        <w:rPr>
          <w:rFonts w:ascii="Arial" w:eastAsia="Times New Roman" w:hAnsi="Arial" w:cs="Arial"/>
          <w:color w:val="auto"/>
          <w:kern w:val="0"/>
          <w:sz w:val="24"/>
          <w:szCs w:val="24"/>
          <w:lang w:eastAsia="en-GB"/>
          <w14:ligatures w14:val="none"/>
        </w:rPr>
        <w:t xml:space="preserve"> pay inflation</w:t>
      </w:r>
      <w:r w:rsidR="00E27C8D" w:rsidRPr="00A73B14">
        <w:rPr>
          <w:rFonts w:ascii="Arial" w:eastAsia="Times New Roman" w:hAnsi="Arial" w:cs="Arial"/>
          <w:color w:val="auto"/>
          <w:kern w:val="0"/>
          <w:sz w:val="24"/>
          <w:szCs w:val="24"/>
          <w:lang w:eastAsia="en-GB"/>
          <w14:ligatures w14:val="none"/>
        </w:rPr>
        <w:t xml:space="preserve"> in 2024/25</w:t>
      </w:r>
      <w:r w:rsidR="00C95F3E" w:rsidRPr="00A73B14">
        <w:rPr>
          <w:rFonts w:ascii="Arial" w:eastAsia="Times New Roman" w:hAnsi="Arial" w:cs="Arial"/>
          <w:color w:val="auto"/>
          <w:kern w:val="0"/>
          <w:sz w:val="24"/>
          <w:szCs w:val="24"/>
          <w:lang w:eastAsia="en-GB"/>
          <w14:ligatures w14:val="none"/>
        </w:rPr>
        <w:t>.</w:t>
      </w:r>
    </w:p>
    <w:p w14:paraId="538D4E0E" w14:textId="77777777" w:rsidR="0007206D" w:rsidRPr="00A73B14" w:rsidRDefault="0007206D" w:rsidP="00A73B1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A73B14">
        <w:rPr>
          <w:rFonts w:ascii="Arial" w:eastAsia="Times New Roman" w:hAnsi="Arial" w:cs="Arial"/>
          <w:color w:val="auto"/>
          <w:kern w:val="0"/>
          <w:sz w:val="24"/>
          <w:szCs w:val="24"/>
          <w:lang w:eastAsia="en-GB"/>
          <w14:ligatures w14:val="none"/>
        </w:rPr>
        <w:t>The final budget and per pupil rates for services funded by maintained schools will be confirmed in January following confirmation of pupil numbers in December. As in previous years, an in-</w:t>
      </w:r>
      <w:proofErr w:type="gramStart"/>
      <w:r w:rsidRPr="00A73B14">
        <w:rPr>
          <w:rFonts w:ascii="Arial" w:eastAsia="Times New Roman" w:hAnsi="Arial" w:cs="Arial"/>
          <w:color w:val="auto"/>
          <w:kern w:val="0"/>
          <w:sz w:val="24"/>
          <w:szCs w:val="24"/>
          <w:lang w:eastAsia="en-GB"/>
          <w14:ligatures w14:val="none"/>
        </w:rPr>
        <w:t>principle</w:t>
      </w:r>
      <w:proofErr w:type="gramEnd"/>
      <w:r w:rsidRPr="00A73B14">
        <w:rPr>
          <w:rFonts w:ascii="Arial" w:eastAsia="Times New Roman" w:hAnsi="Arial" w:cs="Arial"/>
          <w:color w:val="auto"/>
          <w:kern w:val="0"/>
          <w:sz w:val="24"/>
          <w:szCs w:val="24"/>
          <w:lang w:eastAsia="en-GB"/>
          <w14:ligatures w14:val="none"/>
        </w:rPr>
        <w:t xml:space="preserve"> agreement is sought to ensure final budget proposals can be provided to Schools Forum in January.</w:t>
      </w:r>
    </w:p>
    <w:p w14:paraId="6FF32389" w14:textId="77777777" w:rsidR="00AE0D24" w:rsidRDefault="00AE0D24">
      <w:pPr>
        <w:spacing w:after="160" w:line="259" w:lineRule="auto"/>
        <w:rPr>
          <w:rFonts w:eastAsia="Times New Roman"/>
          <w:kern w:val="0"/>
          <w14:ligatures w14:val="none"/>
        </w:rPr>
      </w:pPr>
      <w:bookmarkStart w:id="10" w:name="_Toc151016901"/>
      <w:bookmarkEnd w:id="3"/>
      <w:bookmarkEnd w:id="4"/>
      <w:r>
        <w:br w:type="page"/>
      </w:r>
    </w:p>
    <w:p w14:paraId="5FEB23ED" w14:textId="68BB2E7B" w:rsidR="0007206D" w:rsidRPr="00A73B14" w:rsidRDefault="0007206D" w:rsidP="00A73B14">
      <w:pPr>
        <w:pStyle w:val="Heading1"/>
        <w:numPr>
          <w:ilvl w:val="0"/>
          <w:numId w:val="20"/>
        </w:numPr>
        <w:tabs>
          <w:tab w:val="num" w:pos="426"/>
          <w:tab w:val="num" w:pos="2843"/>
        </w:tabs>
        <w:spacing w:before="240" w:after="120"/>
        <w:ind w:left="431" w:hanging="431"/>
        <w:rPr>
          <w:rFonts w:eastAsia="Times New Roman"/>
          <w:bCs w:val="0"/>
          <w:noProof w:val="0"/>
          <w:color w:val="auto"/>
          <w:kern w:val="28"/>
          <w:sz w:val="24"/>
          <w:szCs w:val="24"/>
          <w:lang w:eastAsia="en-GB"/>
          <w14:ligatures w14:val="none"/>
        </w:rPr>
      </w:pPr>
      <w:r w:rsidRPr="00A73B14">
        <w:rPr>
          <w:rFonts w:eastAsia="Times New Roman"/>
          <w:bCs w:val="0"/>
          <w:noProof w:val="0"/>
          <w:color w:val="auto"/>
          <w:kern w:val="28"/>
          <w:sz w:val="24"/>
          <w:szCs w:val="24"/>
          <w:lang w:eastAsia="en-GB"/>
          <w14:ligatures w14:val="none"/>
        </w:rPr>
        <w:lastRenderedPageBreak/>
        <w:t>Recommendations</w:t>
      </w:r>
      <w:bookmarkEnd w:id="10"/>
    </w:p>
    <w:p w14:paraId="5ACE1A41" w14:textId="58ED5B77" w:rsidR="0007206D" w:rsidRPr="00A73B14" w:rsidRDefault="0007206D" w:rsidP="00A73B1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A73B14">
        <w:rPr>
          <w:rFonts w:ascii="Arial" w:eastAsia="Times New Roman" w:hAnsi="Arial" w:cs="Arial"/>
          <w:color w:val="auto"/>
          <w:kern w:val="0"/>
          <w:sz w:val="24"/>
          <w:szCs w:val="24"/>
          <w:lang w:eastAsia="en-GB"/>
          <w14:ligatures w14:val="none"/>
        </w:rPr>
        <w:t xml:space="preserve">It is recommended that Schools Forum </w:t>
      </w:r>
      <w:r w:rsidR="008B272A" w:rsidRPr="00A73B14">
        <w:rPr>
          <w:rFonts w:ascii="Arial" w:eastAsia="Times New Roman" w:hAnsi="Arial" w:cs="Arial"/>
          <w:color w:val="auto"/>
          <w:kern w:val="0"/>
          <w:sz w:val="24"/>
          <w:szCs w:val="24"/>
          <w:lang w:eastAsia="en-GB"/>
          <w14:ligatures w14:val="none"/>
        </w:rPr>
        <w:t>support</w:t>
      </w:r>
      <w:r w:rsidRPr="00A73B14">
        <w:rPr>
          <w:rFonts w:ascii="Arial" w:eastAsia="Times New Roman" w:hAnsi="Arial" w:cs="Arial"/>
          <w:color w:val="auto"/>
          <w:kern w:val="0"/>
          <w:sz w:val="24"/>
          <w:szCs w:val="24"/>
          <w:lang w:eastAsia="en-GB"/>
          <w14:ligatures w14:val="none"/>
        </w:rPr>
        <w:t xml:space="preserve"> the proposed approach to setting the mainstream school funding formula for 2024/25 as outlined in paragraph 3.6.</w:t>
      </w:r>
    </w:p>
    <w:p w14:paraId="2FD223AE" w14:textId="7D554AED" w:rsidR="0007206D" w:rsidRPr="00A73B14" w:rsidRDefault="0007206D" w:rsidP="00A73B1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A73B14">
        <w:rPr>
          <w:rFonts w:ascii="Arial" w:eastAsia="Times New Roman" w:hAnsi="Arial" w:cs="Arial"/>
          <w:color w:val="auto"/>
          <w:kern w:val="0"/>
          <w:sz w:val="24"/>
          <w:szCs w:val="24"/>
          <w:lang w:eastAsia="en-GB"/>
          <w14:ligatures w14:val="none"/>
        </w:rPr>
        <w:t xml:space="preserve">It is recommended that Schools Forum </w:t>
      </w:r>
      <w:r w:rsidR="00AA4FD6" w:rsidRPr="00A73B14">
        <w:rPr>
          <w:rFonts w:ascii="Arial" w:eastAsia="Times New Roman" w:hAnsi="Arial" w:cs="Arial"/>
          <w:color w:val="auto"/>
          <w:kern w:val="0"/>
          <w:sz w:val="24"/>
          <w:szCs w:val="24"/>
          <w:lang w:eastAsia="en-GB"/>
          <w14:ligatures w14:val="none"/>
        </w:rPr>
        <w:t>support</w:t>
      </w:r>
      <w:r w:rsidRPr="00A73B14">
        <w:rPr>
          <w:rFonts w:ascii="Arial" w:eastAsia="Times New Roman" w:hAnsi="Arial" w:cs="Arial"/>
          <w:color w:val="auto"/>
          <w:kern w:val="0"/>
          <w:sz w:val="24"/>
          <w:szCs w:val="24"/>
          <w:lang w:eastAsia="en-GB"/>
          <w14:ligatures w14:val="none"/>
        </w:rPr>
        <w:t xml:space="preserve"> the proposed approach to allocating </w:t>
      </w:r>
      <w:r w:rsidR="00A146F5" w:rsidRPr="00A73B14">
        <w:rPr>
          <w:rFonts w:ascii="Arial" w:eastAsia="Times New Roman" w:hAnsi="Arial" w:cs="Arial"/>
          <w:color w:val="auto"/>
          <w:kern w:val="0"/>
          <w:sz w:val="24"/>
          <w:szCs w:val="24"/>
          <w:lang w:eastAsia="en-GB"/>
          <w14:ligatures w14:val="none"/>
        </w:rPr>
        <w:t>funding within the High Needs Block</w:t>
      </w:r>
      <w:r w:rsidRPr="00A73B14">
        <w:rPr>
          <w:rFonts w:ascii="Arial" w:eastAsia="Times New Roman" w:hAnsi="Arial" w:cs="Arial"/>
          <w:color w:val="auto"/>
          <w:kern w:val="0"/>
          <w:sz w:val="24"/>
          <w:szCs w:val="24"/>
          <w:lang w:eastAsia="en-GB"/>
          <w14:ligatures w14:val="none"/>
        </w:rPr>
        <w:t xml:space="preserve"> as outlined in </w:t>
      </w:r>
      <w:r w:rsidR="005F22D8" w:rsidRPr="00A73B14">
        <w:rPr>
          <w:rFonts w:ascii="Arial" w:eastAsia="Times New Roman" w:hAnsi="Arial" w:cs="Arial"/>
          <w:color w:val="auto"/>
          <w:kern w:val="0"/>
          <w:sz w:val="24"/>
          <w:szCs w:val="24"/>
          <w:lang w:eastAsia="en-GB"/>
          <w14:ligatures w14:val="none"/>
        </w:rPr>
        <w:t xml:space="preserve">the High Needs </w:t>
      </w:r>
      <w:r w:rsidR="00DF29F1" w:rsidRPr="00A73B14">
        <w:rPr>
          <w:rFonts w:ascii="Arial" w:eastAsia="Times New Roman" w:hAnsi="Arial" w:cs="Arial"/>
          <w:color w:val="auto"/>
          <w:kern w:val="0"/>
          <w:sz w:val="24"/>
          <w:szCs w:val="24"/>
          <w:lang w:eastAsia="en-GB"/>
          <w14:ligatures w14:val="none"/>
        </w:rPr>
        <w:t xml:space="preserve">Block </w:t>
      </w:r>
      <w:r w:rsidR="005F22D8" w:rsidRPr="00A73B14">
        <w:rPr>
          <w:rFonts w:ascii="Arial" w:eastAsia="Times New Roman" w:hAnsi="Arial" w:cs="Arial"/>
          <w:color w:val="auto"/>
          <w:kern w:val="0"/>
          <w:sz w:val="24"/>
          <w:szCs w:val="24"/>
          <w:lang w:eastAsia="en-GB"/>
          <w14:ligatures w14:val="none"/>
        </w:rPr>
        <w:t>section of the report.</w:t>
      </w:r>
    </w:p>
    <w:p w14:paraId="088962B0" w14:textId="77777777" w:rsidR="0007206D" w:rsidRPr="00A73B14" w:rsidRDefault="0007206D" w:rsidP="00A73B1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A73B14">
        <w:rPr>
          <w:rFonts w:ascii="Arial" w:eastAsia="Times New Roman" w:hAnsi="Arial" w:cs="Arial"/>
          <w:color w:val="auto"/>
          <w:kern w:val="0"/>
          <w:sz w:val="24"/>
          <w:szCs w:val="24"/>
          <w:lang w:eastAsia="en-GB"/>
          <w14:ligatures w14:val="none"/>
        </w:rPr>
        <w:t>It is recommended that Schools Forum approve the Central School Services block in line with the DfE allocation.</w:t>
      </w:r>
    </w:p>
    <w:p w14:paraId="2420CDA0" w14:textId="5CF3B0EF" w:rsidR="00655C8C" w:rsidRPr="0008295F" w:rsidRDefault="0007206D" w:rsidP="0082573B">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A73B14">
        <w:rPr>
          <w:rFonts w:ascii="Arial" w:eastAsia="Times New Roman" w:hAnsi="Arial" w:cs="Arial"/>
          <w:color w:val="auto"/>
          <w:kern w:val="0"/>
          <w:sz w:val="24"/>
          <w:szCs w:val="24"/>
          <w:lang w:eastAsia="en-GB"/>
          <w14:ligatures w14:val="none"/>
        </w:rPr>
        <w:t>It is recommended that Schools Forum approve ‘in principle’ the allocations of the central provision funded by maintained schools and de-delegation budgets.</w:t>
      </w:r>
    </w:p>
    <w:sectPr w:rsidR="00655C8C" w:rsidRPr="0008295F" w:rsidSect="00AB550B">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A1A9" w14:textId="77777777" w:rsidR="00875E3C" w:rsidRDefault="00875E3C" w:rsidP="006503CA">
      <w:r>
        <w:separator/>
      </w:r>
    </w:p>
  </w:endnote>
  <w:endnote w:type="continuationSeparator" w:id="0">
    <w:p w14:paraId="2840A82D" w14:textId="77777777" w:rsidR="00875E3C" w:rsidRDefault="00875E3C" w:rsidP="006503CA">
      <w:r>
        <w:continuationSeparator/>
      </w:r>
    </w:p>
  </w:endnote>
  <w:endnote w:type="continuationNotice" w:id="1">
    <w:p w14:paraId="0543E901" w14:textId="77777777" w:rsidR="00875E3C" w:rsidRDefault="00875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036138"/>
      <w:docPartObj>
        <w:docPartGallery w:val="Page Numbers (Bottom of Page)"/>
        <w:docPartUnique/>
      </w:docPartObj>
    </w:sdtPr>
    <w:sdtEndPr>
      <w:rPr>
        <w:noProof/>
      </w:rPr>
    </w:sdtEndPr>
    <w:sdtContent>
      <w:p w14:paraId="7E2DECE9" w14:textId="13CC7B6F" w:rsidR="006659E6" w:rsidRDefault="00863A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A4B648" w14:textId="7C2A4F37" w:rsidR="00863A0F" w:rsidRPr="00863A0F" w:rsidRDefault="00863A0F" w:rsidP="006503CA">
    <w:pPr>
      <w:pStyle w:val="Footer"/>
      <w:rPr>
        <w:rFonts w:asciiTheme="minorHAnsi" w:hAnsiTheme="minorHAnsi" w:cstheme="minorBid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F78AE" w14:textId="77777777" w:rsidR="00875E3C" w:rsidRDefault="00875E3C" w:rsidP="006503CA">
      <w:r>
        <w:separator/>
      </w:r>
    </w:p>
  </w:footnote>
  <w:footnote w:type="continuationSeparator" w:id="0">
    <w:p w14:paraId="1E202C59" w14:textId="77777777" w:rsidR="00875E3C" w:rsidRDefault="00875E3C" w:rsidP="006503CA">
      <w:r>
        <w:continuationSeparator/>
      </w:r>
    </w:p>
  </w:footnote>
  <w:footnote w:type="continuationNotice" w:id="1">
    <w:p w14:paraId="0CC4073A" w14:textId="77777777" w:rsidR="00875E3C" w:rsidRDefault="00875E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7EE"/>
    <w:multiLevelType w:val="hybridMultilevel"/>
    <w:tmpl w:val="85F45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1233F"/>
    <w:multiLevelType w:val="multilevel"/>
    <w:tmpl w:val="6DE4484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5342F1"/>
    <w:multiLevelType w:val="hybridMultilevel"/>
    <w:tmpl w:val="9432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52486"/>
    <w:multiLevelType w:val="hybridMultilevel"/>
    <w:tmpl w:val="C034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01F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960FBA"/>
    <w:multiLevelType w:val="hybridMultilevel"/>
    <w:tmpl w:val="E9DC3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8768D"/>
    <w:multiLevelType w:val="hybridMultilevel"/>
    <w:tmpl w:val="87D0D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755A8"/>
    <w:multiLevelType w:val="multilevel"/>
    <w:tmpl w:val="33849BB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7C0FE7"/>
    <w:multiLevelType w:val="multilevel"/>
    <w:tmpl w:val="6DE4484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AB7D28"/>
    <w:multiLevelType w:val="hybridMultilevel"/>
    <w:tmpl w:val="958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51D82"/>
    <w:multiLevelType w:val="hybridMultilevel"/>
    <w:tmpl w:val="62E691F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 w15:restartNumberingAfterBreak="0">
    <w:nsid w:val="2CB005EA"/>
    <w:multiLevelType w:val="hybridMultilevel"/>
    <w:tmpl w:val="074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6547D"/>
    <w:multiLevelType w:val="hybridMultilevel"/>
    <w:tmpl w:val="0CAEC9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D52550"/>
    <w:multiLevelType w:val="multilevel"/>
    <w:tmpl w:val="6DE4484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3B6931"/>
    <w:multiLevelType w:val="hybridMultilevel"/>
    <w:tmpl w:val="B56C6B96"/>
    <w:lvl w:ilvl="0" w:tplc="08090001">
      <w:start w:val="1"/>
      <w:numFmt w:val="bullet"/>
      <w:lvlText w:val=""/>
      <w:lvlJc w:val="left"/>
      <w:pPr>
        <w:ind w:left="2018" w:hanging="360"/>
      </w:pPr>
      <w:rPr>
        <w:rFonts w:ascii="Symbol" w:hAnsi="Symbol" w:hint="default"/>
      </w:rPr>
    </w:lvl>
    <w:lvl w:ilvl="1" w:tplc="08090003" w:tentative="1">
      <w:start w:val="1"/>
      <w:numFmt w:val="bullet"/>
      <w:lvlText w:val="o"/>
      <w:lvlJc w:val="left"/>
      <w:pPr>
        <w:ind w:left="2738" w:hanging="360"/>
      </w:pPr>
      <w:rPr>
        <w:rFonts w:ascii="Courier New" w:hAnsi="Courier New" w:cs="Courier New" w:hint="default"/>
      </w:rPr>
    </w:lvl>
    <w:lvl w:ilvl="2" w:tplc="08090005" w:tentative="1">
      <w:start w:val="1"/>
      <w:numFmt w:val="bullet"/>
      <w:lvlText w:val=""/>
      <w:lvlJc w:val="left"/>
      <w:pPr>
        <w:ind w:left="3458" w:hanging="360"/>
      </w:pPr>
      <w:rPr>
        <w:rFonts w:ascii="Wingdings" w:hAnsi="Wingdings" w:hint="default"/>
      </w:rPr>
    </w:lvl>
    <w:lvl w:ilvl="3" w:tplc="08090001" w:tentative="1">
      <w:start w:val="1"/>
      <w:numFmt w:val="bullet"/>
      <w:lvlText w:val=""/>
      <w:lvlJc w:val="left"/>
      <w:pPr>
        <w:ind w:left="4178" w:hanging="360"/>
      </w:pPr>
      <w:rPr>
        <w:rFonts w:ascii="Symbol" w:hAnsi="Symbol" w:hint="default"/>
      </w:rPr>
    </w:lvl>
    <w:lvl w:ilvl="4" w:tplc="08090003" w:tentative="1">
      <w:start w:val="1"/>
      <w:numFmt w:val="bullet"/>
      <w:lvlText w:val="o"/>
      <w:lvlJc w:val="left"/>
      <w:pPr>
        <w:ind w:left="4898" w:hanging="360"/>
      </w:pPr>
      <w:rPr>
        <w:rFonts w:ascii="Courier New" w:hAnsi="Courier New" w:cs="Courier New" w:hint="default"/>
      </w:rPr>
    </w:lvl>
    <w:lvl w:ilvl="5" w:tplc="08090005" w:tentative="1">
      <w:start w:val="1"/>
      <w:numFmt w:val="bullet"/>
      <w:lvlText w:val=""/>
      <w:lvlJc w:val="left"/>
      <w:pPr>
        <w:ind w:left="5618" w:hanging="360"/>
      </w:pPr>
      <w:rPr>
        <w:rFonts w:ascii="Wingdings" w:hAnsi="Wingdings" w:hint="default"/>
      </w:rPr>
    </w:lvl>
    <w:lvl w:ilvl="6" w:tplc="08090001" w:tentative="1">
      <w:start w:val="1"/>
      <w:numFmt w:val="bullet"/>
      <w:lvlText w:val=""/>
      <w:lvlJc w:val="left"/>
      <w:pPr>
        <w:ind w:left="6338" w:hanging="360"/>
      </w:pPr>
      <w:rPr>
        <w:rFonts w:ascii="Symbol" w:hAnsi="Symbol" w:hint="default"/>
      </w:rPr>
    </w:lvl>
    <w:lvl w:ilvl="7" w:tplc="08090003" w:tentative="1">
      <w:start w:val="1"/>
      <w:numFmt w:val="bullet"/>
      <w:lvlText w:val="o"/>
      <w:lvlJc w:val="left"/>
      <w:pPr>
        <w:ind w:left="7058" w:hanging="360"/>
      </w:pPr>
      <w:rPr>
        <w:rFonts w:ascii="Courier New" w:hAnsi="Courier New" w:cs="Courier New" w:hint="default"/>
      </w:rPr>
    </w:lvl>
    <w:lvl w:ilvl="8" w:tplc="08090005" w:tentative="1">
      <w:start w:val="1"/>
      <w:numFmt w:val="bullet"/>
      <w:lvlText w:val=""/>
      <w:lvlJc w:val="left"/>
      <w:pPr>
        <w:ind w:left="7778" w:hanging="360"/>
      </w:pPr>
      <w:rPr>
        <w:rFonts w:ascii="Wingdings" w:hAnsi="Wingdings" w:hint="default"/>
      </w:rPr>
    </w:lvl>
  </w:abstractNum>
  <w:abstractNum w:abstractNumId="15"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122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EA49F2"/>
    <w:multiLevelType w:val="hybridMultilevel"/>
    <w:tmpl w:val="2AE8809E"/>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8" w15:restartNumberingAfterBreak="0">
    <w:nsid w:val="48F0749E"/>
    <w:multiLevelType w:val="hybridMultilevel"/>
    <w:tmpl w:val="3C0E2EEC"/>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9" w15:restartNumberingAfterBreak="0">
    <w:nsid w:val="51242AC0"/>
    <w:multiLevelType w:val="hybridMultilevel"/>
    <w:tmpl w:val="A5A0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64686D"/>
    <w:multiLevelType w:val="multilevel"/>
    <w:tmpl w:val="6DE4484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284104"/>
    <w:multiLevelType w:val="hybridMultilevel"/>
    <w:tmpl w:val="F04AC8C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5CF020B7"/>
    <w:multiLevelType w:val="hybridMultilevel"/>
    <w:tmpl w:val="845E8F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17479B5"/>
    <w:multiLevelType w:val="hybridMultilevel"/>
    <w:tmpl w:val="AFC6C1C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7193587F"/>
    <w:multiLevelType w:val="hybridMultilevel"/>
    <w:tmpl w:val="E872FD9E"/>
    <w:lvl w:ilvl="0" w:tplc="222E83A4">
      <w:start w:val="1"/>
      <w:numFmt w:val="decimal"/>
      <w:lvlText w:val="%1)"/>
      <w:lvlJc w:val="left"/>
      <w:pPr>
        <w:ind w:left="1298" w:hanging="360"/>
      </w:pPr>
      <w:rPr>
        <w:rFonts w:ascii="Arial" w:eastAsia="Times New Roman" w:hAnsi="Arial" w:cs="Arial"/>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5"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3075C"/>
    <w:multiLevelType w:val="hybridMultilevel"/>
    <w:tmpl w:val="0F06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3C797B"/>
    <w:multiLevelType w:val="hybridMultilevel"/>
    <w:tmpl w:val="6248D1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3869952">
    <w:abstractNumId w:val="25"/>
  </w:num>
  <w:num w:numId="2" w16cid:durableId="2009945258">
    <w:abstractNumId w:val="15"/>
  </w:num>
  <w:num w:numId="3" w16cid:durableId="259067035">
    <w:abstractNumId w:val="18"/>
  </w:num>
  <w:num w:numId="4" w16cid:durableId="1047877261">
    <w:abstractNumId w:val="26"/>
  </w:num>
  <w:num w:numId="5" w16cid:durableId="596443714">
    <w:abstractNumId w:val="23"/>
  </w:num>
  <w:num w:numId="6" w16cid:durableId="1501237987">
    <w:abstractNumId w:val="12"/>
  </w:num>
  <w:num w:numId="7" w16cid:durableId="1306160252">
    <w:abstractNumId w:val="24"/>
  </w:num>
  <w:num w:numId="8" w16cid:durableId="305821817">
    <w:abstractNumId w:val="17"/>
  </w:num>
  <w:num w:numId="9" w16cid:durableId="2071027385">
    <w:abstractNumId w:val="14"/>
  </w:num>
  <w:num w:numId="10" w16cid:durableId="1008409287">
    <w:abstractNumId w:val="27"/>
  </w:num>
  <w:num w:numId="11" w16cid:durableId="21367611">
    <w:abstractNumId w:val="3"/>
  </w:num>
  <w:num w:numId="12" w16cid:durableId="820075523">
    <w:abstractNumId w:val="6"/>
  </w:num>
  <w:num w:numId="13" w16cid:durableId="1242640424">
    <w:abstractNumId w:val="11"/>
  </w:num>
  <w:num w:numId="14" w16cid:durableId="1837921142">
    <w:abstractNumId w:val="19"/>
  </w:num>
  <w:num w:numId="15" w16cid:durableId="1990132835">
    <w:abstractNumId w:val="2"/>
  </w:num>
  <w:num w:numId="16" w16cid:durableId="1082606503">
    <w:abstractNumId w:val="9"/>
  </w:num>
  <w:num w:numId="17" w16cid:durableId="1287931480">
    <w:abstractNumId w:val="5"/>
  </w:num>
  <w:num w:numId="18" w16cid:durableId="1878466142">
    <w:abstractNumId w:val="4"/>
  </w:num>
  <w:num w:numId="19" w16cid:durableId="1117523619">
    <w:abstractNumId w:val="16"/>
  </w:num>
  <w:num w:numId="20" w16cid:durableId="833377180">
    <w:abstractNumId w:val="7"/>
  </w:num>
  <w:num w:numId="21" w16cid:durableId="311762350">
    <w:abstractNumId w:val="21"/>
  </w:num>
  <w:num w:numId="22" w16cid:durableId="492796265">
    <w:abstractNumId w:val="10"/>
  </w:num>
  <w:num w:numId="23" w16cid:durableId="1974939598">
    <w:abstractNumId w:val="20"/>
  </w:num>
  <w:num w:numId="24" w16cid:durableId="1224171182">
    <w:abstractNumId w:val="13"/>
  </w:num>
  <w:num w:numId="25" w16cid:durableId="456803555">
    <w:abstractNumId w:val="1"/>
  </w:num>
  <w:num w:numId="26" w16cid:durableId="368071800">
    <w:abstractNumId w:val="22"/>
  </w:num>
  <w:num w:numId="27" w16cid:durableId="2029673432">
    <w:abstractNumId w:val="8"/>
  </w:num>
  <w:num w:numId="28" w16cid:durableId="149429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624"/>
  <w:characterSpacingControl w:val="doNotCompress"/>
  <w:hdrShapeDefaults>
    <o:shapedefaults v:ext="edit" spidmax="2050">
      <o:colormru v:ext="edit" colors="#08314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0131"/>
    <w:rsid w:val="00000CE2"/>
    <w:rsid w:val="00000F6A"/>
    <w:rsid w:val="00001AF9"/>
    <w:rsid w:val="00001FED"/>
    <w:rsid w:val="00004828"/>
    <w:rsid w:val="000049FC"/>
    <w:rsid w:val="000055F4"/>
    <w:rsid w:val="0000651A"/>
    <w:rsid w:val="00006834"/>
    <w:rsid w:val="00006A86"/>
    <w:rsid w:val="0000701F"/>
    <w:rsid w:val="0001424F"/>
    <w:rsid w:val="000144C3"/>
    <w:rsid w:val="0001452F"/>
    <w:rsid w:val="000147AC"/>
    <w:rsid w:val="00015153"/>
    <w:rsid w:val="00015B51"/>
    <w:rsid w:val="000160B8"/>
    <w:rsid w:val="000221C1"/>
    <w:rsid w:val="00023CD4"/>
    <w:rsid w:val="00023FAD"/>
    <w:rsid w:val="00027B3F"/>
    <w:rsid w:val="000308F9"/>
    <w:rsid w:val="00032278"/>
    <w:rsid w:val="00032954"/>
    <w:rsid w:val="000348B2"/>
    <w:rsid w:val="00034BD7"/>
    <w:rsid w:val="000352AA"/>
    <w:rsid w:val="000355AA"/>
    <w:rsid w:val="00035A2F"/>
    <w:rsid w:val="00036D59"/>
    <w:rsid w:val="000414AB"/>
    <w:rsid w:val="00041922"/>
    <w:rsid w:val="0004293A"/>
    <w:rsid w:val="00044B16"/>
    <w:rsid w:val="0004525F"/>
    <w:rsid w:val="00045F67"/>
    <w:rsid w:val="0004753C"/>
    <w:rsid w:val="00047663"/>
    <w:rsid w:val="000476AA"/>
    <w:rsid w:val="00050089"/>
    <w:rsid w:val="00050A4C"/>
    <w:rsid w:val="00050A6E"/>
    <w:rsid w:val="00050B5E"/>
    <w:rsid w:val="00052FCE"/>
    <w:rsid w:val="00053256"/>
    <w:rsid w:val="000561AD"/>
    <w:rsid w:val="00061138"/>
    <w:rsid w:val="000613B5"/>
    <w:rsid w:val="00061F08"/>
    <w:rsid w:val="00062998"/>
    <w:rsid w:val="000638B6"/>
    <w:rsid w:val="00063F7B"/>
    <w:rsid w:val="000640FF"/>
    <w:rsid w:val="000642A9"/>
    <w:rsid w:val="00065378"/>
    <w:rsid w:val="00070157"/>
    <w:rsid w:val="000714C5"/>
    <w:rsid w:val="0007206D"/>
    <w:rsid w:val="000736AC"/>
    <w:rsid w:val="000737C2"/>
    <w:rsid w:val="000743C0"/>
    <w:rsid w:val="00074BA7"/>
    <w:rsid w:val="00075430"/>
    <w:rsid w:val="00075505"/>
    <w:rsid w:val="000827B9"/>
    <w:rsid w:val="0008295F"/>
    <w:rsid w:val="000839D7"/>
    <w:rsid w:val="0008512B"/>
    <w:rsid w:val="000873C3"/>
    <w:rsid w:val="00090A8D"/>
    <w:rsid w:val="000910AB"/>
    <w:rsid w:val="00091D8D"/>
    <w:rsid w:val="00092193"/>
    <w:rsid w:val="00093003"/>
    <w:rsid w:val="00093AA4"/>
    <w:rsid w:val="00094D49"/>
    <w:rsid w:val="00095E4A"/>
    <w:rsid w:val="00096362"/>
    <w:rsid w:val="00097EA1"/>
    <w:rsid w:val="000A07DF"/>
    <w:rsid w:val="000A082F"/>
    <w:rsid w:val="000A0C66"/>
    <w:rsid w:val="000A2DD2"/>
    <w:rsid w:val="000A3CD7"/>
    <w:rsid w:val="000A4172"/>
    <w:rsid w:val="000A4327"/>
    <w:rsid w:val="000A560E"/>
    <w:rsid w:val="000A7B03"/>
    <w:rsid w:val="000A7D13"/>
    <w:rsid w:val="000B018D"/>
    <w:rsid w:val="000B143D"/>
    <w:rsid w:val="000B1F66"/>
    <w:rsid w:val="000B288F"/>
    <w:rsid w:val="000B2977"/>
    <w:rsid w:val="000B2AA7"/>
    <w:rsid w:val="000B2EA0"/>
    <w:rsid w:val="000B4A9C"/>
    <w:rsid w:val="000B5D16"/>
    <w:rsid w:val="000B5D7F"/>
    <w:rsid w:val="000B61CB"/>
    <w:rsid w:val="000B775C"/>
    <w:rsid w:val="000C0578"/>
    <w:rsid w:val="000C094B"/>
    <w:rsid w:val="000C0CEC"/>
    <w:rsid w:val="000C1382"/>
    <w:rsid w:val="000C33AD"/>
    <w:rsid w:val="000C3876"/>
    <w:rsid w:val="000C52E9"/>
    <w:rsid w:val="000C59A2"/>
    <w:rsid w:val="000C6277"/>
    <w:rsid w:val="000C6A5C"/>
    <w:rsid w:val="000D1102"/>
    <w:rsid w:val="000D1220"/>
    <w:rsid w:val="000D16FF"/>
    <w:rsid w:val="000D435D"/>
    <w:rsid w:val="000D44D6"/>
    <w:rsid w:val="000D70A8"/>
    <w:rsid w:val="000E1A59"/>
    <w:rsid w:val="000E2B37"/>
    <w:rsid w:val="000E3EED"/>
    <w:rsid w:val="000E4529"/>
    <w:rsid w:val="000F161F"/>
    <w:rsid w:val="000F2721"/>
    <w:rsid w:val="000F2CFB"/>
    <w:rsid w:val="000F2ED2"/>
    <w:rsid w:val="000F3212"/>
    <w:rsid w:val="000F5F44"/>
    <w:rsid w:val="000F6808"/>
    <w:rsid w:val="000F7085"/>
    <w:rsid w:val="00100BDD"/>
    <w:rsid w:val="00101461"/>
    <w:rsid w:val="0010384E"/>
    <w:rsid w:val="00103B14"/>
    <w:rsid w:val="0010484F"/>
    <w:rsid w:val="00104FB1"/>
    <w:rsid w:val="00105646"/>
    <w:rsid w:val="0011309C"/>
    <w:rsid w:val="00121EF0"/>
    <w:rsid w:val="00122983"/>
    <w:rsid w:val="00124A06"/>
    <w:rsid w:val="001279DA"/>
    <w:rsid w:val="001326C0"/>
    <w:rsid w:val="001331B9"/>
    <w:rsid w:val="00133F23"/>
    <w:rsid w:val="00134087"/>
    <w:rsid w:val="00134917"/>
    <w:rsid w:val="0013498A"/>
    <w:rsid w:val="00136FDC"/>
    <w:rsid w:val="00140B2C"/>
    <w:rsid w:val="00141175"/>
    <w:rsid w:val="001411D7"/>
    <w:rsid w:val="00141408"/>
    <w:rsid w:val="001419B2"/>
    <w:rsid w:val="00142EDE"/>
    <w:rsid w:val="001434B6"/>
    <w:rsid w:val="00143D75"/>
    <w:rsid w:val="00143F14"/>
    <w:rsid w:val="00143FE5"/>
    <w:rsid w:val="00145663"/>
    <w:rsid w:val="001469D1"/>
    <w:rsid w:val="00150057"/>
    <w:rsid w:val="001502CD"/>
    <w:rsid w:val="00150F21"/>
    <w:rsid w:val="001519D5"/>
    <w:rsid w:val="00152EF3"/>
    <w:rsid w:val="001536AD"/>
    <w:rsid w:val="00154935"/>
    <w:rsid w:val="00155026"/>
    <w:rsid w:val="00155232"/>
    <w:rsid w:val="0015590E"/>
    <w:rsid w:val="00160053"/>
    <w:rsid w:val="00160603"/>
    <w:rsid w:val="001610DD"/>
    <w:rsid w:val="00162EC4"/>
    <w:rsid w:val="001638B1"/>
    <w:rsid w:val="0016521F"/>
    <w:rsid w:val="00166815"/>
    <w:rsid w:val="00166DD1"/>
    <w:rsid w:val="00170660"/>
    <w:rsid w:val="001706C3"/>
    <w:rsid w:val="00171B1B"/>
    <w:rsid w:val="00172C84"/>
    <w:rsid w:val="00172CA2"/>
    <w:rsid w:val="00172F9B"/>
    <w:rsid w:val="00173359"/>
    <w:rsid w:val="00173916"/>
    <w:rsid w:val="001770B2"/>
    <w:rsid w:val="001776A4"/>
    <w:rsid w:val="001815DA"/>
    <w:rsid w:val="00181710"/>
    <w:rsid w:val="0018180B"/>
    <w:rsid w:val="00185282"/>
    <w:rsid w:val="00185F45"/>
    <w:rsid w:val="00190F07"/>
    <w:rsid w:val="0019168D"/>
    <w:rsid w:val="0019200B"/>
    <w:rsid w:val="001931DD"/>
    <w:rsid w:val="00193263"/>
    <w:rsid w:val="00193852"/>
    <w:rsid w:val="00193C50"/>
    <w:rsid w:val="00194505"/>
    <w:rsid w:val="00194A1E"/>
    <w:rsid w:val="00196A38"/>
    <w:rsid w:val="001977AB"/>
    <w:rsid w:val="001A2790"/>
    <w:rsid w:val="001A2A16"/>
    <w:rsid w:val="001A362A"/>
    <w:rsid w:val="001A4B15"/>
    <w:rsid w:val="001A60C9"/>
    <w:rsid w:val="001A6D6B"/>
    <w:rsid w:val="001A6FDA"/>
    <w:rsid w:val="001A7133"/>
    <w:rsid w:val="001A7332"/>
    <w:rsid w:val="001A7829"/>
    <w:rsid w:val="001B111F"/>
    <w:rsid w:val="001B1A7E"/>
    <w:rsid w:val="001B2AA0"/>
    <w:rsid w:val="001B35E2"/>
    <w:rsid w:val="001B3A36"/>
    <w:rsid w:val="001B5572"/>
    <w:rsid w:val="001B7376"/>
    <w:rsid w:val="001B7720"/>
    <w:rsid w:val="001B7860"/>
    <w:rsid w:val="001C0583"/>
    <w:rsid w:val="001C08E4"/>
    <w:rsid w:val="001C0ADE"/>
    <w:rsid w:val="001C0C4A"/>
    <w:rsid w:val="001C0CBF"/>
    <w:rsid w:val="001C1BD7"/>
    <w:rsid w:val="001C1C26"/>
    <w:rsid w:val="001C20A7"/>
    <w:rsid w:val="001C20C6"/>
    <w:rsid w:val="001C3D29"/>
    <w:rsid w:val="001C4294"/>
    <w:rsid w:val="001C5143"/>
    <w:rsid w:val="001C6E4A"/>
    <w:rsid w:val="001D0D73"/>
    <w:rsid w:val="001D1838"/>
    <w:rsid w:val="001D5003"/>
    <w:rsid w:val="001D5DEF"/>
    <w:rsid w:val="001D6A9F"/>
    <w:rsid w:val="001D6D09"/>
    <w:rsid w:val="001D75DD"/>
    <w:rsid w:val="001E19ED"/>
    <w:rsid w:val="001E1ADA"/>
    <w:rsid w:val="001E215C"/>
    <w:rsid w:val="001E2D8B"/>
    <w:rsid w:val="001E322D"/>
    <w:rsid w:val="001E4706"/>
    <w:rsid w:val="001E5141"/>
    <w:rsid w:val="001E7015"/>
    <w:rsid w:val="001E76A5"/>
    <w:rsid w:val="001E79CC"/>
    <w:rsid w:val="001F060E"/>
    <w:rsid w:val="001F08D9"/>
    <w:rsid w:val="001F186A"/>
    <w:rsid w:val="001F1D27"/>
    <w:rsid w:val="001F2891"/>
    <w:rsid w:val="001F2D32"/>
    <w:rsid w:val="001F3221"/>
    <w:rsid w:val="001F4FD6"/>
    <w:rsid w:val="001F7309"/>
    <w:rsid w:val="0020214D"/>
    <w:rsid w:val="0020360B"/>
    <w:rsid w:val="00203A7A"/>
    <w:rsid w:val="00203C25"/>
    <w:rsid w:val="0020467B"/>
    <w:rsid w:val="00204D45"/>
    <w:rsid w:val="002050C0"/>
    <w:rsid w:val="002050C8"/>
    <w:rsid w:val="00206F25"/>
    <w:rsid w:val="00207916"/>
    <w:rsid w:val="002079E2"/>
    <w:rsid w:val="00207B4C"/>
    <w:rsid w:val="00207D33"/>
    <w:rsid w:val="002100F9"/>
    <w:rsid w:val="002101EE"/>
    <w:rsid w:val="0021101A"/>
    <w:rsid w:val="00211953"/>
    <w:rsid w:val="00212B4C"/>
    <w:rsid w:val="00214240"/>
    <w:rsid w:val="00214A7A"/>
    <w:rsid w:val="00215B35"/>
    <w:rsid w:val="00216D85"/>
    <w:rsid w:val="00220D60"/>
    <w:rsid w:val="002214E4"/>
    <w:rsid w:val="00221897"/>
    <w:rsid w:val="002225DA"/>
    <w:rsid w:val="00223DAF"/>
    <w:rsid w:val="00224A7D"/>
    <w:rsid w:val="00225544"/>
    <w:rsid w:val="00226825"/>
    <w:rsid w:val="002279B7"/>
    <w:rsid w:val="00230986"/>
    <w:rsid w:val="00231B08"/>
    <w:rsid w:val="0023276C"/>
    <w:rsid w:val="00232FF8"/>
    <w:rsid w:val="00234838"/>
    <w:rsid w:val="002363CC"/>
    <w:rsid w:val="00236C0C"/>
    <w:rsid w:val="00237018"/>
    <w:rsid w:val="00237518"/>
    <w:rsid w:val="00240B5E"/>
    <w:rsid w:val="00244725"/>
    <w:rsid w:val="00244E76"/>
    <w:rsid w:val="00245A4D"/>
    <w:rsid w:val="00246A93"/>
    <w:rsid w:val="00246AE8"/>
    <w:rsid w:val="00246C3D"/>
    <w:rsid w:val="00251873"/>
    <w:rsid w:val="00251A82"/>
    <w:rsid w:val="00253F81"/>
    <w:rsid w:val="00256A1C"/>
    <w:rsid w:val="00256B6A"/>
    <w:rsid w:val="002571D3"/>
    <w:rsid w:val="0025770C"/>
    <w:rsid w:val="00260372"/>
    <w:rsid w:val="0026201A"/>
    <w:rsid w:val="00262CBA"/>
    <w:rsid w:val="002643F7"/>
    <w:rsid w:val="002645D6"/>
    <w:rsid w:val="00265437"/>
    <w:rsid w:val="00265612"/>
    <w:rsid w:val="00270D32"/>
    <w:rsid w:val="00271395"/>
    <w:rsid w:val="00272352"/>
    <w:rsid w:val="00276644"/>
    <w:rsid w:val="002768A9"/>
    <w:rsid w:val="00277179"/>
    <w:rsid w:val="00277898"/>
    <w:rsid w:val="0028189A"/>
    <w:rsid w:val="00283009"/>
    <w:rsid w:val="00283478"/>
    <w:rsid w:val="002842CA"/>
    <w:rsid w:val="00284C57"/>
    <w:rsid w:val="002860A9"/>
    <w:rsid w:val="002864C5"/>
    <w:rsid w:val="0028695C"/>
    <w:rsid w:val="0029355A"/>
    <w:rsid w:val="0029425D"/>
    <w:rsid w:val="00296016"/>
    <w:rsid w:val="002977AD"/>
    <w:rsid w:val="00297B46"/>
    <w:rsid w:val="002A03CB"/>
    <w:rsid w:val="002A0478"/>
    <w:rsid w:val="002A068F"/>
    <w:rsid w:val="002A0785"/>
    <w:rsid w:val="002A08A6"/>
    <w:rsid w:val="002A0933"/>
    <w:rsid w:val="002A11E6"/>
    <w:rsid w:val="002A1610"/>
    <w:rsid w:val="002A2F04"/>
    <w:rsid w:val="002A39D0"/>
    <w:rsid w:val="002A3C07"/>
    <w:rsid w:val="002A48A0"/>
    <w:rsid w:val="002B19B8"/>
    <w:rsid w:val="002B34B2"/>
    <w:rsid w:val="002B4771"/>
    <w:rsid w:val="002B4BAB"/>
    <w:rsid w:val="002B6606"/>
    <w:rsid w:val="002B74A9"/>
    <w:rsid w:val="002B7684"/>
    <w:rsid w:val="002B77E0"/>
    <w:rsid w:val="002C1CE6"/>
    <w:rsid w:val="002C3AF7"/>
    <w:rsid w:val="002C3CB9"/>
    <w:rsid w:val="002C4464"/>
    <w:rsid w:val="002C54D9"/>
    <w:rsid w:val="002C56CC"/>
    <w:rsid w:val="002C59A6"/>
    <w:rsid w:val="002C68DF"/>
    <w:rsid w:val="002D0ED2"/>
    <w:rsid w:val="002D1BF1"/>
    <w:rsid w:val="002D1F95"/>
    <w:rsid w:val="002D3434"/>
    <w:rsid w:val="002D3452"/>
    <w:rsid w:val="002D3D45"/>
    <w:rsid w:val="002D43AC"/>
    <w:rsid w:val="002D4E05"/>
    <w:rsid w:val="002D5D22"/>
    <w:rsid w:val="002D5EF5"/>
    <w:rsid w:val="002D6930"/>
    <w:rsid w:val="002D7803"/>
    <w:rsid w:val="002D78A4"/>
    <w:rsid w:val="002E3E9E"/>
    <w:rsid w:val="002E670A"/>
    <w:rsid w:val="002E6E91"/>
    <w:rsid w:val="002F1083"/>
    <w:rsid w:val="002F1B65"/>
    <w:rsid w:val="002F1CE0"/>
    <w:rsid w:val="002F2A47"/>
    <w:rsid w:val="003039DC"/>
    <w:rsid w:val="00304B3F"/>
    <w:rsid w:val="003069F6"/>
    <w:rsid w:val="00310E5D"/>
    <w:rsid w:val="00310EE7"/>
    <w:rsid w:val="0031197D"/>
    <w:rsid w:val="00313E12"/>
    <w:rsid w:val="00314205"/>
    <w:rsid w:val="003144FB"/>
    <w:rsid w:val="00314F71"/>
    <w:rsid w:val="00317ABB"/>
    <w:rsid w:val="0032005D"/>
    <w:rsid w:val="0032065B"/>
    <w:rsid w:val="003216DC"/>
    <w:rsid w:val="00322145"/>
    <w:rsid w:val="00322430"/>
    <w:rsid w:val="00323573"/>
    <w:rsid w:val="003238F6"/>
    <w:rsid w:val="0032561C"/>
    <w:rsid w:val="00325A79"/>
    <w:rsid w:val="00325E9A"/>
    <w:rsid w:val="0032650F"/>
    <w:rsid w:val="00326B83"/>
    <w:rsid w:val="003303C0"/>
    <w:rsid w:val="00330DE9"/>
    <w:rsid w:val="003314FA"/>
    <w:rsid w:val="003319F4"/>
    <w:rsid w:val="00333122"/>
    <w:rsid w:val="00333765"/>
    <w:rsid w:val="00333BC3"/>
    <w:rsid w:val="003348C7"/>
    <w:rsid w:val="00335B7B"/>
    <w:rsid w:val="00335E30"/>
    <w:rsid w:val="00337DF1"/>
    <w:rsid w:val="0034007F"/>
    <w:rsid w:val="003403C8"/>
    <w:rsid w:val="00342256"/>
    <w:rsid w:val="00342602"/>
    <w:rsid w:val="0034358D"/>
    <w:rsid w:val="00343680"/>
    <w:rsid w:val="003455C0"/>
    <w:rsid w:val="0034592C"/>
    <w:rsid w:val="00345D14"/>
    <w:rsid w:val="00347A4F"/>
    <w:rsid w:val="00352148"/>
    <w:rsid w:val="00352B77"/>
    <w:rsid w:val="003534BB"/>
    <w:rsid w:val="00353BE1"/>
    <w:rsid w:val="00354220"/>
    <w:rsid w:val="0035455E"/>
    <w:rsid w:val="003561FB"/>
    <w:rsid w:val="00356306"/>
    <w:rsid w:val="0035636E"/>
    <w:rsid w:val="00356A0A"/>
    <w:rsid w:val="00356CB5"/>
    <w:rsid w:val="00360FDA"/>
    <w:rsid w:val="0036291E"/>
    <w:rsid w:val="003631C4"/>
    <w:rsid w:val="003643B3"/>
    <w:rsid w:val="003645AD"/>
    <w:rsid w:val="00365DA8"/>
    <w:rsid w:val="003666A1"/>
    <w:rsid w:val="00366F1B"/>
    <w:rsid w:val="003670F4"/>
    <w:rsid w:val="00370C30"/>
    <w:rsid w:val="00371A3F"/>
    <w:rsid w:val="003727CA"/>
    <w:rsid w:val="00372F2E"/>
    <w:rsid w:val="0037419D"/>
    <w:rsid w:val="00375249"/>
    <w:rsid w:val="00380115"/>
    <w:rsid w:val="003801A6"/>
    <w:rsid w:val="00381F0D"/>
    <w:rsid w:val="003824CE"/>
    <w:rsid w:val="00382748"/>
    <w:rsid w:val="00383094"/>
    <w:rsid w:val="003830F4"/>
    <w:rsid w:val="00384239"/>
    <w:rsid w:val="00384F3A"/>
    <w:rsid w:val="003851DB"/>
    <w:rsid w:val="0038686A"/>
    <w:rsid w:val="00386F7A"/>
    <w:rsid w:val="00387BBE"/>
    <w:rsid w:val="003922D7"/>
    <w:rsid w:val="00392DB2"/>
    <w:rsid w:val="00393C26"/>
    <w:rsid w:val="00395844"/>
    <w:rsid w:val="00395994"/>
    <w:rsid w:val="003959BE"/>
    <w:rsid w:val="00395E4A"/>
    <w:rsid w:val="00397619"/>
    <w:rsid w:val="003A0733"/>
    <w:rsid w:val="003A199D"/>
    <w:rsid w:val="003A2BF0"/>
    <w:rsid w:val="003A2DB1"/>
    <w:rsid w:val="003A33A1"/>
    <w:rsid w:val="003A3B55"/>
    <w:rsid w:val="003A4274"/>
    <w:rsid w:val="003A4ADE"/>
    <w:rsid w:val="003A4FB6"/>
    <w:rsid w:val="003A5CB5"/>
    <w:rsid w:val="003A7F00"/>
    <w:rsid w:val="003B1039"/>
    <w:rsid w:val="003B1176"/>
    <w:rsid w:val="003B15A5"/>
    <w:rsid w:val="003B2EB2"/>
    <w:rsid w:val="003B48EA"/>
    <w:rsid w:val="003B654C"/>
    <w:rsid w:val="003B67BC"/>
    <w:rsid w:val="003B6C7B"/>
    <w:rsid w:val="003B776E"/>
    <w:rsid w:val="003C0FEB"/>
    <w:rsid w:val="003C15B8"/>
    <w:rsid w:val="003C15B9"/>
    <w:rsid w:val="003C16F8"/>
    <w:rsid w:val="003C2201"/>
    <w:rsid w:val="003C3C10"/>
    <w:rsid w:val="003C4BD9"/>
    <w:rsid w:val="003C51DF"/>
    <w:rsid w:val="003C53F0"/>
    <w:rsid w:val="003C54C6"/>
    <w:rsid w:val="003C6451"/>
    <w:rsid w:val="003C6A4B"/>
    <w:rsid w:val="003C6CDB"/>
    <w:rsid w:val="003C78E6"/>
    <w:rsid w:val="003C795E"/>
    <w:rsid w:val="003C7C17"/>
    <w:rsid w:val="003D0BCA"/>
    <w:rsid w:val="003D179A"/>
    <w:rsid w:val="003D1B4E"/>
    <w:rsid w:val="003D2611"/>
    <w:rsid w:val="003D26AD"/>
    <w:rsid w:val="003D30AD"/>
    <w:rsid w:val="003D499E"/>
    <w:rsid w:val="003D4BAA"/>
    <w:rsid w:val="003D59C6"/>
    <w:rsid w:val="003D5FEA"/>
    <w:rsid w:val="003D6B13"/>
    <w:rsid w:val="003D7448"/>
    <w:rsid w:val="003E3B33"/>
    <w:rsid w:val="003E5CF3"/>
    <w:rsid w:val="003F1A48"/>
    <w:rsid w:val="003F27CE"/>
    <w:rsid w:val="003F2953"/>
    <w:rsid w:val="003F3D1B"/>
    <w:rsid w:val="003F4702"/>
    <w:rsid w:val="003F58E2"/>
    <w:rsid w:val="003F7459"/>
    <w:rsid w:val="004001A2"/>
    <w:rsid w:val="00404F3A"/>
    <w:rsid w:val="0040633D"/>
    <w:rsid w:val="00411567"/>
    <w:rsid w:val="0041236A"/>
    <w:rsid w:val="004135DE"/>
    <w:rsid w:val="00413F1E"/>
    <w:rsid w:val="00414248"/>
    <w:rsid w:val="004145B5"/>
    <w:rsid w:val="004150B2"/>
    <w:rsid w:val="00415D14"/>
    <w:rsid w:val="0041620B"/>
    <w:rsid w:val="00416897"/>
    <w:rsid w:val="0041768A"/>
    <w:rsid w:val="00417EC7"/>
    <w:rsid w:val="00420556"/>
    <w:rsid w:val="0042073F"/>
    <w:rsid w:val="00421E66"/>
    <w:rsid w:val="00422342"/>
    <w:rsid w:val="00423751"/>
    <w:rsid w:val="00424183"/>
    <w:rsid w:val="004243A4"/>
    <w:rsid w:val="004259CF"/>
    <w:rsid w:val="00425D1F"/>
    <w:rsid w:val="004260CC"/>
    <w:rsid w:val="00426174"/>
    <w:rsid w:val="00426264"/>
    <w:rsid w:val="00426CBC"/>
    <w:rsid w:val="004271D3"/>
    <w:rsid w:val="004272D8"/>
    <w:rsid w:val="004304A4"/>
    <w:rsid w:val="004310FF"/>
    <w:rsid w:val="004329C1"/>
    <w:rsid w:val="0043375A"/>
    <w:rsid w:val="00435CA2"/>
    <w:rsid w:val="0043615D"/>
    <w:rsid w:val="00436EE1"/>
    <w:rsid w:val="0044016B"/>
    <w:rsid w:val="00440849"/>
    <w:rsid w:val="004418F5"/>
    <w:rsid w:val="00441BB2"/>
    <w:rsid w:val="00442726"/>
    <w:rsid w:val="004433C0"/>
    <w:rsid w:val="004435E3"/>
    <w:rsid w:val="004438A1"/>
    <w:rsid w:val="004439AD"/>
    <w:rsid w:val="00445E50"/>
    <w:rsid w:val="00446632"/>
    <w:rsid w:val="004471C3"/>
    <w:rsid w:val="00454104"/>
    <w:rsid w:val="004561F4"/>
    <w:rsid w:val="004566A4"/>
    <w:rsid w:val="00456DC6"/>
    <w:rsid w:val="004607D3"/>
    <w:rsid w:val="00460E12"/>
    <w:rsid w:val="00461D45"/>
    <w:rsid w:val="00462CD2"/>
    <w:rsid w:val="0046421B"/>
    <w:rsid w:val="00465ACB"/>
    <w:rsid w:val="00467E8D"/>
    <w:rsid w:val="00470642"/>
    <w:rsid w:val="00471704"/>
    <w:rsid w:val="00472EDE"/>
    <w:rsid w:val="00474A85"/>
    <w:rsid w:val="00475221"/>
    <w:rsid w:val="00481D4A"/>
    <w:rsid w:val="004841F4"/>
    <w:rsid w:val="004862CE"/>
    <w:rsid w:val="00486DD8"/>
    <w:rsid w:val="00487A04"/>
    <w:rsid w:val="004901C8"/>
    <w:rsid w:val="00491904"/>
    <w:rsid w:val="004921E8"/>
    <w:rsid w:val="004951CF"/>
    <w:rsid w:val="00495CB0"/>
    <w:rsid w:val="004A0013"/>
    <w:rsid w:val="004A0C88"/>
    <w:rsid w:val="004A0E79"/>
    <w:rsid w:val="004A4582"/>
    <w:rsid w:val="004A56AB"/>
    <w:rsid w:val="004A600F"/>
    <w:rsid w:val="004A6A48"/>
    <w:rsid w:val="004A6D8C"/>
    <w:rsid w:val="004A6DB9"/>
    <w:rsid w:val="004A760D"/>
    <w:rsid w:val="004A773D"/>
    <w:rsid w:val="004B00F0"/>
    <w:rsid w:val="004B19EE"/>
    <w:rsid w:val="004B2754"/>
    <w:rsid w:val="004B33D5"/>
    <w:rsid w:val="004B34F6"/>
    <w:rsid w:val="004B37B2"/>
    <w:rsid w:val="004B3CEF"/>
    <w:rsid w:val="004B452D"/>
    <w:rsid w:val="004B556D"/>
    <w:rsid w:val="004B5D76"/>
    <w:rsid w:val="004C0D14"/>
    <w:rsid w:val="004C239F"/>
    <w:rsid w:val="004C3F6B"/>
    <w:rsid w:val="004C463F"/>
    <w:rsid w:val="004C780F"/>
    <w:rsid w:val="004C7843"/>
    <w:rsid w:val="004C7F52"/>
    <w:rsid w:val="004D299B"/>
    <w:rsid w:val="004D5499"/>
    <w:rsid w:val="004D6483"/>
    <w:rsid w:val="004D75F2"/>
    <w:rsid w:val="004D791B"/>
    <w:rsid w:val="004E0F5D"/>
    <w:rsid w:val="004E15D0"/>
    <w:rsid w:val="004E2BEB"/>
    <w:rsid w:val="004E344D"/>
    <w:rsid w:val="004E52F6"/>
    <w:rsid w:val="004E7614"/>
    <w:rsid w:val="004E7F98"/>
    <w:rsid w:val="004F132C"/>
    <w:rsid w:val="004F2898"/>
    <w:rsid w:val="004F35A7"/>
    <w:rsid w:val="004F4931"/>
    <w:rsid w:val="004F4CFF"/>
    <w:rsid w:val="004F6403"/>
    <w:rsid w:val="005000AC"/>
    <w:rsid w:val="00500E14"/>
    <w:rsid w:val="005026B9"/>
    <w:rsid w:val="00503CE4"/>
    <w:rsid w:val="00503D3A"/>
    <w:rsid w:val="005040DF"/>
    <w:rsid w:val="00504B9A"/>
    <w:rsid w:val="00504E83"/>
    <w:rsid w:val="00506762"/>
    <w:rsid w:val="00506DBB"/>
    <w:rsid w:val="005070D5"/>
    <w:rsid w:val="005079C7"/>
    <w:rsid w:val="00512146"/>
    <w:rsid w:val="00513BCC"/>
    <w:rsid w:val="00513D89"/>
    <w:rsid w:val="00513E0B"/>
    <w:rsid w:val="0051579E"/>
    <w:rsid w:val="005158EA"/>
    <w:rsid w:val="00516559"/>
    <w:rsid w:val="00517E09"/>
    <w:rsid w:val="0052262C"/>
    <w:rsid w:val="00522C12"/>
    <w:rsid w:val="0052475F"/>
    <w:rsid w:val="005253B6"/>
    <w:rsid w:val="00527F3A"/>
    <w:rsid w:val="00530F12"/>
    <w:rsid w:val="00532E86"/>
    <w:rsid w:val="00533C78"/>
    <w:rsid w:val="00534333"/>
    <w:rsid w:val="0053520B"/>
    <w:rsid w:val="00535CE8"/>
    <w:rsid w:val="00536017"/>
    <w:rsid w:val="00536360"/>
    <w:rsid w:val="00536FAD"/>
    <w:rsid w:val="0053709D"/>
    <w:rsid w:val="005373C7"/>
    <w:rsid w:val="00537564"/>
    <w:rsid w:val="0054314C"/>
    <w:rsid w:val="00543C57"/>
    <w:rsid w:val="005446A6"/>
    <w:rsid w:val="00545221"/>
    <w:rsid w:val="00546F4B"/>
    <w:rsid w:val="0054710E"/>
    <w:rsid w:val="00547CD8"/>
    <w:rsid w:val="00547E5C"/>
    <w:rsid w:val="00550B69"/>
    <w:rsid w:val="00551237"/>
    <w:rsid w:val="00552D9C"/>
    <w:rsid w:val="00552E9D"/>
    <w:rsid w:val="005537C3"/>
    <w:rsid w:val="0055563D"/>
    <w:rsid w:val="00557866"/>
    <w:rsid w:val="00557D31"/>
    <w:rsid w:val="005601CC"/>
    <w:rsid w:val="005609A6"/>
    <w:rsid w:val="005609F0"/>
    <w:rsid w:val="00561060"/>
    <w:rsid w:val="00563692"/>
    <w:rsid w:val="00565E8E"/>
    <w:rsid w:val="0056603D"/>
    <w:rsid w:val="005678F1"/>
    <w:rsid w:val="00570B8D"/>
    <w:rsid w:val="00570CD7"/>
    <w:rsid w:val="00571BD5"/>
    <w:rsid w:val="00573F0D"/>
    <w:rsid w:val="00574554"/>
    <w:rsid w:val="00575983"/>
    <w:rsid w:val="00577D52"/>
    <w:rsid w:val="005804DD"/>
    <w:rsid w:val="00581A2C"/>
    <w:rsid w:val="005830B0"/>
    <w:rsid w:val="005837F2"/>
    <w:rsid w:val="005851CD"/>
    <w:rsid w:val="00585575"/>
    <w:rsid w:val="0059057A"/>
    <w:rsid w:val="00590D64"/>
    <w:rsid w:val="00593F6C"/>
    <w:rsid w:val="005966E1"/>
    <w:rsid w:val="005967F2"/>
    <w:rsid w:val="00596FB0"/>
    <w:rsid w:val="005A13FB"/>
    <w:rsid w:val="005A2318"/>
    <w:rsid w:val="005A330C"/>
    <w:rsid w:val="005A3385"/>
    <w:rsid w:val="005A5353"/>
    <w:rsid w:val="005B094C"/>
    <w:rsid w:val="005B0AAA"/>
    <w:rsid w:val="005B0EB4"/>
    <w:rsid w:val="005B14A9"/>
    <w:rsid w:val="005B181F"/>
    <w:rsid w:val="005B2493"/>
    <w:rsid w:val="005B3089"/>
    <w:rsid w:val="005C1F36"/>
    <w:rsid w:val="005C2D4E"/>
    <w:rsid w:val="005C3235"/>
    <w:rsid w:val="005C3717"/>
    <w:rsid w:val="005C3B16"/>
    <w:rsid w:val="005C4A6B"/>
    <w:rsid w:val="005C532C"/>
    <w:rsid w:val="005C7439"/>
    <w:rsid w:val="005C7D7D"/>
    <w:rsid w:val="005C7F35"/>
    <w:rsid w:val="005D1C5B"/>
    <w:rsid w:val="005D1FD0"/>
    <w:rsid w:val="005D2010"/>
    <w:rsid w:val="005D3701"/>
    <w:rsid w:val="005D5A12"/>
    <w:rsid w:val="005D5A5F"/>
    <w:rsid w:val="005E07AF"/>
    <w:rsid w:val="005E2778"/>
    <w:rsid w:val="005E2D48"/>
    <w:rsid w:val="005E3404"/>
    <w:rsid w:val="005E4D4A"/>
    <w:rsid w:val="005E5CDD"/>
    <w:rsid w:val="005E7830"/>
    <w:rsid w:val="005F06FC"/>
    <w:rsid w:val="005F22D8"/>
    <w:rsid w:val="005F2C0D"/>
    <w:rsid w:val="005F3FD9"/>
    <w:rsid w:val="005F4B93"/>
    <w:rsid w:val="005F6AE3"/>
    <w:rsid w:val="005F727D"/>
    <w:rsid w:val="005F740B"/>
    <w:rsid w:val="005F775F"/>
    <w:rsid w:val="00601E3F"/>
    <w:rsid w:val="00602FE3"/>
    <w:rsid w:val="00603215"/>
    <w:rsid w:val="006046A9"/>
    <w:rsid w:val="00604FA7"/>
    <w:rsid w:val="00605D05"/>
    <w:rsid w:val="006060E3"/>
    <w:rsid w:val="006074A9"/>
    <w:rsid w:val="006103C9"/>
    <w:rsid w:val="00611298"/>
    <w:rsid w:val="006116D6"/>
    <w:rsid w:val="00612E8B"/>
    <w:rsid w:val="00613B70"/>
    <w:rsid w:val="00614F90"/>
    <w:rsid w:val="00615A88"/>
    <w:rsid w:val="006174EA"/>
    <w:rsid w:val="00620377"/>
    <w:rsid w:val="0062141A"/>
    <w:rsid w:val="0062175C"/>
    <w:rsid w:val="00621AFB"/>
    <w:rsid w:val="00621D79"/>
    <w:rsid w:val="006236DB"/>
    <w:rsid w:val="00624384"/>
    <w:rsid w:val="00625311"/>
    <w:rsid w:val="00625A2E"/>
    <w:rsid w:val="00625F51"/>
    <w:rsid w:val="00630424"/>
    <w:rsid w:val="0063112A"/>
    <w:rsid w:val="006322A4"/>
    <w:rsid w:val="00632E28"/>
    <w:rsid w:val="00634236"/>
    <w:rsid w:val="00634394"/>
    <w:rsid w:val="006345DC"/>
    <w:rsid w:val="00635A96"/>
    <w:rsid w:val="00636BDC"/>
    <w:rsid w:val="0064044F"/>
    <w:rsid w:val="00641372"/>
    <w:rsid w:val="00641587"/>
    <w:rsid w:val="00641F32"/>
    <w:rsid w:val="00642201"/>
    <w:rsid w:val="00642C69"/>
    <w:rsid w:val="00642D90"/>
    <w:rsid w:val="006434C6"/>
    <w:rsid w:val="006435AF"/>
    <w:rsid w:val="00643AD1"/>
    <w:rsid w:val="00644B9F"/>
    <w:rsid w:val="00645A76"/>
    <w:rsid w:val="006503CA"/>
    <w:rsid w:val="00650A48"/>
    <w:rsid w:val="006516EE"/>
    <w:rsid w:val="006528C9"/>
    <w:rsid w:val="0065306F"/>
    <w:rsid w:val="00654D85"/>
    <w:rsid w:val="00654E76"/>
    <w:rsid w:val="006555D1"/>
    <w:rsid w:val="00655678"/>
    <w:rsid w:val="00655897"/>
    <w:rsid w:val="00655C8C"/>
    <w:rsid w:val="0065619F"/>
    <w:rsid w:val="006602E9"/>
    <w:rsid w:val="00660523"/>
    <w:rsid w:val="00661182"/>
    <w:rsid w:val="0066148D"/>
    <w:rsid w:val="00663481"/>
    <w:rsid w:val="006644B6"/>
    <w:rsid w:val="006647CF"/>
    <w:rsid w:val="006647EC"/>
    <w:rsid w:val="00665522"/>
    <w:rsid w:val="006659E6"/>
    <w:rsid w:val="00666BCB"/>
    <w:rsid w:val="00666BEC"/>
    <w:rsid w:val="0066748A"/>
    <w:rsid w:val="00671BB9"/>
    <w:rsid w:val="00673DDD"/>
    <w:rsid w:val="00675080"/>
    <w:rsid w:val="00675863"/>
    <w:rsid w:val="006760CA"/>
    <w:rsid w:val="00676339"/>
    <w:rsid w:val="0067664E"/>
    <w:rsid w:val="00683BB9"/>
    <w:rsid w:val="00684612"/>
    <w:rsid w:val="0068470E"/>
    <w:rsid w:val="00684A8B"/>
    <w:rsid w:val="00684F97"/>
    <w:rsid w:val="006860F9"/>
    <w:rsid w:val="00687471"/>
    <w:rsid w:val="006912EC"/>
    <w:rsid w:val="006925F1"/>
    <w:rsid w:val="006942E6"/>
    <w:rsid w:val="0069498D"/>
    <w:rsid w:val="0069509C"/>
    <w:rsid w:val="0069532B"/>
    <w:rsid w:val="00695C2C"/>
    <w:rsid w:val="006A0DB1"/>
    <w:rsid w:val="006A0F29"/>
    <w:rsid w:val="006A130C"/>
    <w:rsid w:val="006A138A"/>
    <w:rsid w:val="006A1F59"/>
    <w:rsid w:val="006A27D8"/>
    <w:rsid w:val="006A401E"/>
    <w:rsid w:val="006A4353"/>
    <w:rsid w:val="006A46CA"/>
    <w:rsid w:val="006A7519"/>
    <w:rsid w:val="006B0388"/>
    <w:rsid w:val="006B4B0E"/>
    <w:rsid w:val="006B4E03"/>
    <w:rsid w:val="006B4F86"/>
    <w:rsid w:val="006B5361"/>
    <w:rsid w:val="006B5516"/>
    <w:rsid w:val="006B710D"/>
    <w:rsid w:val="006C1B4D"/>
    <w:rsid w:val="006C2B7E"/>
    <w:rsid w:val="006C4EAA"/>
    <w:rsid w:val="006C683D"/>
    <w:rsid w:val="006D0121"/>
    <w:rsid w:val="006D02BC"/>
    <w:rsid w:val="006D2FD6"/>
    <w:rsid w:val="006D3459"/>
    <w:rsid w:val="006D3708"/>
    <w:rsid w:val="006D38FB"/>
    <w:rsid w:val="006E07AF"/>
    <w:rsid w:val="006E160A"/>
    <w:rsid w:val="006E5237"/>
    <w:rsid w:val="006F2E59"/>
    <w:rsid w:val="006F38AD"/>
    <w:rsid w:val="006F4EBD"/>
    <w:rsid w:val="006F5B55"/>
    <w:rsid w:val="006F79E9"/>
    <w:rsid w:val="00701C79"/>
    <w:rsid w:val="0070468B"/>
    <w:rsid w:val="00704F94"/>
    <w:rsid w:val="00710E47"/>
    <w:rsid w:val="00710F52"/>
    <w:rsid w:val="00711350"/>
    <w:rsid w:val="007115A7"/>
    <w:rsid w:val="0071240A"/>
    <w:rsid w:val="00713DAE"/>
    <w:rsid w:val="00714627"/>
    <w:rsid w:val="00715C81"/>
    <w:rsid w:val="0071635F"/>
    <w:rsid w:val="007173E0"/>
    <w:rsid w:val="0072118B"/>
    <w:rsid w:val="00721526"/>
    <w:rsid w:val="00723042"/>
    <w:rsid w:val="007236B9"/>
    <w:rsid w:val="007237DF"/>
    <w:rsid w:val="00724080"/>
    <w:rsid w:val="00725C9A"/>
    <w:rsid w:val="00726639"/>
    <w:rsid w:val="007301E7"/>
    <w:rsid w:val="00731772"/>
    <w:rsid w:val="00731A08"/>
    <w:rsid w:val="007323A4"/>
    <w:rsid w:val="00732578"/>
    <w:rsid w:val="00732C28"/>
    <w:rsid w:val="00733510"/>
    <w:rsid w:val="00733A62"/>
    <w:rsid w:val="007349DF"/>
    <w:rsid w:val="007368DE"/>
    <w:rsid w:val="00736D60"/>
    <w:rsid w:val="007405D1"/>
    <w:rsid w:val="007418DE"/>
    <w:rsid w:val="00742B98"/>
    <w:rsid w:val="007438F4"/>
    <w:rsid w:val="00744D5B"/>
    <w:rsid w:val="00744DD0"/>
    <w:rsid w:val="00745282"/>
    <w:rsid w:val="0074530E"/>
    <w:rsid w:val="007453BC"/>
    <w:rsid w:val="007461AE"/>
    <w:rsid w:val="0074673A"/>
    <w:rsid w:val="00750962"/>
    <w:rsid w:val="00750A45"/>
    <w:rsid w:val="00752FEB"/>
    <w:rsid w:val="007530E9"/>
    <w:rsid w:val="00754533"/>
    <w:rsid w:val="00754B95"/>
    <w:rsid w:val="00755031"/>
    <w:rsid w:val="0075567C"/>
    <w:rsid w:val="00756057"/>
    <w:rsid w:val="00757DE2"/>
    <w:rsid w:val="00762D08"/>
    <w:rsid w:val="00762D23"/>
    <w:rsid w:val="00764669"/>
    <w:rsid w:val="00766E57"/>
    <w:rsid w:val="0076766A"/>
    <w:rsid w:val="00767729"/>
    <w:rsid w:val="00770068"/>
    <w:rsid w:val="00770B56"/>
    <w:rsid w:val="0077100A"/>
    <w:rsid w:val="0077293E"/>
    <w:rsid w:val="00773175"/>
    <w:rsid w:val="00773E83"/>
    <w:rsid w:val="0077606C"/>
    <w:rsid w:val="0077633E"/>
    <w:rsid w:val="00776E6D"/>
    <w:rsid w:val="007772E7"/>
    <w:rsid w:val="007802C4"/>
    <w:rsid w:val="00780499"/>
    <w:rsid w:val="00780D55"/>
    <w:rsid w:val="00782476"/>
    <w:rsid w:val="00783573"/>
    <w:rsid w:val="00783D50"/>
    <w:rsid w:val="007855A5"/>
    <w:rsid w:val="007856F4"/>
    <w:rsid w:val="007858DC"/>
    <w:rsid w:val="00785A08"/>
    <w:rsid w:val="0078665D"/>
    <w:rsid w:val="00786939"/>
    <w:rsid w:val="0078772B"/>
    <w:rsid w:val="00787F0C"/>
    <w:rsid w:val="00790398"/>
    <w:rsid w:val="00790B95"/>
    <w:rsid w:val="007916CE"/>
    <w:rsid w:val="007934E9"/>
    <w:rsid w:val="007946BD"/>
    <w:rsid w:val="00795170"/>
    <w:rsid w:val="007954DD"/>
    <w:rsid w:val="0079555A"/>
    <w:rsid w:val="00795D74"/>
    <w:rsid w:val="00797A88"/>
    <w:rsid w:val="007A1241"/>
    <w:rsid w:val="007A1429"/>
    <w:rsid w:val="007A2567"/>
    <w:rsid w:val="007A3482"/>
    <w:rsid w:val="007A50B0"/>
    <w:rsid w:val="007A56BA"/>
    <w:rsid w:val="007A67CF"/>
    <w:rsid w:val="007A6A3B"/>
    <w:rsid w:val="007A713D"/>
    <w:rsid w:val="007A7C99"/>
    <w:rsid w:val="007B2533"/>
    <w:rsid w:val="007B2797"/>
    <w:rsid w:val="007B31E6"/>
    <w:rsid w:val="007B4DEA"/>
    <w:rsid w:val="007B5B25"/>
    <w:rsid w:val="007B5B66"/>
    <w:rsid w:val="007B69E8"/>
    <w:rsid w:val="007B7F43"/>
    <w:rsid w:val="007C00FF"/>
    <w:rsid w:val="007C17AA"/>
    <w:rsid w:val="007C19ED"/>
    <w:rsid w:val="007C3810"/>
    <w:rsid w:val="007C56A2"/>
    <w:rsid w:val="007C6C5D"/>
    <w:rsid w:val="007C6DDF"/>
    <w:rsid w:val="007C76A4"/>
    <w:rsid w:val="007C7A69"/>
    <w:rsid w:val="007C7BF2"/>
    <w:rsid w:val="007C7F2B"/>
    <w:rsid w:val="007D040C"/>
    <w:rsid w:val="007D0C56"/>
    <w:rsid w:val="007D116C"/>
    <w:rsid w:val="007D4D98"/>
    <w:rsid w:val="007D5696"/>
    <w:rsid w:val="007D7120"/>
    <w:rsid w:val="007E0AC7"/>
    <w:rsid w:val="007E2ED2"/>
    <w:rsid w:val="007E39B4"/>
    <w:rsid w:val="007E49E1"/>
    <w:rsid w:val="007E56D1"/>
    <w:rsid w:val="007E5F69"/>
    <w:rsid w:val="007E6105"/>
    <w:rsid w:val="007E7823"/>
    <w:rsid w:val="007F00FB"/>
    <w:rsid w:val="007F0238"/>
    <w:rsid w:val="007F3408"/>
    <w:rsid w:val="007F4177"/>
    <w:rsid w:val="007F64E3"/>
    <w:rsid w:val="007F7DB9"/>
    <w:rsid w:val="00803ACB"/>
    <w:rsid w:val="00804319"/>
    <w:rsid w:val="00804521"/>
    <w:rsid w:val="008045A2"/>
    <w:rsid w:val="00805762"/>
    <w:rsid w:val="008075A3"/>
    <w:rsid w:val="00810B49"/>
    <w:rsid w:val="00811ABB"/>
    <w:rsid w:val="00812062"/>
    <w:rsid w:val="00813B3F"/>
    <w:rsid w:val="0081476F"/>
    <w:rsid w:val="00815D65"/>
    <w:rsid w:val="0081682A"/>
    <w:rsid w:val="00817185"/>
    <w:rsid w:val="008178BD"/>
    <w:rsid w:val="00820E44"/>
    <w:rsid w:val="00820FC0"/>
    <w:rsid w:val="008218F0"/>
    <w:rsid w:val="00821F88"/>
    <w:rsid w:val="00822EE2"/>
    <w:rsid w:val="00823D74"/>
    <w:rsid w:val="00824020"/>
    <w:rsid w:val="0082573B"/>
    <w:rsid w:val="008264AF"/>
    <w:rsid w:val="00826CF3"/>
    <w:rsid w:val="0082752C"/>
    <w:rsid w:val="00827EDA"/>
    <w:rsid w:val="008300ED"/>
    <w:rsid w:val="00830934"/>
    <w:rsid w:val="00831974"/>
    <w:rsid w:val="00832BB3"/>
    <w:rsid w:val="00832EE8"/>
    <w:rsid w:val="0083333C"/>
    <w:rsid w:val="0083362B"/>
    <w:rsid w:val="00833E54"/>
    <w:rsid w:val="00834DE8"/>
    <w:rsid w:val="00834DEC"/>
    <w:rsid w:val="00841295"/>
    <w:rsid w:val="008414BA"/>
    <w:rsid w:val="00841998"/>
    <w:rsid w:val="00841CD8"/>
    <w:rsid w:val="00842CEF"/>
    <w:rsid w:val="00843CDD"/>
    <w:rsid w:val="00844C02"/>
    <w:rsid w:val="008452B1"/>
    <w:rsid w:val="008508E1"/>
    <w:rsid w:val="00851E33"/>
    <w:rsid w:val="00852A2C"/>
    <w:rsid w:val="00852EF8"/>
    <w:rsid w:val="00854476"/>
    <w:rsid w:val="008545E0"/>
    <w:rsid w:val="008545E4"/>
    <w:rsid w:val="008553AA"/>
    <w:rsid w:val="00855710"/>
    <w:rsid w:val="00855B0B"/>
    <w:rsid w:val="00856295"/>
    <w:rsid w:val="00856963"/>
    <w:rsid w:val="00856FD6"/>
    <w:rsid w:val="008577C9"/>
    <w:rsid w:val="00857AAE"/>
    <w:rsid w:val="008612CC"/>
    <w:rsid w:val="0086148E"/>
    <w:rsid w:val="008615E7"/>
    <w:rsid w:val="00863A0F"/>
    <w:rsid w:val="00864733"/>
    <w:rsid w:val="00865024"/>
    <w:rsid w:val="00865777"/>
    <w:rsid w:val="00865CCC"/>
    <w:rsid w:val="00866012"/>
    <w:rsid w:val="00866817"/>
    <w:rsid w:val="0086714E"/>
    <w:rsid w:val="00867A4A"/>
    <w:rsid w:val="00871149"/>
    <w:rsid w:val="00871E2E"/>
    <w:rsid w:val="00873679"/>
    <w:rsid w:val="008738D5"/>
    <w:rsid w:val="00873B18"/>
    <w:rsid w:val="00874724"/>
    <w:rsid w:val="00875CC8"/>
    <w:rsid w:val="00875E3C"/>
    <w:rsid w:val="00876D5F"/>
    <w:rsid w:val="008770AB"/>
    <w:rsid w:val="008771D5"/>
    <w:rsid w:val="0088002E"/>
    <w:rsid w:val="008801EA"/>
    <w:rsid w:val="00880638"/>
    <w:rsid w:val="00880ED5"/>
    <w:rsid w:val="00882FCC"/>
    <w:rsid w:val="00883478"/>
    <w:rsid w:val="00884422"/>
    <w:rsid w:val="00886453"/>
    <w:rsid w:val="008867AC"/>
    <w:rsid w:val="0088788E"/>
    <w:rsid w:val="00887FD8"/>
    <w:rsid w:val="0089188F"/>
    <w:rsid w:val="00891A9B"/>
    <w:rsid w:val="0089301F"/>
    <w:rsid w:val="0089334C"/>
    <w:rsid w:val="008936B7"/>
    <w:rsid w:val="00893763"/>
    <w:rsid w:val="00896192"/>
    <w:rsid w:val="00897474"/>
    <w:rsid w:val="00897E6C"/>
    <w:rsid w:val="008A04F0"/>
    <w:rsid w:val="008A0B37"/>
    <w:rsid w:val="008A0E3D"/>
    <w:rsid w:val="008A0E61"/>
    <w:rsid w:val="008A14B8"/>
    <w:rsid w:val="008A2AB1"/>
    <w:rsid w:val="008A37BF"/>
    <w:rsid w:val="008A4223"/>
    <w:rsid w:val="008A451C"/>
    <w:rsid w:val="008A4698"/>
    <w:rsid w:val="008A6E6F"/>
    <w:rsid w:val="008B011A"/>
    <w:rsid w:val="008B13FB"/>
    <w:rsid w:val="008B1FCB"/>
    <w:rsid w:val="008B272A"/>
    <w:rsid w:val="008B31FF"/>
    <w:rsid w:val="008B4C49"/>
    <w:rsid w:val="008B4FB3"/>
    <w:rsid w:val="008B6663"/>
    <w:rsid w:val="008B6A41"/>
    <w:rsid w:val="008B71D6"/>
    <w:rsid w:val="008C0703"/>
    <w:rsid w:val="008C1232"/>
    <w:rsid w:val="008C1E6D"/>
    <w:rsid w:val="008C2548"/>
    <w:rsid w:val="008C2CEE"/>
    <w:rsid w:val="008C5806"/>
    <w:rsid w:val="008C6ECF"/>
    <w:rsid w:val="008C771B"/>
    <w:rsid w:val="008D046A"/>
    <w:rsid w:val="008D0762"/>
    <w:rsid w:val="008D0C74"/>
    <w:rsid w:val="008D2705"/>
    <w:rsid w:val="008D2F27"/>
    <w:rsid w:val="008D32B1"/>
    <w:rsid w:val="008D33FD"/>
    <w:rsid w:val="008D45B3"/>
    <w:rsid w:val="008D5106"/>
    <w:rsid w:val="008D5424"/>
    <w:rsid w:val="008D6DFB"/>
    <w:rsid w:val="008E03D1"/>
    <w:rsid w:val="008E102D"/>
    <w:rsid w:val="008E14C0"/>
    <w:rsid w:val="008E1C2B"/>
    <w:rsid w:val="008E212F"/>
    <w:rsid w:val="008E23B3"/>
    <w:rsid w:val="008E24CA"/>
    <w:rsid w:val="008E2AC5"/>
    <w:rsid w:val="008E323D"/>
    <w:rsid w:val="008E4CAD"/>
    <w:rsid w:val="008E6398"/>
    <w:rsid w:val="008E7FED"/>
    <w:rsid w:val="008F002F"/>
    <w:rsid w:val="008F03FB"/>
    <w:rsid w:val="008F05A8"/>
    <w:rsid w:val="008F26BC"/>
    <w:rsid w:val="008F2F36"/>
    <w:rsid w:val="008F3363"/>
    <w:rsid w:val="008F3C8D"/>
    <w:rsid w:val="008F47A5"/>
    <w:rsid w:val="008F56EC"/>
    <w:rsid w:val="0090093C"/>
    <w:rsid w:val="00901704"/>
    <w:rsid w:val="009052E8"/>
    <w:rsid w:val="00905FBA"/>
    <w:rsid w:val="00906495"/>
    <w:rsid w:val="009069F6"/>
    <w:rsid w:val="0091099D"/>
    <w:rsid w:val="00912D82"/>
    <w:rsid w:val="00912DE2"/>
    <w:rsid w:val="009130B5"/>
    <w:rsid w:val="009145A6"/>
    <w:rsid w:val="009162A6"/>
    <w:rsid w:val="009167D2"/>
    <w:rsid w:val="00917AE3"/>
    <w:rsid w:val="009209C9"/>
    <w:rsid w:val="00920CD8"/>
    <w:rsid w:val="00921789"/>
    <w:rsid w:val="00923025"/>
    <w:rsid w:val="00923816"/>
    <w:rsid w:val="00923C78"/>
    <w:rsid w:val="009248BC"/>
    <w:rsid w:val="00924A2E"/>
    <w:rsid w:val="009252E7"/>
    <w:rsid w:val="00925879"/>
    <w:rsid w:val="00933430"/>
    <w:rsid w:val="009349D7"/>
    <w:rsid w:val="00934D37"/>
    <w:rsid w:val="00935257"/>
    <w:rsid w:val="0093579F"/>
    <w:rsid w:val="00936767"/>
    <w:rsid w:val="00940008"/>
    <w:rsid w:val="00940F7A"/>
    <w:rsid w:val="0094138A"/>
    <w:rsid w:val="00941642"/>
    <w:rsid w:val="00941787"/>
    <w:rsid w:val="00943D28"/>
    <w:rsid w:val="00944472"/>
    <w:rsid w:val="009448BE"/>
    <w:rsid w:val="009452EB"/>
    <w:rsid w:val="00945BE4"/>
    <w:rsid w:val="00945C10"/>
    <w:rsid w:val="00950C72"/>
    <w:rsid w:val="0095303C"/>
    <w:rsid w:val="009543BD"/>
    <w:rsid w:val="00955368"/>
    <w:rsid w:val="0095606F"/>
    <w:rsid w:val="00956241"/>
    <w:rsid w:val="009565B2"/>
    <w:rsid w:val="00957975"/>
    <w:rsid w:val="00960010"/>
    <w:rsid w:val="009606C4"/>
    <w:rsid w:val="0096121C"/>
    <w:rsid w:val="00961977"/>
    <w:rsid w:val="009627F9"/>
    <w:rsid w:val="00963755"/>
    <w:rsid w:val="00964EA5"/>
    <w:rsid w:val="00964EE8"/>
    <w:rsid w:val="0096535C"/>
    <w:rsid w:val="009655A0"/>
    <w:rsid w:val="00965952"/>
    <w:rsid w:val="00965C0F"/>
    <w:rsid w:val="00966828"/>
    <w:rsid w:val="009669B0"/>
    <w:rsid w:val="0096770A"/>
    <w:rsid w:val="0096772D"/>
    <w:rsid w:val="00970559"/>
    <w:rsid w:val="009706AF"/>
    <w:rsid w:val="00970A4A"/>
    <w:rsid w:val="009716E0"/>
    <w:rsid w:val="0097175C"/>
    <w:rsid w:val="00973816"/>
    <w:rsid w:val="00973ECA"/>
    <w:rsid w:val="00975230"/>
    <w:rsid w:val="0097622D"/>
    <w:rsid w:val="0097763E"/>
    <w:rsid w:val="00980BF5"/>
    <w:rsid w:val="00980D6A"/>
    <w:rsid w:val="00981332"/>
    <w:rsid w:val="009817D2"/>
    <w:rsid w:val="00983CCC"/>
    <w:rsid w:val="00984405"/>
    <w:rsid w:val="00985FA4"/>
    <w:rsid w:val="00985FD7"/>
    <w:rsid w:val="00986B49"/>
    <w:rsid w:val="0099019A"/>
    <w:rsid w:val="00990B3F"/>
    <w:rsid w:val="00990F12"/>
    <w:rsid w:val="00991E28"/>
    <w:rsid w:val="0099371B"/>
    <w:rsid w:val="00993919"/>
    <w:rsid w:val="009952B1"/>
    <w:rsid w:val="00995ED4"/>
    <w:rsid w:val="0099670E"/>
    <w:rsid w:val="00996C8F"/>
    <w:rsid w:val="00997B33"/>
    <w:rsid w:val="009A2382"/>
    <w:rsid w:val="009A31F4"/>
    <w:rsid w:val="009A3657"/>
    <w:rsid w:val="009A43A6"/>
    <w:rsid w:val="009A48FA"/>
    <w:rsid w:val="009B1537"/>
    <w:rsid w:val="009B2D37"/>
    <w:rsid w:val="009B2DAC"/>
    <w:rsid w:val="009B3DF8"/>
    <w:rsid w:val="009B3FEB"/>
    <w:rsid w:val="009B5DDF"/>
    <w:rsid w:val="009B6C08"/>
    <w:rsid w:val="009B7CD1"/>
    <w:rsid w:val="009C0572"/>
    <w:rsid w:val="009C07E4"/>
    <w:rsid w:val="009C349C"/>
    <w:rsid w:val="009C3B07"/>
    <w:rsid w:val="009C4FE2"/>
    <w:rsid w:val="009C574D"/>
    <w:rsid w:val="009C635E"/>
    <w:rsid w:val="009C6E37"/>
    <w:rsid w:val="009C6E97"/>
    <w:rsid w:val="009C72C0"/>
    <w:rsid w:val="009D09E7"/>
    <w:rsid w:val="009D0F0C"/>
    <w:rsid w:val="009D27F8"/>
    <w:rsid w:val="009D2E46"/>
    <w:rsid w:val="009D3423"/>
    <w:rsid w:val="009D34A2"/>
    <w:rsid w:val="009D4318"/>
    <w:rsid w:val="009D4D07"/>
    <w:rsid w:val="009D70E8"/>
    <w:rsid w:val="009D7248"/>
    <w:rsid w:val="009D7C30"/>
    <w:rsid w:val="009E1646"/>
    <w:rsid w:val="009E18C0"/>
    <w:rsid w:val="009E1BEA"/>
    <w:rsid w:val="009E1E9E"/>
    <w:rsid w:val="009E215F"/>
    <w:rsid w:val="009E5B37"/>
    <w:rsid w:val="009E63F8"/>
    <w:rsid w:val="009F0728"/>
    <w:rsid w:val="009F0EC0"/>
    <w:rsid w:val="009F1AF9"/>
    <w:rsid w:val="009F3FC1"/>
    <w:rsid w:val="009F43A8"/>
    <w:rsid w:val="009F562B"/>
    <w:rsid w:val="009F5A19"/>
    <w:rsid w:val="009F5A81"/>
    <w:rsid w:val="009F5F1B"/>
    <w:rsid w:val="009F6532"/>
    <w:rsid w:val="00A0046C"/>
    <w:rsid w:val="00A02CF0"/>
    <w:rsid w:val="00A02D3B"/>
    <w:rsid w:val="00A032ED"/>
    <w:rsid w:val="00A03359"/>
    <w:rsid w:val="00A03BFF"/>
    <w:rsid w:val="00A05BE0"/>
    <w:rsid w:val="00A05E97"/>
    <w:rsid w:val="00A12C3B"/>
    <w:rsid w:val="00A14048"/>
    <w:rsid w:val="00A14697"/>
    <w:rsid w:val="00A146F5"/>
    <w:rsid w:val="00A155A0"/>
    <w:rsid w:val="00A15F8F"/>
    <w:rsid w:val="00A160FA"/>
    <w:rsid w:val="00A162BC"/>
    <w:rsid w:val="00A163B5"/>
    <w:rsid w:val="00A164C4"/>
    <w:rsid w:val="00A17708"/>
    <w:rsid w:val="00A20152"/>
    <w:rsid w:val="00A20300"/>
    <w:rsid w:val="00A21054"/>
    <w:rsid w:val="00A220DE"/>
    <w:rsid w:val="00A227A0"/>
    <w:rsid w:val="00A25A6A"/>
    <w:rsid w:val="00A2635F"/>
    <w:rsid w:val="00A27D68"/>
    <w:rsid w:val="00A30AE5"/>
    <w:rsid w:val="00A339F4"/>
    <w:rsid w:val="00A3471A"/>
    <w:rsid w:val="00A34D10"/>
    <w:rsid w:val="00A34DAE"/>
    <w:rsid w:val="00A34EDE"/>
    <w:rsid w:val="00A35C29"/>
    <w:rsid w:val="00A36F6E"/>
    <w:rsid w:val="00A4015A"/>
    <w:rsid w:val="00A40BF3"/>
    <w:rsid w:val="00A41A22"/>
    <w:rsid w:val="00A42413"/>
    <w:rsid w:val="00A42D7E"/>
    <w:rsid w:val="00A44970"/>
    <w:rsid w:val="00A45644"/>
    <w:rsid w:val="00A4568E"/>
    <w:rsid w:val="00A465F1"/>
    <w:rsid w:val="00A53A84"/>
    <w:rsid w:val="00A544BE"/>
    <w:rsid w:val="00A555B8"/>
    <w:rsid w:val="00A557BD"/>
    <w:rsid w:val="00A60EE3"/>
    <w:rsid w:val="00A61879"/>
    <w:rsid w:val="00A61E3E"/>
    <w:rsid w:val="00A61F84"/>
    <w:rsid w:val="00A659FA"/>
    <w:rsid w:val="00A65D72"/>
    <w:rsid w:val="00A66003"/>
    <w:rsid w:val="00A6612D"/>
    <w:rsid w:val="00A66C25"/>
    <w:rsid w:val="00A705AB"/>
    <w:rsid w:val="00A707DC"/>
    <w:rsid w:val="00A70981"/>
    <w:rsid w:val="00A722D9"/>
    <w:rsid w:val="00A72FEC"/>
    <w:rsid w:val="00A73406"/>
    <w:rsid w:val="00A73B14"/>
    <w:rsid w:val="00A73D92"/>
    <w:rsid w:val="00A74C98"/>
    <w:rsid w:val="00A75C3E"/>
    <w:rsid w:val="00A75F95"/>
    <w:rsid w:val="00A76BF5"/>
    <w:rsid w:val="00A76DA0"/>
    <w:rsid w:val="00A80A52"/>
    <w:rsid w:val="00A80FFD"/>
    <w:rsid w:val="00A83EE0"/>
    <w:rsid w:val="00A84109"/>
    <w:rsid w:val="00A86209"/>
    <w:rsid w:val="00A867FB"/>
    <w:rsid w:val="00A873F5"/>
    <w:rsid w:val="00A90ADE"/>
    <w:rsid w:val="00A9176E"/>
    <w:rsid w:val="00A91D8E"/>
    <w:rsid w:val="00A91FE2"/>
    <w:rsid w:val="00A9242E"/>
    <w:rsid w:val="00A93F55"/>
    <w:rsid w:val="00A94017"/>
    <w:rsid w:val="00A9512F"/>
    <w:rsid w:val="00A95986"/>
    <w:rsid w:val="00A96804"/>
    <w:rsid w:val="00A96908"/>
    <w:rsid w:val="00A96E6B"/>
    <w:rsid w:val="00A978F1"/>
    <w:rsid w:val="00A979D4"/>
    <w:rsid w:val="00A97E3D"/>
    <w:rsid w:val="00AA00BA"/>
    <w:rsid w:val="00AA1983"/>
    <w:rsid w:val="00AA3486"/>
    <w:rsid w:val="00AA41FA"/>
    <w:rsid w:val="00AA4C69"/>
    <w:rsid w:val="00AA4FD6"/>
    <w:rsid w:val="00AA5901"/>
    <w:rsid w:val="00AA7E84"/>
    <w:rsid w:val="00AB038E"/>
    <w:rsid w:val="00AB1894"/>
    <w:rsid w:val="00AB2971"/>
    <w:rsid w:val="00AB4705"/>
    <w:rsid w:val="00AB550B"/>
    <w:rsid w:val="00AB5AE6"/>
    <w:rsid w:val="00AB73CB"/>
    <w:rsid w:val="00AC11D6"/>
    <w:rsid w:val="00AC1533"/>
    <w:rsid w:val="00AC3595"/>
    <w:rsid w:val="00AC4091"/>
    <w:rsid w:val="00AC537B"/>
    <w:rsid w:val="00AC6873"/>
    <w:rsid w:val="00AC6DF0"/>
    <w:rsid w:val="00AC7A19"/>
    <w:rsid w:val="00AC7E14"/>
    <w:rsid w:val="00AD12D1"/>
    <w:rsid w:val="00AD1638"/>
    <w:rsid w:val="00AD1851"/>
    <w:rsid w:val="00AD27B9"/>
    <w:rsid w:val="00AD2849"/>
    <w:rsid w:val="00AD2C02"/>
    <w:rsid w:val="00AD3015"/>
    <w:rsid w:val="00AD4070"/>
    <w:rsid w:val="00AD457D"/>
    <w:rsid w:val="00AD478D"/>
    <w:rsid w:val="00AD5247"/>
    <w:rsid w:val="00AD626B"/>
    <w:rsid w:val="00AD7A67"/>
    <w:rsid w:val="00AE0D24"/>
    <w:rsid w:val="00AE0D55"/>
    <w:rsid w:val="00AE1F1E"/>
    <w:rsid w:val="00AE3B36"/>
    <w:rsid w:val="00AE5DB5"/>
    <w:rsid w:val="00AE67E8"/>
    <w:rsid w:val="00AE799B"/>
    <w:rsid w:val="00AF1182"/>
    <w:rsid w:val="00AF30C9"/>
    <w:rsid w:val="00AF3B2D"/>
    <w:rsid w:val="00AF48F1"/>
    <w:rsid w:val="00AF494F"/>
    <w:rsid w:val="00AF4BD5"/>
    <w:rsid w:val="00AF7BC4"/>
    <w:rsid w:val="00B00EFC"/>
    <w:rsid w:val="00B01BEE"/>
    <w:rsid w:val="00B0214B"/>
    <w:rsid w:val="00B030A3"/>
    <w:rsid w:val="00B03E47"/>
    <w:rsid w:val="00B0545A"/>
    <w:rsid w:val="00B0563A"/>
    <w:rsid w:val="00B05A33"/>
    <w:rsid w:val="00B06145"/>
    <w:rsid w:val="00B06BC4"/>
    <w:rsid w:val="00B07256"/>
    <w:rsid w:val="00B12947"/>
    <w:rsid w:val="00B1382A"/>
    <w:rsid w:val="00B13BF8"/>
    <w:rsid w:val="00B14118"/>
    <w:rsid w:val="00B14969"/>
    <w:rsid w:val="00B16EBA"/>
    <w:rsid w:val="00B2039D"/>
    <w:rsid w:val="00B20DBC"/>
    <w:rsid w:val="00B217A0"/>
    <w:rsid w:val="00B21866"/>
    <w:rsid w:val="00B22638"/>
    <w:rsid w:val="00B23F7F"/>
    <w:rsid w:val="00B24663"/>
    <w:rsid w:val="00B25021"/>
    <w:rsid w:val="00B25549"/>
    <w:rsid w:val="00B26309"/>
    <w:rsid w:val="00B265BD"/>
    <w:rsid w:val="00B276EC"/>
    <w:rsid w:val="00B303A1"/>
    <w:rsid w:val="00B309B1"/>
    <w:rsid w:val="00B30B23"/>
    <w:rsid w:val="00B31045"/>
    <w:rsid w:val="00B31308"/>
    <w:rsid w:val="00B31A52"/>
    <w:rsid w:val="00B3383A"/>
    <w:rsid w:val="00B34337"/>
    <w:rsid w:val="00B34460"/>
    <w:rsid w:val="00B34F7F"/>
    <w:rsid w:val="00B36C6B"/>
    <w:rsid w:val="00B36C6E"/>
    <w:rsid w:val="00B36F4B"/>
    <w:rsid w:val="00B378B3"/>
    <w:rsid w:val="00B37B58"/>
    <w:rsid w:val="00B4074D"/>
    <w:rsid w:val="00B4082E"/>
    <w:rsid w:val="00B41160"/>
    <w:rsid w:val="00B4190E"/>
    <w:rsid w:val="00B41FF0"/>
    <w:rsid w:val="00B42BEA"/>
    <w:rsid w:val="00B43745"/>
    <w:rsid w:val="00B43F2E"/>
    <w:rsid w:val="00B445BD"/>
    <w:rsid w:val="00B44623"/>
    <w:rsid w:val="00B44CFC"/>
    <w:rsid w:val="00B4606E"/>
    <w:rsid w:val="00B46393"/>
    <w:rsid w:val="00B50E19"/>
    <w:rsid w:val="00B51A7D"/>
    <w:rsid w:val="00B529F6"/>
    <w:rsid w:val="00B52E63"/>
    <w:rsid w:val="00B54FD2"/>
    <w:rsid w:val="00B55778"/>
    <w:rsid w:val="00B56250"/>
    <w:rsid w:val="00B574F7"/>
    <w:rsid w:val="00B57754"/>
    <w:rsid w:val="00B605C6"/>
    <w:rsid w:val="00B61166"/>
    <w:rsid w:val="00B6134E"/>
    <w:rsid w:val="00B619DE"/>
    <w:rsid w:val="00B62BB0"/>
    <w:rsid w:val="00B62E23"/>
    <w:rsid w:val="00B63EC4"/>
    <w:rsid w:val="00B63F9D"/>
    <w:rsid w:val="00B64235"/>
    <w:rsid w:val="00B64B2A"/>
    <w:rsid w:val="00B65446"/>
    <w:rsid w:val="00B664D6"/>
    <w:rsid w:val="00B66532"/>
    <w:rsid w:val="00B7001A"/>
    <w:rsid w:val="00B7007D"/>
    <w:rsid w:val="00B705D1"/>
    <w:rsid w:val="00B71D85"/>
    <w:rsid w:val="00B7247A"/>
    <w:rsid w:val="00B75838"/>
    <w:rsid w:val="00B759EE"/>
    <w:rsid w:val="00B778E2"/>
    <w:rsid w:val="00B80791"/>
    <w:rsid w:val="00B80EFB"/>
    <w:rsid w:val="00B82742"/>
    <w:rsid w:val="00B82BE1"/>
    <w:rsid w:val="00B82F9D"/>
    <w:rsid w:val="00B83968"/>
    <w:rsid w:val="00B843AE"/>
    <w:rsid w:val="00B849CC"/>
    <w:rsid w:val="00B85040"/>
    <w:rsid w:val="00B85F18"/>
    <w:rsid w:val="00B86303"/>
    <w:rsid w:val="00B87250"/>
    <w:rsid w:val="00B9029F"/>
    <w:rsid w:val="00B92147"/>
    <w:rsid w:val="00B934DA"/>
    <w:rsid w:val="00B93BE7"/>
    <w:rsid w:val="00B94D84"/>
    <w:rsid w:val="00B96559"/>
    <w:rsid w:val="00B96716"/>
    <w:rsid w:val="00BA0406"/>
    <w:rsid w:val="00BA228E"/>
    <w:rsid w:val="00BA2322"/>
    <w:rsid w:val="00BA27E6"/>
    <w:rsid w:val="00BA311A"/>
    <w:rsid w:val="00BA3227"/>
    <w:rsid w:val="00BA3EF7"/>
    <w:rsid w:val="00BA41CC"/>
    <w:rsid w:val="00BA4EC7"/>
    <w:rsid w:val="00BA4F2D"/>
    <w:rsid w:val="00BA6949"/>
    <w:rsid w:val="00BB308C"/>
    <w:rsid w:val="00BB3303"/>
    <w:rsid w:val="00BB36A7"/>
    <w:rsid w:val="00BB3B78"/>
    <w:rsid w:val="00BB4061"/>
    <w:rsid w:val="00BB5C58"/>
    <w:rsid w:val="00BB6D7A"/>
    <w:rsid w:val="00BC0462"/>
    <w:rsid w:val="00BC19BF"/>
    <w:rsid w:val="00BC23C9"/>
    <w:rsid w:val="00BC39F3"/>
    <w:rsid w:val="00BC4031"/>
    <w:rsid w:val="00BC4DE2"/>
    <w:rsid w:val="00BC5311"/>
    <w:rsid w:val="00BC6A30"/>
    <w:rsid w:val="00BC7258"/>
    <w:rsid w:val="00BC7831"/>
    <w:rsid w:val="00BD221C"/>
    <w:rsid w:val="00BD4609"/>
    <w:rsid w:val="00BD48B8"/>
    <w:rsid w:val="00BD4F93"/>
    <w:rsid w:val="00BD5FEE"/>
    <w:rsid w:val="00BD702B"/>
    <w:rsid w:val="00BD7CA2"/>
    <w:rsid w:val="00BE3289"/>
    <w:rsid w:val="00BE3E82"/>
    <w:rsid w:val="00BE4171"/>
    <w:rsid w:val="00BE4A5B"/>
    <w:rsid w:val="00BE551C"/>
    <w:rsid w:val="00BE61F8"/>
    <w:rsid w:val="00BE6304"/>
    <w:rsid w:val="00BE6336"/>
    <w:rsid w:val="00BE7088"/>
    <w:rsid w:val="00BE7569"/>
    <w:rsid w:val="00BF06E9"/>
    <w:rsid w:val="00BF0B4D"/>
    <w:rsid w:val="00BF2B3D"/>
    <w:rsid w:val="00BF2CAA"/>
    <w:rsid w:val="00BF4CF9"/>
    <w:rsid w:val="00BF5E7C"/>
    <w:rsid w:val="00BF603D"/>
    <w:rsid w:val="00BF767E"/>
    <w:rsid w:val="00BF78C0"/>
    <w:rsid w:val="00BF7D04"/>
    <w:rsid w:val="00BF7F96"/>
    <w:rsid w:val="00C01D39"/>
    <w:rsid w:val="00C02A91"/>
    <w:rsid w:val="00C03052"/>
    <w:rsid w:val="00C043C4"/>
    <w:rsid w:val="00C04D67"/>
    <w:rsid w:val="00C0568A"/>
    <w:rsid w:val="00C06341"/>
    <w:rsid w:val="00C0796E"/>
    <w:rsid w:val="00C10DD3"/>
    <w:rsid w:val="00C13C34"/>
    <w:rsid w:val="00C15F84"/>
    <w:rsid w:val="00C160E1"/>
    <w:rsid w:val="00C2031A"/>
    <w:rsid w:val="00C224EE"/>
    <w:rsid w:val="00C228A9"/>
    <w:rsid w:val="00C22B83"/>
    <w:rsid w:val="00C23B0B"/>
    <w:rsid w:val="00C24E4C"/>
    <w:rsid w:val="00C25E9D"/>
    <w:rsid w:val="00C260D0"/>
    <w:rsid w:val="00C30CA4"/>
    <w:rsid w:val="00C31C96"/>
    <w:rsid w:val="00C321CC"/>
    <w:rsid w:val="00C341D4"/>
    <w:rsid w:val="00C3509F"/>
    <w:rsid w:val="00C3769E"/>
    <w:rsid w:val="00C37785"/>
    <w:rsid w:val="00C405B1"/>
    <w:rsid w:val="00C409BE"/>
    <w:rsid w:val="00C410D7"/>
    <w:rsid w:val="00C4124D"/>
    <w:rsid w:val="00C41C4F"/>
    <w:rsid w:val="00C42FA3"/>
    <w:rsid w:val="00C4335D"/>
    <w:rsid w:val="00C47E77"/>
    <w:rsid w:val="00C509CD"/>
    <w:rsid w:val="00C51158"/>
    <w:rsid w:val="00C514A0"/>
    <w:rsid w:val="00C52E95"/>
    <w:rsid w:val="00C53404"/>
    <w:rsid w:val="00C53EBF"/>
    <w:rsid w:val="00C542CA"/>
    <w:rsid w:val="00C5602E"/>
    <w:rsid w:val="00C562B8"/>
    <w:rsid w:val="00C56BFC"/>
    <w:rsid w:val="00C57D1A"/>
    <w:rsid w:val="00C61CE6"/>
    <w:rsid w:val="00C61E4A"/>
    <w:rsid w:val="00C621F0"/>
    <w:rsid w:val="00C62F7F"/>
    <w:rsid w:val="00C65005"/>
    <w:rsid w:val="00C65EF7"/>
    <w:rsid w:val="00C67B00"/>
    <w:rsid w:val="00C712BA"/>
    <w:rsid w:val="00C71FDF"/>
    <w:rsid w:val="00C729CE"/>
    <w:rsid w:val="00C736C2"/>
    <w:rsid w:val="00C7417C"/>
    <w:rsid w:val="00C7493D"/>
    <w:rsid w:val="00C74FD6"/>
    <w:rsid w:val="00C750F7"/>
    <w:rsid w:val="00C75859"/>
    <w:rsid w:val="00C75B91"/>
    <w:rsid w:val="00C75BBB"/>
    <w:rsid w:val="00C76314"/>
    <w:rsid w:val="00C76438"/>
    <w:rsid w:val="00C77EBB"/>
    <w:rsid w:val="00C82090"/>
    <w:rsid w:val="00C873A1"/>
    <w:rsid w:val="00C92313"/>
    <w:rsid w:val="00C92C5E"/>
    <w:rsid w:val="00C92D57"/>
    <w:rsid w:val="00C947C7"/>
    <w:rsid w:val="00C94882"/>
    <w:rsid w:val="00C95BA3"/>
    <w:rsid w:val="00C95F3E"/>
    <w:rsid w:val="00C96244"/>
    <w:rsid w:val="00C97673"/>
    <w:rsid w:val="00C97689"/>
    <w:rsid w:val="00CA0551"/>
    <w:rsid w:val="00CA177B"/>
    <w:rsid w:val="00CA2B60"/>
    <w:rsid w:val="00CA2E01"/>
    <w:rsid w:val="00CA32BC"/>
    <w:rsid w:val="00CA3675"/>
    <w:rsid w:val="00CA4691"/>
    <w:rsid w:val="00CA6D15"/>
    <w:rsid w:val="00CA7F82"/>
    <w:rsid w:val="00CB05BD"/>
    <w:rsid w:val="00CB2678"/>
    <w:rsid w:val="00CB282B"/>
    <w:rsid w:val="00CB2B3D"/>
    <w:rsid w:val="00CB464A"/>
    <w:rsid w:val="00CB5BA9"/>
    <w:rsid w:val="00CB63AE"/>
    <w:rsid w:val="00CB6F55"/>
    <w:rsid w:val="00CC0A07"/>
    <w:rsid w:val="00CC0A7A"/>
    <w:rsid w:val="00CC0F49"/>
    <w:rsid w:val="00CC1419"/>
    <w:rsid w:val="00CC3A13"/>
    <w:rsid w:val="00CC3BDF"/>
    <w:rsid w:val="00CC3DD5"/>
    <w:rsid w:val="00CC44B7"/>
    <w:rsid w:val="00CC57B7"/>
    <w:rsid w:val="00CC6028"/>
    <w:rsid w:val="00CC626A"/>
    <w:rsid w:val="00CC68BE"/>
    <w:rsid w:val="00CC6944"/>
    <w:rsid w:val="00CC7D14"/>
    <w:rsid w:val="00CD1CB6"/>
    <w:rsid w:val="00CD1D6E"/>
    <w:rsid w:val="00CD1E63"/>
    <w:rsid w:val="00CD2F87"/>
    <w:rsid w:val="00CD31DB"/>
    <w:rsid w:val="00CD501F"/>
    <w:rsid w:val="00CD54A8"/>
    <w:rsid w:val="00CE125D"/>
    <w:rsid w:val="00CE2A2B"/>
    <w:rsid w:val="00CE302B"/>
    <w:rsid w:val="00CE4779"/>
    <w:rsid w:val="00CE5666"/>
    <w:rsid w:val="00CE6F81"/>
    <w:rsid w:val="00CE7A1C"/>
    <w:rsid w:val="00CE7DDF"/>
    <w:rsid w:val="00CF1524"/>
    <w:rsid w:val="00CF286F"/>
    <w:rsid w:val="00CF521B"/>
    <w:rsid w:val="00CF5AA0"/>
    <w:rsid w:val="00CF6882"/>
    <w:rsid w:val="00CF7A6F"/>
    <w:rsid w:val="00D01A6E"/>
    <w:rsid w:val="00D02D76"/>
    <w:rsid w:val="00D02EC4"/>
    <w:rsid w:val="00D03103"/>
    <w:rsid w:val="00D03257"/>
    <w:rsid w:val="00D04226"/>
    <w:rsid w:val="00D04A08"/>
    <w:rsid w:val="00D058F1"/>
    <w:rsid w:val="00D06405"/>
    <w:rsid w:val="00D06F83"/>
    <w:rsid w:val="00D07D14"/>
    <w:rsid w:val="00D07EB4"/>
    <w:rsid w:val="00D10DCE"/>
    <w:rsid w:val="00D12201"/>
    <w:rsid w:val="00D12261"/>
    <w:rsid w:val="00D127E8"/>
    <w:rsid w:val="00D12BAC"/>
    <w:rsid w:val="00D135C8"/>
    <w:rsid w:val="00D13B7A"/>
    <w:rsid w:val="00D14141"/>
    <w:rsid w:val="00D1467F"/>
    <w:rsid w:val="00D163B4"/>
    <w:rsid w:val="00D16D07"/>
    <w:rsid w:val="00D17E89"/>
    <w:rsid w:val="00D17EB5"/>
    <w:rsid w:val="00D201C9"/>
    <w:rsid w:val="00D20E06"/>
    <w:rsid w:val="00D21756"/>
    <w:rsid w:val="00D2281A"/>
    <w:rsid w:val="00D23EA0"/>
    <w:rsid w:val="00D258C2"/>
    <w:rsid w:val="00D25CFA"/>
    <w:rsid w:val="00D26655"/>
    <w:rsid w:val="00D2750F"/>
    <w:rsid w:val="00D30692"/>
    <w:rsid w:val="00D31690"/>
    <w:rsid w:val="00D32A5D"/>
    <w:rsid w:val="00D3457F"/>
    <w:rsid w:val="00D34BE8"/>
    <w:rsid w:val="00D3567D"/>
    <w:rsid w:val="00D363F0"/>
    <w:rsid w:val="00D377EA"/>
    <w:rsid w:val="00D3784C"/>
    <w:rsid w:val="00D40536"/>
    <w:rsid w:val="00D42322"/>
    <w:rsid w:val="00D42A26"/>
    <w:rsid w:val="00D435C1"/>
    <w:rsid w:val="00D435C3"/>
    <w:rsid w:val="00D436CF"/>
    <w:rsid w:val="00D4422F"/>
    <w:rsid w:val="00D45969"/>
    <w:rsid w:val="00D45DE8"/>
    <w:rsid w:val="00D45F91"/>
    <w:rsid w:val="00D46FF7"/>
    <w:rsid w:val="00D4732A"/>
    <w:rsid w:val="00D47B5E"/>
    <w:rsid w:val="00D47C64"/>
    <w:rsid w:val="00D5063C"/>
    <w:rsid w:val="00D5197A"/>
    <w:rsid w:val="00D52D1C"/>
    <w:rsid w:val="00D54665"/>
    <w:rsid w:val="00D57918"/>
    <w:rsid w:val="00D61099"/>
    <w:rsid w:val="00D614DF"/>
    <w:rsid w:val="00D614E3"/>
    <w:rsid w:val="00D6192B"/>
    <w:rsid w:val="00D6235C"/>
    <w:rsid w:val="00D62C36"/>
    <w:rsid w:val="00D62C73"/>
    <w:rsid w:val="00D62E69"/>
    <w:rsid w:val="00D6323F"/>
    <w:rsid w:val="00D6324A"/>
    <w:rsid w:val="00D6325E"/>
    <w:rsid w:val="00D63EEF"/>
    <w:rsid w:val="00D644D0"/>
    <w:rsid w:val="00D64785"/>
    <w:rsid w:val="00D6482C"/>
    <w:rsid w:val="00D6513F"/>
    <w:rsid w:val="00D65538"/>
    <w:rsid w:val="00D66171"/>
    <w:rsid w:val="00D67DA2"/>
    <w:rsid w:val="00D7095E"/>
    <w:rsid w:val="00D73E36"/>
    <w:rsid w:val="00D73E7D"/>
    <w:rsid w:val="00D73FC9"/>
    <w:rsid w:val="00D75834"/>
    <w:rsid w:val="00D75DB5"/>
    <w:rsid w:val="00D80FC5"/>
    <w:rsid w:val="00D81829"/>
    <w:rsid w:val="00D82E19"/>
    <w:rsid w:val="00D834E7"/>
    <w:rsid w:val="00D84444"/>
    <w:rsid w:val="00D845EE"/>
    <w:rsid w:val="00D84653"/>
    <w:rsid w:val="00D84FB6"/>
    <w:rsid w:val="00D851CE"/>
    <w:rsid w:val="00D85D6F"/>
    <w:rsid w:val="00D86922"/>
    <w:rsid w:val="00D872CC"/>
    <w:rsid w:val="00D87452"/>
    <w:rsid w:val="00D878B5"/>
    <w:rsid w:val="00D906F0"/>
    <w:rsid w:val="00D91108"/>
    <w:rsid w:val="00D92B62"/>
    <w:rsid w:val="00D93161"/>
    <w:rsid w:val="00D93934"/>
    <w:rsid w:val="00D9463A"/>
    <w:rsid w:val="00D95890"/>
    <w:rsid w:val="00D96E0C"/>
    <w:rsid w:val="00D97303"/>
    <w:rsid w:val="00D973FD"/>
    <w:rsid w:val="00D97B95"/>
    <w:rsid w:val="00DA11E5"/>
    <w:rsid w:val="00DA2B8B"/>
    <w:rsid w:val="00DA2CC1"/>
    <w:rsid w:val="00DA3F44"/>
    <w:rsid w:val="00DA51D9"/>
    <w:rsid w:val="00DA577F"/>
    <w:rsid w:val="00DA5DBE"/>
    <w:rsid w:val="00DB240A"/>
    <w:rsid w:val="00DB25F0"/>
    <w:rsid w:val="00DB278A"/>
    <w:rsid w:val="00DB2AEE"/>
    <w:rsid w:val="00DB2B48"/>
    <w:rsid w:val="00DB41F4"/>
    <w:rsid w:val="00DC02D0"/>
    <w:rsid w:val="00DC36AF"/>
    <w:rsid w:val="00DC38ED"/>
    <w:rsid w:val="00DC458F"/>
    <w:rsid w:val="00DC473C"/>
    <w:rsid w:val="00DC5212"/>
    <w:rsid w:val="00DC539F"/>
    <w:rsid w:val="00DC7440"/>
    <w:rsid w:val="00DC7C14"/>
    <w:rsid w:val="00DD09E6"/>
    <w:rsid w:val="00DD33DD"/>
    <w:rsid w:val="00DD364A"/>
    <w:rsid w:val="00DD3A22"/>
    <w:rsid w:val="00DD3E1B"/>
    <w:rsid w:val="00DD4662"/>
    <w:rsid w:val="00DD471B"/>
    <w:rsid w:val="00DD49EE"/>
    <w:rsid w:val="00DD4C4A"/>
    <w:rsid w:val="00DD5C51"/>
    <w:rsid w:val="00DD651B"/>
    <w:rsid w:val="00DD66CD"/>
    <w:rsid w:val="00DD6C98"/>
    <w:rsid w:val="00DD7334"/>
    <w:rsid w:val="00DD786D"/>
    <w:rsid w:val="00DE03FF"/>
    <w:rsid w:val="00DE159F"/>
    <w:rsid w:val="00DE185D"/>
    <w:rsid w:val="00DE4145"/>
    <w:rsid w:val="00DE4306"/>
    <w:rsid w:val="00DE5A55"/>
    <w:rsid w:val="00DE5E92"/>
    <w:rsid w:val="00DE676E"/>
    <w:rsid w:val="00DE6F3B"/>
    <w:rsid w:val="00DE71FB"/>
    <w:rsid w:val="00DE7733"/>
    <w:rsid w:val="00DE7F19"/>
    <w:rsid w:val="00DF05FB"/>
    <w:rsid w:val="00DF09E6"/>
    <w:rsid w:val="00DF231B"/>
    <w:rsid w:val="00DF29F1"/>
    <w:rsid w:val="00DF2BBB"/>
    <w:rsid w:val="00DF2E9C"/>
    <w:rsid w:val="00DF3463"/>
    <w:rsid w:val="00DF55E2"/>
    <w:rsid w:val="00DF5780"/>
    <w:rsid w:val="00DF57CE"/>
    <w:rsid w:val="00DF5B29"/>
    <w:rsid w:val="00DF6C13"/>
    <w:rsid w:val="00DF7F39"/>
    <w:rsid w:val="00E00405"/>
    <w:rsid w:val="00E007E3"/>
    <w:rsid w:val="00E035E9"/>
    <w:rsid w:val="00E036F1"/>
    <w:rsid w:val="00E041BD"/>
    <w:rsid w:val="00E05E61"/>
    <w:rsid w:val="00E069A3"/>
    <w:rsid w:val="00E07E45"/>
    <w:rsid w:val="00E1221A"/>
    <w:rsid w:val="00E13210"/>
    <w:rsid w:val="00E16B54"/>
    <w:rsid w:val="00E17816"/>
    <w:rsid w:val="00E20372"/>
    <w:rsid w:val="00E20DB4"/>
    <w:rsid w:val="00E21A72"/>
    <w:rsid w:val="00E21D76"/>
    <w:rsid w:val="00E22B40"/>
    <w:rsid w:val="00E2343C"/>
    <w:rsid w:val="00E23DE9"/>
    <w:rsid w:val="00E24161"/>
    <w:rsid w:val="00E24E9A"/>
    <w:rsid w:val="00E25A2F"/>
    <w:rsid w:val="00E26728"/>
    <w:rsid w:val="00E26909"/>
    <w:rsid w:val="00E27C8D"/>
    <w:rsid w:val="00E31B19"/>
    <w:rsid w:val="00E34746"/>
    <w:rsid w:val="00E34D9E"/>
    <w:rsid w:val="00E352B2"/>
    <w:rsid w:val="00E36BD8"/>
    <w:rsid w:val="00E37E57"/>
    <w:rsid w:val="00E4083D"/>
    <w:rsid w:val="00E413F3"/>
    <w:rsid w:val="00E42BDC"/>
    <w:rsid w:val="00E45530"/>
    <w:rsid w:val="00E4576F"/>
    <w:rsid w:val="00E45B57"/>
    <w:rsid w:val="00E4696A"/>
    <w:rsid w:val="00E47F19"/>
    <w:rsid w:val="00E50269"/>
    <w:rsid w:val="00E50660"/>
    <w:rsid w:val="00E50CC4"/>
    <w:rsid w:val="00E54DD6"/>
    <w:rsid w:val="00E55546"/>
    <w:rsid w:val="00E607BA"/>
    <w:rsid w:val="00E609B8"/>
    <w:rsid w:val="00E6330E"/>
    <w:rsid w:val="00E63F7E"/>
    <w:rsid w:val="00E6406E"/>
    <w:rsid w:val="00E64BD3"/>
    <w:rsid w:val="00E650C9"/>
    <w:rsid w:val="00E66A86"/>
    <w:rsid w:val="00E67896"/>
    <w:rsid w:val="00E67953"/>
    <w:rsid w:val="00E71254"/>
    <w:rsid w:val="00E718E4"/>
    <w:rsid w:val="00E71952"/>
    <w:rsid w:val="00E74460"/>
    <w:rsid w:val="00E8005B"/>
    <w:rsid w:val="00E80327"/>
    <w:rsid w:val="00E80624"/>
    <w:rsid w:val="00E81AAE"/>
    <w:rsid w:val="00E81BF4"/>
    <w:rsid w:val="00E82076"/>
    <w:rsid w:val="00E8267C"/>
    <w:rsid w:val="00E82DFA"/>
    <w:rsid w:val="00E83BE4"/>
    <w:rsid w:val="00E846D8"/>
    <w:rsid w:val="00E867EC"/>
    <w:rsid w:val="00E868C0"/>
    <w:rsid w:val="00E873FE"/>
    <w:rsid w:val="00E90211"/>
    <w:rsid w:val="00E9021A"/>
    <w:rsid w:val="00E902F1"/>
    <w:rsid w:val="00E919A7"/>
    <w:rsid w:val="00E91F7F"/>
    <w:rsid w:val="00E92A52"/>
    <w:rsid w:val="00E92BBB"/>
    <w:rsid w:val="00E9323C"/>
    <w:rsid w:val="00E935AC"/>
    <w:rsid w:val="00E93779"/>
    <w:rsid w:val="00E947BE"/>
    <w:rsid w:val="00E94880"/>
    <w:rsid w:val="00E951C4"/>
    <w:rsid w:val="00E95D28"/>
    <w:rsid w:val="00E960FC"/>
    <w:rsid w:val="00EA00C2"/>
    <w:rsid w:val="00EA094C"/>
    <w:rsid w:val="00EA096D"/>
    <w:rsid w:val="00EA0DC3"/>
    <w:rsid w:val="00EA1C43"/>
    <w:rsid w:val="00EA240B"/>
    <w:rsid w:val="00EA37FC"/>
    <w:rsid w:val="00EA3AD4"/>
    <w:rsid w:val="00EA59B8"/>
    <w:rsid w:val="00EA5A69"/>
    <w:rsid w:val="00EA5C03"/>
    <w:rsid w:val="00EA7379"/>
    <w:rsid w:val="00EA7546"/>
    <w:rsid w:val="00EB0BF3"/>
    <w:rsid w:val="00EB0FAA"/>
    <w:rsid w:val="00EB5630"/>
    <w:rsid w:val="00EB62E0"/>
    <w:rsid w:val="00EC04E0"/>
    <w:rsid w:val="00EC094E"/>
    <w:rsid w:val="00EC24B7"/>
    <w:rsid w:val="00EC2814"/>
    <w:rsid w:val="00EC3951"/>
    <w:rsid w:val="00EC40FA"/>
    <w:rsid w:val="00EC53C9"/>
    <w:rsid w:val="00EC7193"/>
    <w:rsid w:val="00EC7B04"/>
    <w:rsid w:val="00EC7D13"/>
    <w:rsid w:val="00ED0105"/>
    <w:rsid w:val="00ED0319"/>
    <w:rsid w:val="00ED0DBE"/>
    <w:rsid w:val="00ED27C5"/>
    <w:rsid w:val="00ED3970"/>
    <w:rsid w:val="00ED3E97"/>
    <w:rsid w:val="00ED4B87"/>
    <w:rsid w:val="00ED4FCF"/>
    <w:rsid w:val="00ED5A0B"/>
    <w:rsid w:val="00ED5C33"/>
    <w:rsid w:val="00ED66E5"/>
    <w:rsid w:val="00ED7E46"/>
    <w:rsid w:val="00EE0889"/>
    <w:rsid w:val="00EE2774"/>
    <w:rsid w:val="00EE62AA"/>
    <w:rsid w:val="00EE6930"/>
    <w:rsid w:val="00EE79C5"/>
    <w:rsid w:val="00EE7D0E"/>
    <w:rsid w:val="00EF060E"/>
    <w:rsid w:val="00EF2D53"/>
    <w:rsid w:val="00EF2E42"/>
    <w:rsid w:val="00EF3CBE"/>
    <w:rsid w:val="00EF4893"/>
    <w:rsid w:val="00EF4C57"/>
    <w:rsid w:val="00EF5A07"/>
    <w:rsid w:val="00EF5C53"/>
    <w:rsid w:val="00EF5DC5"/>
    <w:rsid w:val="00EF64F1"/>
    <w:rsid w:val="00EF6DEF"/>
    <w:rsid w:val="00EF7B9D"/>
    <w:rsid w:val="00F009DF"/>
    <w:rsid w:val="00F018DB"/>
    <w:rsid w:val="00F01CAD"/>
    <w:rsid w:val="00F01CD5"/>
    <w:rsid w:val="00F03230"/>
    <w:rsid w:val="00F054AB"/>
    <w:rsid w:val="00F0726A"/>
    <w:rsid w:val="00F07F65"/>
    <w:rsid w:val="00F119AC"/>
    <w:rsid w:val="00F11B12"/>
    <w:rsid w:val="00F14F02"/>
    <w:rsid w:val="00F152A3"/>
    <w:rsid w:val="00F15615"/>
    <w:rsid w:val="00F15FD9"/>
    <w:rsid w:val="00F165B8"/>
    <w:rsid w:val="00F202E2"/>
    <w:rsid w:val="00F20DD4"/>
    <w:rsid w:val="00F217E6"/>
    <w:rsid w:val="00F23061"/>
    <w:rsid w:val="00F24C55"/>
    <w:rsid w:val="00F24CA1"/>
    <w:rsid w:val="00F254D9"/>
    <w:rsid w:val="00F26192"/>
    <w:rsid w:val="00F2779E"/>
    <w:rsid w:val="00F325A0"/>
    <w:rsid w:val="00F32BE6"/>
    <w:rsid w:val="00F331E6"/>
    <w:rsid w:val="00F368CD"/>
    <w:rsid w:val="00F36F38"/>
    <w:rsid w:val="00F41B37"/>
    <w:rsid w:val="00F42154"/>
    <w:rsid w:val="00F422D9"/>
    <w:rsid w:val="00F450F7"/>
    <w:rsid w:val="00F4588D"/>
    <w:rsid w:val="00F46C26"/>
    <w:rsid w:val="00F47947"/>
    <w:rsid w:val="00F504A8"/>
    <w:rsid w:val="00F540A7"/>
    <w:rsid w:val="00F5459A"/>
    <w:rsid w:val="00F54C6F"/>
    <w:rsid w:val="00F55085"/>
    <w:rsid w:val="00F55601"/>
    <w:rsid w:val="00F55884"/>
    <w:rsid w:val="00F55C8F"/>
    <w:rsid w:val="00F569BA"/>
    <w:rsid w:val="00F5754C"/>
    <w:rsid w:val="00F57C06"/>
    <w:rsid w:val="00F57D53"/>
    <w:rsid w:val="00F57EC9"/>
    <w:rsid w:val="00F6068C"/>
    <w:rsid w:val="00F61AA8"/>
    <w:rsid w:val="00F61CB6"/>
    <w:rsid w:val="00F62912"/>
    <w:rsid w:val="00F636F6"/>
    <w:rsid w:val="00F64F44"/>
    <w:rsid w:val="00F65BC8"/>
    <w:rsid w:val="00F65E87"/>
    <w:rsid w:val="00F66220"/>
    <w:rsid w:val="00F66B3F"/>
    <w:rsid w:val="00F66E11"/>
    <w:rsid w:val="00F7214F"/>
    <w:rsid w:val="00F722EE"/>
    <w:rsid w:val="00F7470E"/>
    <w:rsid w:val="00F74C28"/>
    <w:rsid w:val="00F74E56"/>
    <w:rsid w:val="00F75479"/>
    <w:rsid w:val="00F76A70"/>
    <w:rsid w:val="00F77A18"/>
    <w:rsid w:val="00F77F47"/>
    <w:rsid w:val="00F8044C"/>
    <w:rsid w:val="00F82EF4"/>
    <w:rsid w:val="00F82FEE"/>
    <w:rsid w:val="00F83829"/>
    <w:rsid w:val="00F848A6"/>
    <w:rsid w:val="00F8659D"/>
    <w:rsid w:val="00F86E09"/>
    <w:rsid w:val="00F86E5A"/>
    <w:rsid w:val="00F8720D"/>
    <w:rsid w:val="00F876D2"/>
    <w:rsid w:val="00F91E8E"/>
    <w:rsid w:val="00F921DA"/>
    <w:rsid w:val="00F93CF2"/>
    <w:rsid w:val="00F95194"/>
    <w:rsid w:val="00F95CF5"/>
    <w:rsid w:val="00F95DB6"/>
    <w:rsid w:val="00F95EE8"/>
    <w:rsid w:val="00F968FA"/>
    <w:rsid w:val="00F96A6D"/>
    <w:rsid w:val="00F96F5A"/>
    <w:rsid w:val="00F974DB"/>
    <w:rsid w:val="00F97941"/>
    <w:rsid w:val="00F97A9E"/>
    <w:rsid w:val="00FA02CD"/>
    <w:rsid w:val="00FA0F36"/>
    <w:rsid w:val="00FA1A4C"/>
    <w:rsid w:val="00FA254E"/>
    <w:rsid w:val="00FA2F7F"/>
    <w:rsid w:val="00FA5E1B"/>
    <w:rsid w:val="00FA78A1"/>
    <w:rsid w:val="00FB04CF"/>
    <w:rsid w:val="00FB0EDE"/>
    <w:rsid w:val="00FB177D"/>
    <w:rsid w:val="00FB20C0"/>
    <w:rsid w:val="00FB2BB4"/>
    <w:rsid w:val="00FB40A3"/>
    <w:rsid w:val="00FB46E2"/>
    <w:rsid w:val="00FB58A0"/>
    <w:rsid w:val="00FB63A2"/>
    <w:rsid w:val="00FB7010"/>
    <w:rsid w:val="00FB74E3"/>
    <w:rsid w:val="00FC0587"/>
    <w:rsid w:val="00FC087C"/>
    <w:rsid w:val="00FC11D2"/>
    <w:rsid w:val="00FC238F"/>
    <w:rsid w:val="00FC2A51"/>
    <w:rsid w:val="00FC36AC"/>
    <w:rsid w:val="00FC5A7B"/>
    <w:rsid w:val="00FC6CD8"/>
    <w:rsid w:val="00FD06DC"/>
    <w:rsid w:val="00FD1026"/>
    <w:rsid w:val="00FD19DA"/>
    <w:rsid w:val="00FE0B7E"/>
    <w:rsid w:val="00FE19D4"/>
    <w:rsid w:val="00FE223D"/>
    <w:rsid w:val="00FE27E4"/>
    <w:rsid w:val="00FE2D0A"/>
    <w:rsid w:val="00FE4403"/>
    <w:rsid w:val="00FE4DFA"/>
    <w:rsid w:val="00FE540D"/>
    <w:rsid w:val="00FE55B1"/>
    <w:rsid w:val="00FE566F"/>
    <w:rsid w:val="00FE6963"/>
    <w:rsid w:val="00FE6D93"/>
    <w:rsid w:val="00FE7780"/>
    <w:rsid w:val="00FF04B9"/>
    <w:rsid w:val="00FF0867"/>
    <w:rsid w:val="00FF0EED"/>
    <w:rsid w:val="00FF1109"/>
    <w:rsid w:val="00FF1A5B"/>
    <w:rsid w:val="00FF2303"/>
    <w:rsid w:val="00FF5422"/>
    <w:rsid w:val="00FF5F30"/>
    <w:rsid w:val="00FF5F59"/>
    <w:rsid w:val="00FF7051"/>
    <w:rsid w:val="00FF7D7A"/>
    <w:rsid w:val="00FF7F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314c"/>
    </o:shapedefaults>
    <o:shapelayout v:ext="edit">
      <o:idmap v:ext="edit" data="2"/>
    </o:shapelayout>
  </w:shapeDefaults>
  <w:decimalSymbol w:val="."/>
  <w:listSeparator w:val=","/>
  <w14:docId w14:val="6581ABC3"/>
  <w15:chartTrackingRefBased/>
  <w15:docId w15:val="{2F49F3A1-A6CB-4D40-8ABA-1B20ED5D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qFormat/>
    <w:rsid w:val="00863A0F"/>
    <w:pPr>
      <w:outlineLvl w:val="0"/>
    </w:pPr>
    <w:rPr>
      <w:color w:val="000000" w:themeColor="text1"/>
      <w:sz w:val="72"/>
      <w:szCs w:val="72"/>
    </w:rPr>
  </w:style>
  <w:style w:type="paragraph" w:styleId="Heading2">
    <w:name w:val="heading 2"/>
    <w:basedOn w:val="Normal"/>
    <w:next w:val="Normal"/>
    <w:link w:val="Heading2Char"/>
    <w:unhideWhenUsed/>
    <w:qFormat/>
    <w:rsid w:val="0007206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qFormat/>
    <w:locked/>
    <w:rsid w:val="00655C8C"/>
    <w:rPr>
      <w:rFonts w:ascii="Arial" w:eastAsia="Times New Roman" w:hAnsi="Arial" w:cs="Arial"/>
      <w:kern w:val="0"/>
      <w:sz w:val="24"/>
      <w:szCs w:val="24"/>
      <w14:ligatures w14:val="none"/>
    </w:rPr>
  </w:style>
  <w:style w:type="character" w:customStyle="1" w:styleId="normaltextrun">
    <w:name w:val="normaltextrun"/>
    <w:rsid w:val="00EC7B04"/>
  </w:style>
  <w:style w:type="character" w:customStyle="1" w:styleId="Heading2Char">
    <w:name w:val="Heading 2 Char"/>
    <w:basedOn w:val="DefaultParagraphFont"/>
    <w:link w:val="Heading2"/>
    <w:rsid w:val="0007206D"/>
    <w:rPr>
      <w:rFonts w:asciiTheme="majorHAnsi" w:eastAsiaTheme="majorEastAsia" w:hAnsiTheme="majorHAnsi" w:cstheme="majorBidi"/>
      <w:color w:val="2F5496" w:themeColor="accent1" w:themeShade="BF"/>
      <w:sz w:val="26"/>
      <w:szCs w:val="26"/>
    </w:rPr>
  </w:style>
  <w:style w:type="character" w:styleId="CommentReference">
    <w:name w:val="annotation reference"/>
    <w:semiHidden/>
    <w:rsid w:val="0007206D"/>
    <w:rPr>
      <w:sz w:val="16"/>
      <w:szCs w:val="16"/>
    </w:rPr>
  </w:style>
  <w:style w:type="paragraph" w:styleId="CommentText">
    <w:name w:val="annotation text"/>
    <w:basedOn w:val="Normal"/>
    <w:link w:val="CommentTextChar"/>
    <w:semiHidden/>
    <w:rsid w:val="0007206D"/>
    <w:pPr>
      <w:spacing w:after="120"/>
      <w:jc w:val="both"/>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semiHidden/>
    <w:rsid w:val="0007206D"/>
    <w:rPr>
      <w:rFonts w:ascii="Times New Roman" w:eastAsia="Times New Roman" w:hAnsi="Times New Roman" w:cs="Times New Roman"/>
      <w:kern w:val="0"/>
      <w:sz w:val="20"/>
      <w:szCs w:val="20"/>
      <w:lang w:val="en-US"/>
      <w14:ligatures w14:val="none"/>
    </w:rPr>
  </w:style>
  <w:style w:type="character" w:customStyle="1" w:styleId="eop">
    <w:name w:val="eop"/>
    <w:rsid w:val="0007206D"/>
  </w:style>
  <w:style w:type="character" w:styleId="Mention">
    <w:name w:val="Mention"/>
    <w:uiPriority w:val="99"/>
    <w:unhideWhenUsed/>
    <w:rsid w:val="0007206D"/>
    <w:rPr>
      <w:color w:val="2B579A"/>
      <w:shd w:val="clear" w:color="auto" w:fill="E1DFDD"/>
    </w:rPr>
  </w:style>
  <w:style w:type="character" w:styleId="PlaceholderText">
    <w:name w:val="Placeholder Text"/>
    <w:basedOn w:val="DefaultParagraphFont"/>
    <w:uiPriority w:val="99"/>
    <w:semiHidden/>
    <w:rsid w:val="00491904"/>
    <w:rPr>
      <w:color w:val="808080"/>
    </w:rPr>
  </w:style>
  <w:style w:type="paragraph" w:styleId="CommentSubject">
    <w:name w:val="annotation subject"/>
    <w:basedOn w:val="CommentText"/>
    <w:next w:val="CommentText"/>
    <w:link w:val="CommentSubjectChar"/>
    <w:uiPriority w:val="99"/>
    <w:semiHidden/>
    <w:unhideWhenUsed/>
    <w:rsid w:val="00ED4B87"/>
    <w:pPr>
      <w:spacing w:after="0"/>
      <w:jc w:val="left"/>
    </w:pPr>
    <w:rPr>
      <w:rFonts w:ascii="Arial" w:eastAsiaTheme="minorHAnsi" w:hAnsi="Arial" w:cs="Arial"/>
      <w:b/>
      <w:bCs/>
      <w:kern w:val="2"/>
      <w:lang w:val="en-GB"/>
      <w14:ligatures w14:val="standardContextual"/>
    </w:rPr>
  </w:style>
  <w:style w:type="character" w:customStyle="1" w:styleId="CommentSubjectChar">
    <w:name w:val="Comment Subject Char"/>
    <w:basedOn w:val="CommentTextChar"/>
    <w:link w:val="CommentSubject"/>
    <w:uiPriority w:val="99"/>
    <w:semiHidden/>
    <w:rsid w:val="00ED4B87"/>
    <w:rPr>
      <w:rFonts w:ascii="Arial" w:eastAsia="Times New Roman" w:hAnsi="Arial" w:cs="Arial"/>
      <w:b/>
      <w:bCs/>
      <w:kern w:val="0"/>
      <w:sz w:val="20"/>
      <w:szCs w:val="20"/>
      <w:lang w:val="en-US"/>
      <w14:ligatures w14:val="none"/>
    </w:rPr>
  </w:style>
  <w:style w:type="character" w:styleId="UnresolvedMention">
    <w:name w:val="Unresolved Mention"/>
    <w:basedOn w:val="DefaultParagraphFont"/>
    <w:uiPriority w:val="99"/>
    <w:semiHidden/>
    <w:unhideWhenUsed/>
    <w:rsid w:val="00B7007D"/>
    <w:rPr>
      <w:color w:val="605E5C"/>
      <w:shd w:val="clear" w:color="auto" w:fill="E1DFDD"/>
    </w:rPr>
  </w:style>
  <w:style w:type="paragraph" w:styleId="Revision">
    <w:name w:val="Revision"/>
    <w:hidden/>
    <w:uiPriority w:val="99"/>
    <w:semiHidden/>
    <w:rsid w:val="002B4BAB"/>
    <w:pPr>
      <w:spacing w:after="0" w:line="240" w:lineRule="auto"/>
    </w:pPr>
    <w:rPr>
      <w:rFonts w:ascii="Arial" w:hAnsi="Arial" w:cs="Arial"/>
      <w:sz w:val="24"/>
      <w:szCs w:val="24"/>
    </w:rPr>
  </w:style>
  <w:style w:type="paragraph" w:styleId="BodyText">
    <w:name w:val="Body Text"/>
    <w:basedOn w:val="Normal"/>
    <w:link w:val="BodyTextChar"/>
    <w:rsid w:val="0035636E"/>
    <w:pPr>
      <w:spacing w:after="240"/>
      <w:ind w:left="720"/>
      <w:jc w:val="both"/>
    </w:pPr>
    <w:rPr>
      <w:rFonts w:ascii="Times New Roman" w:eastAsia="Times New Roman" w:hAnsi="Times New Roman" w:cs="Times New Roman"/>
      <w:snapToGrid w:val="0"/>
      <w:kern w:val="0"/>
      <w:szCs w:val="20"/>
      <w:lang w:val="en-US"/>
      <w14:ligatures w14:val="none"/>
    </w:rPr>
  </w:style>
  <w:style w:type="character" w:customStyle="1" w:styleId="BodyTextChar">
    <w:name w:val="Body Text Char"/>
    <w:basedOn w:val="DefaultParagraphFont"/>
    <w:link w:val="BodyText"/>
    <w:rsid w:val="0035636E"/>
    <w:rPr>
      <w:rFonts w:ascii="Times New Roman" w:eastAsia="Times New Roman" w:hAnsi="Times New Roman" w:cs="Times New Roman"/>
      <w:snapToGrid w:val="0"/>
      <w:kern w:val="0"/>
      <w:sz w:val="24"/>
      <w:szCs w:val="20"/>
      <w:lang w:val="en-US"/>
      <w14:ligatures w14:val="none"/>
    </w:rPr>
  </w:style>
  <w:style w:type="paragraph" w:customStyle="1" w:styleId="TableText">
    <w:name w:val="Table Text"/>
    <w:basedOn w:val="Normal"/>
    <w:rsid w:val="0035636E"/>
    <w:pPr>
      <w:spacing w:before="120" w:after="120"/>
    </w:pPr>
    <w:rPr>
      <w:rFonts w:ascii="Times New Roman" w:eastAsia="Times New Roman" w:hAnsi="Times New Roman" w:cs="Times New Roman"/>
      <w:b/>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mma.anderson@hant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bel.hodder@hants.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minall@hants.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nts.gov.uk/educationandlearning/schools-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43DA4A4506724C8F7B650037CCADD2" ma:contentTypeVersion="8" ma:contentTypeDescription="Create a new document." ma:contentTypeScope="" ma:versionID="e288fbcd730059376e80fbb08afb5b85">
  <xsd:schema xmlns:xsd="http://www.w3.org/2001/XMLSchema" xmlns:xs="http://www.w3.org/2001/XMLSchema" xmlns:p="http://schemas.microsoft.com/office/2006/metadata/properties" xmlns:ns2="01ac84fa-f109-4e2c-b412-0b3349d73c52" xmlns:ns3="9f5620cb-cc21-4b3f-8fc3-aa3eb05bfe07" targetNamespace="http://schemas.microsoft.com/office/2006/metadata/properties" ma:root="true" ma:fieldsID="468d66647bc5427a6a9ab947044a52e1" ns2:_="" ns3:_="">
    <xsd:import namespace="01ac84fa-f109-4e2c-b412-0b3349d73c52"/>
    <xsd:import namespace="9f5620cb-cc21-4b3f-8fc3-aa3eb05bfe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84fa-f109-4e2c-b412-0b3349d73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5620cb-cc21-4b3f-8fc3-aa3eb05bfe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5620cb-cc21-4b3f-8fc3-aa3eb05bfe07">
      <UserInfo>
        <DisplayName>Anderson, Gemma</DisplayName>
        <AccountId>12</AccountId>
        <AccountType/>
      </UserInfo>
      <UserInfo>
        <DisplayName>Smith, Adam (Corporate Resources, Finance)</DisplayName>
        <AccountId>16</AccountId>
        <AccountType/>
      </UserInfo>
      <UserInfo>
        <DisplayName>Hudson, Kevin</DisplayName>
        <AccountId>13</AccountId>
        <AccountType/>
      </UserInfo>
      <UserInfo>
        <DisplayName>Cantwell, Barry</DisplayName>
        <AccountId>22</AccountId>
        <AccountType/>
      </UserInfo>
      <UserInfo>
        <DisplayName>Hodder, Annabel</DisplayName>
        <AccountId>1328</AccountId>
        <AccountType/>
      </UserInfo>
    </SharedWithUsers>
  </documentManagement>
</p:properties>
</file>

<file path=customXml/itemProps1.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2.xml><?xml version="1.0" encoding="utf-8"?>
<ds:datastoreItem xmlns:ds="http://schemas.openxmlformats.org/officeDocument/2006/customXml" ds:itemID="{6EF63B5F-9E67-43C3-B8DE-A27DCD82F997}">
  <ds:schemaRefs>
    <ds:schemaRef ds:uri="http://schemas.microsoft.com/sharepoint/v3/contenttype/forms"/>
  </ds:schemaRefs>
</ds:datastoreItem>
</file>

<file path=customXml/itemProps3.xml><?xml version="1.0" encoding="utf-8"?>
<ds:datastoreItem xmlns:ds="http://schemas.openxmlformats.org/officeDocument/2006/customXml" ds:itemID="{4A5CED4E-F0EB-470A-8F35-BFC5A854F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84fa-f109-4e2c-b412-0b3349d73c52"/>
    <ds:schemaRef ds:uri="9f5620cb-cc21-4b3f-8fc3-aa3eb05bf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9C669-03DE-4A52-BFAC-5E9B1EB819E6}">
  <ds:schemaRefs>
    <ds:schemaRef ds:uri="http://schemas.microsoft.com/office/2006/metadata/properties"/>
    <ds:schemaRef ds:uri="http://schemas.microsoft.com/office/infopath/2007/PartnerControls"/>
    <ds:schemaRef ds:uri="9f5620cb-cc21-4b3f-8fc3-aa3eb05bfe0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3027</Words>
  <Characters>17256</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Faithfull, Jo</cp:lastModifiedBy>
  <cp:revision>2</cp:revision>
  <dcterms:created xsi:type="dcterms:W3CDTF">2023-12-05T12:58:00Z</dcterms:created>
  <dcterms:modified xsi:type="dcterms:W3CDTF">2023-12-05T12:58:00Z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0x0101001443DA4A4506724C8F7B650037CCADD2</vt:lpwstr>
  </property>
  <property fmtid="{D5CDD505-2E9C-101B-9397-08002B2CF9AE}" pid="3" name="_dlc_DocIdItemGuid">
    <vt:lpwstr>68164c55-a459-40f4-8cec-113d503d0bb8</vt:lpwstr>
  </property>
</Properties>
</file>