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Pr="004704DD" w:rsidR="00C92477" w:rsidTr="006A7328" w14:paraId="0811D05A" w14:textId="77777777">
        <w:trPr>
          <w:cantSplit/>
          <w:trHeight w:val="411"/>
          <w:tblHeader/>
        </w:trPr>
        <w:tc>
          <w:tcPr>
            <w:tcW w:w="255" w:type="dxa"/>
            <w:tcBorders>
              <w:top w:val="single" w:color="auto" w:sz="6" w:space="0"/>
              <w:left w:val="single" w:color="auto" w:sz="6" w:space="0"/>
            </w:tcBorders>
          </w:tcPr>
          <w:p w:rsidRPr="004704DD" w:rsidR="00C92477" w:rsidP="006A7328" w:rsidRDefault="00C92477" w14:paraId="2880ACE2" w14:textId="77777777">
            <w:pPr>
              <w:pStyle w:val="BodyText"/>
              <w:spacing w:before="120" w:after="120"/>
              <w:rPr>
                <w:rFonts w:ascii="Arial" w:hAnsi="Arial" w:cs="Arial"/>
              </w:rPr>
            </w:pPr>
            <w:bookmarkStart w:name="OLE_LINK1" w:id="0"/>
          </w:p>
        </w:tc>
        <w:tc>
          <w:tcPr>
            <w:tcW w:w="7767" w:type="dxa"/>
            <w:gridSpan w:val="3"/>
            <w:tcBorders>
              <w:top w:val="single" w:color="auto" w:sz="6" w:space="0"/>
              <w:right w:val="single" w:color="auto" w:sz="6" w:space="0"/>
            </w:tcBorders>
          </w:tcPr>
          <w:p w:rsidRPr="004704DD" w:rsidR="00C92477" w:rsidP="006A7328" w:rsidRDefault="00C92477" w14:paraId="6B7524CE" w14:textId="77777777">
            <w:pPr>
              <w:pStyle w:val="TableText"/>
              <w:rPr>
                <w:rFonts w:ascii="Arial" w:hAnsi="Arial" w:cs="Arial"/>
              </w:rPr>
            </w:pPr>
            <w:r w:rsidRPr="004704DD">
              <w:rPr>
                <w:rFonts w:ascii="Arial" w:hAnsi="Arial" w:cs="Arial"/>
              </w:rPr>
              <w:t>Hampshire County Council</w:t>
            </w:r>
          </w:p>
        </w:tc>
      </w:tr>
      <w:tr w:rsidRPr="004704DD" w:rsidR="00C92477" w:rsidTr="006A7328" w14:paraId="491F3C05" w14:textId="77777777">
        <w:trPr>
          <w:trHeight w:val="465"/>
          <w:tblHeader/>
        </w:trPr>
        <w:tc>
          <w:tcPr>
            <w:tcW w:w="255" w:type="dxa"/>
            <w:tcBorders>
              <w:left w:val="single" w:color="auto" w:sz="6" w:space="0"/>
            </w:tcBorders>
          </w:tcPr>
          <w:p w:rsidRPr="004704DD" w:rsidR="00C92477" w:rsidP="006A7328" w:rsidRDefault="00C92477" w14:paraId="2E72B42F" w14:textId="77777777">
            <w:pPr>
              <w:pStyle w:val="BodyText"/>
              <w:spacing w:before="120" w:after="120"/>
              <w:rPr>
                <w:rFonts w:ascii="Arial" w:hAnsi="Arial" w:cs="Arial"/>
              </w:rPr>
            </w:pPr>
          </w:p>
        </w:tc>
        <w:tc>
          <w:tcPr>
            <w:tcW w:w="6266" w:type="dxa"/>
            <w:gridSpan w:val="2"/>
          </w:tcPr>
          <w:p w:rsidRPr="004704DD" w:rsidR="00C92477" w:rsidP="006A7328" w:rsidRDefault="00C92477" w14:paraId="01773E5A" w14:textId="77777777">
            <w:pPr>
              <w:pStyle w:val="TableText"/>
              <w:rPr>
                <w:rFonts w:ascii="Arial" w:hAnsi="Arial" w:cs="Arial"/>
              </w:rPr>
            </w:pPr>
            <w:r w:rsidRPr="004704DD">
              <w:rPr>
                <w:rFonts w:ascii="Arial" w:hAnsi="Arial" w:cs="Arial"/>
              </w:rPr>
              <w:t xml:space="preserve">Schools Forum </w:t>
            </w:r>
          </w:p>
        </w:tc>
        <w:tc>
          <w:tcPr>
            <w:tcW w:w="1501" w:type="dxa"/>
            <w:tcBorders>
              <w:right w:val="single" w:color="auto" w:sz="6" w:space="0"/>
            </w:tcBorders>
          </w:tcPr>
          <w:p w:rsidRPr="004704DD" w:rsidR="00C92477" w:rsidP="006A7328" w:rsidRDefault="00C92477" w14:paraId="569FBCEA" w14:textId="0FFAB377">
            <w:pPr>
              <w:pStyle w:val="TableText"/>
              <w:rPr>
                <w:rFonts w:ascii="Arial" w:hAnsi="Arial" w:cs="Arial"/>
              </w:rPr>
            </w:pPr>
            <w:r w:rsidRPr="004704DD">
              <w:rPr>
                <w:rFonts w:ascii="Arial" w:hAnsi="Arial" w:cs="Arial"/>
              </w:rPr>
              <w:fldChar w:fldCharType="begin"/>
            </w:r>
            <w:r w:rsidRPr="004704DD">
              <w:rPr>
                <w:rFonts w:ascii="Arial" w:hAnsi="Arial" w:cs="Arial"/>
              </w:rPr>
              <w:instrText xml:space="preserve"> FILLIN \d "Item" \* MERGEFORMAT </w:instrText>
            </w:r>
            <w:r w:rsidRPr="004704DD">
              <w:rPr>
                <w:rFonts w:ascii="Arial" w:hAnsi="Arial" w:cs="Arial"/>
              </w:rPr>
              <w:fldChar w:fldCharType="separate"/>
            </w:r>
            <w:r w:rsidRPr="004704DD">
              <w:rPr>
                <w:rFonts w:ascii="Arial" w:hAnsi="Arial" w:cs="Arial"/>
              </w:rPr>
              <w:t>Item</w:t>
            </w:r>
            <w:r w:rsidRPr="004704DD">
              <w:rPr>
                <w:rFonts w:ascii="Arial" w:hAnsi="Arial" w:cs="Arial"/>
              </w:rPr>
              <w:fldChar w:fldCharType="end"/>
            </w:r>
            <w:r w:rsidRPr="004704DD">
              <w:rPr>
                <w:rFonts w:ascii="Arial" w:hAnsi="Arial" w:cs="Arial"/>
              </w:rPr>
              <w:t xml:space="preserve"> </w:t>
            </w:r>
            <w:r w:rsidR="006608AB">
              <w:rPr>
                <w:rFonts w:ascii="Arial" w:hAnsi="Arial" w:cs="Arial"/>
              </w:rPr>
              <w:t>1</w:t>
            </w:r>
          </w:p>
        </w:tc>
      </w:tr>
      <w:tr w:rsidRPr="004704DD" w:rsidR="00C92477" w:rsidTr="006A7328" w14:paraId="43776058" w14:textId="77777777">
        <w:trPr>
          <w:trHeight w:val="519"/>
          <w:tblHeader/>
        </w:trPr>
        <w:tc>
          <w:tcPr>
            <w:tcW w:w="255" w:type="dxa"/>
            <w:tcBorders>
              <w:left w:val="single" w:color="auto" w:sz="6" w:space="0"/>
            </w:tcBorders>
          </w:tcPr>
          <w:p w:rsidRPr="00CF5B83" w:rsidR="00C92477" w:rsidP="006A7328" w:rsidRDefault="00C92477" w14:paraId="4E4E570B" w14:textId="77777777">
            <w:pPr>
              <w:pStyle w:val="BodyText"/>
              <w:spacing w:before="120" w:after="120"/>
              <w:rPr>
                <w:rFonts w:ascii="Arial" w:hAnsi="Arial" w:cs="Arial"/>
              </w:rPr>
            </w:pPr>
          </w:p>
        </w:tc>
        <w:tc>
          <w:tcPr>
            <w:tcW w:w="2439" w:type="dxa"/>
          </w:tcPr>
          <w:p w:rsidRPr="00CF5B83" w:rsidR="00C92477" w:rsidP="006A7328" w:rsidRDefault="00CF5B83" w14:paraId="2E6E28EC" w14:textId="33749EC4">
            <w:pPr>
              <w:pStyle w:val="TableText"/>
              <w:rPr>
                <w:rFonts w:ascii="Arial" w:hAnsi="Arial" w:cs="Arial"/>
              </w:rPr>
            </w:pPr>
            <w:r w:rsidRPr="00CF5B83">
              <w:rPr>
                <w:rFonts w:ascii="Arial" w:hAnsi="Arial" w:cs="Arial"/>
              </w:rPr>
              <w:t>7</w:t>
            </w:r>
            <w:r w:rsidRPr="00CF5B83">
              <w:rPr>
                <w:rFonts w:ascii="Arial" w:hAnsi="Arial" w:cs="Arial"/>
                <w:vertAlign w:val="superscript"/>
              </w:rPr>
              <w:t>th</w:t>
            </w:r>
            <w:r w:rsidRPr="00CF5B83">
              <w:rPr>
                <w:rFonts w:ascii="Arial" w:hAnsi="Arial" w:cs="Arial"/>
              </w:rPr>
              <w:t xml:space="preserve"> </w:t>
            </w:r>
            <w:r w:rsidRPr="00CF5B83" w:rsidR="006F5D43">
              <w:rPr>
                <w:rFonts w:ascii="Arial" w:hAnsi="Arial" w:cs="Arial"/>
              </w:rPr>
              <w:t>July</w:t>
            </w:r>
            <w:r w:rsidRPr="00CF5B83" w:rsidR="00C92477">
              <w:rPr>
                <w:rFonts w:ascii="Arial" w:hAnsi="Arial" w:cs="Arial"/>
              </w:rPr>
              <w:t xml:space="preserve"> 202</w:t>
            </w:r>
            <w:r w:rsidRPr="00CF5B83" w:rsidR="006F5D43">
              <w:rPr>
                <w:rFonts w:ascii="Arial" w:hAnsi="Arial" w:cs="Arial"/>
              </w:rPr>
              <w:t>5</w:t>
            </w:r>
          </w:p>
        </w:tc>
        <w:tc>
          <w:tcPr>
            <w:tcW w:w="5328" w:type="dxa"/>
            <w:gridSpan w:val="2"/>
            <w:tcBorders>
              <w:right w:val="single" w:color="auto" w:sz="6" w:space="0"/>
            </w:tcBorders>
          </w:tcPr>
          <w:p w:rsidRPr="004704DD" w:rsidR="00C92477" w:rsidP="006A7328" w:rsidRDefault="00C92477" w14:paraId="5324BD1A" w14:textId="77777777">
            <w:pPr>
              <w:pStyle w:val="TableText"/>
              <w:rPr>
                <w:rFonts w:ascii="Arial" w:hAnsi="Arial" w:cs="Arial"/>
              </w:rPr>
            </w:pPr>
          </w:p>
        </w:tc>
      </w:tr>
      <w:tr w:rsidRPr="004704DD" w:rsidR="00C92477" w:rsidTr="006A7328" w14:paraId="738D1788" w14:textId="77777777">
        <w:trPr>
          <w:cantSplit/>
          <w:trHeight w:val="586"/>
          <w:tblHeader/>
        </w:trPr>
        <w:tc>
          <w:tcPr>
            <w:tcW w:w="255" w:type="dxa"/>
            <w:tcBorders>
              <w:left w:val="single" w:color="auto" w:sz="6" w:space="0"/>
            </w:tcBorders>
          </w:tcPr>
          <w:p w:rsidRPr="004704DD" w:rsidR="00C92477" w:rsidP="006A7328" w:rsidRDefault="00C92477" w14:paraId="55B7D7E6" w14:textId="77777777">
            <w:pPr>
              <w:pStyle w:val="BodyText"/>
              <w:spacing w:before="120" w:after="120"/>
              <w:rPr>
                <w:rFonts w:ascii="Arial" w:hAnsi="Arial" w:cs="Arial"/>
              </w:rPr>
            </w:pPr>
          </w:p>
        </w:tc>
        <w:tc>
          <w:tcPr>
            <w:tcW w:w="7767" w:type="dxa"/>
            <w:gridSpan w:val="3"/>
            <w:tcBorders>
              <w:right w:val="single" w:color="auto" w:sz="6" w:space="0"/>
            </w:tcBorders>
          </w:tcPr>
          <w:p w:rsidRPr="004704DD" w:rsidR="00C92477" w:rsidP="006A7328" w:rsidRDefault="00C92477" w14:paraId="08E27AC9" w14:textId="4A297536">
            <w:pPr>
              <w:pStyle w:val="TableText"/>
              <w:rPr>
                <w:rFonts w:ascii="Arial" w:hAnsi="Arial" w:cs="Arial"/>
              </w:rPr>
            </w:pPr>
            <w:r w:rsidRPr="004704DD">
              <w:rPr>
                <w:rFonts w:ascii="Arial" w:hAnsi="Arial" w:cs="Arial"/>
              </w:rPr>
              <w:t xml:space="preserve">Schools Budget Update </w:t>
            </w:r>
            <w:r>
              <w:rPr>
                <w:rFonts w:ascii="Arial" w:hAnsi="Arial" w:cs="Arial"/>
              </w:rPr>
              <w:t>202</w:t>
            </w:r>
            <w:r w:rsidR="006F5D43">
              <w:rPr>
                <w:rFonts w:ascii="Arial" w:hAnsi="Arial" w:cs="Arial"/>
              </w:rPr>
              <w:t>4</w:t>
            </w:r>
            <w:r>
              <w:rPr>
                <w:rFonts w:ascii="Arial" w:hAnsi="Arial" w:cs="Arial"/>
              </w:rPr>
              <w:t>/2</w:t>
            </w:r>
            <w:r w:rsidR="006F5D43">
              <w:rPr>
                <w:rFonts w:ascii="Arial" w:hAnsi="Arial" w:cs="Arial"/>
              </w:rPr>
              <w:t>5</w:t>
            </w:r>
          </w:p>
        </w:tc>
      </w:tr>
      <w:tr w:rsidRPr="004704DD" w:rsidR="00C92477" w:rsidTr="006A7328" w14:paraId="2A8FD6E0" w14:textId="77777777">
        <w:trPr>
          <w:cantSplit/>
          <w:trHeight w:val="395"/>
          <w:tblHeader/>
        </w:trPr>
        <w:tc>
          <w:tcPr>
            <w:tcW w:w="255" w:type="dxa"/>
            <w:tcBorders>
              <w:left w:val="single" w:color="auto" w:sz="6" w:space="0"/>
              <w:bottom w:val="single" w:color="auto" w:sz="6" w:space="0"/>
            </w:tcBorders>
          </w:tcPr>
          <w:p w:rsidRPr="004704DD" w:rsidR="00C92477" w:rsidP="006A7328" w:rsidRDefault="00C92477" w14:paraId="06CCA430" w14:textId="77777777">
            <w:pPr>
              <w:pStyle w:val="BodyText"/>
              <w:spacing w:before="120" w:after="120"/>
              <w:rPr>
                <w:rFonts w:ascii="Arial" w:hAnsi="Arial" w:cs="Arial"/>
              </w:rPr>
            </w:pPr>
          </w:p>
        </w:tc>
        <w:tc>
          <w:tcPr>
            <w:tcW w:w="7767" w:type="dxa"/>
            <w:gridSpan w:val="3"/>
            <w:tcBorders>
              <w:bottom w:val="single" w:color="auto" w:sz="6" w:space="0"/>
              <w:right w:val="single" w:color="auto" w:sz="6" w:space="0"/>
            </w:tcBorders>
          </w:tcPr>
          <w:p w:rsidRPr="004704DD" w:rsidR="00C92477" w:rsidP="006A7328" w:rsidRDefault="00C92477" w14:paraId="73C36893" w14:textId="77777777">
            <w:pPr>
              <w:pStyle w:val="TableText"/>
              <w:rPr>
                <w:rFonts w:ascii="Arial" w:hAnsi="Arial" w:cs="Arial"/>
              </w:rPr>
            </w:pPr>
            <w:r w:rsidRPr="004704DD">
              <w:rPr>
                <w:rFonts w:ascii="Arial" w:hAnsi="Arial" w:cs="Arial"/>
              </w:rPr>
              <w:t>Report of the Director of Corporate Resources – Corporate Services and Director of Children’s Services</w:t>
            </w:r>
          </w:p>
        </w:tc>
      </w:tr>
    </w:tbl>
    <w:p w:rsidR="002A5429" w:rsidP="002A5429" w:rsidRDefault="002A5429" w14:paraId="1D20C11D" w14:textId="6953DE23">
      <w:pPr>
        <w:spacing w:before="120"/>
        <w:rPr>
          <w:rFonts w:ascii="Arial" w:hAnsi="Arial" w:cs="Arial"/>
          <w:color w:val="FF0000"/>
          <w:szCs w:val="24"/>
        </w:rPr>
      </w:pPr>
      <w:r w:rsidRPr="004704DD">
        <w:rPr>
          <w:rFonts w:ascii="Arial" w:hAnsi="Arial" w:cs="Arial"/>
          <w:szCs w:val="24"/>
        </w:rPr>
        <w:t xml:space="preserve">Contact: Andrew Minall, </w:t>
      </w:r>
      <w:r w:rsidRPr="0047411A">
        <w:rPr>
          <w:rFonts w:ascii="Arial" w:hAnsi="Arial" w:cs="Arial"/>
          <w:szCs w:val="24"/>
        </w:rPr>
        <w:t>03707 790138</w:t>
      </w:r>
      <w:r w:rsidRPr="004704DD">
        <w:rPr>
          <w:rFonts w:ascii="Arial" w:hAnsi="Arial" w:cs="Arial"/>
          <w:szCs w:val="24"/>
        </w:rPr>
        <w:t>;</w:t>
      </w:r>
      <w:r w:rsidRPr="00007AEF">
        <w:rPr>
          <w:rFonts w:ascii="Arial" w:hAnsi="Arial" w:cs="Arial"/>
          <w:color w:val="FF0000"/>
          <w:szCs w:val="24"/>
        </w:rPr>
        <w:t xml:space="preserve"> </w:t>
      </w:r>
      <w:hyperlink w:history="1" r:id="rId12">
        <w:r w:rsidRPr="00A312D4">
          <w:rPr>
            <w:rStyle w:val="Hyperlink"/>
            <w:rFonts w:ascii="Arial" w:hAnsi="Arial" w:cs="Arial"/>
            <w:szCs w:val="24"/>
          </w:rPr>
          <w:t>andrew.minall@hants.gov.uk</w:t>
        </w:r>
      </w:hyperlink>
      <w:bookmarkEnd w:id="0"/>
      <w:r>
        <w:rPr>
          <w:rStyle w:val="Hyperlink"/>
          <w:rFonts w:ascii="Arial" w:hAnsi="Arial" w:cs="Arial"/>
          <w:szCs w:val="24"/>
        </w:rPr>
        <w:t xml:space="preserve"> </w:t>
      </w:r>
    </w:p>
    <w:p w:rsidR="002A5429" w:rsidP="002A5429" w:rsidRDefault="002A5429" w14:paraId="0C9D26FE" w14:textId="77777777">
      <w:pPr>
        <w:rPr>
          <w:rStyle w:val="Hyperlink"/>
          <w:rFonts w:ascii="Arial" w:hAnsi="Arial" w:cs="Arial"/>
        </w:rPr>
      </w:pPr>
      <w:r>
        <w:rPr>
          <w:rFonts w:ascii="Arial" w:hAnsi="Arial" w:cs="Arial"/>
          <w:color w:val="FF0000"/>
          <w:szCs w:val="24"/>
        </w:rPr>
        <w:tab/>
      </w:r>
      <w:r w:rsidRPr="00EA0336">
        <w:rPr>
          <w:rFonts w:ascii="Arial" w:hAnsi="Arial" w:cs="Arial"/>
          <w:szCs w:val="24"/>
        </w:rPr>
        <w:t xml:space="preserve">    Annabel Hodder</w:t>
      </w:r>
      <w:r w:rsidRPr="00EA0336">
        <w:rPr>
          <w:rFonts w:ascii="Arial" w:hAnsi="Arial" w:cs="Arial"/>
        </w:rPr>
        <w:t>,</w:t>
      </w:r>
      <w:r w:rsidRPr="00F82ABB">
        <w:rPr>
          <w:rFonts w:ascii="Arial" w:hAnsi="Arial" w:cs="Arial"/>
        </w:rPr>
        <w:t xml:space="preserve"> </w:t>
      </w:r>
      <w:hyperlink w:history="1" r:id="rId13">
        <w:r w:rsidRPr="00751AD4">
          <w:rPr>
            <w:rStyle w:val="Hyperlink"/>
            <w:rFonts w:ascii="Arial" w:hAnsi="Arial" w:cs="Arial"/>
          </w:rPr>
          <w:t>annabel.hodder@hants.gov.uk</w:t>
        </w:r>
      </w:hyperlink>
    </w:p>
    <w:p w:rsidRPr="005B7756" w:rsidR="002A5429" w:rsidP="002A5429" w:rsidRDefault="002A5429" w14:paraId="03ED8D42" w14:textId="77777777">
      <w:pPr>
        <w:rPr>
          <w:rFonts w:ascii="Arial" w:hAnsi="Arial" w:cs="Arial"/>
          <w:color w:val="0000FF"/>
          <w:u w:val="single"/>
        </w:rPr>
      </w:pPr>
      <w:r>
        <w:rPr>
          <w:rFonts w:ascii="Arial" w:hAnsi="Arial" w:cs="Arial"/>
          <w:color w:val="FF0000"/>
          <w:szCs w:val="24"/>
        </w:rPr>
        <w:tab/>
      </w:r>
      <w:r>
        <w:rPr>
          <w:rFonts w:ascii="Arial" w:hAnsi="Arial" w:cs="Arial"/>
          <w:color w:val="FF0000"/>
          <w:szCs w:val="24"/>
        </w:rPr>
        <w:t xml:space="preserve">    </w:t>
      </w:r>
      <w:r w:rsidRPr="00EA0336">
        <w:rPr>
          <w:rFonts w:ascii="Arial" w:hAnsi="Arial" w:cs="Arial"/>
          <w:szCs w:val="24"/>
        </w:rPr>
        <w:t>Gemma Anderson,</w:t>
      </w:r>
      <w:r>
        <w:rPr>
          <w:rFonts w:ascii="Arial" w:hAnsi="Arial" w:cs="Arial"/>
          <w:color w:val="FF0000"/>
          <w:szCs w:val="24"/>
        </w:rPr>
        <w:t xml:space="preserve"> </w:t>
      </w:r>
      <w:hyperlink w:history="1" r:id="rId14">
        <w:r w:rsidRPr="00751AD4">
          <w:rPr>
            <w:rStyle w:val="Hyperlink"/>
            <w:rFonts w:ascii="Arial" w:hAnsi="Arial" w:cs="Arial"/>
          </w:rPr>
          <w:t>gemma.anderson@hants.gov.uk</w:t>
        </w:r>
      </w:hyperlink>
    </w:p>
    <w:p w:rsidRPr="00A51017" w:rsidR="00377ADE" w:rsidP="00231CE6" w:rsidRDefault="00D90FA6" w14:paraId="2F6A4AD7" w14:textId="77777777">
      <w:pPr>
        <w:pStyle w:val="Heading1"/>
        <w:keepNext w:val="0"/>
        <w:tabs>
          <w:tab w:val="num" w:pos="426"/>
        </w:tabs>
        <w:spacing w:before="240"/>
        <w:ind w:left="431" w:hanging="431"/>
        <w:jc w:val="left"/>
        <w:rPr>
          <w:rFonts w:ascii="Arial" w:hAnsi="Arial" w:cs="Arial"/>
          <w:szCs w:val="24"/>
        </w:rPr>
      </w:pPr>
      <w:r w:rsidRPr="00A51017">
        <w:rPr>
          <w:rFonts w:ascii="Arial" w:hAnsi="Arial" w:cs="Arial"/>
          <w:szCs w:val="24"/>
        </w:rPr>
        <w:t>Summary</w:t>
      </w:r>
    </w:p>
    <w:p w:rsidRPr="008746E8" w:rsidR="00D8697D" w:rsidP="00A9435B" w:rsidRDefault="00A84F0A" w14:paraId="1BC5E376" w14:textId="22D8D93C">
      <w:pPr>
        <w:pStyle w:val="Heading2"/>
        <w:keepNext w:val="0"/>
        <w:tabs>
          <w:tab w:val="clear" w:pos="576"/>
          <w:tab w:val="num" w:pos="426"/>
        </w:tabs>
        <w:spacing w:after="0"/>
        <w:ind w:left="426" w:hanging="568"/>
        <w:jc w:val="left"/>
        <w:rPr>
          <w:rFonts w:ascii="Arial" w:hAnsi="Arial" w:cs="Arial"/>
          <w:szCs w:val="24"/>
        </w:rPr>
      </w:pPr>
      <w:r w:rsidRPr="00A51017">
        <w:rPr>
          <w:rFonts w:ascii="Arial" w:hAnsi="Arial" w:cs="Arial"/>
          <w:szCs w:val="24"/>
        </w:rPr>
        <w:t xml:space="preserve">This report </w:t>
      </w:r>
      <w:r w:rsidRPr="00A51017" w:rsidR="00D8697D">
        <w:rPr>
          <w:rFonts w:ascii="Arial" w:hAnsi="Arial" w:cs="Arial"/>
          <w:szCs w:val="24"/>
        </w:rPr>
        <w:t xml:space="preserve">sets out the </w:t>
      </w:r>
      <w:r w:rsidRPr="00A51017" w:rsidR="00B2617F">
        <w:rPr>
          <w:rFonts w:ascii="Arial" w:hAnsi="Arial" w:cs="Arial"/>
          <w:szCs w:val="24"/>
        </w:rPr>
        <w:t>final outturn</w:t>
      </w:r>
      <w:r w:rsidRPr="00A51017" w:rsidR="00D8697D">
        <w:rPr>
          <w:rFonts w:ascii="Arial" w:hAnsi="Arial" w:cs="Arial"/>
          <w:szCs w:val="24"/>
        </w:rPr>
        <w:t xml:space="preserve"> position of the 20</w:t>
      </w:r>
      <w:r w:rsidRPr="00A51017" w:rsidR="00186E92">
        <w:rPr>
          <w:rFonts w:ascii="Arial" w:hAnsi="Arial" w:cs="Arial"/>
          <w:szCs w:val="24"/>
        </w:rPr>
        <w:t>2</w:t>
      </w:r>
      <w:r w:rsidR="006F5D43">
        <w:rPr>
          <w:rFonts w:ascii="Arial" w:hAnsi="Arial" w:cs="Arial"/>
          <w:szCs w:val="24"/>
        </w:rPr>
        <w:t>4</w:t>
      </w:r>
      <w:r w:rsidRPr="00A51017" w:rsidR="00D8697D">
        <w:rPr>
          <w:rFonts w:ascii="Arial" w:hAnsi="Arial" w:cs="Arial"/>
          <w:szCs w:val="24"/>
        </w:rPr>
        <w:t>/2</w:t>
      </w:r>
      <w:r w:rsidR="006F5D43">
        <w:rPr>
          <w:rFonts w:ascii="Arial" w:hAnsi="Arial" w:cs="Arial"/>
          <w:szCs w:val="24"/>
        </w:rPr>
        <w:t>5</w:t>
      </w:r>
      <w:r w:rsidRPr="00A51017" w:rsidR="00D8697D">
        <w:rPr>
          <w:rFonts w:ascii="Arial" w:hAnsi="Arial" w:cs="Arial"/>
          <w:szCs w:val="24"/>
        </w:rPr>
        <w:t xml:space="preserve"> school’s </w:t>
      </w:r>
      <w:r w:rsidRPr="0057135A" w:rsidR="00D8697D">
        <w:rPr>
          <w:rFonts w:ascii="Arial" w:hAnsi="Arial" w:cs="Arial"/>
          <w:szCs w:val="24"/>
        </w:rPr>
        <w:t xml:space="preserve">budget, which is an </w:t>
      </w:r>
      <w:r w:rsidRPr="00B67CD1" w:rsidR="00D8697D">
        <w:rPr>
          <w:rFonts w:ascii="Arial" w:hAnsi="Arial" w:cs="Arial"/>
          <w:szCs w:val="24"/>
        </w:rPr>
        <w:t>overspend of £</w:t>
      </w:r>
      <w:r w:rsidRPr="00B67CD1" w:rsidR="00B67CD1">
        <w:rPr>
          <w:rFonts w:ascii="Arial" w:hAnsi="Arial" w:cs="Arial"/>
          <w:szCs w:val="24"/>
        </w:rPr>
        <w:t>89.2</w:t>
      </w:r>
      <w:r w:rsidRPr="00B67CD1" w:rsidR="00186E92">
        <w:rPr>
          <w:rFonts w:ascii="Arial" w:hAnsi="Arial" w:cs="Arial"/>
          <w:szCs w:val="24"/>
        </w:rPr>
        <w:t>m</w:t>
      </w:r>
      <w:r w:rsidRPr="008746E8" w:rsidR="00AE3446">
        <w:rPr>
          <w:rFonts w:ascii="Arial" w:hAnsi="Arial" w:cs="Arial"/>
          <w:szCs w:val="24"/>
        </w:rPr>
        <w:t>.</w:t>
      </w:r>
    </w:p>
    <w:p w:rsidRPr="0057135A" w:rsidR="007350D7" w:rsidP="007350D7" w:rsidRDefault="00D05438" w14:paraId="11B3F90A" w14:textId="79F06A46">
      <w:pPr>
        <w:pStyle w:val="Heading1"/>
        <w:keepNext w:val="0"/>
        <w:tabs>
          <w:tab w:val="num" w:pos="426"/>
        </w:tabs>
        <w:spacing w:before="240"/>
        <w:ind w:left="431" w:hanging="431"/>
        <w:jc w:val="left"/>
        <w:rPr>
          <w:rFonts w:ascii="Arial" w:hAnsi="Arial" w:cs="Arial"/>
          <w:szCs w:val="24"/>
        </w:rPr>
      </w:pPr>
      <w:r w:rsidRPr="0057135A">
        <w:rPr>
          <w:rFonts w:ascii="Arial" w:hAnsi="Arial" w:cs="Arial"/>
          <w:szCs w:val="24"/>
        </w:rPr>
        <w:t>20</w:t>
      </w:r>
      <w:r w:rsidRPr="0057135A" w:rsidR="00186E92">
        <w:rPr>
          <w:rFonts w:ascii="Arial" w:hAnsi="Arial" w:cs="Arial"/>
          <w:szCs w:val="24"/>
        </w:rPr>
        <w:t>2</w:t>
      </w:r>
      <w:r w:rsidR="006F5D43">
        <w:rPr>
          <w:rFonts w:ascii="Arial" w:hAnsi="Arial" w:cs="Arial"/>
          <w:szCs w:val="24"/>
        </w:rPr>
        <w:t>4</w:t>
      </w:r>
      <w:r w:rsidRPr="0057135A" w:rsidR="00186E92">
        <w:rPr>
          <w:rFonts w:ascii="Arial" w:hAnsi="Arial" w:cs="Arial"/>
          <w:szCs w:val="24"/>
        </w:rPr>
        <w:t>/2</w:t>
      </w:r>
      <w:r w:rsidR="006F5D43">
        <w:rPr>
          <w:rFonts w:ascii="Arial" w:hAnsi="Arial" w:cs="Arial"/>
          <w:szCs w:val="24"/>
        </w:rPr>
        <w:t>5</w:t>
      </w:r>
      <w:r w:rsidRPr="0057135A">
        <w:rPr>
          <w:rFonts w:ascii="Arial" w:hAnsi="Arial" w:cs="Arial"/>
          <w:szCs w:val="24"/>
        </w:rPr>
        <w:t xml:space="preserve"> </w:t>
      </w:r>
      <w:proofErr w:type="gramStart"/>
      <w:r w:rsidRPr="0057135A" w:rsidR="00D8697D">
        <w:rPr>
          <w:rFonts w:ascii="Arial" w:hAnsi="Arial" w:cs="Arial"/>
          <w:szCs w:val="24"/>
        </w:rPr>
        <w:t>school’s</w:t>
      </w:r>
      <w:proofErr w:type="gramEnd"/>
      <w:r w:rsidRPr="0057135A" w:rsidR="00D8697D">
        <w:rPr>
          <w:rFonts w:ascii="Arial" w:hAnsi="Arial" w:cs="Arial"/>
          <w:szCs w:val="24"/>
        </w:rPr>
        <w:t xml:space="preserve"> </w:t>
      </w:r>
      <w:r w:rsidRPr="0057135A" w:rsidR="009C67BB">
        <w:rPr>
          <w:rFonts w:ascii="Arial" w:hAnsi="Arial" w:cs="Arial"/>
          <w:szCs w:val="24"/>
        </w:rPr>
        <w:t>b</w:t>
      </w:r>
      <w:r w:rsidRPr="0057135A">
        <w:rPr>
          <w:rFonts w:ascii="Arial" w:hAnsi="Arial" w:cs="Arial"/>
          <w:szCs w:val="24"/>
        </w:rPr>
        <w:t>udge</w:t>
      </w:r>
      <w:r w:rsidRPr="0057135A" w:rsidR="007350D7">
        <w:rPr>
          <w:rFonts w:ascii="Arial" w:hAnsi="Arial" w:cs="Arial"/>
          <w:szCs w:val="24"/>
        </w:rPr>
        <w:t>t</w:t>
      </w:r>
    </w:p>
    <w:p w:rsidRPr="003E3154" w:rsidR="004211E4" w:rsidP="00FD4C4E" w:rsidRDefault="0072135B" w14:paraId="4065BFF0" w14:textId="5FE16D17">
      <w:pPr>
        <w:pStyle w:val="Heading2"/>
        <w:keepNext w:val="0"/>
        <w:tabs>
          <w:tab w:val="clear" w:pos="576"/>
          <w:tab w:val="num" w:pos="426"/>
        </w:tabs>
        <w:ind w:left="426" w:hanging="568"/>
        <w:jc w:val="left"/>
        <w:rPr>
          <w:rFonts w:ascii="Arial" w:hAnsi="Arial" w:cs="Arial"/>
          <w:szCs w:val="24"/>
        </w:rPr>
      </w:pPr>
      <w:r w:rsidRPr="003E3154">
        <w:rPr>
          <w:rFonts w:ascii="Arial" w:hAnsi="Arial" w:cs="Arial"/>
          <w:szCs w:val="24"/>
        </w:rPr>
        <w:t>The f</w:t>
      </w:r>
      <w:r w:rsidRPr="003E3154" w:rsidR="004623D4">
        <w:rPr>
          <w:rFonts w:ascii="Arial" w:hAnsi="Arial" w:cs="Arial"/>
          <w:szCs w:val="24"/>
        </w:rPr>
        <w:t>inal</w:t>
      </w:r>
      <w:r w:rsidRPr="003E3154" w:rsidR="00186E92">
        <w:rPr>
          <w:rFonts w:ascii="Arial" w:hAnsi="Arial" w:cs="Arial"/>
          <w:szCs w:val="24"/>
        </w:rPr>
        <w:t xml:space="preserve"> </w:t>
      </w:r>
      <w:r w:rsidRPr="003E3154" w:rsidR="00665E90">
        <w:rPr>
          <w:rFonts w:ascii="Arial" w:hAnsi="Arial" w:cs="Arial"/>
          <w:szCs w:val="24"/>
        </w:rPr>
        <w:t>position</w:t>
      </w:r>
      <w:r w:rsidRPr="003E3154" w:rsidR="00D8697D">
        <w:rPr>
          <w:rFonts w:ascii="Arial" w:hAnsi="Arial" w:cs="Arial"/>
          <w:szCs w:val="24"/>
        </w:rPr>
        <w:t xml:space="preserve"> is an overspend of £</w:t>
      </w:r>
      <w:r w:rsidRPr="003E3154" w:rsidR="00C70367">
        <w:rPr>
          <w:rFonts w:ascii="Arial" w:hAnsi="Arial" w:cs="Arial"/>
          <w:szCs w:val="24"/>
        </w:rPr>
        <w:t>89</w:t>
      </w:r>
      <w:r w:rsidRPr="003E3154" w:rsidR="004B1465">
        <w:rPr>
          <w:rFonts w:ascii="Arial" w:hAnsi="Arial" w:cs="Arial"/>
          <w:szCs w:val="24"/>
        </w:rPr>
        <w:t>.</w:t>
      </w:r>
      <w:r w:rsidRPr="003E3154" w:rsidR="00C70367">
        <w:rPr>
          <w:rFonts w:ascii="Arial" w:hAnsi="Arial" w:cs="Arial"/>
          <w:szCs w:val="24"/>
        </w:rPr>
        <w:t>2</w:t>
      </w:r>
      <w:r w:rsidRPr="003E3154" w:rsidR="00D8697D">
        <w:rPr>
          <w:rFonts w:ascii="Arial" w:hAnsi="Arial" w:cs="Arial"/>
          <w:szCs w:val="24"/>
        </w:rPr>
        <w:t>m, summarised as follows:</w:t>
      </w:r>
    </w:p>
    <w:tbl>
      <w:tblPr>
        <w:tblW w:w="8360" w:type="dxa"/>
        <w:jc w:val="center"/>
        <w:tblLayout w:type="fixed"/>
        <w:tblLook w:val="0000" w:firstRow="0" w:lastRow="0" w:firstColumn="0" w:lastColumn="0" w:noHBand="0" w:noVBand="0"/>
      </w:tblPr>
      <w:tblGrid>
        <w:gridCol w:w="2990"/>
        <w:gridCol w:w="1400"/>
        <w:gridCol w:w="1400"/>
        <w:gridCol w:w="1374"/>
        <w:gridCol w:w="1196"/>
      </w:tblGrid>
      <w:tr w:rsidRPr="006F5D43" w:rsidR="006F5D43" w:rsidTr="00BC1D3F" w14:paraId="70FC433F" w14:textId="77777777">
        <w:trPr>
          <w:trHeight w:val="387"/>
          <w:jc w:val="center"/>
        </w:trPr>
        <w:tc>
          <w:tcPr>
            <w:tcW w:w="2990" w:type="dxa"/>
            <w:noWrap/>
            <w:vAlign w:val="bottom"/>
          </w:tcPr>
          <w:p w:rsidRPr="00765BD6" w:rsidR="0072135B" w:rsidP="00EA6C8E" w:rsidRDefault="0072135B" w14:paraId="1A8122B8" w14:textId="77777777">
            <w:pPr>
              <w:jc w:val="center"/>
              <w:rPr>
                <w:rFonts w:ascii="Arial" w:hAnsi="Arial" w:cs="Arial"/>
                <w:b/>
                <w:szCs w:val="24"/>
              </w:rPr>
            </w:pPr>
            <w:r w:rsidRPr="00765BD6">
              <w:rPr>
                <w:rFonts w:ascii="Arial" w:hAnsi="Arial" w:cs="Arial"/>
                <w:b/>
                <w:szCs w:val="24"/>
              </w:rPr>
              <w:t>Block</w:t>
            </w:r>
          </w:p>
        </w:tc>
        <w:tc>
          <w:tcPr>
            <w:tcW w:w="1400" w:type="dxa"/>
            <w:vAlign w:val="center"/>
          </w:tcPr>
          <w:p w:rsidRPr="00765BD6" w:rsidR="0072135B" w:rsidP="00EA6C8E" w:rsidRDefault="0072135B" w14:paraId="671DC016" w14:textId="77777777">
            <w:pPr>
              <w:jc w:val="center"/>
              <w:rPr>
                <w:rFonts w:ascii="Arial" w:hAnsi="Arial" w:cs="Arial"/>
                <w:b/>
                <w:szCs w:val="24"/>
              </w:rPr>
            </w:pPr>
            <w:r w:rsidRPr="00765BD6">
              <w:rPr>
                <w:rFonts w:ascii="Arial" w:hAnsi="Arial" w:cs="Arial"/>
                <w:b/>
                <w:szCs w:val="24"/>
              </w:rPr>
              <w:t>Current budget</w:t>
            </w:r>
          </w:p>
        </w:tc>
        <w:tc>
          <w:tcPr>
            <w:tcW w:w="1400" w:type="dxa"/>
            <w:noWrap/>
            <w:vAlign w:val="center"/>
          </w:tcPr>
          <w:p w:rsidRPr="00765BD6" w:rsidR="0072135B" w:rsidP="00EA6C8E" w:rsidRDefault="00AA4D14" w14:paraId="7B5F04A0" w14:textId="4F063B8F">
            <w:pPr>
              <w:jc w:val="center"/>
              <w:rPr>
                <w:rFonts w:ascii="Arial" w:hAnsi="Arial" w:cs="Arial"/>
                <w:b/>
                <w:szCs w:val="24"/>
              </w:rPr>
            </w:pPr>
            <w:r w:rsidRPr="00765BD6">
              <w:rPr>
                <w:rFonts w:ascii="Arial" w:hAnsi="Arial" w:cs="Arial"/>
                <w:b/>
                <w:szCs w:val="24"/>
              </w:rPr>
              <w:t>Actual</w:t>
            </w:r>
            <w:r w:rsidRPr="00765BD6" w:rsidR="0072135B">
              <w:rPr>
                <w:rFonts w:ascii="Arial" w:hAnsi="Arial" w:cs="Arial"/>
                <w:b/>
                <w:szCs w:val="24"/>
              </w:rPr>
              <w:t xml:space="preserve"> outturn</w:t>
            </w:r>
          </w:p>
        </w:tc>
        <w:tc>
          <w:tcPr>
            <w:tcW w:w="2570" w:type="dxa"/>
            <w:gridSpan w:val="2"/>
            <w:noWrap/>
            <w:vAlign w:val="center"/>
          </w:tcPr>
          <w:p w:rsidRPr="00765BD6" w:rsidR="0072135B" w:rsidP="00EA6C8E" w:rsidRDefault="00A36C76" w14:paraId="074158E7" w14:textId="1761C90E">
            <w:pPr>
              <w:jc w:val="center"/>
              <w:rPr>
                <w:rFonts w:ascii="Arial" w:hAnsi="Arial" w:cs="Arial"/>
                <w:b/>
                <w:bCs/>
                <w:szCs w:val="24"/>
              </w:rPr>
            </w:pPr>
            <w:r w:rsidRPr="00765BD6">
              <w:rPr>
                <w:rFonts w:ascii="Arial" w:hAnsi="Arial" w:cs="Arial"/>
                <w:b/>
                <w:bCs/>
                <w:szCs w:val="24"/>
              </w:rPr>
              <w:t>V</w:t>
            </w:r>
            <w:r w:rsidRPr="00765BD6" w:rsidR="0072135B">
              <w:rPr>
                <w:rFonts w:ascii="Arial" w:hAnsi="Arial" w:cs="Arial"/>
                <w:b/>
                <w:bCs/>
                <w:szCs w:val="24"/>
              </w:rPr>
              <w:t>ariance</w:t>
            </w:r>
          </w:p>
        </w:tc>
      </w:tr>
      <w:tr w:rsidRPr="006F5D43" w:rsidR="006F5D43" w:rsidTr="00BC1D3F" w14:paraId="60EBB671" w14:textId="77777777">
        <w:trPr>
          <w:trHeight w:val="255"/>
          <w:jc w:val="center"/>
        </w:trPr>
        <w:tc>
          <w:tcPr>
            <w:tcW w:w="2990" w:type="dxa"/>
            <w:noWrap/>
            <w:vAlign w:val="bottom"/>
          </w:tcPr>
          <w:p w:rsidRPr="00765BD6" w:rsidR="0072135B" w:rsidP="00EA6C8E" w:rsidRDefault="0072135B" w14:paraId="18ACC3F8" w14:textId="77777777">
            <w:pPr>
              <w:rPr>
                <w:rFonts w:ascii="Arial" w:hAnsi="Arial" w:cs="Arial"/>
                <w:szCs w:val="24"/>
              </w:rPr>
            </w:pPr>
          </w:p>
        </w:tc>
        <w:tc>
          <w:tcPr>
            <w:tcW w:w="1400" w:type="dxa"/>
            <w:vAlign w:val="bottom"/>
          </w:tcPr>
          <w:p w:rsidRPr="00556285" w:rsidR="0072135B" w:rsidP="00EA6C8E" w:rsidRDefault="0072135B" w14:paraId="36E6D324" w14:textId="77777777">
            <w:pPr>
              <w:jc w:val="center"/>
              <w:rPr>
                <w:rFonts w:ascii="Arial" w:hAnsi="Arial" w:cs="Arial"/>
                <w:b/>
                <w:szCs w:val="24"/>
              </w:rPr>
            </w:pPr>
            <w:r w:rsidRPr="00556285">
              <w:rPr>
                <w:rFonts w:ascii="Arial" w:hAnsi="Arial" w:cs="Arial"/>
                <w:b/>
                <w:szCs w:val="24"/>
              </w:rPr>
              <w:t>£000</w:t>
            </w:r>
          </w:p>
        </w:tc>
        <w:tc>
          <w:tcPr>
            <w:tcW w:w="1400" w:type="dxa"/>
            <w:noWrap/>
            <w:vAlign w:val="bottom"/>
          </w:tcPr>
          <w:p w:rsidRPr="00765BD6" w:rsidR="0072135B" w:rsidP="00EA6C8E" w:rsidRDefault="0072135B" w14:paraId="503EE1F2" w14:textId="77777777">
            <w:pPr>
              <w:jc w:val="center"/>
              <w:rPr>
                <w:rFonts w:ascii="Arial" w:hAnsi="Arial" w:cs="Arial"/>
                <w:b/>
                <w:szCs w:val="24"/>
              </w:rPr>
            </w:pPr>
            <w:r w:rsidRPr="00765BD6">
              <w:rPr>
                <w:rFonts w:ascii="Arial" w:hAnsi="Arial" w:cs="Arial"/>
                <w:b/>
                <w:szCs w:val="24"/>
              </w:rPr>
              <w:t>£000</w:t>
            </w:r>
          </w:p>
        </w:tc>
        <w:tc>
          <w:tcPr>
            <w:tcW w:w="1374" w:type="dxa"/>
            <w:noWrap/>
            <w:vAlign w:val="bottom"/>
          </w:tcPr>
          <w:p w:rsidRPr="00C70367" w:rsidR="0072135B" w:rsidP="00EA6C8E" w:rsidRDefault="0072135B" w14:paraId="176EE0E6" w14:textId="77777777">
            <w:pPr>
              <w:jc w:val="center"/>
              <w:rPr>
                <w:rFonts w:ascii="Arial" w:hAnsi="Arial" w:cs="Arial"/>
                <w:b/>
                <w:bCs/>
                <w:szCs w:val="24"/>
              </w:rPr>
            </w:pPr>
            <w:r w:rsidRPr="00C70367">
              <w:rPr>
                <w:rFonts w:ascii="Arial" w:hAnsi="Arial" w:cs="Arial"/>
                <w:b/>
                <w:bCs/>
                <w:szCs w:val="24"/>
              </w:rPr>
              <w:t>£000</w:t>
            </w:r>
          </w:p>
        </w:tc>
        <w:tc>
          <w:tcPr>
            <w:tcW w:w="1196" w:type="dxa"/>
            <w:vAlign w:val="bottom"/>
          </w:tcPr>
          <w:p w:rsidRPr="00765BD6" w:rsidR="0072135B" w:rsidP="00EA6C8E" w:rsidRDefault="0072135B" w14:paraId="13B6A52F" w14:textId="77777777">
            <w:pPr>
              <w:jc w:val="center"/>
              <w:rPr>
                <w:rFonts w:ascii="Arial" w:hAnsi="Arial" w:cs="Arial"/>
                <w:b/>
                <w:bCs/>
                <w:szCs w:val="24"/>
              </w:rPr>
            </w:pPr>
            <w:r w:rsidRPr="00765BD6">
              <w:rPr>
                <w:rFonts w:ascii="Arial" w:hAnsi="Arial" w:cs="Arial"/>
                <w:b/>
                <w:bCs/>
                <w:szCs w:val="24"/>
              </w:rPr>
              <w:t>%</w:t>
            </w:r>
          </w:p>
        </w:tc>
      </w:tr>
      <w:tr w:rsidRPr="006F5D43" w:rsidR="006F5D43" w:rsidTr="00BC1D3F" w14:paraId="6D2FCB39" w14:textId="77777777">
        <w:trPr>
          <w:trHeight w:val="255"/>
          <w:jc w:val="center"/>
        </w:trPr>
        <w:tc>
          <w:tcPr>
            <w:tcW w:w="2990" w:type="dxa"/>
            <w:noWrap/>
          </w:tcPr>
          <w:p w:rsidRPr="00765BD6" w:rsidR="0072135B" w:rsidP="00EA6C8E" w:rsidRDefault="003A29DF" w14:paraId="4DC2F9FF" w14:textId="77777777">
            <w:pPr>
              <w:widowControl w:val="0"/>
              <w:spacing w:before="40"/>
              <w:jc w:val="left"/>
              <w:rPr>
                <w:rFonts w:ascii="Arial" w:hAnsi="Arial" w:cs="Arial"/>
                <w:szCs w:val="24"/>
              </w:rPr>
            </w:pPr>
            <w:r w:rsidRPr="00765BD6">
              <w:rPr>
                <w:rFonts w:ascii="Arial" w:hAnsi="Arial" w:cs="Arial"/>
                <w:szCs w:val="24"/>
              </w:rPr>
              <w:t>Early Years</w:t>
            </w:r>
          </w:p>
        </w:tc>
        <w:tc>
          <w:tcPr>
            <w:tcW w:w="1400" w:type="dxa"/>
            <w:vAlign w:val="center"/>
          </w:tcPr>
          <w:p w:rsidRPr="00556285" w:rsidR="0072135B" w:rsidP="00EA6C8E" w:rsidRDefault="004F65FA" w14:paraId="4BFD8985" w14:textId="43874DE9">
            <w:pPr>
              <w:jc w:val="right"/>
              <w:rPr>
                <w:rFonts w:ascii="Arial" w:hAnsi="Arial" w:cs="Arial"/>
                <w:szCs w:val="24"/>
              </w:rPr>
            </w:pPr>
            <w:r w:rsidRPr="00556285">
              <w:rPr>
                <w:rFonts w:ascii="Arial" w:hAnsi="Arial" w:cs="Arial"/>
                <w:szCs w:val="24"/>
              </w:rPr>
              <w:t>159,</w:t>
            </w:r>
            <w:r w:rsidRPr="00556285" w:rsidR="001E23F1">
              <w:rPr>
                <w:rFonts w:ascii="Arial" w:hAnsi="Arial" w:cs="Arial"/>
                <w:szCs w:val="24"/>
              </w:rPr>
              <w:t>6</w:t>
            </w:r>
            <w:r w:rsidRPr="00556285">
              <w:rPr>
                <w:rFonts w:ascii="Arial" w:hAnsi="Arial" w:cs="Arial"/>
                <w:szCs w:val="24"/>
              </w:rPr>
              <w:t>29</w:t>
            </w:r>
          </w:p>
        </w:tc>
        <w:tc>
          <w:tcPr>
            <w:tcW w:w="1400" w:type="dxa"/>
            <w:noWrap/>
            <w:vAlign w:val="center"/>
          </w:tcPr>
          <w:p w:rsidRPr="00CB4931" w:rsidR="0072135B" w:rsidP="00EA6C8E" w:rsidRDefault="00811B98" w14:paraId="5891A402" w14:textId="3F3B2005">
            <w:pPr>
              <w:jc w:val="right"/>
              <w:rPr>
                <w:rFonts w:ascii="Arial" w:hAnsi="Arial" w:cs="Arial"/>
                <w:szCs w:val="24"/>
              </w:rPr>
            </w:pPr>
            <w:r w:rsidRPr="00CB4931">
              <w:rPr>
                <w:rFonts w:ascii="Arial" w:hAnsi="Arial" w:cs="Arial"/>
                <w:szCs w:val="24"/>
              </w:rPr>
              <w:t>154</w:t>
            </w:r>
            <w:r w:rsidRPr="00CB4931" w:rsidR="00B3524A">
              <w:rPr>
                <w:rFonts w:ascii="Arial" w:hAnsi="Arial" w:cs="Arial"/>
                <w:szCs w:val="24"/>
              </w:rPr>
              <w:t>,</w:t>
            </w:r>
            <w:r w:rsidRPr="00CB4931" w:rsidR="006C4088">
              <w:rPr>
                <w:rFonts w:ascii="Arial" w:hAnsi="Arial" w:cs="Arial"/>
                <w:szCs w:val="24"/>
              </w:rPr>
              <w:t>527</w:t>
            </w:r>
          </w:p>
        </w:tc>
        <w:tc>
          <w:tcPr>
            <w:tcW w:w="1374" w:type="dxa"/>
            <w:noWrap/>
            <w:vAlign w:val="center"/>
          </w:tcPr>
          <w:p w:rsidRPr="00C70367" w:rsidR="0072135B" w:rsidP="00EA6C8E" w:rsidRDefault="003926B6" w14:paraId="664DC1C2" w14:textId="33B8F3F5">
            <w:pPr>
              <w:jc w:val="right"/>
              <w:rPr>
                <w:rFonts w:ascii="Arial" w:hAnsi="Arial" w:cs="Arial"/>
                <w:szCs w:val="24"/>
              </w:rPr>
            </w:pPr>
            <w:r w:rsidRPr="00C70367">
              <w:rPr>
                <w:rFonts w:ascii="Arial" w:hAnsi="Arial" w:cs="Arial"/>
                <w:szCs w:val="24"/>
              </w:rPr>
              <w:t>(</w:t>
            </w:r>
            <w:r w:rsidRPr="00C70367" w:rsidR="00AC259D">
              <w:rPr>
                <w:rFonts w:ascii="Arial" w:hAnsi="Arial" w:cs="Arial"/>
                <w:bCs/>
                <w:szCs w:val="24"/>
              </w:rPr>
              <w:t>5</w:t>
            </w:r>
            <w:r w:rsidRPr="00C70367">
              <w:rPr>
                <w:rFonts w:ascii="Arial" w:hAnsi="Arial" w:cs="Arial"/>
                <w:bCs/>
                <w:szCs w:val="24"/>
              </w:rPr>
              <w:t>,</w:t>
            </w:r>
            <w:r w:rsidRPr="00C70367" w:rsidR="00AC259D">
              <w:rPr>
                <w:rFonts w:ascii="Arial" w:hAnsi="Arial" w:cs="Arial"/>
                <w:bCs/>
                <w:szCs w:val="24"/>
              </w:rPr>
              <w:t>102</w:t>
            </w:r>
            <w:r w:rsidRPr="00C70367">
              <w:rPr>
                <w:rFonts w:ascii="Arial" w:hAnsi="Arial" w:cs="Arial"/>
                <w:szCs w:val="24"/>
              </w:rPr>
              <w:t>)</w:t>
            </w:r>
          </w:p>
        </w:tc>
        <w:tc>
          <w:tcPr>
            <w:tcW w:w="1196" w:type="dxa"/>
            <w:vAlign w:val="center"/>
          </w:tcPr>
          <w:p w:rsidRPr="00C25BF8" w:rsidR="0072135B" w:rsidP="00EA6C8E" w:rsidRDefault="00377173" w14:paraId="500F11EF" w14:textId="3623CDD4">
            <w:pPr>
              <w:jc w:val="right"/>
              <w:rPr>
                <w:rFonts w:ascii="Arial" w:hAnsi="Arial" w:cs="Arial"/>
                <w:szCs w:val="24"/>
              </w:rPr>
            </w:pPr>
            <w:r w:rsidRPr="00C25BF8">
              <w:rPr>
                <w:rFonts w:ascii="Arial" w:hAnsi="Arial" w:cs="Arial"/>
                <w:szCs w:val="24"/>
              </w:rPr>
              <w:t>(</w:t>
            </w:r>
            <w:r w:rsidRPr="00C25BF8" w:rsidR="007915AF">
              <w:rPr>
                <w:rFonts w:ascii="Arial" w:hAnsi="Arial" w:cs="Arial"/>
                <w:szCs w:val="24"/>
              </w:rPr>
              <w:t>3.2</w:t>
            </w:r>
            <w:r w:rsidRPr="00C25BF8">
              <w:rPr>
                <w:rFonts w:ascii="Arial" w:hAnsi="Arial" w:cs="Arial"/>
                <w:szCs w:val="24"/>
              </w:rPr>
              <w:t>)</w:t>
            </w:r>
          </w:p>
        </w:tc>
      </w:tr>
      <w:tr w:rsidRPr="006F5D43" w:rsidR="006F5D43" w:rsidTr="00BC1D3F" w14:paraId="68997E27" w14:textId="77777777">
        <w:trPr>
          <w:trHeight w:val="255"/>
          <w:jc w:val="center"/>
        </w:trPr>
        <w:tc>
          <w:tcPr>
            <w:tcW w:w="2990" w:type="dxa"/>
            <w:noWrap/>
          </w:tcPr>
          <w:p w:rsidRPr="00765BD6" w:rsidR="0072135B" w:rsidP="00EA6C8E" w:rsidRDefault="003A29DF" w14:paraId="5D943BE5" w14:textId="77777777">
            <w:pPr>
              <w:widowControl w:val="0"/>
              <w:spacing w:before="40"/>
              <w:jc w:val="left"/>
              <w:rPr>
                <w:rFonts w:ascii="Arial" w:hAnsi="Arial" w:cs="Arial"/>
                <w:szCs w:val="24"/>
              </w:rPr>
            </w:pPr>
            <w:r w:rsidRPr="00765BD6">
              <w:rPr>
                <w:rFonts w:ascii="Arial" w:hAnsi="Arial" w:cs="Arial"/>
                <w:szCs w:val="24"/>
              </w:rPr>
              <w:t>Schools</w:t>
            </w:r>
          </w:p>
        </w:tc>
        <w:tc>
          <w:tcPr>
            <w:tcW w:w="1400" w:type="dxa"/>
            <w:vAlign w:val="center"/>
          </w:tcPr>
          <w:p w:rsidRPr="00556285" w:rsidR="0072135B" w:rsidP="00EA6C8E" w:rsidRDefault="002235E4" w14:paraId="1ACAB981" w14:textId="79E54C50">
            <w:pPr>
              <w:jc w:val="right"/>
              <w:rPr>
                <w:rFonts w:ascii="Arial" w:hAnsi="Arial" w:cs="Arial"/>
                <w:szCs w:val="24"/>
              </w:rPr>
            </w:pPr>
            <w:r w:rsidRPr="00556285">
              <w:rPr>
                <w:rFonts w:ascii="Arial" w:hAnsi="Arial" w:cs="Arial"/>
                <w:szCs w:val="24"/>
              </w:rPr>
              <w:t>6</w:t>
            </w:r>
            <w:r w:rsidRPr="00556285" w:rsidR="00966FA9">
              <w:rPr>
                <w:rFonts w:ascii="Arial" w:hAnsi="Arial" w:cs="Arial"/>
                <w:szCs w:val="24"/>
              </w:rPr>
              <w:t>80</w:t>
            </w:r>
            <w:r w:rsidRPr="00556285">
              <w:rPr>
                <w:rFonts w:ascii="Arial" w:hAnsi="Arial" w:cs="Arial"/>
                <w:szCs w:val="24"/>
              </w:rPr>
              <w:t>,</w:t>
            </w:r>
            <w:r w:rsidRPr="00556285" w:rsidR="0039637B">
              <w:rPr>
                <w:rFonts w:ascii="Arial" w:hAnsi="Arial" w:cs="Arial"/>
                <w:szCs w:val="24"/>
              </w:rPr>
              <w:t>9</w:t>
            </w:r>
            <w:r w:rsidRPr="00556285" w:rsidR="00966FA9">
              <w:rPr>
                <w:rFonts w:ascii="Arial" w:hAnsi="Arial" w:cs="Arial"/>
                <w:szCs w:val="24"/>
              </w:rPr>
              <w:t>48</w:t>
            </w:r>
          </w:p>
        </w:tc>
        <w:tc>
          <w:tcPr>
            <w:tcW w:w="1400" w:type="dxa"/>
            <w:noWrap/>
            <w:vAlign w:val="center"/>
          </w:tcPr>
          <w:p w:rsidRPr="00CB4931" w:rsidR="0072135B" w:rsidP="00EA6C8E" w:rsidRDefault="002235E4" w14:paraId="6E3B4042" w14:textId="6E8BF202">
            <w:pPr>
              <w:jc w:val="right"/>
              <w:rPr>
                <w:rFonts w:ascii="Arial" w:hAnsi="Arial" w:cs="Arial"/>
                <w:szCs w:val="24"/>
              </w:rPr>
            </w:pPr>
            <w:r w:rsidRPr="00CB4931">
              <w:rPr>
                <w:rFonts w:ascii="Arial" w:hAnsi="Arial" w:cs="Arial"/>
                <w:szCs w:val="24"/>
              </w:rPr>
              <w:t>6</w:t>
            </w:r>
            <w:r w:rsidRPr="00CB4931" w:rsidR="00202126">
              <w:rPr>
                <w:rFonts w:ascii="Arial" w:hAnsi="Arial" w:cs="Arial"/>
                <w:szCs w:val="24"/>
              </w:rPr>
              <w:t>81</w:t>
            </w:r>
            <w:r w:rsidRPr="00CB4931">
              <w:rPr>
                <w:rFonts w:ascii="Arial" w:hAnsi="Arial" w:cs="Arial"/>
                <w:szCs w:val="24"/>
              </w:rPr>
              <w:t>,</w:t>
            </w:r>
            <w:r w:rsidRPr="00CB4931" w:rsidR="00CB4931">
              <w:rPr>
                <w:rFonts w:ascii="Arial" w:hAnsi="Arial" w:cs="Arial"/>
                <w:szCs w:val="24"/>
              </w:rPr>
              <w:t>313</w:t>
            </w:r>
          </w:p>
        </w:tc>
        <w:tc>
          <w:tcPr>
            <w:tcW w:w="1374" w:type="dxa"/>
            <w:noWrap/>
            <w:vAlign w:val="center"/>
          </w:tcPr>
          <w:p w:rsidRPr="00C70367" w:rsidR="0072135B" w:rsidP="00EA6C8E" w:rsidRDefault="00AC259D" w14:paraId="721D1F3B" w14:textId="1E2401AC">
            <w:pPr>
              <w:jc w:val="right"/>
              <w:rPr>
                <w:rFonts w:ascii="Arial" w:hAnsi="Arial" w:cs="Arial"/>
                <w:szCs w:val="24"/>
              </w:rPr>
            </w:pPr>
            <w:r w:rsidRPr="00C70367">
              <w:rPr>
                <w:rFonts w:ascii="Arial" w:hAnsi="Arial" w:cs="Arial"/>
                <w:szCs w:val="24"/>
              </w:rPr>
              <w:t>365</w:t>
            </w:r>
          </w:p>
        </w:tc>
        <w:tc>
          <w:tcPr>
            <w:tcW w:w="1196" w:type="dxa"/>
            <w:vAlign w:val="center"/>
          </w:tcPr>
          <w:p w:rsidRPr="00C25BF8" w:rsidR="0072135B" w:rsidP="007803E6" w:rsidRDefault="003A29DF" w14:paraId="624412FE" w14:textId="1B72EF81">
            <w:pPr>
              <w:jc w:val="right"/>
              <w:rPr>
                <w:rFonts w:ascii="Arial" w:hAnsi="Arial" w:cs="Arial"/>
                <w:szCs w:val="24"/>
              </w:rPr>
            </w:pPr>
            <w:r w:rsidRPr="00C25BF8">
              <w:rPr>
                <w:rFonts w:ascii="Arial" w:hAnsi="Arial" w:cs="Arial"/>
                <w:szCs w:val="24"/>
              </w:rPr>
              <w:t>(</w:t>
            </w:r>
            <w:r w:rsidRPr="00C25BF8" w:rsidR="000C15CC">
              <w:rPr>
                <w:rFonts w:ascii="Arial" w:hAnsi="Arial" w:cs="Arial"/>
                <w:szCs w:val="24"/>
              </w:rPr>
              <w:t>0.</w:t>
            </w:r>
            <w:r w:rsidRPr="00C25BF8" w:rsidR="00310787">
              <w:rPr>
                <w:rFonts w:ascii="Arial" w:hAnsi="Arial" w:cs="Arial"/>
                <w:szCs w:val="24"/>
              </w:rPr>
              <w:t>1</w:t>
            </w:r>
            <w:r w:rsidRPr="00C25BF8">
              <w:rPr>
                <w:rFonts w:ascii="Arial" w:hAnsi="Arial" w:cs="Arial"/>
                <w:szCs w:val="24"/>
              </w:rPr>
              <w:t>)</w:t>
            </w:r>
          </w:p>
        </w:tc>
      </w:tr>
      <w:tr w:rsidRPr="006F5D43" w:rsidR="006F5D43" w:rsidTr="00BC1D3F" w14:paraId="6D1483C6" w14:textId="77777777">
        <w:trPr>
          <w:trHeight w:val="255"/>
          <w:jc w:val="center"/>
        </w:trPr>
        <w:tc>
          <w:tcPr>
            <w:tcW w:w="2990" w:type="dxa"/>
            <w:noWrap/>
          </w:tcPr>
          <w:p w:rsidRPr="00765BD6" w:rsidR="0072135B" w:rsidP="00EA6C8E" w:rsidRDefault="0072135B" w14:paraId="63897CE0" w14:textId="77777777">
            <w:pPr>
              <w:widowControl w:val="0"/>
              <w:spacing w:before="40"/>
              <w:jc w:val="left"/>
              <w:rPr>
                <w:rFonts w:ascii="Arial" w:hAnsi="Arial" w:cs="Arial"/>
                <w:szCs w:val="24"/>
              </w:rPr>
            </w:pPr>
            <w:r w:rsidRPr="00765BD6">
              <w:rPr>
                <w:rFonts w:ascii="Arial" w:hAnsi="Arial" w:cs="Arial"/>
                <w:szCs w:val="24"/>
              </w:rPr>
              <w:t>High Needs</w:t>
            </w:r>
          </w:p>
        </w:tc>
        <w:tc>
          <w:tcPr>
            <w:tcW w:w="1400" w:type="dxa"/>
            <w:vAlign w:val="center"/>
          </w:tcPr>
          <w:p w:rsidRPr="00556285" w:rsidR="0072135B" w:rsidP="00EA6C8E" w:rsidRDefault="00AB4FAE" w14:paraId="2C888DFE" w14:textId="332B94DF">
            <w:pPr>
              <w:jc w:val="right"/>
              <w:rPr>
                <w:rFonts w:ascii="Arial" w:hAnsi="Arial" w:cs="Arial"/>
                <w:szCs w:val="24"/>
              </w:rPr>
            </w:pPr>
            <w:r w:rsidRPr="00556285">
              <w:rPr>
                <w:rFonts w:ascii="Arial" w:hAnsi="Arial" w:cs="Arial"/>
                <w:szCs w:val="24"/>
              </w:rPr>
              <w:t>1</w:t>
            </w:r>
            <w:r w:rsidRPr="00556285" w:rsidR="008A6DA4">
              <w:rPr>
                <w:rFonts w:ascii="Arial" w:hAnsi="Arial" w:cs="Arial"/>
                <w:szCs w:val="24"/>
              </w:rPr>
              <w:t>93</w:t>
            </w:r>
            <w:r w:rsidRPr="00556285">
              <w:rPr>
                <w:rFonts w:ascii="Arial" w:hAnsi="Arial" w:cs="Arial"/>
                <w:szCs w:val="24"/>
              </w:rPr>
              <w:t>,</w:t>
            </w:r>
            <w:r w:rsidRPr="00556285" w:rsidR="008A6DA4">
              <w:rPr>
                <w:rFonts w:ascii="Arial" w:hAnsi="Arial" w:cs="Arial"/>
                <w:szCs w:val="24"/>
              </w:rPr>
              <w:t>913</w:t>
            </w:r>
          </w:p>
        </w:tc>
        <w:tc>
          <w:tcPr>
            <w:tcW w:w="1400" w:type="dxa"/>
            <w:noWrap/>
            <w:vAlign w:val="center"/>
          </w:tcPr>
          <w:p w:rsidRPr="00CB4931" w:rsidR="00D8697D" w:rsidP="00D8697D" w:rsidRDefault="00722830" w14:paraId="0DBC2357" w14:textId="0439D808">
            <w:pPr>
              <w:jc w:val="right"/>
              <w:rPr>
                <w:rFonts w:ascii="Arial" w:hAnsi="Arial" w:cs="Arial"/>
                <w:szCs w:val="24"/>
              </w:rPr>
            </w:pPr>
            <w:r w:rsidRPr="00CB4931">
              <w:rPr>
                <w:rFonts w:ascii="Arial" w:hAnsi="Arial" w:cs="Arial"/>
                <w:szCs w:val="24"/>
              </w:rPr>
              <w:t>2</w:t>
            </w:r>
            <w:r w:rsidRPr="00CB4931" w:rsidR="00CB4931">
              <w:rPr>
                <w:rFonts w:ascii="Arial" w:hAnsi="Arial" w:cs="Arial"/>
                <w:szCs w:val="24"/>
              </w:rPr>
              <w:t>87</w:t>
            </w:r>
            <w:r w:rsidRPr="00CB4931" w:rsidR="00997F80">
              <w:rPr>
                <w:rFonts w:ascii="Arial" w:hAnsi="Arial" w:cs="Arial"/>
                <w:szCs w:val="24"/>
              </w:rPr>
              <w:t>,</w:t>
            </w:r>
            <w:r w:rsidRPr="00CB4931" w:rsidR="00CB4931">
              <w:rPr>
                <w:rFonts w:ascii="Arial" w:hAnsi="Arial" w:cs="Arial"/>
                <w:szCs w:val="24"/>
              </w:rPr>
              <w:t>869</w:t>
            </w:r>
          </w:p>
        </w:tc>
        <w:tc>
          <w:tcPr>
            <w:tcW w:w="1374" w:type="dxa"/>
            <w:noWrap/>
            <w:vAlign w:val="center"/>
          </w:tcPr>
          <w:p w:rsidRPr="00C70367" w:rsidR="0072135B" w:rsidP="00EA6C8E" w:rsidRDefault="00AC259D" w14:paraId="05A480D3" w14:textId="6133941E">
            <w:pPr>
              <w:jc w:val="right"/>
              <w:rPr>
                <w:rFonts w:ascii="Arial" w:hAnsi="Arial" w:cs="Arial"/>
                <w:szCs w:val="24"/>
              </w:rPr>
            </w:pPr>
            <w:r w:rsidRPr="00C70367">
              <w:rPr>
                <w:rFonts w:ascii="Arial" w:hAnsi="Arial" w:cs="Arial"/>
                <w:szCs w:val="24"/>
              </w:rPr>
              <w:t>93</w:t>
            </w:r>
            <w:r w:rsidRPr="00C70367" w:rsidR="00587C0E">
              <w:rPr>
                <w:rFonts w:ascii="Arial" w:hAnsi="Arial" w:cs="Arial"/>
                <w:szCs w:val="24"/>
              </w:rPr>
              <w:t>,</w:t>
            </w:r>
            <w:r w:rsidRPr="00C70367">
              <w:rPr>
                <w:rFonts w:ascii="Arial" w:hAnsi="Arial" w:cs="Arial"/>
                <w:szCs w:val="24"/>
              </w:rPr>
              <w:t>956</w:t>
            </w:r>
          </w:p>
        </w:tc>
        <w:tc>
          <w:tcPr>
            <w:tcW w:w="1196" w:type="dxa"/>
            <w:vAlign w:val="center"/>
          </w:tcPr>
          <w:p w:rsidRPr="00C25BF8" w:rsidR="0072135B" w:rsidP="00EA6C8E" w:rsidRDefault="00310787" w14:paraId="12EEC552" w14:textId="2DB04C1E">
            <w:pPr>
              <w:jc w:val="right"/>
              <w:rPr>
                <w:rFonts w:ascii="Arial" w:hAnsi="Arial" w:cs="Arial"/>
                <w:szCs w:val="24"/>
              </w:rPr>
            </w:pPr>
            <w:r w:rsidRPr="00C25BF8">
              <w:rPr>
                <w:rFonts w:ascii="Arial" w:hAnsi="Arial" w:cs="Arial"/>
                <w:bCs/>
                <w:szCs w:val="24"/>
              </w:rPr>
              <w:t>48.5</w:t>
            </w:r>
          </w:p>
        </w:tc>
      </w:tr>
      <w:tr w:rsidRPr="006F5D43" w:rsidR="006F5D43" w:rsidTr="00BC1D3F" w14:paraId="5DA8C600" w14:textId="77777777">
        <w:trPr>
          <w:trHeight w:val="255"/>
          <w:jc w:val="center"/>
        </w:trPr>
        <w:tc>
          <w:tcPr>
            <w:tcW w:w="2990" w:type="dxa"/>
            <w:tcBorders>
              <w:bottom w:val="single" w:color="auto" w:sz="4" w:space="0"/>
            </w:tcBorders>
            <w:noWrap/>
          </w:tcPr>
          <w:p w:rsidRPr="00765BD6" w:rsidR="00481D04" w:rsidP="00EA6C8E" w:rsidRDefault="00481D04" w14:paraId="47102A7B" w14:textId="77777777">
            <w:pPr>
              <w:widowControl w:val="0"/>
              <w:spacing w:before="40"/>
              <w:jc w:val="left"/>
              <w:rPr>
                <w:rFonts w:ascii="Arial" w:hAnsi="Arial" w:cs="Arial"/>
                <w:szCs w:val="24"/>
              </w:rPr>
            </w:pPr>
            <w:r w:rsidRPr="00765BD6">
              <w:rPr>
                <w:rFonts w:ascii="Arial" w:hAnsi="Arial" w:cs="Arial"/>
                <w:szCs w:val="24"/>
              </w:rPr>
              <w:t>Central School Services</w:t>
            </w:r>
          </w:p>
        </w:tc>
        <w:tc>
          <w:tcPr>
            <w:tcW w:w="1400" w:type="dxa"/>
            <w:tcBorders>
              <w:bottom w:val="single" w:color="auto" w:sz="4" w:space="0"/>
            </w:tcBorders>
            <w:vAlign w:val="center"/>
          </w:tcPr>
          <w:p w:rsidRPr="00556285" w:rsidR="00481D04" w:rsidP="00EA6C8E" w:rsidRDefault="008A6DA4" w14:paraId="523A8BB8" w14:textId="489DDEBD">
            <w:pPr>
              <w:jc w:val="right"/>
              <w:rPr>
                <w:rFonts w:ascii="Arial" w:hAnsi="Arial" w:cs="Arial"/>
                <w:szCs w:val="24"/>
              </w:rPr>
            </w:pPr>
            <w:r w:rsidRPr="00556285">
              <w:rPr>
                <w:rFonts w:ascii="Arial" w:hAnsi="Arial" w:cs="Arial"/>
                <w:szCs w:val="24"/>
              </w:rPr>
              <w:t>8</w:t>
            </w:r>
            <w:r w:rsidRPr="00556285" w:rsidR="00540716">
              <w:rPr>
                <w:rFonts w:ascii="Arial" w:hAnsi="Arial" w:cs="Arial"/>
                <w:szCs w:val="24"/>
              </w:rPr>
              <w:t>,</w:t>
            </w:r>
            <w:r w:rsidRPr="00556285">
              <w:rPr>
                <w:rFonts w:ascii="Arial" w:hAnsi="Arial" w:cs="Arial"/>
                <w:szCs w:val="24"/>
              </w:rPr>
              <w:t>03</w:t>
            </w:r>
            <w:r w:rsidRPr="00556285" w:rsidR="0039637B">
              <w:rPr>
                <w:rFonts w:ascii="Arial" w:hAnsi="Arial" w:cs="Arial"/>
                <w:szCs w:val="24"/>
              </w:rPr>
              <w:t>7</w:t>
            </w:r>
          </w:p>
        </w:tc>
        <w:tc>
          <w:tcPr>
            <w:tcW w:w="1400" w:type="dxa"/>
            <w:tcBorders>
              <w:bottom w:val="single" w:color="auto" w:sz="4" w:space="0"/>
            </w:tcBorders>
            <w:noWrap/>
            <w:vAlign w:val="center"/>
          </w:tcPr>
          <w:p w:rsidRPr="00CB4931" w:rsidR="00481D04" w:rsidP="00EA6C8E" w:rsidRDefault="00CB4931" w14:paraId="2B0F0649" w14:textId="18C843EA">
            <w:pPr>
              <w:jc w:val="right"/>
              <w:rPr>
                <w:rFonts w:ascii="Arial" w:hAnsi="Arial" w:cs="Arial"/>
                <w:szCs w:val="24"/>
              </w:rPr>
            </w:pPr>
            <w:r w:rsidRPr="00CB4931">
              <w:rPr>
                <w:rFonts w:ascii="Arial" w:hAnsi="Arial" w:cs="Arial"/>
                <w:szCs w:val="24"/>
              </w:rPr>
              <w:t>8</w:t>
            </w:r>
            <w:r w:rsidRPr="00CB4931" w:rsidR="00540716">
              <w:rPr>
                <w:rFonts w:ascii="Arial" w:hAnsi="Arial" w:cs="Arial"/>
                <w:szCs w:val="24"/>
              </w:rPr>
              <w:t>,</w:t>
            </w:r>
            <w:r w:rsidRPr="00CB4931">
              <w:rPr>
                <w:rFonts w:ascii="Arial" w:hAnsi="Arial" w:cs="Arial"/>
                <w:szCs w:val="24"/>
              </w:rPr>
              <w:t>046</w:t>
            </w:r>
          </w:p>
        </w:tc>
        <w:tc>
          <w:tcPr>
            <w:tcW w:w="1374" w:type="dxa"/>
            <w:tcBorders>
              <w:bottom w:val="single" w:color="auto" w:sz="4" w:space="0"/>
            </w:tcBorders>
            <w:noWrap/>
            <w:vAlign w:val="center"/>
          </w:tcPr>
          <w:p w:rsidRPr="00C70367" w:rsidR="00481D04" w:rsidP="00EA6C8E" w:rsidRDefault="00D1284E" w14:paraId="7A70DC55" w14:textId="50C9A534">
            <w:pPr>
              <w:jc w:val="right"/>
              <w:rPr>
                <w:rFonts w:ascii="Arial" w:hAnsi="Arial" w:cs="Arial"/>
                <w:szCs w:val="24"/>
              </w:rPr>
            </w:pPr>
            <w:r>
              <w:rPr>
                <w:rFonts w:ascii="Arial" w:hAnsi="Arial" w:cs="Arial"/>
                <w:szCs w:val="24"/>
              </w:rPr>
              <w:t>9</w:t>
            </w:r>
          </w:p>
        </w:tc>
        <w:tc>
          <w:tcPr>
            <w:tcW w:w="1196" w:type="dxa"/>
            <w:tcBorders>
              <w:bottom w:val="single" w:color="auto" w:sz="4" w:space="0"/>
            </w:tcBorders>
            <w:vAlign w:val="center"/>
          </w:tcPr>
          <w:p w:rsidRPr="00C25BF8" w:rsidR="00481D04" w:rsidP="00EA6C8E" w:rsidRDefault="00310787" w14:paraId="56C1A376" w14:textId="6A1ED522">
            <w:pPr>
              <w:jc w:val="right"/>
              <w:rPr>
                <w:rFonts w:ascii="Arial" w:hAnsi="Arial" w:cs="Arial"/>
                <w:szCs w:val="24"/>
              </w:rPr>
            </w:pPr>
            <w:r w:rsidRPr="00C25BF8">
              <w:rPr>
                <w:rFonts w:ascii="Arial" w:hAnsi="Arial" w:cs="Arial"/>
                <w:bCs/>
                <w:szCs w:val="24"/>
              </w:rPr>
              <w:t>0.1</w:t>
            </w:r>
          </w:p>
        </w:tc>
      </w:tr>
      <w:tr w:rsidRPr="006F5D43" w:rsidR="006F5D43" w:rsidTr="00BC1D3F" w14:paraId="24E8DE0C" w14:textId="77777777">
        <w:trPr>
          <w:trHeight w:val="70"/>
          <w:jc w:val="center"/>
        </w:trPr>
        <w:tc>
          <w:tcPr>
            <w:tcW w:w="2990" w:type="dxa"/>
            <w:tcBorders>
              <w:top w:val="single" w:color="auto" w:sz="4" w:space="0"/>
            </w:tcBorders>
            <w:noWrap/>
          </w:tcPr>
          <w:p w:rsidRPr="00765BD6" w:rsidR="0072135B" w:rsidP="00EA6C8E" w:rsidRDefault="005A0208" w14:paraId="2EC0C990" w14:textId="77777777">
            <w:pPr>
              <w:widowControl w:val="0"/>
              <w:spacing w:before="40"/>
              <w:jc w:val="left"/>
              <w:rPr>
                <w:rFonts w:ascii="Arial" w:hAnsi="Arial" w:cs="Arial"/>
                <w:szCs w:val="24"/>
              </w:rPr>
            </w:pPr>
            <w:r w:rsidRPr="00765BD6">
              <w:rPr>
                <w:rFonts w:ascii="Arial" w:hAnsi="Arial" w:cs="Arial"/>
                <w:szCs w:val="24"/>
              </w:rPr>
              <w:t>Dedicated Schools Grant</w:t>
            </w:r>
          </w:p>
        </w:tc>
        <w:tc>
          <w:tcPr>
            <w:tcW w:w="1400" w:type="dxa"/>
            <w:tcBorders>
              <w:top w:val="single" w:color="auto" w:sz="4" w:space="0"/>
            </w:tcBorders>
            <w:vAlign w:val="center"/>
          </w:tcPr>
          <w:p w:rsidRPr="003E3154" w:rsidR="0072135B" w:rsidP="00EA6C8E" w:rsidRDefault="00556285" w14:paraId="350171CE" w14:textId="2642DFBC">
            <w:pPr>
              <w:jc w:val="right"/>
              <w:rPr>
                <w:rFonts w:ascii="Arial" w:hAnsi="Arial" w:cs="Arial"/>
                <w:szCs w:val="24"/>
              </w:rPr>
            </w:pPr>
            <w:r w:rsidRPr="003E3154">
              <w:rPr>
                <w:rFonts w:ascii="Arial" w:hAnsi="Arial" w:cs="Arial"/>
                <w:szCs w:val="24"/>
              </w:rPr>
              <w:t>1,042</w:t>
            </w:r>
            <w:r w:rsidRPr="003E3154" w:rsidR="009D255E">
              <w:rPr>
                <w:rFonts w:ascii="Arial" w:hAnsi="Arial" w:cs="Arial"/>
                <w:szCs w:val="24"/>
              </w:rPr>
              <w:t>,</w:t>
            </w:r>
            <w:r w:rsidRPr="003E3154" w:rsidR="00B178F5">
              <w:rPr>
                <w:rFonts w:ascii="Arial" w:hAnsi="Arial" w:cs="Arial"/>
                <w:szCs w:val="24"/>
              </w:rPr>
              <w:t>5</w:t>
            </w:r>
            <w:r w:rsidRPr="003E3154">
              <w:rPr>
                <w:rFonts w:ascii="Arial" w:hAnsi="Arial" w:cs="Arial"/>
                <w:szCs w:val="24"/>
              </w:rPr>
              <w:t>27</w:t>
            </w:r>
          </w:p>
        </w:tc>
        <w:tc>
          <w:tcPr>
            <w:tcW w:w="1400" w:type="dxa"/>
            <w:tcBorders>
              <w:top w:val="single" w:color="auto" w:sz="4" w:space="0"/>
            </w:tcBorders>
            <w:noWrap/>
            <w:vAlign w:val="center"/>
          </w:tcPr>
          <w:p w:rsidRPr="003E3154" w:rsidR="0072135B" w:rsidP="00EA6C8E" w:rsidRDefault="003E3154" w14:paraId="1377B32C" w14:textId="3AD5C68C">
            <w:pPr>
              <w:jc w:val="right"/>
              <w:rPr>
                <w:rFonts w:ascii="Arial" w:hAnsi="Arial" w:cs="Arial"/>
                <w:szCs w:val="24"/>
              </w:rPr>
            </w:pPr>
            <w:r w:rsidRPr="003E3154">
              <w:rPr>
                <w:rFonts w:ascii="Arial" w:hAnsi="Arial" w:cs="Arial"/>
                <w:szCs w:val="24"/>
              </w:rPr>
              <w:t>1,131</w:t>
            </w:r>
            <w:r w:rsidRPr="003E3154" w:rsidR="009D255E">
              <w:rPr>
                <w:rFonts w:ascii="Arial" w:hAnsi="Arial" w:cs="Arial"/>
                <w:szCs w:val="24"/>
              </w:rPr>
              <w:t>,</w:t>
            </w:r>
            <w:r w:rsidRPr="003E3154" w:rsidR="00B178F5">
              <w:rPr>
                <w:rFonts w:ascii="Arial" w:hAnsi="Arial" w:cs="Arial"/>
                <w:szCs w:val="24"/>
              </w:rPr>
              <w:t>75</w:t>
            </w:r>
            <w:r w:rsidRPr="003E3154">
              <w:rPr>
                <w:rFonts w:ascii="Arial" w:hAnsi="Arial" w:cs="Arial"/>
                <w:szCs w:val="24"/>
              </w:rPr>
              <w:t>6</w:t>
            </w:r>
          </w:p>
        </w:tc>
        <w:tc>
          <w:tcPr>
            <w:tcW w:w="1374" w:type="dxa"/>
            <w:tcBorders>
              <w:top w:val="single" w:color="auto" w:sz="4" w:space="0"/>
            </w:tcBorders>
            <w:noWrap/>
            <w:vAlign w:val="center"/>
          </w:tcPr>
          <w:p w:rsidRPr="00C70367" w:rsidR="0072135B" w:rsidP="0024112D" w:rsidRDefault="00C70367" w14:paraId="72214F76" w14:textId="6F46C33E">
            <w:pPr>
              <w:jc w:val="right"/>
              <w:rPr>
                <w:rFonts w:ascii="Arial" w:hAnsi="Arial" w:cs="Arial"/>
                <w:szCs w:val="24"/>
              </w:rPr>
            </w:pPr>
            <w:r w:rsidRPr="00C70367">
              <w:rPr>
                <w:rFonts w:ascii="Arial" w:hAnsi="Arial" w:cs="Arial"/>
                <w:bCs/>
                <w:szCs w:val="24"/>
              </w:rPr>
              <w:t>89</w:t>
            </w:r>
            <w:r w:rsidRPr="00C70367" w:rsidR="006455D7">
              <w:rPr>
                <w:rFonts w:ascii="Arial" w:hAnsi="Arial" w:cs="Arial"/>
                <w:bCs/>
                <w:szCs w:val="24"/>
              </w:rPr>
              <w:t>,</w:t>
            </w:r>
            <w:r w:rsidRPr="00C70367">
              <w:rPr>
                <w:rFonts w:ascii="Arial" w:hAnsi="Arial" w:cs="Arial"/>
                <w:bCs/>
                <w:szCs w:val="24"/>
              </w:rPr>
              <w:t>229</w:t>
            </w:r>
          </w:p>
        </w:tc>
        <w:tc>
          <w:tcPr>
            <w:tcW w:w="1196" w:type="dxa"/>
            <w:tcBorders>
              <w:top w:val="single" w:color="auto" w:sz="4" w:space="0"/>
            </w:tcBorders>
            <w:vAlign w:val="center"/>
          </w:tcPr>
          <w:p w:rsidRPr="00C25BF8" w:rsidR="0072135B" w:rsidP="00767BEC" w:rsidRDefault="00310787" w14:paraId="02F24FB7" w14:textId="4CDBDCFC">
            <w:pPr>
              <w:jc w:val="right"/>
              <w:rPr>
                <w:rFonts w:ascii="Arial" w:hAnsi="Arial" w:cs="Arial"/>
                <w:szCs w:val="24"/>
              </w:rPr>
            </w:pPr>
            <w:r w:rsidRPr="00C25BF8">
              <w:rPr>
                <w:rFonts w:ascii="Arial" w:hAnsi="Arial" w:cs="Arial"/>
                <w:szCs w:val="24"/>
              </w:rPr>
              <w:t>8.6</w:t>
            </w:r>
          </w:p>
        </w:tc>
      </w:tr>
      <w:tr w:rsidRPr="006F5D43" w:rsidR="006F5D43" w:rsidTr="00BC1D3F" w14:paraId="62210F50" w14:textId="77777777">
        <w:trPr>
          <w:trHeight w:val="255"/>
          <w:jc w:val="center"/>
        </w:trPr>
        <w:tc>
          <w:tcPr>
            <w:tcW w:w="2990" w:type="dxa"/>
            <w:tcBorders>
              <w:bottom w:val="single" w:color="auto" w:sz="4" w:space="0"/>
            </w:tcBorders>
            <w:noWrap/>
          </w:tcPr>
          <w:p w:rsidRPr="00765BD6" w:rsidR="0072135B" w:rsidP="00EA6C8E" w:rsidRDefault="005A0208" w14:paraId="149B3F8A" w14:textId="77777777">
            <w:pPr>
              <w:widowControl w:val="0"/>
              <w:spacing w:before="40"/>
              <w:jc w:val="left"/>
              <w:rPr>
                <w:rFonts w:ascii="Arial" w:hAnsi="Arial" w:cs="Arial"/>
                <w:szCs w:val="24"/>
              </w:rPr>
            </w:pPr>
            <w:r w:rsidRPr="00765BD6">
              <w:rPr>
                <w:rFonts w:ascii="Arial" w:hAnsi="Arial" w:cs="Arial"/>
                <w:szCs w:val="24"/>
              </w:rPr>
              <w:t>Other school grants</w:t>
            </w:r>
          </w:p>
        </w:tc>
        <w:tc>
          <w:tcPr>
            <w:tcW w:w="1400" w:type="dxa"/>
            <w:tcBorders>
              <w:bottom w:val="single" w:color="auto" w:sz="4" w:space="0"/>
            </w:tcBorders>
            <w:vAlign w:val="center"/>
          </w:tcPr>
          <w:p w:rsidRPr="00C607D1" w:rsidR="0072135B" w:rsidP="00EA6C8E" w:rsidRDefault="00C80806" w14:paraId="22E15F0F" w14:textId="6BD51EB4">
            <w:pPr>
              <w:jc w:val="right"/>
              <w:rPr>
                <w:rFonts w:ascii="Arial" w:hAnsi="Arial" w:cs="Arial"/>
                <w:szCs w:val="24"/>
              </w:rPr>
            </w:pPr>
            <w:r w:rsidRPr="00C607D1">
              <w:rPr>
                <w:rFonts w:ascii="Arial" w:hAnsi="Arial" w:cs="Arial"/>
                <w:szCs w:val="24"/>
              </w:rPr>
              <w:t>1</w:t>
            </w:r>
            <w:r w:rsidRPr="00C607D1" w:rsidR="00C607D1">
              <w:rPr>
                <w:rFonts w:ascii="Arial" w:hAnsi="Arial" w:cs="Arial"/>
                <w:szCs w:val="24"/>
              </w:rPr>
              <w:t>22</w:t>
            </w:r>
            <w:r w:rsidRPr="00C607D1" w:rsidR="00253022">
              <w:rPr>
                <w:rFonts w:ascii="Arial" w:hAnsi="Arial" w:cs="Arial"/>
                <w:szCs w:val="24"/>
              </w:rPr>
              <w:t>,</w:t>
            </w:r>
            <w:r w:rsidRPr="00C607D1" w:rsidR="00C607D1">
              <w:rPr>
                <w:rFonts w:ascii="Arial" w:hAnsi="Arial" w:cs="Arial"/>
                <w:szCs w:val="24"/>
              </w:rPr>
              <w:t>51</w:t>
            </w:r>
            <w:r w:rsidRPr="00C607D1" w:rsidR="000E3832">
              <w:rPr>
                <w:rFonts w:ascii="Arial" w:hAnsi="Arial" w:cs="Arial"/>
                <w:szCs w:val="24"/>
              </w:rPr>
              <w:t>6</w:t>
            </w:r>
          </w:p>
        </w:tc>
        <w:tc>
          <w:tcPr>
            <w:tcW w:w="1400" w:type="dxa"/>
            <w:tcBorders>
              <w:bottom w:val="single" w:color="auto" w:sz="4" w:space="0"/>
            </w:tcBorders>
            <w:noWrap/>
            <w:vAlign w:val="center"/>
          </w:tcPr>
          <w:p w:rsidRPr="00C607D1" w:rsidR="0072135B" w:rsidP="00EA6C8E" w:rsidRDefault="004D472D" w14:paraId="3B0898B1" w14:textId="6B430A48">
            <w:pPr>
              <w:jc w:val="right"/>
              <w:rPr>
                <w:rFonts w:ascii="Arial" w:hAnsi="Arial" w:cs="Arial"/>
                <w:szCs w:val="24"/>
              </w:rPr>
            </w:pPr>
            <w:r w:rsidRPr="00C607D1">
              <w:rPr>
                <w:rFonts w:ascii="Arial" w:hAnsi="Arial" w:cs="Arial"/>
                <w:szCs w:val="24"/>
              </w:rPr>
              <w:t>1</w:t>
            </w:r>
            <w:r w:rsidRPr="00C607D1" w:rsidR="00C607D1">
              <w:rPr>
                <w:rFonts w:ascii="Arial" w:hAnsi="Arial" w:cs="Arial"/>
                <w:szCs w:val="24"/>
              </w:rPr>
              <w:t>22</w:t>
            </w:r>
            <w:r w:rsidRPr="00C607D1" w:rsidR="00253022">
              <w:rPr>
                <w:rFonts w:ascii="Arial" w:hAnsi="Arial" w:cs="Arial"/>
                <w:szCs w:val="24"/>
              </w:rPr>
              <w:t>,</w:t>
            </w:r>
            <w:r w:rsidRPr="00C607D1" w:rsidR="00C607D1">
              <w:rPr>
                <w:rFonts w:ascii="Arial" w:hAnsi="Arial" w:cs="Arial"/>
                <w:szCs w:val="24"/>
              </w:rPr>
              <w:t>515</w:t>
            </w:r>
          </w:p>
        </w:tc>
        <w:tc>
          <w:tcPr>
            <w:tcW w:w="1374" w:type="dxa"/>
            <w:tcBorders>
              <w:bottom w:val="single" w:color="auto" w:sz="4" w:space="0"/>
            </w:tcBorders>
            <w:noWrap/>
            <w:vAlign w:val="center"/>
          </w:tcPr>
          <w:p w:rsidRPr="00C607D1" w:rsidR="0072135B" w:rsidP="00EA6C8E" w:rsidRDefault="006978AE" w14:paraId="53D69AC3" w14:textId="5BB5122A">
            <w:pPr>
              <w:jc w:val="right"/>
              <w:rPr>
                <w:rFonts w:ascii="Arial" w:hAnsi="Arial" w:cs="Arial"/>
                <w:szCs w:val="24"/>
              </w:rPr>
            </w:pPr>
            <w:r>
              <w:rPr>
                <w:rFonts w:ascii="Arial" w:hAnsi="Arial" w:cs="Arial"/>
                <w:szCs w:val="24"/>
              </w:rPr>
              <w:t>(1)</w:t>
            </w:r>
          </w:p>
        </w:tc>
        <w:tc>
          <w:tcPr>
            <w:tcW w:w="1196" w:type="dxa"/>
            <w:tcBorders>
              <w:bottom w:val="single" w:color="auto" w:sz="4" w:space="0"/>
            </w:tcBorders>
            <w:vAlign w:val="center"/>
          </w:tcPr>
          <w:p w:rsidRPr="00C25BF8" w:rsidR="0072135B" w:rsidP="00EA6C8E" w:rsidRDefault="00804C36" w14:paraId="6AFC0A39" w14:textId="4D46343B">
            <w:pPr>
              <w:jc w:val="right"/>
              <w:rPr>
                <w:rFonts w:ascii="Arial" w:hAnsi="Arial" w:cs="Arial"/>
                <w:szCs w:val="24"/>
              </w:rPr>
            </w:pPr>
            <w:r w:rsidRPr="00C25BF8">
              <w:rPr>
                <w:rFonts w:ascii="Arial" w:hAnsi="Arial" w:cs="Arial"/>
                <w:szCs w:val="24"/>
              </w:rPr>
              <w:t>0.0</w:t>
            </w:r>
          </w:p>
        </w:tc>
      </w:tr>
      <w:tr w:rsidRPr="006F5D43" w:rsidR="006F5D43" w:rsidTr="00BC1D3F" w14:paraId="4D963DFD" w14:textId="77777777">
        <w:trPr>
          <w:trHeight w:val="343"/>
          <w:jc w:val="center"/>
        </w:trPr>
        <w:tc>
          <w:tcPr>
            <w:tcW w:w="2990" w:type="dxa"/>
            <w:tcBorders>
              <w:top w:val="single" w:color="auto" w:sz="4" w:space="0"/>
              <w:bottom w:val="single" w:color="auto" w:sz="4" w:space="0"/>
            </w:tcBorders>
            <w:shd w:val="clear" w:color="auto" w:fill="auto"/>
            <w:noWrap/>
            <w:vAlign w:val="center"/>
          </w:tcPr>
          <w:p w:rsidRPr="00765BD6" w:rsidR="0072135B" w:rsidP="00EA6C8E" w:rsidRDefault="0072135B" w14:paraId="29554B67" w14:textId="77777777">
            <w:pPr>
              <w:spacing w:before="120"/>
              <w:rPr>
                <w:rFonts w:ascii="Arial" w:hAnsi="Arial" w:cs="Arial"/>
                <w:b/>
                <w:szCs w:val="24"/>
              </w:rPr>
            </w:pPr>
            <w:r w:rsidRPr="00765BD6">
              <w:rPr>
                <w:rFonts w:ascii="Arial" w:hAnsi="Arial" w:cs="Arial"/>
                <w:b/>
                <w:szCs w:val="24"/>
              </w:rPr>
              <w:t>Total</w:t>
            </w:r>
            <w:r w:rsidRPr="00765BD6" w:rsidR="005A0208">
              <w:rPr>
                <w:rFonts w:ascii="Arial" w:hAnsi="Arial" w:cs="Arial"/>
                <w:b/>
                <w:szCs w:val="24"/>
              </w:rPr>
              <w:t xml:space="preserve"> </w:t>
            </w:r>
            <w:r w:rsidRPr="00765BD6" w:rsidR="008E7258">
              <w:rPr>
                <w:rFonts w:ascii="Arial" w:hAnsi="Arial" w:cs="Arial"/>
                <w:b/>
                <w:szCs w:val="24"/>
              </w:rPr>
              <w:t>S</w:t>
            </w:r>
            <w:r w:rsidRPr="00765BD6" w:rsidR="005A0208">
              <w:rPr>
                <w:rFonts w:ascii="Arial" w:hAnsi="Arial" w:cs="Arial"/>
                <w:b/>
                <w:szCs w:val="24"/>
              </w:rPr>
              <w:t xml:space="preserve">chools </w:t>
            </w:r>
            <w:r w:rsidRPr="00765BD6" w:rsidR="008E7258">
              <w:rPr>
                <w:rFonts w:ascii="Arial" w:hAnsi="Arial" w:cs="Arial"/>
                <w:b/>
                <w:szCs w:val="24"/>
              </w:rPr>
              <w:t>B</w:t>
            </w:r>
            <w:r w:rsidRPr="00765BD6" w:rsidR="005A0208">
              <w:rPr>
                <w:rFonts w:ascii="Arial" w:hAnsi="Arial" w:cs="Arial"/>
                <w:b/>
                <w:szCs w:val="24"/>
              </w:rPr>
              <w:t>udget</w:t>
            </w:r>
          </w:p>
        </w:tc>
        <w:tc>
          <w:tcPr>
            <w:tcW w:w="1400" w:type="dxa"/>
            <w:tcBorders>
              <w:top w:val="single" w:color="auto" w:sz="4" w:space="0"/>
              <w:bottom w:val="single" w:color="auto" w:sz="4" w:space="0"/>
            </w:tcBorders>
            <w:shd w:val="clear" w:color="auto" w:fill="auto"/>
            <w:vAlign w:val="center"/>
          </w:tcPr>
          <w:p w:rsidRPr="006978AE" w:rsidR="0072135B" w:rsidP="00EA6C8E" w:rsidRDefault="00F628CA" w14:paraId="483A7201" w14:textId="63CA73BD">
            <w:pPr>
              <w:spacing w:before="20"/>
              <w:jc w:val="right"/>
              <w:rPr>
                <w:rFonts w:ascii="Arial" w:hAnsi="Arial" w:cs="Arial"/>
                <w:b/>
                <w:szCs w:val="24"/>
              </w:rPr>
            </w:pPr>
            <w:r w:rsidRPr="006978AE">
              <w:rPr>
                <w:rFonts w:ascii="Arial" w:hAnsi="Arial" w:cs="Arial"/>
                <w:b/>
                <w:szCs w:val="24"/>
              </w:rPr>
              <w:t>1,</w:t>
            </w:r>
            <w:r w:rsidRPr="006978AE" w:rsidR="00FA384D">
              <w:rPr>
                <w:rFonts w:ascii="Arial" w:hAnsi="Arial" w:cs="Arial"/>
                <w:b/>
                <w:szCs w:val="24"/>
              </w:rPr>
              <w:t>165</w:t>
            </w:r>
            <w:r w:rsidRPr="006978AE">
              <w:rPr>
                <w:rFonts w:ascii="Arial" w:hAnsi="Arial" w:cs="Arial"/>
                <w:b/>
                <w:szCs w:val="24"/>
              </w:rPr>
              <w:t>,</w:t>
            </w:r>
            <w:r w:rsidRPr="006978AE" w:rsidR="00FA384D">
              <w:rPr>
                <w:rFonts w:ascii="Arial" w:hAnsi="Arial" w:cs="Arial"/>
                <w:b/>
                <w:szCs w:val="24"/>
              </w:rPr>
              <w:t>043</w:t>
            </w:r>
          </w:p>
        </w:tc>
        <w:tc>
          <w:tcPr>
            <w:tcW w:w="1400" w:type="dxa"/>
            <w:tcBorders>
              <w:top w:val="single" w:color="auto" w:sz="4" w:space="0"/>
              <w:bottom w:val="single" w:color="auto" w:sz="4" w:space="0"/>
            </w:tcBorders>
            <w:shd w:val="clear" w:color="auto" w:fill="auto"/>
            <w:noWrap/>
            <w:vAlign w:val="center"/>
          </w:tcPr>
          <w:p w:rsidRPr="006978AE" w:rsidR="0072135B" w:rsidP="00EA6C8E" w:rsidRDefault="00B16F45" w14:paraId="05346410" w14:textId="1B217A54">
            <w:pPr>
              <w:spacing w:before="20"/>
              <w:jc w:val="right"/>
              <w:rPr>
                <w:rFonts w:ascii="Arial" w:hAnsi="Arial" w:cs="Arial"/>
                <w:b/>
                <w:szCs w:val="24"/>
              </w:rPr>
            </w:pPr>
            <w:r w:rsidRPr="006978AE">
              <w:rPr>
                <w:rFonts w:ascii="Arial" w:hAnsi="Arial" w:cs="Arial"/>
                <w:b/>
                <w:szCs w:val="24"/>
              </w:rPr>
              <w:t>1,</w:t>
            </w:r>
            <w:r w:rsidRPr="006978AE" w:rsidR="00FA384D">
              <w:rPr>
                <w:rFonts w:ascii="Arial" w:hAnsi="Arial" w:cs="Arial"/>
                <w:b/>
                <w:szCs w:val="24"/>
              </w:rPr>
              <w:t>254</w:t>
            </w:r>
            <w:r w:rsidRPr="006978AE">
              <w:rPr>
                <w:rFonts w:ascii="Arial" w:hAnsi="Arial" w:cs="Arial"/>
                <w:b/>
                <w:szCs w:val="24"/>
              </w:rPr>
              <w:t>,</w:t>
            </w:r>
            <w:r w:rsidRPr="006978AE" w:rsidR="006978AE">
              <w:rPr>
                <w:rFonts w:ascii="Arial" w:hAnsi="Arial" w:cs="Arial"/>
                <w:b/>
                <w:szCs w:val="24"/>
              </w:rPr>
              <w:t>27</w:t>
            </w:r>
            <w:r w:rsidRPr="006978AE" w:rsidR="003233EB">
              <w:rPr>
                <w:rFonts w:ascii="Arial" w:hAnsi="Arial" w:cs="Arial"/>
                <w:b/>
                <w:szCs w:val="24"/>
              </w:rPr>
              <w:t>1</w:t>
            </w:r>
          </w:p>
        </w:tc>
        <w:tc>
          <w:tcPr>
            <w:tcW w:w="1374" w:type="dxa"/>
            <w:tcBorders>
              <w:top w:val="single" w:color="auto" w:sz="4" w:space="0"/>
              <w:bottom w:val="single" w:color="auto" w:sz="4" w:space="0"/>
            </w:tcBorders>
            <w:shd w:val="clear" w:color="auto" w:fill="auto"/>
            <w:noWrap/>
            <w:vAlign w:val="center"/>
          </w:tcPr>
          <w:p w:rsidRPr="006978AE" w:rsidR="0072135B" w:rsidP="00EA6C8E" w:rsidRDefault="006978AE" w14:paraId="45EF692B" w14:textId="5BBCD81D">
            <w:pPr>
              <w:spacing w:before="20"/>
              <w:jc w:val="right"/>
              <w:rPr>
                <w:rFonts w:ascii="Arial" w:hAnsi="Arial" w:cs="Arial"/>
                <w:b/>
                <w:szCs w:val="24"/>
              </w:rPr>
            </w:pPr>
            <w:r w:rsidRPr="006978AE">
              <w:rPr>
                <w:rFonts w:ascii="Arial" w:hAnsi="Arial" w:cs="Arial"/>
                <w:b/>
                <w:bCs/>
                <w:szCs w:val="24"/>
              </w:rPr>
              <w:t>89</w:t>
            </w:r>
            <w:r w:rsidRPr="006978AE" w:rsidR="005E4AE5">
              <w:rPr>
                <w:rFonts w:ascii="Arial" w:hAnsi="Arial" w:cs="Arial"/>
                <w:b/>
                <w:bCs/>
                <w:szCs w:val="24"/>
              </w:rPr>
              <w:t>,</w:t>
            </w:r>
            <w:r w:rsidRPr="006978AE">
              <w:rPr>
                <w:rFonts w:ascii="Arial" w:hAnsi="Arial" w:cs="Arial"/>
                <w:b/>
                <w:bCs/>
                <w:szCs w:val="24"/>
              </w:rPr>
              <w:t>228</w:t>
            </w:r>
          </w:p>
        </w:tc>
        <w:tc>
          <w:tcPr>
            <w:tcW w:w="1196" w:type="dxa"/>
            <w:tcBorders>
              <w:top w:val="single" w:color="auto" w:sz="4" w:space="0"/>
              <w:bottom w:val="single" w:color="auto" w:sz="4" w:space="0"/>
            </w:tcBorders>
            <w:shd w:val="clear" w:color="auto" w:fill="auto"/>
            <w:vAlign w:val="center"/>
          </w:tcPr>
          <w:p w:rsidRPr="00C25BF8" w:rsidR="0072135B" w:rsidP="00767BEC" w:rsidRDefault="009A79A3" w14:paraId="0CA268AC" w14:textId="0CFDC342">
            <w:pPr>
              <w:spacing w:before="20"/>
              <w:jc w:val="right"/>
              <w:rPr>
                <w:rFonts w:ascii="Arial" w:hAnsi="Arial" w:cs="Arial"/>
                <w:b/>
                <w:szCs w:val="24"/>
              </w:rPr>
            </w:pPr>
            <w:r w:rsidRPr="00C25BF8">
              <w:rPr>
                <w:rFonts w:ascii="Arial" w:hAnsi="Arial" w:cs="Arial"/>
                <w:b/>
                <w:szCs w:val="24"/>
              </w:rPr>
              <w:t>7.7</w:t>
            </w:r>
          </w:p>
        </w:tc>
      </w:tr>
    </w:tbl>
    <w:p w:rsidRPr="00765BD6" w:rsidR="007350D7" w:rsidP="000F1D1C" w:rsidRDefault="007350D7" w14:paraId="17D4F2E5" w14:textId="6BBA546B">
      <w:pPr>
        <w:pStyle w:val="Heading2"/>
        <w:keepNext w:val="0"/>
        <w:tabs>
          <w:tab w:val="clear" w:pos="576"/>
          <w:tab w:val="num" w:pos="426"/>
        </w:tabs>
        <w:spacing w:before="240" w:after="0"/>
        <w:ind w:left="426" w:hanging="568"/>
        <w:jc w:val="left"/>
        <w:rPr>
          <w:rFonts w:ascii="Arial" w:hAnsi="Arial" w:cs="Arial"/>
          <w:szCs w:val="24"/>
        </w:rPr>
      </w:pPr>
      <w:r w:rsidRPr="00765BD6">
        <w:rPr>
          <w:rFonts w:ascii="Arial" w:hAnsi="Arial" w:cs="Arial"/>
          <w:szCs w:val="24"/>
        </w:rPr>
        <w:t xml:space="preserve">The </w:t>
      </w:r>
      <w:r w:rsidRPr="00765BD6" w:rsidR="00033619">
        <w:rPr>
          <w:rFonts w:ascii="Arial" w:hAnsi="Arial" w:cs="Arial"/>
          <w:szCs w:val="24"/>
        </w:rPr>
        <w:t xml:space="preserve">budget has been updated </w:t>
      </w:r>
      <w:r w:rsidRPr="00765BD6" w:rsidR="005E4668">
        <w:rPr>
          <w:rFonts w:ascii="Arial" w:hAnsi="Arial" w:cs="Arial"/>
          <w:szCs w:val="24"/>
        </w:rPr>
        <w:t>for</w:t>
      </w:r>
      <w:r w:rsidRPr="00765BD6" w:rsidR="00033619">
        <w:rPr>
          <w:rFonts w:ascii="Arial" w:hAnsi="Arial" w:cs="Arial"/>
          <w:szCs w:val="24"/>
        </w:rPr>
        <w:t xml:space="preserve"> the following changes to the Dedicated Schools Grant (DSG) allocations</w:t>
      </w:r>
      <w:r w:rsidRPr="00765BD6">
        <w:rPr>
          <w:rFonts w:ascii="Arial" w:hAnsi="Arial" w:cs="Arial"/>
          <w:szCs w:val="24"/>
        </w:rPr>
        <w:t>:</w:t>
      </w:r>
    </w:p>
    <w:p w:rsidRPr="00CE62A9" w:rsidR="00350871" w:rsidP="00E70E62" w:rsidRDefault="00350871" w14:paraId="79173C61" w14:textId="48EEF072">
      <w:pPr>
        <w:pStyle w:val="Heading2"/>
        <w:keepNext w:val="0"/>
        <w:numPr>
          <w:ilvl w:val="0"/>
          <w:numId w:val="9"/>
        </w:numPr>
        <w:spacing w:before="240" w:after="0"/>
        <w:jc w:val="left"/>
        <w:rPr>
          <w:rFonts w:ascii="Arial" w:hAnsi="Arial" w:cs="Arial"/>
          <w:szCs w:val="24"/>
        </w:rPr>
      </w:pPr>
      <w:r w:rsidRPr="00CE62A9">
        <w:rPr>
          <w:rFonts w:ascii="Arial" w:hAnsi="Arial" w:cs="Arial"/>
          <w:szCs w:val="24"/>
        </w:rPr>
        <w:t xml:space="preserve">The Early Years Block </w:t>
      </w:r>
      <w:r w:rsidRPr="00CE62A9" w:rsidR="006C0885">
        <w:rPr>
          <w:rFonts w:ascii="Arial" w:hAnsi="Arial" w:cs="Arial"/>
          <w:szCs w:val="24"/>
        </w:rPr>
        <w:t xml:space="preserve">DSG </w:t>
      </w:r>
      <w:r w:rsidRPr="00CE62A9" w:rsidR="008559E9">
        <w:rPr>
          <w:rFonts w:ascii="Arial" w:hAnsi="Arial" w:cs="Arial"/>
          <w:szCs w:val="24"/>
        </w:rPr>
        <w:t xml:space="preserve">allocation </w:t>
      </w:r>
      <w:r w:rsidRPr="00CE62A9">
        <w:rPr>
          <w:rFonts w:ascii="Arial" w:hAnsi="Arial" w:cs="Arial"/>
          <w:szCs w:val="24"/>
        </w:rPr>
        <w:t xml:space="preserve">has been updated to reflect the </w:t>
      </w:r>
      <w:r w:rsidRPr="00CE62A9" w:rsidR="006C1A47">
        <w:rPr>
          <w:rFonts w:ascii="Arial" w:hAnsi="Arial" w:cs="Arial"/>
          <w:szCs w:val="24"/>
        </w:rPr>
        <w:t xml:space="preserve">estimated adjustment for the </w:t>
      </w:r>
      <w:r w:rsidRPr="00CE62A9" w:rsidR="00C16B23">
        <w:rPr>
          <w:rFonts w:ascii="Arial" w:hAnsi="Arial" w:cs="Arial"/>
          <w:szCs w:val="24"/>
        </w:rPr>
        <w:t>January 202</w:t>
      </w:r>
      <w:r w:rsidRPr="00CE62A9" w:rsidR="00267983">
        <w:rPr>
          <w:rFonts w:ascii="Arial" w:hAnsi="Arial" w:cs="Arial"/>
          <w:szCs w:val="24"/>
        </w:rPr>
        <w:t>5</w:t>
      </w:r>
      <w:r w:rsidRPr="00CE62A9" w:rsidR="00C16B23">
        <w:rPr>
          <w:rFonts w:ascii="Arial" w:hAnsi="Arial" w:cs="Arial"/>
          <w:szCs w:val="24"/>
        </w:rPr>
        <w:t xml:space="preserve"> census, which is a </w:t>
      </w:r>
      <w:r w:rsidRPr="00CE62A9" w:rsidR="000E28C2">
        <w:rPr>
          <w:rFonts w:ascii="Arial" w:hAnsi="Arial" w:cs="Arial"/>
          <w:szCs w:val="24"/>
        </w:rPr>
        <w:t>reduction of £</w:t>
      </w:r>
      <w:r w:rsidRPr="00CE62A9" w:rsidR="00B63835">
        <w:rPr>
          <w:rFonts w:ascii="Arial" w:hAnsi="Arial" w:cs="Arial"/>
          <w:szCs w:val="24"/>
        </w:rPr>
        <w:t>642</w:t>
      </w:r>
      <w:r w:rsidRPr="00CE62A9" w:rsidR="002F5DC5">
        <w:rPr>
          <w:rFonts w:ascii="Arial" w:hAnsi="Arial" w:cs="Arial"/>
          <w:szCs w:val="24"/>
        </w:rPr>
        <w:t>,000</w:t>
      </w:r>
      <w:r w:rsidRPr="00CE62A9" w:rsidR="002A7DA8">
        <w:rPr>
          <w:rFonts w:ascii="Arial" w:hAnsi="Arial" w:cs="Arial"/>
          <w:szCs w:val="24"/>
        </w:rPr>
        <w:t>.</w:t>
      </w:r>
      <w:r w:rsidRPr="00CE62A9" w:rsidR="00AA55A8">
        <w:rPr>
          <w:rFonts w:ascii="Arial" w:hAnsi="Arial" w:cs="Arial"/>
          <w:szCs w:val="24"/>
        </w:rPr>
        <w:t xml:space="preserve"> </w:t>
      </w:r>
    </w:p>
    <w:p w:rsidR="00896381" w:rsidRDefault="00896381" w14:paraId="2EAD9BBC" w14:textId="77777777">
      <w:pPr>
        <w:spacing w:after="0"/>
        <w:jc w:val="left"/>
        <w:rPr>
          <w:rFonts w:ascii="Arial" w:hAnsi="Arial" w:cs="Arial"/>
        </w:rPr>
      </w:pPr>
      <w:r>
        <w:rPr>
          <w:rFonts w:ascii="Arial" w:hAnsi="Arial" w:cs="Arial"/>
        </w:rPr>
        <w:br w:type="page"/>
      </w:r>
    </w:p>
    <w:p w:rsidRPr="00141BDA" w:rsidR="00D2272A" w:rsidP="09EF4255" w:rsidRDefault="00B24843" w14:paraId="0C7181E8" w14:textId="3EBBD799">
      <w:pPr>
        <w:pStyle w:val="Heading2"/>
        <w:keepNext w:val="0"/>
        <w:spacing w:before="240" w:after="0"/>
        <w:jc w:val="left"/>
        <w:rPr>
          <w:rFonts w:ascii="Arial" w:hAnsi="Arial" w:cs="Arial"/>
        </w:rPr>
      </w:pPr>
      <w:r w:rsidRPr="09EF4255">
        <w:rPr>
          <w:rFonts w:ascii="Arial" w:hAnsi="Arial" w:cs="Arial"/>
        </w:rPr>
        <w:t xml:space="preserve">The Schools Block budget has been reduced by </w:t>
      </w:r>
      <w:r w:rsidRPr="09EF4255" w:rsidR="00D2272A">
        <w:rPr>
          <w:rFonts w:ascii="Arial" w:hAnsi="Arial" w:cs="Arial"/>
        </w:rPr>
        <w:t>£</w:t>
      </w:r>
      <w:r w:rsidRPr="09EF4255" w:rsidR="0046716E">
        <w:rPr>
          <w:rFonts w:ascii="Arial" w:hAnsi="Arial" w:cs="Arial"/>
        </w:rPr>
        <w:t>28</w:t>
      </w:r>
      <w:r w:rsidRPr="09EF4255" w:rsidR="00DB7E38">
        <w:rPr>
          <w:rFonts w:ascii="Arial" w:hAnsi="Arial" w:cs="Arial"/>
        </w:rPr>
        <w:t>.</w:t>
      </w:r>
      <w:r w:rsidRPr="09EF4255" w:rsidR="0046716E">
        <w:rPr>
          <w:rFonts w:ascii="Arial" w:hAnsi="Arial" w:cs="Arial"/>
        </w:rPr>
        <w:t>9</w:t>
      </w:r>
      <w:r w:rsidRPr="09EF4255" w:rsidR="00DB7E38">
        <w:rPr>
          <w:rFonts w:ascii="Arial" w:hAnsi="Arial" w:cs="Arial"/>
        </w:rPr>
        <w:t>m, £1</w:t>
      </w:r>
      <w:r w:rsidRPr="09EF4255" w:rsidR="0046716E">
        <w:rPr>
          <w:rFonts w:ascii="Arial" w:hAnsi="Arial" w:cs="Arial"/>
        </w:rPr>
        <w:t>4.7m</w:t>
      </w:r>
      <w:r w:rsidRPr="09EF4255" w:rsidR="00DB7E38">
        <w:rPr>
          <w:rFonts w:ascii="Arial" w:hAnsi="Arial" w:cs="Arial"/>
        </w:rPr>
        <w:t xml:space="preserve"> in relation to </w:t>
      </w:r>
      <w:r w:rsidRPr="09EF4255" w:rsidR="5E6C4001">
        <w:rPr>
          <w:rFonts w:ascii="Arial" w:hAnsi="Arial" w:cs="Arial"/>
        </w:rPr>
        <w:t xml:space="preserve">the </w:t>
      </w:r>
      <w:r w:rsidRPr="09EF4255" w:rsidR="178F2F68">
        <w:rPr>
          <w:rFonts w:ascii="Arial" w:hAnsi="Arial" w:cs="Arial"/>
        </w:rPr>
        <w:t>b</w:t>
      </w:r>
      <w:r w:rsidRPr="09EF4255" w:rsidR="00DB7E38">
        <w:rPr>
          <w:rFonts w:ascii="Arial" w:hAnsi="Arial" w:cs="Arial"/>
        </w:rPr>
        <w:t xml:space="preserve">usiness </w:t>
      </w:r>
      <w:r w:rsidRPr="09EF4255" w:rsidR="095FA965">
        <w:rPr>
          <w:rFonts w:ascii="Arial" w:hAnsi="Arial" w:cs="Arial"/>
        </w:rPr>
        <w:t>r</w:t>
      </w:r>
      <w:r w:rsidRPr="09EF4255" w:rsidR="00DB7E38">
        <w:rPr>
          <w:rFonts w:ascii="Arial" w:hAnsi="Arial" w:cs="Arial"/>
        </w:rPr>
        <w:t>ates allocation</w:t>
      </w:r>
      <w:r w:rsidRPr="09EF4255" w:rsidR="00842A0E">
        <w:rPr>
          <w:rFonts w:ascii="Arial" w:hAnsi="Arial" w:cs="Arial"/>
        </w:rPr>
        <w:t xml:space="preserve"> </w:t>
      </w:r>
      <w:r w:rsidRPr="09EF4255" w:rsidR="006420C1">
        <w:rPr>
          <w:rFonts w:ascii="Arial" w:hAnsi="Arial" w:cs="Arial"/>
        </w:rPr>
        <w:t xml:space="preserve">for maintained schools </w:t>
      </w:r>
      <w:r w:rsidRPr="09EF4255" w:rsidR="00842A0E">
        <w:rPr>
          <w:rFonts w:ascii="Arial" w:hAnsi="Arial" w:cs="Arial"/>
        </w:rPr>
        <w:t>which</w:t>
      </w:r>
      <w:r w:rsidRPr="09EF4255" w:rsidR="00DB7E38">
        <w:rPr>
          <w:rFonts w:ascii="Arial" w:hAnsi="Arial" w:cs="Arial"/>
        </w:rPr>
        <w:t xml:space="preserve"> </w:t>
      </w:r>
      <w:r w:rsidRPr="09EF4255" w:rsidR="00842A0E">
        <w:rPr>
          <w:rFonts w:ascii="Arial" w:hAnsi="Arial" w:cs="Arial"/>
        </w:rPr>
        <w:t>was anticipated</w:t>
      </w:r>
      <w:r w:rsidRPr="09EF4255" w:rsidR="008A77A1">
        <w:rPr>
          <w:rFonts w:ascii="Arial" w:hAnsi="Arial" w:cs="Arial"/>
        </w:rPr>
        <w:t xml:space="preserve">, </w:t>
      </w:r>
      <w:r w:rsidRPr="09EF4255" w:rsidR="00B0385F">
        <w:rPr>
          <w:rFonts w:ascii="Arial" w:hAnsi="Arial" w:cs="Arial"/>
        </w:rPr>
        <w:t xml:space="preserve">and </w:t>
      </w:r>
      <w:r w:rsidRPr="09EF4255" w:rsidR="00D2272A">
        <w:rPr>
          <w:rFonts w:ascii="Arial" w:hAnsi="Arial" w:cs="Arial"/>
        </w:rPr>
        <w:t>£</w:t>
      </w:r>
      <w:r w:rsidRPr="00141BDA" w:rsidR="00577D82">
        <w:rPr>
          <w:rFonts w:ascii="Arial" w:hAnsi="Arial" w:cs="Arial"/>
        </w:rPr>
        <w:t>1</w:t>
      </w:r>
      <w:r w:rsidRPr="00141BDA" w:rsidR="00BB004C">
        <w:rPr>
          <w:rFonts w:ascii="Arial" w:hAnsi="Arial" w:cs="Arial"/>
        </w:rPr>
        <w:t>4</w:t>
      </w:r>
      <w:r w:rsidRPr="09EF4255" w:rsidR="009168BC">
        <w:rPr>
          <w:rFonts w:ascii="Arial" w:hAnsi="Arial" w:cs="Arial"/>
        </w:rPr>
        <w:t>.8m</w:t>
      </w:r>
      <w:r w:rsidRPr="09EF4255" w:rsidR="00D2272A">
        <w:rPr>
          <w:rFonts w:ascii="Arial" w:hAnsi="Arial" w:cs="Arial"/>
        </w:rPr>
        <w:t xml:space="preserve"> in respect of </w:t>
      </w:r>
      <w:r w:rsidRPr="09EF4255" w:rsidR="00F24B18">
        <w:rPr>
          <w:rFonts w:ascii="Arial" w:hAnsi="Arial" w:cs="Arial"/>
        </w:rPr>
        <w:t>several</w:t>
      </w:r>
      <w:r w:rsidRPr="09EF4255" w:rsidR="00D2272A">
        <w:rPr>
          <w:rFonts w:ascii="Arial" w:hAnsi="Arial" w:cs="Arial"/>
        </w:rPr>
        <w:t xml:space="preserve"> school</w:t>
      </w:r>
      <w:r w:rsidRPr="09EF4255" w:rsidR="00577D82">
        <w:rPr>
          <w:rFonts w:ascii="Arial" w:hAnsi="Arial" w:cs="Arial"/>
        </w:rPr>
        <w:t>s</w:t>
      </w:r>
      <w:r w:rsidRPr="09EF4255" w:rsidR="00D2272A">
        <w:rPr>
          <w:rFonts w:ascii="Arial" w:hAnsi="Arial" w:cs="Arial"/>
        </w:rPr>
        <w:t xml:space="preserve"> that converted to academy.</w:t>
      </w:r>
    </w:p>
    <w:p w:rsidRPr="00662FF5" w:rsidR="009C604A" w:rsidP="000F1D1C" w:rsidRDefault="009C604A" w14:paraId="56FD8BFA" w14:textId="7A504AAA">
      <w:pPr>
        <w:pStyle w:val="Heading2"/>
        <w:keepNext w:val="0"/>
        <w:tabs>
          <w:tab w:val="clear" w:pos="576"/>
          <w:tab w:val="num" w:pos="426"/>
        </w:tabs>
        <w:spacing w:before="240" w:after="0"/>
        <w:ind w:left="426" w:hanging="568"/>
        <w:jc w:val="left"/>
        <w:rPr>
          <w:rFonts w:ascii="Arial" w:hAnsi="Arial" w:cs="Arial"/>
          <w:szCs w:val="24"/>
        </w:rPr>
      </w:pPr>
      <w:r w:rsidRPr="00662FF5">
        <w:rPr>
          <w:rFonts w:ascii="Arial" w:hAnsi="Arial" w:cs="Arial"/>
          <w:szCs w:val="24"/>
        </w:rPr>
        <w:t>Th</w:t>
      </w:r>
      <w:r w:rsidRPr="00662FF5" w:rsidR="003E143F">
        <w:rPr>
          <w:rFonts w:ascii="Arial" w:hAnsi="Arial" w:cs="Arial"/>
          <w:szCs w:val="24"/>
        </w:rPr>
        <w:t xml:space="preserve">e </w:t>
      </w:r>
      <w:r w:rsidRPr="00662FF5" w:rsidR="00C233A4">
        <w:rPr>
          <w:rFonts w:ascii="Arial" w:hAnsi="Arial" w:cs="Arial"/>
          <w:szCs w:val="24"/>
        </w:rPr>
        <w:t>final</w:t>
      </w:r>
      <w:r w:rsidRPr="00662FF5" w:rsidR="003E143F">
        <w:rPr>
          <w:rFonts w:ascii="Arial" w:hAnsi="Arial" w:cs="Arial"/>
          <w:szCs w:val="24"/>
        </w:rPr>
        <w:t xml:space="preserve"> position on the</w:t>
      </w:r>
      <w:r w:rsidRPr="00662FF5" w:rsidR="00033619">
        <w:rPr>
          <w:rFonts w:ascii="Arial" w:hAnsi="Arial" w:cs="Arial"/>
          <w:szCs w:val="24"/>
        </w:rPr>
        <w:t xml:space="preserve"> </w:t>
      </w:r>
      <w:r w:rsidRPr="00662FF5" w:rsidR="003E143F">
        <w:rPr>
          <w:rFonts w:ascii="Arial" w:hAnsi="Arial" w:cs="Arial"/>
          <w:szCs w:val="24"/>
        </w:rPr>
        <w:t>DSG deficit reserve at the end of 202</w:t>
      </w:r>
      <w:r w:rsidRPr="00662FF5" w:rsidR="00267983">
        <w:rPr>
          <w:rFonts w:ascii="Arial" w:hAnsi="Arial" w:cs="Arial"/>
          <w:szCs w:val="24"/>
        </w:rPr>
        <w:t>4</w:t>
      </w:r>
      <w:r w:rsidRPr="00662FF5" w:rsidR="003E143F">
        <w:rPr>
          <w:rFonts w:ascii="Arial" w:hAnsi="Arial" w:cs="Arial"/>
          <w:szCs w:val="24"/>
        </w:rPr>
        <w:t>/2</w:t>
      </w:r>
      <w:r w:rsidRPr="00662FF5" w:rsidR="00267983">
        <w:rPr>
          <w:rFonts w:ascii="Arial" w:hAnsi="Arial" w:cs="Arial"/>
          <w:szCs w:val="24"/>
        </w:rPr>
        <w:t>5</w:t>
      </w:r>
      <w:r w:rsidRPr="00662FF5" w:rsidR="003E143F">
        <w:rPr>
          <w:rFonts w:ascii="Arial" w:hAnsi="Arial" w:cs="Arial"/>
          <w:szCs w:val="24"/>
        </w:rPr>
        <w:t xml:space="preserve"> is £</w:t>
      </w:r>
      <w:r w:rsidRPr="00662FF5" w:rsidR="00455FBD">
        <w:rPr>
          <w:rFonts w:ascii="Arial" w:hAnsi="Arial" w:cs="Arial"/>
          <w:szCs w:val="24"/>
        </w:rPr>
        <w:t>213</w:t>
      </w:r>
      <w:r w:rsidRPr="00662FF5" w:rsidR="003E143F">
        <w:rPr>
          <w:rFonts w:ascii="Arial" w:hAnsi="Arial" w:cs="Arial"/>
          <w:szCs w:val="24"/>
        </w:rPr>
        <w:t>m:</w:t>
      </w:r>
    </w:p>
    <w:tbl>
      <w:tblPr>
        <w:tblW w:w="7208" w:type="dxa"/>
        <w:tblInd w:w="675" w:type="dxa"/>
        <w:tblLayout w:type="fixed"/>
        <w:tblLook w:val="04A0" w:firstRow="1" w:lastRow="0" w:firstColumn="1" w:lastColumn="0" w:noHBand="0" w:noVBand="1"/>
      </w:tblPr>
      <w:tblGrid>
        <w:gridCol w:w="4552"/>
        <w:gridCol w:w="254"/>
        <w:gridCol w:w="898"/>
        <w:gridCol w:w="1504"/>
      </w:tblGrid>
      <w:tr w:rsidRPr="00662FF5" w:rsidR="00662FF5" w:rsidTr="006A67A0" w14:paraId="7C78F355" w14:textId="77777777">
        <w:trPr>
          <w:trHeight w:val="400" w:hRule="exact"/>
        </w:trPr>
        <w:tc>
          <w:tcPr>
            <w:tcW w:w="4552" w:type="dxa"/>
            <w:shd w:val="clear" w:color="auto" w:fill="auto"/>
          </w:tcPr>
          <w:p w:rsidRPr="00662FF5" w:rsidR="003A29DF" w:rsidP="006501FA" w:rsidRDefault="003A29DF" w14:paraId="57EFD3DB" w14:textId="77777777">
            <w:pPr>
              <w:pStyle w:val="Heading2"/>
              <w:keepNext w:val="0"/>
              <w:numPr>
                <w:ilvl w:val="0"/>
                <w:numId w:val="0"/>
              </w:numPr>
              <w:spacing w:before="60"/>
              <w:jc w:val="left"/>
              <w:rPr>
                <w:rFonts w:ascii="Arial" w:hAnsi="Arial" w:cs="Arial"/>
                <w:szCs w:val="24"/>
              </w:rPr>
            </w:pPr>
          </w:p>
        </w:tc>
        <w:tc>
          <w:tcPr>
            <w:tcW w:w="254" w:type="dxa"/>
            <w:shd w:val="clear" w:color="auto" w:fill="auto"/>
          </w:tcPr>
          <w:p w:rsidRPr="00662FF5" w:rsidR="003A29DF" w:rsidP="006501FA" w:rsidRDefault="003A29DF" w14:paraId="269F50D3" w14:textId="77777777">
            <w:pPr>
              <w:pStyle w:val="Heading2"/>
              <w:keepNext w:val="0"/>
              <w:numPr>
                <w:ilvl w:val="0"/>
                <w:numId w:val="0"/>
              </w:numPr>
              <w:spacing w:before="60"/>
              <w:jc w:val="left"/>
              <w:rPr>
                <w:rFonts w:ascii="Arial" w:hAnsi="Arial" w:cs="Arial"/>
                <w:szCs w:val="24"/>
              </w:rPr>
            </w:pPr>
          </w:p>
        </w:tc>
        <w:tc>
          <w:tcPr>
            <w:tcW w:w="898" w:type="dxa"/>
            <w:shd w:val="clear" w:color="auto" w:fill="auto"/>
            <w:vAlign w:val="center"/>
          </w:tcPr>
          <w:p w:rsidRPr="00662FF5" w:rsidR="003A29DF" w:rsidP="006501FA" w:rsidRDefault="003A29DF" w14:paraId="48EC8771" w14:textId="77777777">
            <w:pPr>
              <w:pStyle w:val="Heading2"/>
              <w:keepNext w:val="0"/>
              <w:numPr>
                <w:ilvl w:val="0"/>
                <w:numId w:val="0"/>
              </w:numPr>
              <w:spacing w:before="60"/>
              <w:jc w:val="right"/>
              <w:rPr>
                <w:rFonts w:ascii="Arial" w:hAnsi="Arial" w:cs="Arial"/>
                <w:b/>
                <w:szCs w:val="24"/>
              </w:rPr>
            </w:pPr>
          </w:p>
        </w:tc>
        <w:tc>
          <w:tcPr>
            <w:tcW w:w="1504" w:type="dxa"/>
            <w:shd w:val="clear" w:color="auto" w:fill="auto"/>
            <w:vAlign w:val="center"/>
          </w:tcPr>
          <w:p w:rsidRPr="00662FF5" w:rsidR="003A29DF" w:rsidP="006501FA" w:rsidRDefault="003A29DF" w14:paraId="3514DD42" w14:textId="77777777">
            <w:pPr>
              <w:pStyle w:val="Heading2"/>
              <w:keepNext w:val="0"/>
              <w:numPr>
                <w:ilvl w:val="0"/>
                <w:numId w:val="0"/>
              </w:numPr>
              <w:spacing w:before="60"/>
              <w:jc w:val="right"/>
              <w:rPr>
                <w:rFonts w:ascii="Arial" w:hAnsi="Arial" w:cs="Arial"/>
                <w:b/>
                <w:szCs w:val="24"/>
              </w:rPr>
            </w:pPr>
            <w:r w:rsidRPr="00662FF5">
              <w:rPr>
                <w:rFonts w:ascii="Arial" w:hAnsi="Arial" w:cs="Arial"/>
                <w:b/>
                <w:szCs w:val="24"/>
              </w:rPr>
              <w:t>£000</w:t>
            </w:r>
          </w:p>
        </w:tc>
      </w:tr>
      <w:tr w:rsidRPr="00455FBD" w:rsidR="00455FBD" w:rsidTr="006A67A0" w14:paraId="2C336D3A" w14:textId="77777777">
        <w:trPr>
          <w:trHeight w:val="400" w:hRule="exact"/>
        </w:trPr>
        <w:tc>
          <w:tcPr>
            <w:tcW w:w="4552" w:type="dxa"/>
            <w:shd w:val="clear" w:color="auto" w:fill="auto"/>
          </w:tcPr>
          <w:p w:rsidRPr="00455FBD" w:rsidR="003A29DF" w:rsidP="006501FA" w:rsidRDefault="003A29DF" w14:paraId="471BF339" w14:textId="2A5A80F0">
            <w:pPr>
              <w:pStyle w:val="Heading2"/>
              <w:keepNext w:val="0"/>
              <w:numPr>
                <w:ilvl w:val="0"/>
                <w:numId w:val="0"/>
              </w:numPr>
              <w:spacing w:before="60"/>
              <w:jc w:val="left"/>
              <w:rPr>
                <w:rFonts w:ascii="Arial" w:hAnsi="Arial" w:cs="Arial"/>
                <w:szCs w:val="24"/>
              </w:rPr>
            </w:pPr>
            <w:r w:rsidRPr="00455FBD">
              <w:rPr>
                <w:rFonts w:ascii="Arial" w:hAnsi="Arial" w:cs="Arial"/>
                <w:szCs w:val="24"/>
              </w:rPr>
              <w:t>Balance brought forward from 20</w:t>
            </w:r>
            <w:r w:rsidRPr="00455FBD" w:rsidR="00B17CE3">
              <w:rPr>
                <w:rFonts w:ascii="Arial" w:hAnsi="Arial" w:cs="Arial"/>
                <w:szCs w:val="24"/>
              </w:rPr>
              <w:t>2</w:t>
            </w:r>
            <w:r w:rsidRPr="00455FBD" w:rsidR="008D6C1D">
              <w:rPr>
                <w:rFonts w:ascii="Arial" w:hAnsi="Arial" w:cs="Arial"/>
                <w:szCs w:val="24"/>
              </w:rPr>
              <w:t>3</w:t>
            </w:r>
            <w:r w:rsidRPr="00455FBD">
              <w:rPr>
                <w:rFonts w:ascii="Arial" w:hAnsi="Arial" w:cs="Arial"/>
                <w:szCs w:val="24"/>
              </w:rPr>
              <w:t>/</w:t>
            </w:r>
            <w:r w:rsidRPr="00455FBD" w:rsidR="000C15CC">
              <w:rPr>
                <w:rFonts w:ascii="Arial" w:hAnsi="Arial" w:cs="Arial"/>
                <w:szCs w:val="24"/>
              </w:rPr>
              <w:t>2</w:t>
            </w:r>
            <w:r w:rsidRPr="00455FBD" w:rsidR="008D6C1D">
              <w:rPr>
                <w:rFonts w:ascii="Arial" w:hAnsi="Arial" w:cs="Arial"/>
                <w:szCs w:val="24"/>
              </w:rPr>
              <w:t>4</w:t>
            </w:r>
          </w:p>
        </w:tc>
        <w:tc>
          <w:tcPr>
            <w:tcW w:w="254" w:type="dxa"/>
            <w:shd w:val="clear" w:color="auto" w:fill="auto"/>
          </w:tcPr>
          <w:p w:rsidRPr="00455FBD" w:rsidR="003A29DF" w:rsidP="006501FA" w:rsidRDefault="003A29DF" w14:paraId="164EA88D" w14:textId="77777777">
            <w:pPr>
              <w:pStyle w:val="Heading2"/>
              <w:keepNext w:val="0"/>
              <w:numPr>
                <w:ilvl w:val="0"/>
                <w:numId w:val="0"/>
              </w:numPr>
              <w:spacing w:before="60"/>
              <w:jc w:val="left"/>
              <w:rPr>
                <w:rFonts w:ascii="Arial" w:hAnsi="Arial" w:cs="Arial"/>
                <w:szCs w:val="24"/>
              </w:rPr>
            </w:pPr>
          </w:p>
        </w:tc>
        <w:tc>
          <w:tcPr>
            <w:tcW w:w="898" w:type="dxa"/>
            <w:shd w:val="clear" w:color="auto" w:fill="auto"/>
            <w:vAlign w:val="center"/>
          </w:tcPr>
          <w:p w:rsidRPr="00455FBD" w:rsidR="003A29DF" w:rsidP="006501FA" w:rsidRDefault="003A29DF" w14:paraId="62A4F0B4" w14:textId="77777777">
            <w:pPr>
              <w:pStyle w:val="Heading2"/>
              <w:keepNext w:val="0"/>
              <w:numPr>
                <w:ilvl w:val="0"/>
                <w:numId w:val="0"/>
              </w:numPr>
              <w:spacing w:before="60"/>
              <w:jc w:val="right"/>
              <w:rPr>
                <w:rFonts w:ascii="Arial" w:hAnsi="Arial" w:cs="Arial"/>
                <w:szCs w:val="24"/>
              </w:rPr>
            </w:pPr>
          </w:p>
        </w:tc>
        <w:tc>
          <w:tcPr>
            <w:tcW w:w="1504" w:type="dxa"/>
            <w:shd w:val="clear" w:color="auto" w:fill="auto"/>
            <w:vAlign w:val="center"/>
          </w:tcPr>
          <w:p w:rsidRPr="00455FBD" w:rsidR="003A29DF" w:rsidP="006501FA" w:rsidRDefault="003A29DF" w14:paraId="6CB30E2B" w14:textId="25A2602E">
            <w:pPr>
              <w:pStyle w:val="Heading2"/>
              <w:keepNext w:val="0"/>
              <w:numPr>
                <w:ilvl w:val="0"/>
                <w:numId w:val="0"/>
              </w:numPr>
              <w:spacing w:before="60"/>
              <w:jc w:val="right"/>
              <w:rPr>
                <w:rFonts w:ascii="Arial" w:hAnsi="Arial" w:cs="Arial"/>
                <w:szCs w:val="24"/>
              </w:rPr>
            </w:pPr>
            <w:r w:rsidRPr="00455FBD">
              <w:rPr>
                <w:rFonts w:ascii="Arial" w:hAnsi="Arial" w:cs="Arial"/>
                <w:szCs w:val="24"/>
              </w:rPr>
              <w:t>(</w:t>
            </w:r>
            <w:r w:rsidRPr="00455FBD" w:rsidR="008D6C1D">
              <w:rPr>
                <w:rFonts w:ascii="Arial" w:hAnsi="Arial" w:cs="Arial"/>
                <w:szCs w:val="24"/>
              </w:rPr>
              <w:t>123</w:t>
            </w:r>
            <w:r w:rsidRPr="00455FBD" w:rsidR="00A07969">
              <w:rPr>
                <w:rFonts w:ascii="Arial" w:hAnsi="Arial" w:cs="Arial"/>
                <w:szCs w:val="24"/>
              </w:rPr>
              <w:t>,</w:t>
            </w:r>
            <w:r w:rsidRPr="00455FBD" w:rsidR="008D6C1D">
              <w:rPr>
                <w:rFonts w:ascii="Arial" w:hAnsi="Arial" w:cs="Arial"/>
                <w:szCs w:val="24"/>
              </w:rPr>
              <w:t>91</w:t>
            </w:r>
            <w:r w:rsidRPr="00455FBD" w:rsidR="006E0FBD">
              <w:rPr>
                <w:rFonts w:ascii="Arial" w:hAnsi="Arial" w:cs="Arial"/>
                <w:szCs w:val="24"/>
              </w:rPr>
              <w:t>9</w:t>
            </w:r>
            <w:r w:rsidRPr="00455FBD">
              <w:rPr>
                <w:rFonts w:ascii="Arial" w:hAnsi="Arial" w:cs="Arial"/>
                <w:szCs w:val="24"/>
              </w:rPr>
              <w:t>)</w:t>
            </w:r>
          </w:p>
        </w:tc>
      </w:tr>
      <w:tr w:rsidRPr="002E6C6C" w:rsidR="00455FBD" w:rsidTr="006A67A0" w14:paraId="1F6ADF8F" w14:textId="77777777">
        <w:trPr>
          <w:trHeight w:val="400" w:hRule="exact"/>
        </w:trPr>
        <w:tc>
          <w:tcPr>
            <w:tcW w:w="4552" w:type="dxa"/>
            <w:shd w:val="clear" w:color="auto" w:fill="auto"/>
          </w:tcPr>
          <w:p w:rsidRPr="00455FBD" w:rsidR="003A29DF" w:rsidP="006501FA" w:rsidRDefault="003A29DF" w14:paraId="4BF2093C" w14:textId="68B33525">
            <w:pPr>
              <w:pStyle w:val="Heading2"/>
              <w:keepNext w:val="0"/>
              <w:numPr>
                <w:ilvl w:val="0"/>
                <w:numId w:val="0"/>
              </w:numPr>
              <w:spacing w:before="60"/>
              <w:jc w:val="left"/>
              <w:rPr>
                <w:rFonts w:ascii="Arial" w:hAnsi="Arial" w:cs="Arial"/>
                <w:szCs w:val="24"/>
              </w:rPr>
            </w:pPr>
            <w:r w:rsidRPr="00455FBD">
              <w:rPr>
                <w:rFonts w:ascii="Arial" w:hAnsi="Arial" w:cs="Arial"/>
                <w:szCs w:val="24"/>
              </w:rPr>
              <w:t>20</w:t>
            </w:r>
            <w:r w:rsidRPr="00455FBD" w:rsidR="000C15CC">
              <w:rPr>
                <w:rFonts w:ascii="Arial" w:hAnsi="Arial" w:cs="Arial"/>
                <w:szCs w:val="24"/>
              </w:rPr>
              <w:t>2</w:t>
            </w:r>
            <w:r w:rsidRPr="00455FBD" w:rsidR="008D6C1D">
              <w:rPr>
                <w:rFonts w:ascii="Arial" w:hAnsi="Arial" w:cs="Arial"/>
                <w:szCs w:val="24"/>
              </w:rPr>
              <w:t>4</w:t>
            </w:r>
            <w:r w:rsidRPr="00455FBD">
              <w:rPr>
                <w:rFonts w:ascii="Arial" w:hAnsi="Arial" w:cs="Arial"/>
                <w:szCs w:val="24"/>
              </w:rPr>
              <w:t>/2</w:t>
            </w:r>
            <w:r w:rsidRPr="00455FBD" w:rsidR="008D6C1D">
              <w:rPr>
                <w:rFonts w:ascii="Arial" w:hAnsi="Arial" w:cs="Arial"/>
                <w:szCs w:val="24"/>
              </w:rPr>
              <w:t>5</w:t>
            </w:r>
            <w:r w:rsidRPr="00455FBD">
              <w:rPr>
                <w:rFonts w:ascii="Arial" w:hAnsi="Arial" w:cs="Arial"/>
                <w:szCs w:val="24"/>
              </w:rPr>
              <w:t xml:space="preserve"> overspend</w:t>
            </w:r>
          </w:p>
        </w:tc>
        <w:tc>
          <w:tcPr>
            <w:tcW w:w="254" w:type="dxa"/>
            <w:shd w:val="clear" w:color="auto" w:fill="auto"/>
          </w:tcPr>
          <w:p w:rsidRPr="00455FBD" w:rsidR="003A29DF" w:rsidP="006501FA" w:rsidRDefault="003A29DF" w14:paraId="1F59215C" w14:textId="77777777">
            <w:pPr>
              <w:pStyle w:val="Heading2"/>
              <w:keepNext w:val="0"/>
              <w:numPr>
                <w:ilvl w:val="0"/>
                <w:numId w:val="0"/>
              </w:numPr>
              <w:spacing w:before="60"/>
              <w:jc w:val="left"/>
              <w:rPr>
                <w:rFonts w:ascii="Arial" w:hAnsi="Arial" w:cs="Arial"/>
                <w:szCs w:val="24"/>
              </w:rPr>
            </w:pPr>
          </w:p>
        </w:tc>
        <w:tc>
          <w:tcPr>
            <w:tcW w:w="898" w:type="dxa"/>
            <w:shd w:val="clear" w:color="auto" w:fill="auto"/>
            <w:vAlign w:val="center"/>
          </w:tcPr>
          <w:p w:rsidRPr="00455FBD" w:rsidR="003A29DF" w:rsidP="006501FA" w:rsidRDefault="003A29DF" w14:paraId="396182BD" w14:textId="77777777">
            <w:pPr>
              <w:pStyle w:val="Heading2"/>
              <w:keepNext w:val="0"/>
              <w:numPr>
                <w:ilvl w:val="0"/>
                <w:numId w:val="0"/>
              </w:numPr>
              <w:spacing w:before="60"/>
              <w:jc w:val="right"/>
              <w:rPr>
                <w:rFonts w:ascii="Arial" w:hAnsi="Arial" w:cs="Arial"/>
                <w:szCs w:val="24"/>
              </w:rPr>
            </w:pPr>
          </w:p>
        </w:tc>
        <w:tc>
          <w:tcPr>
            <w:tcW w:w="1504" w:type="dxa"/>
            <w:shd w:val="clear" w:color="auto" w:fill="auto"/>
            <w:vAlign w:val="center"/>
          </w:tcPr>
          <w:p w:rsidRPr="002E6C6C" w:rsidR="003A29DF" w:rsidP="006501FA" w:rsidRDefault="003A29DF" w14:paraId="6CE16EF7" w14:textId="15DB9582">
            <w:pPr>
              <w:pStyle w:val="Heading2"/>
              <w:keepNext w:val="0"/>
              <w:numPr>
                <w:ilvl w:val="0"/>
                <w:numId w:val="0"/>
              </w:numPr>
              <w:spacing w:before="60"/>
              <w:jc w:val="right"/>
              <w:rPr>
                <w:rFonts w:ascii="Arial" w:hAnsi="Arial" w:cs="Arial"/>
                <w:color w:val="FF0000"/>
                <w:szCs w:val="24"/>
              </w:rPr>
            </w:pPr>
            <w:r w:rsidRPr="008655C1">
              <w:rPr>
                <w:rFonts w:ascii="Arial" w:hAnsi="Arial" w:cs="Arial"/>
                <w:szCs w:val="24"/>
              </w:rPr>
              <w:t>(</w:t>
            </w:r>
            <w:r w:rsidRPr="008655C1" w:rsidR="008D6C1D">
              <w:rPr>
                <w:rFonts w:ascii="Arial" w:hAnsi="Arial" w:cs="Arial"/>
                <w:szCs w:val="24"/>
              </w:rPr>
              <w:t>89</w:t>
            </w:r>
            <w:r w:rsidRPr="008655C1" w:rsidR="00A07969">
              <w:rPr>
                <w:rFonts w:ascii="Arial" w:hAnsi="Arial" w:cs="Arial"/>
                <w:szCs w:val="24"/>
              </w:rPr>
              <w:t>,</w:t>
            </w:r>
            <w:r w:rsidRPr="008655C1" w:rsidR="008D6C1D">
              <w:rPr>
                <w:rFonts w:ascii="Arial" w:hAnsi="Arial" w:cs="Arial"/>
                <w:szCs w:val="24"/>
              </w:rPr>
              <w:t>229</w:t>
            </w:r>
            <w:r w:rsidRPr="008655C1">
              <w:rPr>
                <w:rFonts w:ascii="Arial" w:hAnsi="Arial" w:cs="Arial"/>
                <w:szCs w:val="24"/>
              </w:rPr>
              <w:t>)</w:t>
            </w:r>
          </w:p>
        </w:tc>
      </w:tr>
      <w:tr w:rsidRPr="00455FBD" w:rsidR="00455FBD" w:rsidTr="006A67A0" w14:paraId="54BDB236" w14:textId="77777777">
        <w:trPr>
          <w:trHeight w:val="451" w:hRule="exact"/>
        </w:trPr>
        <w:tc>
          <w:tcPr>
            <w:tcW w:w="4806" w:type="dxa"/>
            <w:gridSpan w:val="2"/>
            <w:shd w:val="clear" w:color="auto" w:fill="auto"/>
          </w:tcPr>
          <w:p w:rsidRPr="00455FBD" w:rsidR="003A29DF" w:rsidP="006501FA" w:rsidRDefault="003A29DF" w14:paraId="620F4518" w14:textId="3E8DA7CC">
            <w:pPr>
              <w:pStyle w:val="Heading2"/>
              <w:keepNext w:val="0"/>
              <w:numPr>
                <w:ilvl w:val="0"/>
                <w:numId w:val="0"/>
              </w:numPr>
              <w:spacing w:before="60"/>
              <w:jc w:val="left"/>
              <w:rPr>
                <w:rFonts w:ascii="Arial" w:hAnsi="Arial" w:cs="Arial"/>
                <w:szCs w:val="24"/>
              </w:rPr>
            </w:pPr>
            <w:r w:rsidRPr="00455FBD">
              <w:rPr>
                <w:rFonts w:ascii="Arial" w:hAnsi="Arial" w:cs="Arial"/>
                <w:szCs w:val="24"/>
              </w:rPr>
              <w:t>DSG reserve as at 31.03.2</w:t>
            </w:r>
            <w:r w:rsidRPr="00455FBD" w:rsidR="008D6C1D">
              <w:rPr>
                <w:rFonts w:ascii="Arial" w:hAnsi="Arial" w:cs="Arial"/>
                <w:szCs w:val="24"/>
              </w:rPr>
              <w:t>5</w:t>
            </w:r>
          </w:p>
        </w:tc>
        <w:tc>
          <w:tcPr>
            <w:tcW w:w="898" w:type="dxa"/>
            <w:shd w:val="clear" w:color="auto" w:fill="auto"/>
            <w:vAlign w:val="center"/>
          </w:tcPr>
          <w:p w:rsidRPr="00455FBD" w:rsidR="003A29DF" w:rsidP="006501FA" w:rsidRDefault="003A29DF" w14:paraId="7EDA82E1" w14:textId="77777777">
            <w:pPr>
              <w:pStyle w:val="Heading2"/>
              <w:keepNext w:val="0"/>
              <w:numPr>
                <w:ilvl w:val="0"/>
                <w:numId w:val="0"/>
              </w:numPr>
              <w:spacing w:before="60"/>
              <w:jc w:val="right"/>
              <w:rPr>
                <w:rFonts w:ascii="Arial" w:hAnsi="Arial" w:cs="Arial"/>
                <w:szCs w:val="24"/>
              </w:rPr>
            </w:pPr>
          </w:p>
        </w:tc>
        <w:tc>
          <w:tcPr>
            <w:tcW w:w="1504" w:type="dxa"/>
            <w:tcBorders>
              <w:top w:val="single" w:color="auto" w:sz="4" w:space="0"/>
              <w:bottom w:val="single" w:color="auto" w:sz="4" w:space="0"/>
            </w:tcBorders>
            <w:shd w:val="clear" w:color="auto" w:fill="auto"/>
            <w:vAlign w:val="center"/>
          </w:tcPr>
          <w:p w:rsidRPr="00455FBD" w:rsidR="003A29DF" w:rsidP="00197003" w:rsidRDefault="003A29DF" w14:paraId="1FDBF7CA" w14:textId="1AF937B0">
            <w:pPr>
              <w:pStyle w:val="Heading2"/>
              <w:keepNext w:val="0"/>
              <w:numPr>
                <w:ilvl w:val="0"/>
                <w:numId w:val="0"/>
              </w:numPr>
              <w:spacing w:after="0"/>
              <w:jc w:val="right"/>
              <w:rPr>
                <w:rFonts w:ascii="Arial" w:hAnsi="Arial" w:cs="Arial"/>
                <w:b/>
                <w:szCs w:val="24"/>
              </w:rPr>
            </w:pPr>
            <w:r w:rsidRPr="00455FBD">
              <w:rPr>
                <w:rFonts w:ascii="Arial" w:hAnsi="Arial" w:cs="Arial"/>
                <w:b/>
                <w:szCs w:val="24"/>
              </w:rPr>
              <w:t>(</w:t>
            </w:r>
            <w:r w:rsidRPr="00455FBD" w:rsidR="00455FBD">
              <w:rPr>
                <w:rFonts w:ascii="Arial" w:hAnsi="Arial" w:cs="Arial"/>
                <w:b/>
                <w:szCs w:val="24"/>
              </w:rPr>
              <w:t>21</w:t>
            </w:r>
            <w:r w:rsidRPr="00455FBD" w:rsidR="00724507">
              <w:rPr>
                <w:rFonts w:ascii="Arial" w:hAnsi="Arial" w:cs="Arial"/>
                <w:b/>
                <w:szCs w:val="24"/>
              </w:rPr>
              <w:t>3</w:t>
            </w:r>
            <w:r w:rsidRPr="00455FBD" w:rsidR="00F70F2B">
              <w:rPr>
                <w:rFonts w:ascii="Arial" w:hAnsi="Arial" w:cs="Arial"/>
                <w:b/>
                <w:szCs w:val="24"/>
              </w:rPr>
              <w:t>,</w:t>
            </w:r>
            <w:r w:rsidRPr="00455FBD" w:rsidR="00455FBD">
              <w:rPr>
                <w:rFonts w:ascii="Arial" w:hAnsi="Arial" w:cs="Arial"/>
                <w:b/>
                <w:szCs w:val="24"/>
              </w:rPr>
              <w:t>148</w:t>
            </w:r>
            <w:r w:rsidRPr="00455FBD">
              <w:rPr>
                <w:rFonts w:ascii="Arial" w:hAnsi="Arial" w:cs="Arial"/>
                <w:b/>
                <w:szCs w:val="24"/>
              </w:rPr>
              <w:t>)</w:t>
            </w:r>
          </w:p>
        </w:tc>
      </w:tr>
    </w:tbl>
    <w:p w:rsidRPr="006F5D43" w:rsidR="00A80333" w:rsidP="0031354B" w:rsidRDefault="00A80333" w14:paraId="0C6A9371" w14:textId="77777777">
      <w:pPr>
        <w:pStyle w:val="Heading2"/>
        <w:keepNext w:val="0"/>
        <w:numPr>
          <w:ilvl w:val="0"/>
          <w:numId w:val="0"/>
        </w:numPr>
        <w:spacing w:after="0"/>
        <w:ind w:left="578"/>
        <w:jc w:val="left"/>
        <w:rPr>
          <w:rFonts w:ascii="Arial" w:hAnsi="Arial" w:cs="Arial"/>
          <w:color w:val="FF0000"/>
          <w:szCs w:val="24"/>
        </w:rPr>
      </w:pPr>
    </w:p>
    <w:p w:rsidRPr="00E60EA1" w:rsidR="0001308E" w:rsidP="00197003" w:rsidRDefault="00D533E0" w14:paraId="6FA71703" w14:textId="181005B3">
      <w:pPr>
        <w:pStyle w:val="Heading2"/>
        <w:keepNext w:val="0"/>
        <w:tabs>
          <w:tab w:val="clear" w:pos="576"/>
          <w:tab w:val="num" w:pos="426"/>
        </w:tabs>
        <w:spacing w:after="0"/>
        <w:ind w:left="426" w:hanging="568"/>
        <w:jc w:val="left"/>
        <w:rPr>
          <w:rFonts w:ascii="Arial" w:hAnsi="Arial" w:cs="Arial"/>
          <w:szCs w:val="24"/>
        </w:rPr>
      </w:pPr>
      <w:r w:rsidRPr="00E60EA1">
        <w:rPr>
          <w:rFonts w:ascii="Arial" w:hAnsi="Arial" w:cs="Arial"/>
          <w:szCs w:val="24"/>
        </w:rPr>
        <w:t>The local authority continue</w:t>
      </w:r>
      <w:r w:rsidRPr="00E60EA1" w:rsidR="00D73357">
        <w:rPr>
          <w:rFonts w:ascii="Arial" w:hAnsi="Arial" w:cs="Arial"/>
          <w:szCs w:val="24"/>
        </w:rPr>
        <w:t>s to take action</w:t>
      </w:r>
      <w:r w:rsidRPr="00E60EA1">
        <w:rPr>
          <w:rFonts w:ascii="Arial" w:hAnsi="Arial" w:cs="Arial"/>
          <w:szCs w:val="24"/>
        </w:rPr>
        <w:t xml:space="preserve"> to try and address the </w:t>
      </w:r>
      <w:r w:rsidRPr="00E60EA1" w:rsidR="00B80085">
        <w:rPr>
          <w:rFonts w:ascii="Arial" w:hAnsi="Arial" w:cs="Arial"/>
          <w:szCs w:val="24"/>
        </w:rPr>
        <w:t xml:space="preserve">deficit as set out in the </w:t>
      </w:r>
      <w:r w:rsidRPr="00E60EA1" w:rsidR="005A0208">
        <w:rPr>
          <w:rFonts w:ascii="Arial" w:hAnsi="Arial" w:cs="Arial"/>
          <w:szCs w:val="24"/>
        </w:rPr>
        <w:t xml:space="preserve">DSG </w:t>
      </w:r>
      <w:r w:rsidRPr="00E60EA1" w:rsidR="00BF318B">
        <w:rPr>
          <w:rFonts w:ascii="Arial" w:hAnsi="Arial" w:cs="Arial"/>
          <w:szCs w:val="24"/>
        </w:rPr>
        <w:t>Management</w:t>
      </w:r>
      <w:r w:rsidRPr="00E60EA1" w:rsidR="005A0208">
        <w:rPr>
          <w:rFonts w:ascii="Arial" w:hAnsi="Arial" w:cs="Arial"/>
          <w:szCs w:val="24"/>
        </w:rPr>
        <w:t xml:space="preserve"> Plan</w:t>
      </w:r>
      <w:r w:rsidRPr="00E60EA1" w:rsidR="004C3AC5">
        <w:rPr>
          <w:rFonts w:ascii="Arial" w:hAnsi="Arial" w:cs="Arial"/>
          <w:szCs w:val="24"/>
        </w:rPr>
        <w:t>. A full update o</w:t>
      </w:r>
      <w:r w:rsidRPr="00E60EA1" w:rsidR="0089175B">
        <w:rPr>
          <w:rFonts w:ascii="Arial" w:hAnsi="Arial" w:cs="Arial"/>
          <w:szCs w:val="24"/>
        </w:rPr>
        <w:t>f</w:t>
      </w:r>
      <w:r w:rsidRPr="00E60EA1" w:rsidR="004C3AC5">
        <w:rPr>
          <w:rFonts w:ascii="Arial" w:hAnsi="Arial" w:cs="Arial"/>
          <w:szCs w:val="24"/>
        </w:rPr>
        <w:t xml:space="preserve"> the plan is shared with Schools Forum in July each year with </w:t>
      </w:r>
      <w:r w:rsidRPr="00E60EA1" w:rsidR="00023ABF">
        <w:rPr>
          <w:rFonts w:ascii="Arial" w:hAnsi="Arial" w:cs="Arial"/>
          <w:szCs w:val="24"/>
        </w:rPr>
        <w:t xml:space="preserve">interim </w:t>
      </w:r>
      <w:r w:rsidRPr="00E60EA1" w:rsidR="00C42C5B">
        <w:rPr>
          <w:rFonts w:ascii="Arial" w:hAnsi="Arial" w:cs="Arial"/>
          <w:szCs w:val="24"/>
        </w:rPr>
        <w:t xml:space="preserve">High Needs </w:t>
      </w:r>
      <w:r w:rsidRPr="00E60EA1" w:rsidR="00023ABF">
        <w:rPr>
          <w:rFonts w:ascii="Arial" w:hAnsi="Arial" w:cs="Arial"/>
          <w:szCs w:val="24"/>
        </w:rPr>
        <w:t xml:space="preserve">updates shared </w:t>
      </w:r>
      <w:r w:rsidRPr="00E60EA1" w:rsidR="000150FA">
        <w:rPr>
          <w:rFonts w:ascii="Arial" w:hAnsi="Arial" w:cs="Arial"/>
          <w:szCs w:val="24"/>
        </w:rPr>
        <w:t xml:space="preserve">periodically </w:t>
      </w:r>
      <w:r w:rsidRPr="00E60EA1" w:rsidR="00023ABF">
        <w:rPr>
          <w:rFonts w:ascii="Arial" w:hAnsi="Arial" w:cs="Arial"/>
          <w:szCs w:val="24"/>
        </w:rPr>
        <w:t xml:space="preserve">throughout the year </w:t>
      </w:r>
      <w:r w:rsidRPr="00E60EA1" w:rsidR="001B4BE5">
        <w:rPr>
          <w:rFonts w:ascii="Arial" w:hAnsi="Arial" w:cs="Arial"/>
          <w:szCs w:val="24"/>
        </w:rPr>
        <w:t xml:space="preserve">to </w:t>
      </w:r>
      <w:r w:rsidRPr="00E60EA1" w:rsidR="0089175B">
        <w:rPr>
          <w:rFonts w:ascii="Arial" w:hAnsi="Arial" w:cs="Arial"/>
          <w:szCs w:val="24"/>
        </w:rPr>
        <w:t xml:space="preserve">inform members of </w:t>
      </w:r>
      <w:r w:rsidRPr="00E60EA1" w:rsidR="00867D8D">
        <w:rPr>
          <w:rFonts w:ascii="Arial" w:hAnsi="Arial" w:cs="Arial"/>
          <w:szCs w:val="24"/>
        </w:rPr>
        <w:t xml:space="preserve">progress or </w:t>
      </w:r>
      <w:r w:rsidRPr="00E60EA1" w:rsidR="00962560">
        <w:rPr>
          <w:rFonts w:ascii="Arial" w:hAnsi="Arial" w:cs="Arial"/>
          <w:szCs w:val="24"/>
        </w:rPr>
        <w:t xml:space="preserve">discuss </w:t>
      </w:r>
      <w:r w:rsidRPr="00E60EA1" w:rsidR="0089175B">
        <w:rPr>
          <w:rFonts w:ascii="Arial" w:hAnsi="Arial" w:cs="Arial"/>
          <w:szCs w:val="24"/>
        </w:rPr>
        <w:t>new proposed strategies</w:t>
      </w:r>
      <w:r w:rsidRPr="00E60EA1" w:rsidR="008D63C8">
        <w:rPr>
          <w:rFonts w:ascii="Arial" w:hAnsi="Arial" w:cs="Arial"/>
          <w:szCs w:val="24"/>
        </w:rPr>
        <w:t>.</w:t>
      </w:r>
    </w:p>
    <w:p w:rsidRPr="00306FF7" w:rsidR="009B594E" w:rsidP="009B594E" w:rsidRDefault="009B594E" w14:paraId="782ABA6F" w14:textId="68C46D47">
      <w:pPr>
        <w:pStyle w:val="Heading1"/>
        <w:keepNext w:val="0"/>
        <w:tabs>
          <w:tab w:val="num" w:pos="432"/>
        </w:tabs>
        <w:spacing w:before="240"/>
        <w:ind w:left="431" w:hanging="431"/>
        <w:jc w:val="left"/>
        <w:rPr>
          <w:rFonts w:ascii="Arial" w:hAnsi="Arial" w:cs="Arial"/>
          <w:szCs w:val="24"/>
        </w:rPr>
      </w:pPr>
      <w:r w:rsidRPr="00306FF7">
        <w:rPr>
          <w:rFonts w:ascii="Arial" w:hAnsi="Arial" w:cs="Arial"/>
          <w:szCs w:val="24"/>
        </w:rPr>
        <w:t>20</w:t>
      </w:r>
      <w:r w:rsidRPr="00306FF7" w:rsidR="005A0208">
        <w:rPr>
          <w:rFonts w:ascii="Arial" w:hAnsi="Arial" w:cs="Arial"/>
          <w:szCs w:val="24"/>
        </w:rPr>
        <w:t>2</w:t>
      </w:r>
      <w:r w:rsidRPr="00306FF7" w:rsidR="00E60EA1">
        <w:rPr>
          <w:rFonts w:ascii="Arial" w:hAnsi="Arial" w:cs="Arial"/>
          <w:szCs w:val="24"/>
        </w:rPr>
        <w:t>4</w:t>
      </w:r>
      <w:r w:rsidRPr="00306FF7" w:rsidR="005A0208">
        <w:rPr>
          <w:rFonts w:ascii="Arial" w:hAnsi="Arial" w:cs="Arial"/>
          <w:szCs w:val="24"/>
        </w:rPr>
        <w:t>/2</w:t>
      </w:r>
      <w:r w:rsidRPr="00306FF7" w:rsidR="00E60EA1">
        <w:rPr>
          <w:rFonts w:ascii="Arial" w:hAnsi="Arial" w:cs="Arial"/>
          <w:szCs w:val="24"/>
        </w:rPr>
        <w:t>5</w:t>
      </w:r>
      <w:r w:rsidRPr="00306FF7">
        <w:rPr>
          <w:rFonts w:ascii="Arial" w:hAnsi="Arial" w:cs="Arial"/>
          <w:szCs w:val="24"/>
        </w:rPr>
        <w:t xml:space="preserve"> </w:t>
      </w:r>
      <w:r w:rsidRPr="00306FF7" w:rsidR="009C67BB">
        <w:rPr>
          <w:rFonts w:ascii="Arial" w:hAnsi="Arial" w:cs="Arial"/>
          <w:szCs w:val="24"/>
        </w:rPr>
        <w:t>b</w:t>
      </w:r>
      <w:r w:rsidRPr="00306FF7">
        <w:rPr>
          <w:rFonts w:ascii="Arial" w:hAnsi="Arial" w:cs="Arial"/>
          <w:szCs w:val="24"/>
        </w:rPr>
        <w:t xml:space="preserve">udget </w:t>
      </w:r>
      <w:r w:rsidRPr="00306FF7" w:rsidR="009C67BB">
        <w:rPr>
          <w:rFonts w:ascii="Arial" w:hAnsi="Arial" w:cs="Arial"/>
          <w:szCs w:val="24"/>
        </w:rPr>
        <w:t>v</w:t>
      </w:r>
      <w:r w:rsidRPr="00306FF7">
        <w:rPr>
          <w:rFonts w:ascii="Arial" w:hAnsi="Arial" w:cs="Arial"/>
          <w:szCs w:val="24"/>
        </w:rPr>
        <w:t>ariances</w:t>
      </w:r>
    </w:p>
    <w:p w:rsidRPr="00306FF7" w:rsidR="00D54D77" w:rsidP="009B594E" w:rsidRDefault="009B594E" w14:paraId="1A3F2757" w14:textId="4E61BC86">
      <w:pPr>
        <w:pStyle w:val="Heading2"/>
        <w:keepNext w:val="0"/>
        <w:tabs>
          <w:tab w:val="clear" w:pos="576"/>
          <w:tab w:val="num" w:pos="426"/>
        </w:tabs>
        <w:ind w:left="426" w:hanging="568"/>
        <w:jc w:val="left"/>
        <w:rPr>
          <w:rFonts w:ascii="Arial" w:hAnsi="Arial" w:cs="Arial"/>
          <w:szCs w:val="24"/>
        </w:rPr>
      </w:pPr>
      <w:r w:rsidRPr="00306FF7">
        <w:rPr>
          <w:rFonts w:ascii="Arial" w:hAnsi="Arial" w:cs="Arial"/>
          <w:szCs w:val="24"/>
        </w:rPr>
        <w:t>The most significant budget variances ar</w:t>
      </w:r>
      <w:r w:rsidRPr="00306FF7" w:rsidR="008C475F">
        <w:rPr>
          <w:rFonts w:ascii="Arial" w:hAnsi="Arial" w:cs="Arial"/>
          <w:szCs w:val="24"/>
        </w:rPr>
        <w:t>e discussed below</w:t>
      </w:r>
      <w:r w:rsidRPr="00306FF7">
        <w:rPr>
          <w:rFonts w:ascii="Arial" w:hAnsi="Arial" w:cs="Arial"/>
          <w:szCs w:val="24"/>
        </w:rPr>
        <w:t xml:space="preserve">. </w:t>
      </w:r>
      <w:r w:rsidRPr="00306FF7" w:rsidR="000C2AAF">
        <w:rPr>
          <w:rFonts w:ascii="Arial" w:hAnsi="Arial" w:cs="Arial"/>
          <w:szCs w:val="24"/>
        </w:rPr>
        <w:t xml:space="preserve">A detailed </w:t>
      </w:r>
      <w:r w:rsidRPr="00306FF7" w:rsidR="002D34C0">
        <w:rPr>
          <w:rFonts w:ascii="Arial" w:hAnsi="Arial" w:cs="Arial"/>
          <w:szCs w:val="24"/>
        </w:rPr>
        <w:t>breakdown of the 20</w:t>
      </w:r>
      <w:r w:rsidRPr="00306FF7" w:rsidR="005A0208">
        <w:rPr>
          <w:rFonts w:ascii="Arial" w:hAnsi="Arial" w:cs="Arial"/>
          <w:szCs w:val="24"/>
        </w:rPr>
        <w:t>2</w:t>
      </w:r>
      <w:r w:rsidRPr="00306FF7" w:rsidR="00306FF7">
        <w:rPr>
          <w:rFonts w:ascii="Arial" w:hAnsi="Arial" w:cs="Arial"/>
          <w:szCs w:val="24"/>
        </w:rPr>
        <w:t>4</w:t>
      </w:r>
      <w:r w:rsidRPr="00306FF7" w:rsidR="002D34C0">
        <w:rPr>
          <w:rFonts w:ascii="Arial" w:hAnsi="Arial" w:cs="Arial"/>
          <w:szCs w:val="24"/>
        </w:rPr>
        <w:t>/</w:t>
      </w:r>
      <w:r w:rsidRPr="00306FF7" w:rsidR="00D54D77">
        <w:rPr>
          <w:rFonts w:ascii="Arial" w:hAnsi="Arial" w:cs="Arial"/>
          <w:szCs w:val="24"/>
        </w:rPr>
        <w:t>2</w:t>
      </w:r>
      <w:r w:rsidRPr="00306FF7" w:rsidR="00306FF7">
        <w:rPr>
          <w:rFonts w:ascii="Arial" w:hAnsi="Arial" w:cs="Arial"/>
          <w:szCs w:val="24"/>
        </w:rPr>
        <w:t>5</w:t>
      </w:r>
      <w:r w:rsidRPr="00306FF7" w:rsidR="0072135B">
        <w:rPr>
          <w:rFonts w:ascii="Arial" w:hAnsi="Arial" w:cs="Arial"/>
          <w:szCs w:val="24"/>
        </w:rPr>
        <w:t xml:space="preserve"> figures is provided in </w:t>
      </w:r>
      <w:r w:rsidRPr="00306FF7" w:rsidR="003E44C9">
        <w:rPr>
          <w:rFonts w:ascii="Arial" w:hAnsi="Arial" w:cs="Arial"/>
          <w:szCs w:val="24"/>
        </w:rPr>
        <w:t>A</w:t>
      </w:r>
      <w:r w:rsidRPr="00306FF7" w:rsidR="0072135B">
        <w:rPr>
          <w:rFonts w:ascii="Arial" w:hAnsi="Arial" w:cs="Arial"/>
          <w:szCs w:val="24"/>
        </w:rPr>
        <w:t>ppendix 1.</w:t>
      </w:r>
    </w:p>
    <w:p w:rsidRPr="00B51700" w:rsidR="00092A85" w:rsidP="0A36A4E5" w:rsidRDefault="037ACEEC" w14:paraId="07D6821F" w14:textId="2BBB3533">
      <w:pPr>
        <w:pStyle w:val="Heading2"/>
        <w:keepNext w:val="0"/>
        <w:tabs>
          <w:tab w:val="clear" w:pos="576"/>
          <w:tab w:val="num" w:pos="426"/>
        </w:tabs>
        <w:ind w:left="426" w:hanging="568"/>
        <w:jc w:val="left"/>
        <w:rPr>
          <w:rFonts w:ascii="Arial" w:hAnsi="Arial" w:cs="Arial"/>
        </w:rPr>
      </w:pPr>
      <w:r w:rsidRPr="09EF4255">
        <w:rPr>
          <w:rFonts w:ascii="Arial" w:hAnsi="Arial" w:cs="Arial"/>
        </w:rPr>
        <w:t>The final position is £</w:t>
      </w:r>
      <w:r w:rsidRPr="09EF4255" w:rsidR="00156C88">
        <w:rPr>
          <w:rFonts w:ascii="Arial" w:hAnsi="Arial" w:cs="Arial"/>
        </w:rPr>
        <w:t>12.2</w:t>
      </w:r>
      <w:r w:rsidRPr="09EF4255">
        <w:rPr>
          <w:rFonts w:ascii="Arial" w:hAnsi="Arial" w:cs="Arial"/>
        </w:rPr>
        <w:t xml:space="preserve">m </w:t>
      </w:r>
      <w:r w:rsidRPr="09EF4255" w:rsidR="00156C88">
        <w:rPr>
          <w:rFonts w:ascii="Arial" w:hAnsi="Arial" w:cs="Arial"/>
        </w:rPr>
        <w:t>higher</w:t>
      </w:r>
      <w:r w:rsidRPr="09EF4255">
        <w:rPr>
          <w:rFonts w:ascii="Arial" w:hAnsi="Arial" w:cs="Arial"/>
        </w:rPr>
        <w:t xml:space="preserve"> th</w:t>
      </w:r>
      <w:r w:rsidRPr="09EF4255" w:rsidR="07D65AE4">
        <w:rPr>
          <w:rFonts w:ascii="Arial" w:hAnsi="Arial" w:cs="Arial"/>
        </w:rPr>
        <w:t>an th</w:t>
      </w:r>
      <w:r w:rsidRPr="09EF4255">
        <w:rPr>
          <w:rFonts w:ascii="Arial" w:hAnsi="Arial" w:cs="Arial"/>
        </w:rPr>
        <w:t xml:space="preserve">e forecast position reported to </w:t>
      </w:r>
      <w:proofErr w:type="gramStart"/>
      <w:r w:rsidRPr="09EF4255">
        <w:rPr>
          <w:rFonts w:ascii="Arial" w:hAnsi="Arial" w:cs="Arial"/>
        </w:rPr>
        <w:t>Schools</w:t>
      </w:r>
      <w:proofErr w:type="gramEnd"/>
      <w:r w:rsidRPr="09EF4255">
        <w:rPr>
          <w:rFonts w:ascii="Arial" w:hAnsi="Arial" w:cs="Arial"/>
        </w:rPr>
        <w:t xml:space="preserve"> Forum in January.</w:t>
      </w:r>
      <w:r w:rsidRPr="09EF4255" w:rsidR="4A0CB394">
        <w:rPr>
          <w:rFonts w:ascii="Arial" w:hAnsi="Arial" w:cs="Arial"/>
        </w:rPr>
        <w:t xml:space="preserve"> </w:t>
      </w:r>
      <w:r w:rsidRPr="09EF4255" w:rsidR="00165676">
        <w:rPr>
          <w:rFonts w:ascii="Arial" w:hAnsi="Arial" w:cs="Arial"/>
        </w:rPr>
        <w:t xml:space="preserve">This </w:t>
      </w:r>
      <w:r w:rsidRPr="09EF4255" w:rsidR="00FC1913">
        <w:rPr>
          <w:rFonts w:ascii="Arial" w:hAnsi="Arial" w:cs="Arial"/>
        </w:rPr>
        <w:t>increase</w:t>
      </w:r>
      <w:r w:rsidRPr="09EF4255" w:rsidR="00165676">
        <w:rPr>
          <w:rFonts w:ascii="Arial" w:hAnsi="Arial" w:cs="Arial"/>
        </w:rPr>
        <w:t xml:space="preserve"> mainly relates to </w:t>
      </w:r>
      <w:r w:rsidRPr="09EF4255" w:rsidR="00911813">
        <w:rPr>
          <w:rFonts w:ascii="Arial" w:hAnsi="Arial" w:cs="Arial"/>
        </w:rPr>
        <w:t>the High Needs block</w:t>
      </w:r>
      <w:r w:rsidRPr="09EF4255" w:rsidR="0028702B">
        <w:rPr>
          <w:rFonts w:ascii="Arial" w:hAnsi="Arial" w:cs="Arial"/>
        </w:rPr>
        <w:t xml:space="preserve"> with </w:t>
      </w:r>
      <w:r w:rsidRPr="09EF4255" w:rsidR="00CD7BC7">
        <w:rPr>
          <w:rFonts w:ascii="Arial" w:hAnsi="Arial" w:cs="Arial"/>
        </w:rPr>
        <w:t>higher</w:t>
      </w:r>
      <w:r w:rsidRPr="09EF4255" w:rsidR="00165676">
        <w:rPr>
          <w:rFonts w:ascii="Arial" w:hAnsi="Arial" w:cs="Arial"/>
        </w:rPr>
        <w:t xml:space="preserve"> </w:t>
      </w:r>
      <w:proofErr w:type="gramStart"/>
      <w:r w:rsidRPr="09EF4255" w:rsidR="00165676">
        <w:rPr>
          <w:rFonts w:ascii="Arial" w:hAnsi="Arial" w:cs="Arial"/>
        </w:rPr>
        <w:t>spend</w:t>
      </w:r>
      <w:proofErr w:type="gramEnd"/>
      <w:r w:rsidRPr="09EF4255" w:rsidR="00165676">
        <w:rPr>
          <w:rFonts w:ascii="Arial" w:hAnsi="Arial" w:cs="Arial"/>
        </w:rPr>
        <w:t xml:space="preserve"> on </w:t>
      </w:r>
      <w:r w:rsidRPr="09EF4255" w:rsidR="005447DB">
        <w:rPr>
          <w:rFonts w:ascii="Arial" w:hAnsi="Arial" w:cs="Arial"/>
        </w:rPr>
        <w:t>independent</w:t>
      </w:r>
      <w:r w:rsidRPr="09EF4255" w:rsidR="00653290">
        <w:rPr>
          <w:rFonts w:ascii="Arial" w:hAnsi="Arial" w:cs="Arial"/>
        </w:rPr>
        <w:t xml:space="preserve"> providers </w:t>
      </w:r>
      <w:r w:rsidRPr="09EF4255" w:rsidR="00395DDC">
        <w:rPr>
          <w:rFonts w:ascii="Arial" w:hAnsi="Arial" w:cs="Arial"/>
        </w:rPr>
        <w:t xml:space="preserve">(£7.6m) </w:t>
      </w:r>
      <w:r w:rsidRPr="09EF4255" w:rsidR="00653290">
        <w:rPr>
          <w:rFonts w:ascii="Arial" w:hAnsi="Arial" w:cs="Arial"/>
        </w:rPr>
        <w:t>and</w:t>
      </w:r>
      <w:r w:rsidRPr="09EF4255" w:rsidR="00CD7BC7">
        <w:rPr>
          <w:rFonts w:ascii="Arial" w:hAnsi="Arial" w:cs="Arial"/>
        </w:rPr>
        <w:t xml:space="preserve"> </w:t>
      </w:r>
      <w:r w:rsidRPr="09EF4255" w:rsidR="00165676">
        <w:rPr>
          <w:rFonts w:ascii="Arial" w:hAnsi="Arial" w:cs="Arial"/>
        </w:rPr>
        <w:t xml:space="preserve">discretionary payments </w:t>
      </w:r>
      <w:r w:rsidRPr="09EF4255" w:rsidR="00395DDC">
        <w:rPr>
          <w:rFonts w:ascii="Arial" w:hAnsi="Arial" w:cs="Arial"/>
        </w:rPr>
        <w:t>(£</w:t>
      </w:r>
      <w:r w:rsidRPr="09EF4255" w:rsidR="00A72F5D">
        <w:rPr>
          <w:rFonts w:ascii="Arial" w:hAnsi="Arial" w:cs="Arial"/>
        </w:rPr>
        <w:t>4.5</w:t>
      </w:r>
      <w:r w:rsidRPr="09EF4255" w:rsidR="001F11AE">
        <w:rPr>
          <w:rFonts w:ascii="Arial" w:hAnsi="Arial" w:cs="Arial"/>
        </w:rPr>
        <w:t xml:space="preserve">m) </w:t>
      </w:r>
      <w:r w:rsidRPr="09EF4255" w:rsidR="00165676">
        <w:rPr>
          <w:rFonts w:ascii="Arial" w:hAnsi="Arial" w:cs="Arial"/>
        </w:rPr>
        <w:t>than forecast</w:t>
      </w:r>
      <w:r w:rsidRPr="09EF4255" w:rsidR="00966418">
        <w:rPr>
          <w:rFonts w:ascii="Arial" w:hAnsi="Arial" w:cs="Arial"/>
        </w:rPr>
        <w:t>. Th</w:t>
      </w:r>
      <w:r w:rsidRPr="09EF4255" w:rsidR="00653290">
        <w:rPr>
          <w:rFonts w:ascii="Arial" w:hAnsi="Arial" w:cs="Arial"/>
        </w:rPr>
        <w:t>ese are both</w:t>
      </w:r>
      <w:r w:rsidRPr="09EF4255" w:rsidR="00966418">
        <w:rPr>
          <w:rFonts w:ascii="Arial" w:hAnsi="Arial" w:cs="Arial"/>
        </w:rPr>
        <w:t xml:space="preserve"> volatile budget</w:t>
      </w:r>
      <w:r w:rsidRPr="09EF4255" w:rsidR="00227129">
        <w:rPr>
          <w:rFonts w:ascii="Arial" w:hAnsi="Arial" w:cs="Arial"/>
        </w:rPr>
        <w:t>s</w:t>
      </w:r>
      <w:r w:rsidRPr="09EF4255" w:rsidR="3BF4C2F2">
        <w:rPr>
          <w:rFonts w:ascii="Arial" w:hAnsi="Arial" w:cs="Arial"/>
        </w:rPr>
        <w:t>,</w:t>
      </w:r>
      <w:r w:rsidRPr="09EF4255" w:rsidR="00966418">
        <w:rPr>
          <w:rFonts w:ascii="Arial" w:hAnsi="Arial" w:cs="Arial"/>
        </w:rPr>
        <w:t xml:space="preserve"> </w:t>
      </w:r>
      <w:r w:rsidRPr="09EF4255" w:rsidR="00F5076E">
        <w:rPr>
          <w:rFonts w:ascii="Arial" w:hAnsi="Arial" w:cs="Arial"/>
        </w:rPr>
        <w:t>reactive</w:t>
      </w:r>
      <w:r w:rsidRPr="09EF4255" w:rsidR="00966418">
        <w:rPr>
          <w:rFonts w:ascii="Arial" w:hAnsi="Arial" w:cs="Arial"/>
        </w:rPr>
        <w:t xml:space="preserve"> to </w:t>
      </w:r>
      <w:r w:rsidRPr="09EF4255" w:rsidR="003A58A2">
        <w:rPr>
          <w:rFonts w:ascii="Arial" w:hAnsi="Arial" w:cs="Arial"/>
        </w:rPr>
        <w:t>demand</w:t>
      </w:r>
      <w:r w:rsidRPr="09EF4255" w:rsidR="00D6380D">
        <w:rPr>
          <w:rFonts w:ascii="Arial" w:hAnsi="Arial" w:cs="Arial"/>
        </w:rPr>
        <w:t xml:space="preserve"> and work is underway to </w:t>
      </w:r>
      <w:r w:rsidRPr="09EF4255" w:rsidR="003A58A2">
        <w:rPr>
          <w:rFonts w:ascii="Arial" w:hAnsi="Arial" w:cs="Arial"/>
        </w:rPr>
        <w:t>improve</w:t>
      </w:r>
      <w:r w:rsidRPr="09EF4255" w:rsidR="00334C03">
        <w:rPr>
          <w:rFonts w:ascii="Arial" w:hAnsi="Arial" w:cs="Arial"/>
        </w:rPr>
        <w:t xml:space="preserve"> track</w:t>
      </w:r>
      <w:r w:rsidRPr="09EF4255" w:rsidR="003E040D">
        <w:rPr>
          <w:rFonts w:ascii="Arial" w:hAnsi="Arial" w:cs="Arial"/>
        </w:rPr>
        <w:t>ing of</w:t>
      </w:r>
      <w:r w:rsidRPr="09EF4255" w:rsidR="00334C03">
        <w:rPr>
          <w:rFonts w:ascii="Arial" w:hAnsi="Arial" w:cs="Arial"/>
        </w:rPr>
        <w:t xml:space="preserve"> activity</w:t>
      </w:r>
      <w:r w:rsidRPr="09EF4255" w:rsidR="00966418">
        <w:rPr>
          <w:rFonts w:ascii="Arial" w:hAnsi="Arial" w:cs="Arial"/>
        </w:rPr>
        <w:t>.  In addition</w:t>
      </w:r>
      <w:r w:rsidRPr="09EF4255" w:rsidR="2015402D">
        <w:rPr>
          <w:rFonts w:ascii="Arial" w:hAnsi="Arial" w:cs="Arial"/>
        </w:rPr>
        <w:t>,</w:t>
      </w:r>
      <w:r w:rsidRPr="09EF4255" w:rsidR="00604BD5">
        <w:rPr>
          <w:rFonts w:ascii="Arial" w:hAnsi="Arial" w:cs="Arial"/>
        </w:rPr>
        <w:t xml:space="preserve"> </w:t>
      </w:r>
      <w:r w:rsidRPr="09EF4255" w:rsidR="28787B9A">
        <w:rPr>
          <w:rFonts w:ascii="Arial" w:hAnsi="Arial" w:cs="Arial"/>
        </w:rPr>
        <w:t>s</w:t>
      </w:r>
      <w:r w:rsidRPr="09EF4255" w:rsidR="00C71AC8">
        <w:rPr>
          <w:rFonts w:ascii="Arial" w:hAnsi="Arial" w:cs="Arial"/>
        </w:rPr>
        <w:t>p</w:t>
      </w:r>
      <w:r w:rsidRPr="09EF4255" w:rsidR="00197638">
        <w:rPr>
          <w:rFonts w:ascii="Arial" w:hAnsi="Arial" w:cs="Arial"/>
        </w:rPr>
        <w:t xml:space="preserve">ecial school top up increased </w:t>
      </w:r>
      <w:r w:rsidRPr="09EF4255" w:rsidR="00604BD5">
        <w:rPr>
          <w:rFonts w:ascii="Arial" w:hAnsi="Arial" w:cs="Arial"/>
        </w:rPr>
        <w:t xml:space="preserve">following the </w:t>
      </w:r>
      <w:r w:rsidRPr="09EF4255" w:rsidR="00A23879">
        <w:rPr>
          <w:rFonts w:ascii="Arial" w:hAnsi="Arial" w:cs="Arial"/>
        </w:rPr>
        <w:t xml:space="preserve">review of special school </w:t>
      </w:r>
      <w:proofErr w:type="gramStart"/>
      <w:r w:rsidRPr="09EF4255" w:rsidR="00A23879">
        <w:rPr>
          <w:rFonts w:ascii="Arial" w:hAnsi="Arial" w:cs="Arial"/>
        </w:rPr>
        <w:t>banding</w:t>
      </w:r>
      <w:proofErr w:type="gramEnd"/>
      <w:r w:rsidRPr="09EF4255" w:rsidR="00A23879">
        <w:rPr>
          <w:rFonts w:ascii="Arial" w:hAnsi="Arial" w:cs="Arial"/>
        </w:rPr>
        <w:t xml:space="preserve"> </w:t>
      </w:r>
      <w:r w:rsidRPr="09EF4255" w:rsidR="00C6206B">
        <w:rPr>
          <w:rFonts w:ascii="Arial" w:hAnsi="Arial" w:cs="Arial"/>
        </w:rPr>
        <w:t xml:space="preserve">raising the outturn </w:t>
      </w:r>
      <w:r w:rsidRPr="09EF4255" w:rsidR="00A23879">
        <w:rPr>
          <w:rFonts w:ascii="Arial" w:hAnsi="Arial" w:cs="Arial"/>
        </w:rPr>
        <w:t xml:space="preserve">by </w:t>
      </w:r>
      <w:r w:rsidRPr="09EF4255" w:rsidR="00E75AF4">
        <w:rPr>
          <w:rFonts w:ascii="Arial" w:hAnsi="Arial" w:cs="Arial"/>
        </w:rPr>
        <w:t>£1.6m</w:t>
      </w:r>
      <w:r w:rsidRPr="09EF4255" w:rsidR="00992ED1">
        <w:rPr>
          <w:rFonts w:ascii="Arial" w:hAnsi="Arial" w:cs="Arial"/>
        </w:rPr>
        <w:t xml:space="preserve"> from the previous forecast</w:t>
      </w:r>
      <w:r w:rsidRPr="09EF4255" w:rsidR="008363D1">
        <w:rPr>
          <w:rFonts w:ascii="Arial" w:hAnsi="Arial" w:cs="Arial"/>
        </w:rPr>
        <w:t>.</w:t>
      </w:r>
      <w:r w:rsidRPr="09EF4255" w:rsidR="00966418">
        <w:rPr>
          <w:rFonts w:ascii="Arial" w:hAnsi="Arial" w:cs="Arial"/>
        </w:rPr>
        <w:t xml:space="preserve"> </w:t>
      </w:r>
    </w:p>
    <w:p w:rsidRPr="00CF1DF6" w:rsidR="00882C94" w:rsidP="00882C94" w:rsidRDefault="005A0208" w14:paraId="03D5078E" w14:textId="77777777">
      <w:pPr>
        <w:pStyle w:val="Heading2"/>
        <w:keepNext w:val="0"/>
        <w:numPr>
          <w:ilvl w:val="0"/>
          <w:numId w:val="0"/>
        </w:numPr>
        <w:ind w:left="426"/>
        <w:jc w:val="left"/>
        <w:rPr>
          <w:rFonts w:ascii="Arial" w:hAnsi="Arial" w:cs="Arial"/>
          <w:b/>
          <w:szCs w:val="24"/>
        </w:rPr>
      </w:pPr>
      <w:r w:rsidRPr="00CF1DF6">
        <w:rPr>
          <w:rFonts w:ascii="Arial" w:hAnsi="Arial" w:cs="Arial"/>
          <w:b/>
          <w:szCs w:val="24"/>
        </w:rPr>
        <w:t xml:space="preserve">Early </w:t>
      </w:r>
      <w:proofErr w:type="gramStart"/>
      <w:r w:rsidRPr="00CF1DF6">
        <w:rPr>
          <w:rFonts w:ascii="Arial" w:hAnsi="Arial" w:cs="Arial"/>
          <w:b/>
          <w:szCs w:val="24"/>
        </w:rPr>
        <w:t>Years</w:t>
      </w:r>
      <w:proofErr w:type="gramEnd"/>
      <w:r w:rsidRPr="00CF1DF6">
        <w:rPr>
          <w:rFonts w:ascii="Arial" w:hAnsi="Arial" w:cs="Arial"/>
          <w:b/>
          <w:szCs w:val="24"/>
        </w:rPr>
        <w:t xml:space="preserve"> Block</w:t>
      </w:r>
    </w:p>
    <w:p w:rsidRPr="00CF1DF6" w:rsidR="00764377" w:rsidP="001C183D" w:rsidRDefault="0057648A" w14:paraId="6124A616" w14:textId="7B48A01B">
      <w:pPr>
        <w:pStyle w:val="Heading2"/>
        <w:keepNext w:val="0"/>
        <w:tabs>
          <w:tab w:val="clear" w:pos="576"/>
          <w:tab w:val="num" w:pos="426"/>
        </w:tabs>
        <w:ind w:left="426" w:hanging="568"/>
        <w:jc w:val="left"/>
        <w:rPr>
          <w:rFonts w:ascii="Arial" w:hAnsi="Arial" w:cs="Arial"/>
        </w:rPr>
      </w:pPr>
      <w:r w:rsidRPr="00CF1DF6">
        <w:rPr>
          <w:rFonts w:ascii="Arial" w:hAnsi="Arial" w:cs="Arial"/>
        </w:rPr>
        <w:t xml:space="preserve">Based on the </w:t>
      </w:r>
      <w:r w:rsidRPr="00CF1DF6" w:rsidR="00C47B97">
        <w:rPr>
          <w:rFonts w:ascii="Arial" w:hAnsi="Arial" w:cs="Arial"/>
        </w:rPr>
        <w:t>January 202</w:t>
      </w:r>
      <w:r w:rsidRPr="00CF1DF6" w:rsidR="00CF1DF6">
        <w:rPr>
          <w:rFonts w:ascii="Arial" w:hAnsi="Arial" w:cs="Arial"/>
        </w:rPr>
        <w:t>5</w:t>
      </w:r>
      <w:r w:rsidRPr="00CF1DF6" w:rsidR="00431B84">
        <w:rPr>
          <w:rFonts w:ascii="Arial" w:hAnsi="Arial" w:cs="Arial"/>
        </w:rPr>
        <w:t xml:space="preserve"> census submitted to the DfE, a</w:t>
      </w:r>
      <w:r w:rsidRPr="00CF1DF6" w:rsidR="00AA66E4">
        <w:rPr>
          <w:rFonts w:ascii="Arial" w:hAnsi="Arial" w:cs="Arial"/>
        </w:rPr>
        <w:t>n overall</w:t>
      </w:r>
      <w:r w:rsidRPr="00CF1DF6" w:rsidR="00431B84">
        <w:rPr>
          <w:rFonts w:ascii="Arial" w:hAnsi="Arial" w:cs="Arial"/>
        </w:rPr>
        <w:t xml:space="preserve"> </w:t>
      </w:r>
      <w:r w:rsidRPr="00A5387F" w:rsidR="00431B84">
        <w:rPr>
          <w:rFonts w:ascii="Arial" w:hAnsi="Arial" w:cs="Arial"/>
        </w:rPr>
        <w:t xml:space="preserve">reduction of </w:t>
      </w:r>
      <w:r w:rsidRPr="00A5387F" w:rsidR="006717B5">
        <w:rPr>
          <w:rFonts w:ascii="Arial" w:hAnsi="Arial" w:cs="Arial"/>
        </w:rPr>
        <w:t>£</w:t>
      </w:r>
      <w:r w:rsidRPr="00A5387F" w:rsidR="00A5387F">
        <w:rPr>
          <w:rFonts w:ascii="Arial" w:hAnsi="Arial" w:cs="Arial"/>
        </w:rPr>
        <w:t>642</w:t>
      </w:r>
      <w:r w:rsidRPr="00A5387F" w:rsidR="006717B5">
        <w:rPr>
          <w:rFonts w:ascii="Arial" w:hAnsi="Arial" w:cs="Arial"/>
        </w:rPr>
        <w:t xml:space="preserve">,000 is expected </w:t>
      </w:r>
      <w:r w:rsidRPr="00A5387F" w:rsidR="0067229F">
        <w:rPr>
          <w:rFonts w:ascii="Arial" w:hAnsi="Arial" w:cs="Arial"/>
        </w:rPr>
        <w:t>to the 202</w:t>
      </w:r>
      <w:r w:rsidRPr="00A5387F" w:rsidR="00CF1DF6">
        <w:rPr>
          <w:rFonts w:ascii="Arial" w:hAnsi="Arial" w:cs="Arial"/>
        </w:rPr>
        <w:t>4</w:t>
      </w:r>
      <w:r w:rsidRPr="00A5387F" w:rsidR="0067229F">
        <w:rPr>
          <w:rFonts w:ascii="Arial" w:hAnsi="Arial" w:cs="Arial"/>
        </w:rPr>
        <w:t>/2</w:t>
      </w:r>
      <w:r w:rsidRPr="00A5387F" w:rsidR="00CF1DF6">
        <w:rPr>
          <w:rFonts w:ascii="Arial" w:hAnsi="Arial" w:cs="Arial"/>
        </w:rPr>
        <w:t>5</w:t>
      </w:r>
      <w:r w:rsidRPr="00A5387F" w:rsidR="0067229F">
        <w:rPr>
          <w:rFonts w:ascii="Arial" w:hAnsi="Arial" w:cs="Arial"/>
        </w:rPr>
        <w:t xml:space="preserve"> DSG allocation.</w:t>
      </w:r>
      <w:r w:rsidRPr="00A5387F" w:rsidR="00392628">
        <w:rPr>
          <w:rFonts w:ascii="Arial" w:hAnsi="Arial" w:cs="Arial"/>
        </w:rPr>
        <w:t xml:space="preserve"> </w:t>
      </w:r>
      <w:r w:rsidRPr="00A5387F" w:rsidR="00EF2530">
        <w:rPr>
          <w:rFonts w:ascii="Arial" w:hAnsi="Arial" w:cs="Arial"/>
        </w:rPr>
        <w:t>Th</w:t>
      </w:r>
      <w:r w:rsidRPr="00A5387F" w:rsidR="008F37D9">
        <w:rPr>
          <w:rFonts w:ascii="Arial" w:hAnsi="Arial" w:cs="Arial"/>
        </w:rPr>
        <w:t>e 202</w:t>
      </w:r>
      <w:r w:rsidRPr="00A5387F" w:rsidR="00CF1DF6">
        <w:rPr>
          <w:rFonts w:ascii="Arial" w:hAnsi="Arial" w:cs="Arial"/>
        </w:rPr>
        <w:t>4</w:t>
      </w:r>
      <w:r w:rsidRPr="00A5387F" w:rsidR="008F37D9">
        <w:rPr>
          <w:rFonts w:ascii="Arial" w:hAnsi="Arial" w:cs="Arial"/>
        </w:rPr>
        <w:t>/2</w:t>
      </w:r>
      <w:r w:rsidRPr="00A5387F" w:rsidR="00CF1DF6">
        <w:rPr>
          <w:rFonts w:ascii="Arial" w:hAnsi="Arial" w:cs="Arial"/>
        </w:rPr>
        <w:t>5</w:t>
      </w:r>
      <w:r w:rsidRPr="00A5387F" w:rsidR="008F37D9">
        <w:rPr>
          <w:rFonts w:ascii="Arial" w:hAnsi="Arial" w:cs="Arial"/>
        </w:rPr>
        <w:t xml:space="preserve"> budget has been adjusted to reflect th</w:t>
      </w:r>
      <w:r w:rsidRPr="00A5387F" w:rsidR="00D21458">
        <w:rPr>
          <w:rFonts w:ascii="Arial" w:hAnsi="Arial" w:cs="Arial"/>
        </w:rPr>
        <w:t>e</w:t>
      </w:r>
      <w:r w:rsidRPr="00A5387F" w:rsidR="008F37D9">
        <w:rPr>
          <w:rFonts w:ascii="Arial" w:hAnsi="Arial" w:cs="Arial"/>
        </w:rPr>
        <w:t xml:space="preserve"> </w:t>
      </w:r>
      <w:proofErr w:type="gramStart"/>
      <w:r w:rsidRPr="00A5387F" w:rsidR="008F37D9">
        <w:rPr>
          <w:rFonts w:ascii="Arial" w:hAnsi="Arial" w:cs="Arial"/>
        </w:rPr>
        <w:t>reduction</w:t>
      </w:r>
      <w:r w:rsidRPr="00A5387F" w:rsidR="003B3630">
        <w:rPr>
          <w:rFonts w:ascii="Arial" w:hAnsi="Arial" w:cs="Arial"/>
        </w:rPr>
        <w:t>,</w:t>
      </w:r>
      <w:proofErr w:type="gramEnd"/>
      <w:r w:rsidRPr="00A5387F" w:rsidR="008F37D9">
        <w:rPr>
          <w:rFonts w:ascii="Arial" w:hAnsi="Arial" w:cs="Arial"/>
        </w:rPr>
        <w:t xml:space="preserve"> however this will</w:t>
      </w:r>
      <w:r w:rsidRPr="00A5387F" w:rsidR="00B464C6">
        <w:rPr>
          <w:rFonts w:ascii="Arial" w:hAnsi="Arial" w:cs="Arial"/>
        </w:rPr>
        <w:t xml:space="preserve"> not be confirmed by the DfE until summer 202</w:t>
      </w:r>
      <w:r w:rsidRPr="00A5387F" w:rsidR="00CF1DF6">
        <w:rPr>
          <w:rFonts w:ascii="Arial" w:hAnsi="Arial" w:cs="Arial"/>
        </w:rPr>
        <w:t>5</w:t>
      </w:r>
      <w:r w:rsidRPr="00A5387F" w:rsidR="00EF2530">
        <w:rPr>
          <w:rFonts w:ascii="Arial" w:hAnsi="Arial" w:cs="Arial"/>
        </w:rPr>
        <w:t>.</w:t>
      </w:r>
    </w:p>
    <w:p w:rsidRPr="004755FC" w:rsidR="00513479" w:rsidP="00634C26" w:rsidRDefault="002A667E" w14:paraId="52B65B82" w14:textId="49E3E8F7">
      <w:pPr>
        <w:pStyle w:val="Heading2"/>
        <w:keepNext w:val="0"/>
        <w:tabs>
          <w:tab w:val="clear" w:pos="576"/>
          <w:tab w:val="num" w:pos="426"/>
        </w:tabs>
        <w:ind w:left="426" w:hanging="568"/>
        <w:jc w:val="left"/>
        <w:rPr>
          <w:rFonts w:ascii="Arial" w:hAnsi="Arial" w:cs="Arial"/>
        </w:rPr>
      </w:pPr>
      <w:r w:rsidRPr="004755FC">
        <w:rPr>
          <w:rFonts w:ascii="Arial" w:hAnsi="Arial" w:cs="Arial"/>
        </w:rPr>
        <w:t xml:space="preserve">£1.9m of the </w:t>
      </w:r>
      <w:r w:rsidRPr="004755FC" w:rsidR="00085306">
        <w:rPr>
          <w:rFonts w:ascii="Arial" w:hAnsi="Arial" w:cs="Arial"/>
        </w:rPr>
        <w:t>£</w:t>
      </w:r>
      <w:r w:rsidRPr="004755FC" w:rsidR="002616FA">
        <w:rPr>
          <w:rFonts w:ascii="Arial" w:hAnsi="Arial" w:cs="Arial"/>
        </w:rPr>
        <w:t>5</w:t>
      </w:r>
      <w:r w:rsidRPr="004755FC" w:rsidR="00085306">
        <w:rPr>
          <w:rFonts w:ascii="Arial" w:hAnsi="Arial" w:cs="Arial"/>
        </w:rPr>
        <w:t>.</w:t>
      </w:r>
      <w:r w:rsidRPr="004755FC" w:rsidR="002616FA">
        <w:rPr>
          <w:rFonts w:ascii="Arial" w:hAnsi="Arial" w:cs="Arial"/>
        </w:rPr>
        <w:t>1</w:t>
      </w:r>
      <w:r w:rsidRPr="004755FC" w:rsidR="00085306">
        <w:rPr>
          <w:rFonts w:ascii="Arial" w:hAnsi="Arial" w:cs="Arial"/>
        </w:rPr>
        <w:t>m</w:t>
      </w:r>
      <w:r w:rsidRPr="004755FC" w:rsidR="00C16A58">
        <w:rPr>
          <w:rFonts w:ascii="Arial" w:hAnsi="Arial" w:cs="Arial"/>
        </w:rPr>
        <w:t xml:space="preserve"> </w:t>
      </w:r>
      <w:r w:rsidRPr="004755FC" w:rsidR="006E4511">
        <w:rPr>
          <w:rFonts w:ascii="Arial" w:hAnsi="Arial" w:cs="Arial"/>
        </w:rPr>
        <w:t>underspend</w:t>
      </w:r>
      <w:r w:rsidRPr="004755FC" w:rsidR="00C16A58">
        <w:rPr>
          <w:rFonts w:ascii="Arial" w:hAnsi="Arial" w:cs="Arial"/>
        </w:rPr>
        <w:t xml:space="preserve"> relates to </w:t>
      </w:r>
      <w:r w:rsidRPr="004755FC" w:rsidR="006C0089">
        <w:rPr>
          <w:rFonts w:ascii="Arial" w:hAnsi="Arial" w:cs="Arial"/>
        </w:rPr>
        <w:t xml:space="preserve">the </w:t>
      </w:r>
      <w:proofErr w:type="gramStart"/>
      <w:r w:rsidRPr="004755FC" w:rsidR="006C0089">
        <w:rPr>
          <w:rFonts w:ascii="Arial" w:hAnsi="Arial" w:cs="Arial"/>
        </w:rPr>
        <w:t>three and four year</w:t>
      </w:r>
      <w:r w:rsidRPr="004755FC" w:rsidR="005E50D5">
        <w:rPr>
          <w:rFonts w:ascii="Arial" w:hAnsi="Arial" w:cs="Arial"/>
        </w:rPr>
        <w:t xml:space="preserve"> old</w:t>
      </w:r>
      <w:proofErr w:type="gramEnd"/>
      <w:r w:rsidRPr="004755FC" w:rsidR="005E50D5">
        <w:rPr>
          <w:rFonts w:ascii="Arial" w:hAnsi="Arial" w:cs="Arial"/>
        </w:rPr>
        <w:t xml:space="preserve"> universal and extended </w:t>
      </w:r>
      <w:r w:rsidRPr="004755FC" w:rsidR="006C0089">
        <w:rPr>
          <w:rFonts w:ascii="Arial" w:hAnsi="Arial" w:cs="Arial"/>
        </w:rPr>
        <w:t>free entitlement</w:t>
      </w:r>
      <w:r w:rsidRPr="004755FC" w:rsidR="00C24A36">
        <w:rPr>
          <w:rFonts w:ascii="Arial" w:hAnsi="Arial" w:cs="Arial"/>
        </w:rPr>
        <w:t>s</w:t>
      </w:r>
      <w:r w:rsidRPr="004755FC" w:rsidR="007B65EB">
        <w:rPr>
          <w:rFonts w:ascii="Arial" w:hAnsi="Arial" w:cs="Arial"/>
        </w:rPr>
        <w:t xml:space="preserve">, due to </w:t>
      </w:r>
      <w:r w:rsidRPr="004755FC" w:rsidR="00A47A70">
        <w:rPr>
          <w:rFonts w:ascii="Arial" w:hAnsi="Arial" w:cs="Arial"/>
        </w:rPr>
        <w:t>reduction in population.</w:t>
      </w:r>
      <w:r w:rsidRPr="004755FC" w:rsidR="00BB6042">
        <w:rPr>
          <w:rFonts w:ascii="Arial" w:hAnsi="Arial" w:cs="Arial"/>
        </w:rPr>
        <w:t xml:space="preserve"> </w:t>
      </w:r>
      <w:r w:rsidRPr="004755FC" w:rsidR="00044E68">
        <w:rPr>
          <w:rFonts w:ascii="Arial" w:hAnsi="Arial" w:cs="Arial"/>
        </w:rPr>
        <w:t xml:space="preserve">A contingency </w:t>
      </w:r>
      <w:r w:rsidRPr="004755FC" w:rsidR="00A81EDF">
        <w:rPr>
          <w:rFonts w:ascii="Arial" w:hAnsi="Arial" w:cs="Arial"/>
        </w:rPr>
        <w:t>of £</w:t>
      </w:r>
      <w:r w:rsidRPr="004755FC" w:rsidR="00BC0C55">
        <w:rPr>
          <w:rFonts w:ascii="Arial" w:hAnsi="Arial" w:cs="Arial"/>
        </w:rPr>
        <w:t>927</w:t>
      </w:r>
      <w:r w:rsidRPr="004755FC" w:rsidR="00F72C68">
        <w:rPr>
          <w:rFonts w:ascii="Arial" w:hAnsi="Arial" w:cs="Arial"/>
        </w:rPr>
        <w:t>,000</w:t>
      </w:r>
      <w:r w:rsidRPr="004755FC" w:rsidR="00A81EDF">
        <w:rPr>
          <w:rFonts w:ascii="Arial" w:hAnsi="Arial" w:cs="Arial"/>
        </w:rPr>
        <w:t xml:space="preserve"> </w:t>
      </w:r>
      <w:r w:rsidRPr="004755FC" w:rsidR="00A85CCB">
        <w:rPr>
          <w:rFonts w:ascii="Arial" w:hAnsi="Arial" w:cs="Arial"/>
          <w:szCs w:val="24"/>
        </w:rPr>
        <w:t>w</w:t>
      </w:r>
      <w:r w:rsidRPr="004755FC" w:rsidR="005E50D5">
        <w:rPr>
          <w:rFonts w:ascii="Arial" w:hAnsi="Arial" w:cs="Arial"/>
          <w:szCs w:val="24"/>
        </w:rPr>
        <w:t xml:space="preserve">as </w:t>
      </w:r>
      <w:r w:rsidRPr="004755FC" w:rsidR="00A85CCB">
        <w:rPr>
          <w:rFonts w:ascii="Arial" w:hAnsi="Arial" w:cs="Arial"/>
          <w:szCs w:val="24"/>
        </w:rPr>
        <w:t xml:space="preserve">set aside to help manage risks around forecast take-up, particularly in funding children that may not have been included in </w:t>
      </w:r>
      <w:proofErr w:type="gramStart"/>
      <w:r w:rsidRPr="004755FC" w:rsidR="00A85CCB">
        <w:rPr>
          <w:rFonts w:ascii="Arial" w:hAnsi="Arial" w:cs="Arial"/>
          <w:szCs w:val="24"/>
        </w:rPr>
        <w:t>provider</w:t>
      </w:r>
      <w:proofErr w:type="gramEnd"/>
      <w:r w:rsidRPr="004755FC" w:rsidR="00A85CCB">
        <w:rPr>
          <w:rFonts w:ascii="Arial" w:hAnsi="Arial" w:cs="Arial"/>
          <w:szCs w:val="24"/>
        </w:rPr>
        <w:t xml:space="preserve"> </w:t>
      </w:r>
      <w:proofErr w:type="gramStart"/>
      <w:r w:rsidRPr="004755FC" w:rsidR="00A85CCB">
        <w:rPr>
          <w:rFonts w:ascii="Arial" w:hAnsi="Arial" w:cs="Arial"/>
          <w:szCs w:val="24"/>
        </w:rPr>
        <w:t>census’.</w:t>
      </w:r>
      <w:proofErr w:type="gramEnd"/>
      <w:r w:rsidRPr="004755FC" w:rsidR="005E50D5">
        <w:rPr>
          <w:rFonts w:ascii="Arial" w:hAnsi="Arial" w:cs="Arial"/>
          <w:szCs w:val="24"/>
        </w:rPr>
        <w:t xml:space="preserve"> </w:t>
      </w:r>
      <w:r w:rsidRPr="004755FC" w:rsidR="005343B4">
        <w:rPr>
          <w:rFonts w:ascii="Arial" w:hAnsi="Arial" w:cs="Arial"/>
          <w:szCs w:val="24"/>
        </w:rPr>
        <w:t>For 202</w:t>
      </w:r>
      <w:r w:rsidRPr="004755FC" w:rsidR="0066387A">
        <w:rPr>
          <w:rFonts w:ascii="Arial" w:hAnsi="Arial" w:cs="Arial"/>
          <w:szCs w:val="24"/>
        </w:rPr>
        <w:t>4</w:t>
      </w:r>
      <w:r w:rsidRPr="004755FC" w:rsidR="005343B4">
        <w:rPr>
          <w:rFonts w:ascii="Arial" w:hAnsi="Arial" w:cs="Arial"/>
          <w:szCs w:val="24"/>
        </w:rPr>
        <w:t>/2</w:t>
      </w:r>
      <w:r w:rsidRPr="004755FC" w:rsidR="0066387A">
        <w:rPr>
          <w:rFonts w:ascii="Arial" w:hAnsi="Arial" w:cs="Arial"/>
          <w:szCs w:val="24"/>
        </w:rPr>
        <w:t>5</w:t>
      </w:r>
      <w:r w:rsidRPr="004755FC" w:rsidR="001F04DE">
        <w:rPr>
          <w:rFonts w:ascii="Arial" w:hAnsi="Arial" w:cs="Arial"/>
          <w:szCs w:val="24"/>
        </w:rPr>
        <w:t xml:space="preserve">, </w:t>
      </w:r>
      <w:r w:rsidRPr="004755FC" w:rsidR="000B1FDE">
        <w:rPr>
          <w:rFonts w:ascii="Arial" w:hAnsi="Arial" w:cs="Arial"/>
          <w:szCs w:val="24"/>
        </w:rPr>
        <w:t>the contingency</w:t>
      </w:r>
      <w:r w:rsidRPr="004755FC" w:rsidR="001F04DE">
        <w:rPr>
          <w:rFonts w:ascii="Arial" w:hAnsi="Arial" w:cs="Arial"/>
          <w:szCs w:val="24"/>
        </w:rPr>
        <w:t xml:space="preserve"> remained unspent </w:t>
      </w:r>
      <w:r w:rsidRPr="004755FC" w:rsidR="006C316C">
        <w:rPr>
          <w:rFonts w:ascii="Arial" w:hAnsi="Arial" w:cs="Arial"/>
          <w:szCs w:val="24"/>
        </w:rPr>
        <w:t xml:space="preserve">which can be attributed to a reducing </w:t>
      </w:r>
      <w:proofErr w:type="gramStart"/>
      <w:r w:rsidRPr="004755FC" w:rsidR="006C316C">
        <w:rPr>
          <w:rFonts w:ascii="Arial" w:hAnsi="Arial" w:cs="Arial"/>
          <w:szCs w:val="24"/>
        </w:rPr>
        <w:t>three and four year old</w:t>
      </w:r>
      <w:proofErr w:type="gramEnd"/>
      <w:r w:rsidRPr="004755FC" w:rsidR="006C316C">
        <w:rPr>
          <w:rFonts w:ascii="Arial" w:hAnsi="Arial" w:cs="Arial"/>
          <w:szCs w:val="24"/>
        </w:rPr>
        <w:t xml:space="preserve"> population</w:t>
      </w:r>
      <w:r w:rsidRPr="004755FC" w:rsidR="00752727">
        <w:rPr>
          <w:rFonts w:ascii="Arial" w:hAnsi="Arial" w:cs="Arial"/>
          <w:szCs w:val="24"/>
        </w:rPr>
        <w:t>.</w:t>
      </w:r>
    </w:p>
    <w:p w:rsidR="00596819" w:rsidRDefault="00596819" w14:paraId="416FCA8A" w14:textId="77777777">
      <w:pPr>
        <w:spacing w:after="0"/>
        <w:jc w:val="left"/>
        <w:rPr>
          <w:rFonts w:ascii="Arial" w:hAnsi="Arial" w:cs="Arial"/>
        </w:rPr>
      </w:pPr>
      <w:r>
        <w:rPr>
          <w:rFonts w:ascii="Arial" w:hAnsi="Arial" w:cs="Arial"/>
        </w:rPr>
        <w:br w:type="page"/>
      </w:r>
    </w:p>
    <w:p w:rsidRPr="004755FC" w:rsidR="00FD479B" w:rsidP="00634C26" w:rsidRDefault="002E1D34" w14:paraId="5FB3BADC" w14:textId="1AE795F0">
      <w:pPr>
        <w:pStyle w:val="Heading2"/>
        <w:keepNext w:val="0"/>
        <w:tabs>
          <w:tab w:val="clear" w:pos="576"/>
          <w:tab w:val="num" w:pos="426"/>
        </w:tabs>
        <w:ind w:left="426" w:hanging="568"/>
        <w:jc w:val="left"/>
        <w:rPr>
          <w:rFonts w:ascii="Arial" w:hAnsi="Arial" w:cs="Arial"/>
        </w:rPr>
      </w:pPr>
      <w:r>
        <w:rPr>
          <w:rFonts w:ascii="Arial" w:hAnsi="Arial" w:cs="Arial"/>
        </w:rPr>
        <w:t xml:space="preserve">A further </w:t>
      </w:r>
      <w:r w:rsidR="00EB2DCF">
        <w:rPr>
          <w:rFonts w:ascii="Arial" w:hAnsi="Arial" w:cs="Arial"/>
        </w:rPr>
        <w:t>£2.4m</w:t>
      </w:r>
      <w:r w:rsidR="002C45ED">
        <w:rPr>
          <w:rFonts w:ascii="Arial" w:hAnsi="Arial" w:cs="Arial"/>
        </w:rPr>
        <w:t xml:space="preserve"> </w:t>
      </w:r>
      <w:r w:rsidR="00985940">
        <w:rPr>
          <w:rFonts w:ascii="Arial" w:hAnsi="Arial" w:cs="Arial"/>
        </w:rPr>
        <w:t xml:space="preserve">of the underspend </w:t>
      </w:r>
      <w:r w:rsidR="00D95346">
        <w:rPr>
          <w:rFonts w:ascii="Arial" w:hAnsi="Arial" w:cs="Arial"/>
        </w:rPr>
        <w:t xml:space="preserve">in </w:t>
      </w:r>
      <w:proofErr w:type="gramStart"/>
      <w:r w:rsidR="00D95346">
        <w:rPr>
          <w:rFonts w:ascii="Arial" w:hAnsi="Arial" w:cs="Arial"/>
        </w:rPr>
        <w:t>Early</w:t>
      </w:r>
      <w:proofErr w:type="gramEnd"/>
      <w:r w:rsidR="00D95346">
        <w:rPr>
          <w:rFonts w:ascii="Arial" w:hAnsi="Arial" w:cs="Arial"/>
        </w:rPr>
        <w:t xml:space="preserve"> Years </w:t>
      </w:r>
      <w:r w:rsidR="00B8119A">
        <w:rPr>
          <w:rFonts w:ascii="Arial" w:hAnsi="Arial" w:cs="Arial"/>
        </w:rPr>
        <w:t xml:space="preserve">is </w:t>
      </w:r>
      <w:r w:rsidR="0037572A">
        <w:rPr>
          <w:rFonts w:ascii="Arial" w:hAnsi="Arial" w:cs="Arial"/>
        </w:rPr>
        <w:t xml:space="preserve">in relation to under </w:t>
      </w:r>
      <w:proofErr w:type="gramStart"/>
      <w:r w:rsidR="0037572A">
        <w:rPr>
          <w:rFonts w:ascii="Arial" w:hAnsi="Arial" w:cs="Arial"/>
        </w:rPr>
        <w:t>2 year old</w:t>
      </w:r>
      <w:proofErr w:type="gramEnd"/>
      <w:r w:rsidR="0037572A">
        <w:rPr>
          <w:rFonts w:ascii="Arial" w:hAnsi="Arial" w:cs="Arial"/>
        </w:rPr>
        <w:t xml:space="preserve"> entitlement. </w:t>
      </w:r>
      <w:r w:rsidR="00115112">
        <w:rPr>
          <w:rFonts w:ascii="Arial" w:hAnsi="Arial" w:cs="Arial"/>
        </w:rPr>
        <w:t xml:space="preserve">This is a new </w:t>
      </w:r>
      <w:proofErr w:type="gramStart"/>
      <w:r w:rsidR="00115112">
        <w:rPr>
          <w:rFonts w:ascii="Arial" w:hAnsi="Arial" w:cs="Arial"/>
        </w:rPr>
        <w:t>entitlement</w:t>
      </w:r>
      <w:proofErr w:type="gramEnd"/>
      <w:r w:rsidR="00115112">
        <w:rPr>
          <w:rFonts w:ascii="Arial" w:hAnsi="Arial" w:cs="Arial"/>
        </w:rPr>
        <w:t xml:space="preserve"> and </w:t>
      </w:r>
      <w:r w:rsidR="00306FC0">
        <w:rPr>
          <w:rFonts w:ascii="Arial" w:hAnsi="Arial" w:cs="Arial"/>
        </w:rPr>
        <w:t xml:space="preserve">initial allocations have been based on </w:t>
      </w:r>
      <w:proofErr w:type="gramStart"/>
      <w:r w:rsidR="00306FC0">
        <w:rPr>
          <w:rFonts w:ascii="Arial" w:hAnsi="Arial" w:cs="Arial"/>
        </w:rPr>
        <w:t>3&amp;4 year old</w:t>
      </w:r>
      <w:proofErr w:type="gramEnd"/>
      <w:r w:rsidR="00306FC0">
        <w:rPr>
          <w:rFonts w:ascii="Arial" w:hAnsi="Arial" w:cs="Arial"/>
        </w:rPr>
        <w:t xml:space="preserve"> entitlement data</w:t>
      </w:r>
      <w:proofErr w:type="gramStart"/>
      <w:r w:rsidR="00306FC0">
        <w:rPr>
          <w:rFonts w:ascii="Arial" w:hAnsi="Arial" w:cs="Arial"/>
        </w:rPr>
        <w:t xml:space="preserve"> </w:t>
      </w:r>
      <w:r w:rsidR="0060504F">
        <w:rPr>
          <w:rFonts w:ascii="Arial" w:hAnsi="Arial" w:cs="Arial"/>
        </w:rPr>
        <w:t xml:space="preserve">however </w:t>
      </w:r>
      <w:proofErr w:type="gramEnd"/>
      <w:r w:rsidR="001E3FEB">
        <w:rPr>
          <w:rFonts w:ascii="Arial" w:hAnsi="Arial" w:cs="Arial"/>
        </w:rPr>
        <w:t>actual take</w:t>
      </w:r>
      <w:r w:rsidR="0060504F">
        <w:rPr>
          <w:rFonts w:ascii="Arial" w:hAnsi="Arial" w:cs="Arial"/>
        </w:rPr>
        <w:t xml:space="preserve"> up has been lower</w:t>
      </w:r>
      <w:r w:rsidR="00072725">
        <w:rPr>
          <w:rFonts w:ascii="Arial" w:hAnsi="Arial" w:cs="Arial"/>
        </w:rPr>
        <w:t>.</w:t>
      </w:r>
    </w:p>
    <w:p w:rsidRPr="008F6D1A" w:rsidR="00996A6E" w:rsidP="0072532B" w:rsidRDefault="00D674EE" w14:paraId="7860696F" w14:textId="76FD91D7">
      <w:pPr>
        <w:pStyle w:val="Heading2"/>
        <w:keepNext w:val="0"/>
        <w:tabs>
          <w:tab w:val="clear" w:pos="576"/>
          <w:tab w:val="num" w:pos="426"/>
        </w:tabs>
        <w:ind w:left="426" w:hanging="568"/>
        <w:jc w:val="left"/>
        <w:rPr>
          <w:rFonts w:ascii="Arial" w:hAnsi="Arial" w:cs="Arial"/>
        </w:rPr>
      </w:pPr>
      <w:r w:rsidRPr="001C1098">
        <w:rPr>
          <w:rFonts w:ascii="Arial" w:hAnsi="Arial" w:cs="Arial"/>
        </w:rPr>
        <w:t xml:space="preserve">SEN </w:t>
      </w:r>
      <w:r w:rsidRPr="001C1098" w:rsidR="009B4140">
        <w:rPr>
          <w:rFonts w:ascii="Arial" w:hAnsi="Arial" w:cs="Arial"/>
        </w:rPr>
        <w:t>inclusion fund underspend</w:t>
      </w:r>
      <w:r w:rsidRPr="001C1098">
        <w:rPr>
          <w:rFonts w:ascii="Arial" w:hAnsi="Arial" w:cs="Arial"/>
        </w:rPr>
        <w:t xml:space="preserve"> </w:t>
      </w:r>
      <w:r w:rsidRPr="001C1098" w:rsidR="00C8041E">
        <w:rPr>
          <w:rFonts w:ascii="Arial" w:hAnsi="Arial" w:cs="Arial"/>
        </w:rPr>
        <w:t>of £626</w:t>
      </w:r>
      <w:r w:rsidR="002C63EE">
        <w:rPr>
          <w:rFonts w:ascii="Arial" w:hAnsi="Arial" w:cs="Arial"/>
        </w:rPr>
        <w:t>,000</w:t>
      </w:r>
      <w:r w:rsidRPr="001C1098" w:rsidR="00C94B1B">
        <w:rPr>
          <w:rFonts w:ascii="Arial" w:hAnsi="Arial" w:cs="Arial"/>
        </w:rPr>
        <w:t xml:space="preserve">. </w:t>
      </w:r>
      <w:r w:rsidRPr="001C1098" w:rsidR="00B93934">
        <w:rPr>
          <w:rFonts w:ascii="Arial" w:hAnsi="Arial" w:cs="Arial"/>
        </w:rPr>
        <w:t>C</w:t>
      </w:r>
      <w:r w:rsidRPr="001C1098" w:rsidR="00BF6D34">
        <w:rPr>
          <w:rFonts w:ascii="Arial" w:hAnsi="Arial" w:cs="Arial"/>
        </w:rPr>
        <w:t xml:space="preserve">omprised </w:t>
      </w:r>
      <w:r w:rsidRPr="001C1098" w:rsidR="00B93934">
        <w:rPr>
          <w:rFonts w:ascii="Arial" w:hAnsi="Arial" w:cs="Arial"/>
        </w:rPr>
        <w:t xml:space="preserve">mostly of </w:t>
      </w:r>
      <w:r w:rsidRPr="001C1098" w:rsidR="005A7C38">
        <w:rPr>
          <w:rFonts w:ascii="Arial" w:hAnsi="Arial" w:cs="Arial"/>
        </w:rPr>
        <w:t>£415</w:t>
      </w:r>
      <w:r w:rsidR="002C63EE">
        <w:rPr>
          <w:rFonts w:ascii="Arial" w:hAnsi="Arial" w:cs="Arial"/>
        </w:rPr>
        <w:t>,000</w:t>
      </w:r>
      <w:r w:rsidRPr="001C1098" w:rsidR="005A7C38">
        <w:rPr>
          <w:rFonts w:ascii="Arial" w:hAnsi="Arial" w:cs="Arial"/>
        </w:rPr>
        <w:t xml:space="preserve"> underspend for SEN IF </w:t>
      </w:r>
      <w:proofErr w:type="gramStart"/>
      <w:r w:rsidRPr="001C1098" w:rsidR="005E029A">
        <w:rPr>
          <w:rFonts w:ascii="Arial" w:hAnsi="Arial" w:cs="Arial"/>
        </w:rPr>
        <w:t>3&amp;4 year olds</w:t>
      </w:r>
      <w:proofErr w:type="gramEnd"/>
      <w:r w:rsidRPr="001C1098" w:rsidR="005E029A">
        <w:rPr>
          <w:rFonts w:ascii="Arial" w:hAnsi="Arial" w:cs="Arial"/>
        </w:rPr>
        <w:t xml:space="preserve"> </w:t>
      </w:r>
      <w:r w:rsidRPr="001C1098" w:rsidR="00D16C5A">
        <w:rPr>
          <w:rFonts w:ascii="Arial" w:hAnsi="Arial" w:cs="Arial"/>
        </w:rPr>
        <w:t>however all age ranges were underspent.</w:t>
      </w:r>
      <w:r w:rsidRPr="001C1098" w:rsidR="00BF6D34">
        <w:rPr>
          <w:rFonts w:ascii="Arial" w:hAnsi="Arial" w:cs="Arial"/>
        </w:rPr>
        <w:t xml:space="preserve"> </w:t>
      </w:r>
      <w:r w:rsidRPr="004A1F5E" w:rsidR="00A67ED8">
        <w:rPr>
          <w:rFonts w:ascii="Arial" w:hAnsi="Arial" w:cs="Arial"/>
        </w:rPr>
        <w:t>This</w:t>
      </w:r>
      <w:r w:rsidRPr="008F6D1A" w:rsidR="00A67ED8">
        <w:rPr>
          <w:rFonts w:ascii="Arial" w:hAnsi="Arial" w:cs="Arial"/>
        </w:rPr>
        <w:t xml:space="preserve"> </w:t>
      </w:r>
      <w:r w:rsidR="009B4DC2">
        <w:rPr>
          <w:rFonts w:ascii="Arial" w:hAnsi="Arial" w:cs="Arial"/>
        </w:rPr>
        <w:t>is largely due to</w:t>
      </w:r>
      <w:r w:rsidR="00702FBB">
        <w:rPr>
          <w:rFonts w:ascii="Arial" w:hAnsi="Arial" w:cs="Arial"/>
        </w:rPr>
        <w:t xml:space="preserve"> </w:t>
      </w:r>
      <w:r w:rsidR="00692418">
        <w:rPr>
          <w:rFonts w:ascii="Arial" w:hAnsi="Arial" w:cs="Arial"/>
        </w:rPr>
        <w:t xml:space="preserve">SEN IF </w:t>
      </w:r>
      <w:r w:rsidR="004733D2">
        <w:rPr>
          <w:rFonts w:ascii="Arial" w:hAnsi="Arial" w:cs="Arial"/>
        </w:rPr>
        <w:t>funding</w:t>
      </w:r>
      <w:r w:rsidR="00692418">
        <w:rPr>
          <w:rFonts w:ascii="Arial" w:hAnsi="Arial" w:cs="Arial"/>
        </w:rPr>
        <w:t xml:space="preserve"> </w:t>
      </w:r>
      <w:r w:rsidR="00F62265">
        <w:rPr>
          <w:rFonts w:ascii="Arial" w:hAnsi="Arial" w:cs="Arial"/>
        </w:rPr>
        <w:t>for children with EHCPs mov</w:t>
      </w:r>
      <w:r w:rsidR="00C976EB">
        <w:rPr>
          <w:rFonts w:ascii="Arial" w:hAnsi="Arial" w:cs="Arial"/>
        </w:rPr>
        <w:t>ing</w:t>
      </w:r>
      <w:r w:rsidR="00F62265">
        <w:rPr>
          <w:rFonts w:ascii="Arial" w:hAnsi="Arial" w:cs="Arial"/>
        </w:rPr>
        <w:t xml:space="preserve"> to the high needs block in 2024/25 </w:t>
      </w:r>
      <w:r w:rsidR="00AA5396">
        <w:rPr>
          <w:rFonts w:ascii="Arial" w:hAnsi="Arial" w:cs="Arial"/>
        </w:rPr>
        <w:t>and</w:t>
      </w:r>
      <w:r w:rsidR="00763167">
        <w:rPr>
          <w:rFonts w:ascii="Arial" w:hAnsi="Arial" w:cs="Arial"/>
        </w:rPr>
        <w:t xml:space="preserve"> the result of </w:t>
      </w:r>
      <w:r w:rsidR="00323BE9">
        <w:rPr>
          <w:rFonts w:ascii="Arial" w:hAnsi="Arial" w:cs="Arial"/>
        </w:rPr>
        <w:t>a lower number of application</w:t>
      </w:r>
      <w:r w:rsidR="006672F2">
        <w:rPr>
          <w:rFonts w:ascii="Arial" w:hAnsi="Arial" w:cs="Arial"/>
        </w:rPr>
        <w:t>s</w:t>
      </w:r>
      <w:r w:rsidR="00323BE9">
        <w:rPr>
          <w:rFonts w:ascii="Arial" w:hAnsi="Arial" w:cs="Arial"/>
        </w:rPr>
        <w:t xml:space="preserve"> </w:t>
      </w:r>
      <w:proofErr w:type="gramStart"/>
      <w:r w:rsidR="00323BE9">
        <w:rPr>
          <w:rFonts w:ascii="Arial" w:hAnsi="Arial" w:cs="Arial"/>
        </w:rPr>
        <w:t>then</w:t>
      </w:r>
      <w:proofErr w:type="gramEnd"/>
      <w:r w:rsidR="00323BE9">
        <w:rPr>
          <w:rFonts w:ascii="Arial" w:hAnsi="Arial" w:cs="Arial"/>
        </w:rPr>
        <w:t xml:space="preserve"> forecast</w:t>
      </w:r>
      <w:r w:rsidR="008C01B5">
        <w:rPr>
          <w:rFonts w:ascii="Arial" w:hAnsi="Arial" w:cs="Arial"/>
        </w:rPr>
        <w:t xml:space="preserve">. </w:t>
      </w:r>
      <w:r w:rsidRPr="008F6D1A" w:rsidR="006672F2">
        <w:rPr>
          <w:rFonts w:ascii="Arial" w:hAnsi="Arial" w:cs="Arial"/>
        </w:rPr>
        <w:t xml:space="preserve">For </w:t>
      </w:r>
      <w:r w:rsidRPr="008F6D1A" w:rsidR="009D3484">
        <w:rPr>
          <w:rFonts w:ascii="Arial" w:hAnsi="Arial" w:cs="Arial"/>
        </w:rPr>
        <w:t xml:space="preserve">2025/26 </w:t>
      </w:r>
      <w:r w:rsidRPr="008F6D1A" w:rsidR="00D80895">
        <w:rPr>
          <w:rFonts w:ascii="Arial" w:hAnsi="Arial" w:cs="Arial"/>
        </w:rPr>
        <w:t xml:space="preserve">the </w:t>
      </w:r>
      <w:r w:rsidRPr="008F6D1A" w:rsidR="009D3484">
        <w:rPr>
          <w:rFonts w:ascii="Arial" w:hAnsi="Arial" w:cs="Arial"/>
        </w:rPr>
        <w:t>SEN IF fun</w:t>
      </w:r>
      <w:r w:rsidRPr="008F6D1A" w:rsidR="00D80895">
        <w:rPr>
          <w:rFonts w:ascii="Arial" w:hAnsi="Arial" w:cs="Arial"/>
        </w:rPr>
        <w:t xml:space="preserve">ding rate is being increased </w:t>
      </w:r>
      <w:proofErr w:type="gramStart"/>
      <w:r w:rsidR="00C245B4">
        <w:rPr>
          <w:rFonts w:ascii="Arial" w:hAnsi="Arial" w:cs="Arial"/>
        </w:rPr>
        <w:t>in order to</w:t>
      </w:r>
      <w:proofErr w:type="gramEnd"/>
      <w:r w:rsidR="00C245B4">
        <w:rPr>
          <w:rFonts w:ascii="Arial" w:hAnsi="Arial" w:cs="Arial"/>
        </w:rPr>
        <w:t xml:space="preserve"> </w:t>
      </w:r>
      <w:r w:rsidR="002C14ED">
        <w:rPr>
          <w:rFonts w:ascii="Arial" w:hAnsi="Arial" w:cs="Arial"/>
        </w:rPr>
        <w:t xml:space="preserve">further </w:t>
      </w:r>
      <w:proofErr w:type="spellStart"/>
      <w:r w:rsidR="002C14ED">
        <w:rPr>
          <w:rFonts w:ascii="Arial" w:hAnsi="Arial" w:cs="Arial"/>
        </w:rPr>
        <w:t>utili</w:t>
      </w:r>
      <w:r w:rsidR="000D03E9">
        <w:rPr>
          <w:rFonts w:ascii="Arial" w:hAnsi="Arial" w:cs="Arial"/>
        </w:rPr>
        <w:t>s</w:t>
      </w:r>
      <w:r w:rsidR="002C14ED">
        <w:rPr>
          <w:rFonts w:ascii="Arial" w:hAnsi="Arial" w:cs="Arial"/>
        </w:rPr>
        <w:t>e</w:t>
      </w:r>
      <w:proofErr w:type="spellEnd"/>
      <w:r w:rsidR="002C14ED">
        <w:rPr>
          <w:rFonts w:ascii="Arial" w:hAnsi="Arial" w:cs="Arial"/>
        </w:rPr>
        <w:t xml:space="preserve"> this budget.</w:t>
      </w:r>
      <w:r w:rsidRPr="008F6D1A" w:rsidR="00D80895">
        <w:rPr>
          <w:rFonts w:ascii="Arial" w:hAnsi="Arial" w:cs="Arial"/>
        </w:rPr>
        <w:t xml:space="preserve"> </w:t>
      </w:r>
    </w:p>
    <w:p w:rsidRPr="00472997" w:rsidR="00AE2AF7" w:rsidP="0072532B" w:rsidRDefault="00AE2AF7" w14:paraId="3FEF2DA5" w14:textId="10CB48C8">
      <w:pPr>
        <w:pStyle w:val="Heading2"/>
        <w:keepNext w:val="0"/>
        <w:tabs>
          <w:tab w:val="clear" w:pos="576"/>
          <w:tab w:val="num" w:pos="426"/>
        </w:tabs>
        <w:ind w:left="426" w:hanging="568"/>
        <w:jc w:val="left"/>
        <w:rPr>
          <w:rFonts w:ascii="Arial" w:hAnsi="Arial" w:cs="Arial"/>
        </w:rPr>
      </w:pPr>
      <w:r w:rsidRPr="00472997">
        <w:rPr>
          <w:rFonts w:ascii="Arial" w:hAnsi="Arial" w:cs="Arial"/>
        </w:rPr>
        <w:t xml:space="preserve">The </w:t>
      </w:r>
      <w:r w:rsidRPr="00472997" w:rsidR="00661F31">
        <w:rPr>
          <w:rFonts w:ascii="Arial" w:hAnsi="Arial" w:cs="Arial"/>
        </w:rPr>
        <w:t xml:space="preserve">other </w:t>
      </w:r>
      <w:r w:rsidRPr="00472997" w:rsidR="000D6412">
        <w:rPr>
          <w:rFonts w:ascii="Arial" w:hAnsi="Arial" w:cs="Arial"/>
        </w:rPr>
        <w:t xml:space="preserve">area contributing towards the </w:t>
      </w:r>
      <w:r w:rsidRPr="00472997">
        <w:rPr>
          <w:rFonts w:ascii="Arial" w:hAnsi="Arial" w:cs="Arial"/>
        </w:rPr>
        <w:t xml:space="preserve">overall </w:t>
      </w:r>
      <w:r w:rsidRPr="00472997" w:rsidR="000D6412">
        <w:rPr>
          <w:rFonts w:ascii="Arial" w:hAnsi="Arial" w:cs="Arial"/>
        </w:rPr>
        <w:t xml:space="preserve">Early Years underspend </w:t>
      </w:r>
      <w:r w:rsidRPr="00472997" w:rsidR="00340D4B">
        <w:rPr>
          <w:rFonts w:ascii="Arial" w:hAnsi="Arial" w:cs="Arial"/>
        </w:rPr>
        <w:t xml:space="preserve">is </w:t>
      </w:r>
      <w:r w:rsidRPr="00472997" w:rsidR="003910C3">
        <w:rPr>
          <w:rFonts w:ascii="Arial" w:hAnsi="Arial" w:cs="Arial"/>
        </w:rPr>
        <w:t>the £</w:t>
      </w:r>
      <w:r w:rsidRPr="00472997" w:rsidR="0035051B">
        <w:rPr>
          <w:rFonts w:ascii="Arial" w:hAnsi="Arial" w:cs="Arial"/>
        </w:rPr>
        <w:t>647</w:t>
      </w:r>
      <w:r w:rsidRPr="00472997" w:rsidR="003910C3">
        <w:rPr>
          <w:rFonts w:ascii="Arial" w:hAnsi="Arial" w:cs="Arial"/>
        </w:rPr>
        <w:t xml:space="preserve">,000 underspend </w:t>
      </w:r>
      <w:r w:rsidRPr="00472997">
        <w:rPr>
          <w:rFonts w:ascii="Arial" w:hAnsi="Arial" w:cs="Arial"/>
        </w:rPr>
        <w:t xml:space="preserve">on the </w:t>
      </w:r>
      <w:proofErr w:type="gramStart"/>
      <w:r w:rsidRPr="00472997">
        <w:rPr>
          <w:rFonts w:ascii="Arial" w:hAnsi="Arial" w:cs="Arial"/>
        </w:rPr>
        <w:t>central early years</w:t>
      </w:r>
      <w:proofErr w:type="gramEnd"/>
      <w:r w:rsidRPr="00472997">
        <w:rPr>
          <w:rFonts w:ascii="Arial" w:hAnsi="Arial" w:cs="Arial"/>
        </w:rPr>
        <w:t xml:space="preserve"> budget</w:t>
      </w:r>
      <w:r w:rsidRPr="00472997" w:rsidR="008A7FC6">
        <w:rPr>
          <w:rFonts w:ascii="Arial" w:hAnsi="Arial" w:cs="Arial"/>
        </w:rPr>
        <w:t xml:space="preserve">. </w:t>
      </w:r>
      <w:r w:rsidRPr="00472997" w:rsidR="005C550E">
        <w:rPr>
          <w:rFonts w:ascii="Arial" w:hAnsi="Arial" w:cs="Arial"/>
        </w:rPr>
        <w:t xml:space="preserve">The underspend is mostly </w:t>
      </w:r>
      <w:r w:rsidRPr="00472997" w:rsidR="006E0758">
        <w:rPr>
          <w:rFonts w:ascii="Arial" w:hAnsi="Arial" w:cs="Arial"/>
        </w:rPr>
        <w:t>against the central contingency</w:t>
      </w:r>
      <w:r w:rsidRPr="00472997" w:rsidR="00E3633A">
        <w:rPr>
          <w:rFonts w:ascii="Arial" w:hAnsi="Arial" w:cs="Arial"/>
        </w:rPr>
        <w:t xml:space="preserve"> (£</w:t>
      </w:r>
      <w:r w:rsidRPr="00472997" w:rsidR="007E64DB">
        <w:rPr>
          <w:rFonts w:ascii="Arial" w:hAnsi="Arial" w:cs="Arial"/>
        </w:rPr>
        <w:t>347</w:t>
      </w:r>
      <w:r w:rsidRPr="00472997" w:rsidR="00E3633A">
        <w:rPr>
          <w:rFonts w:ascii="Arial" w:hAnsi="Arial" w:cs="Arial"/>
        </w:rPr>
        <w:t>,000 under</w:t>
      </w:r>
      <w:r w:rsidRPr="00472997" w:rsidR="00F0620E">
        <w:rPr>
          <w:rFonts w:ascii="Arial" w:hAnsi="Arial" w:cs="Arial"/>
        </w:rPr>
        <w:t>sp</w:t>
      </w:r>
      <w:r w:rsidRPr="00472997" w:rsidR="00E3633A">
        <w:rPr>
          <w:rFonts w:ascii="Arial" w:hAnsi="Arial" w:cs="Arial"/>
        </w:rPr>
        <w:t>end)</w:t>
      </w:r>
      <w:r w:rsidRPr="00472997" w:rsidR="00E827AE">
        <w:rPr>
          <w:rFonts w:ascii="Arial" w:hAnsi="Arial" w:cs="Arial"/>
        </w:rPr>
        <w:t>, due to</w:t>
      </w:r>
      <w:r w:rsidR="006B3703">
        <w:rPr>
          <w:rFonts w:ascii="Arial" w:hAnsi="Arial" w:cs="Arial"/>
        </w:rPr>
        <w:t xml:space="preserve"> an</w:t>
      </w:r>
      <w:r w:rsidRPr="00472997" w:rsidR="00E827AE">
        <w:rPr>
          <w:rFonts w:ascii="Arial" w:hAnsi="Arial" w:cs="Arial"/>
        </w:rPr>
        <w:t xml:space="preserve"> increased allocation in March.</w:t>
      </w:r>
      <w:r w:rsidRPr="00472997" w:rsidR="00373865">
        <w:rPr>
          <w:rFonts w:ascii="Arial" w:hAnsi="Arial" w:cs="Arial"/>
        </w:rPr>
        <w:t xml:space="preserve"> </w:t>
      </w:r>
      <w:r w:rsidRPr="00472997" w:rsidR="7C0F56A4">
        <w:rPr>
          <w:rFonts w:ascii="Arial" w:hAnsi="Arial" w:cs="Arial"/>
        </w:rPr>
        <w:t xml:space="preserve">In addition, there </w:t>
      </w:r>
      <w:r w:rsidRPr="00472997" w:rsidR="00B470F7">
        <w:rPr>
          <w:rFonts w:ascii="Arial" w:hAnsi="Arial" w:cs="Arial"/>
        </w:rPr>
        <w:t xml:space="preserve">are small underspends on pay </w:t>
      </w:r>
      <w:r w:rsidRPr="00472997" w:rsidR="00C71121">
        <w:rPr>
          <w:rFonts w:ascii="Arial" w:hAnsi="Arial" w:cs="Arial"/>
        </w:rPr>
        <w:t xml:space="preserve">in both Services for Young Children Inclusion and Early Years District Advisory Teachers.  </w:t>
      </w:r>
      <w:r w:rsidRPr="00472997" w:rsidR="7C0F56A4">
        <w:rPr>
          <w:rFonts w:ascii="Arial" w:hAnsi="Arial" w:cs="Arial"/>
        </w:rPr>
        <w:t xml:space="preserve"> </w:t>
      </w:r>
    </w:p>
    <w:p w:rsidRPr="00CF1DF6" w:rsidR="00D85C64" w:rsidP="000947C7" w:rsidRDefault="00D85C64" w14:paraId="6F251263" w14:textId="799ADAD0">
      <w:pPr>
        <w:pStyle w:val="Heading2"/>
        <w:keepNext w:val="0"/>
        <w:numPr>
          <w:ilvl w:val="0"/>
          <w:numId w:val="0"/>
        </w:numPr>
        <w:ind w:left="426"/>
        <w:jc w:val="left"/>
        <w:rPr>
          <w:rFonts w:ascii="Arial" w:hAnsi="Arial" w:cs="Arial"/>
          <w:b/>
          <w:szCs w:val="24"/>
        </w:rPr>
      </w:pPr>
      <w:r w:rsidRPr="00CF1DF6">
        <w:rPr>
          <w:rFonts w:ascii="Arial" w:hAnsi="Arial" w:cs="Arial"/>
          <w:b/>
          <w:szCs w:val="24"/>
        </w:rPr>
        <w:t>Schools Block</w:t>
      </w:r>
    </w:p>
    <w:p w:rsidR="00C61057" w:rsidP="00C61057" w:rsidRDefault="00D85C64" w14:paraId="1AB3CF93" w14:textId="2C60C9F7">
      <w:pPr>
        <w:pStyle w:val="Heading2"/>
        <w:keepNext w:val="0"/>
        <w:tabs>
          <w:tab w:val="clear" w:pos="576"/>
          <w:tab w:val="num" w:pos="426"/>
        </w:tabs>
        <w:ind w:left="426" w:hanging="568"/>
        <w:jc w:val="left"/>
        <w:rPr>
          <w:rFonts w:ascii="Arial" w:hAnsi="Arial" w:cs="Arial"/>
        </w:rPr>
      </w:pPr>
      <w:r w:rsidRPr="00A13C13">
        <w:rPr>
          <w:rFonts w:ascii="Arial" w:hAnsi="Arial" w:cs="Arial"/>
        </w:rPr>
        <w:t xml:space="preserve">There is an </w:t>
      </w:r>
      <w:r w:rsidRPr="00A13C13" w:rsidR="00792FD9">
        <w:rPr>
          <w:rFonts w:ascii="Arial" w:hAnsi="Arial" w:cs="Arial"/>
        </w:rPr>
        <w:t>over</w:t>
      </w:r>
      <w:r w:rsidRPr="00A13C13">
        <w:rPr>
          <w:rFonts w:ascii="Arial" w:hAnsi="Arial" w:cs="Arial"/>
        </w:rPr>
        <w:t>spend of 0.</w:t>
      </w:r>
      <w:r w:rsidRPr="00A13C13" w:rsidR="006A7296">
        <w:rPr>
          <w:rFonts w:ascii="Arial" w:hAnsi="Arial" w:cs="Arial"/>
        </w:rPr>
        <w:t>1</w:t>
      </w:r>
      <w:r w:rsidRPr="00A13C13">
        <w:rPr>
          <w:rFonts w:ascii="Arial" w:hAnsi="Arial" w:cs="Arial"/>
        </w:rPr>
        <w:t>% (</w:t>
      </w:r>
      <w:r w:rsidRPr="00A13C13" w:rsidR="006A7296">
        <w:rPr>
          <w:rFonts w:ascii="Arial" w:hAnsi="Arial" w:cs="Arial"/>
        </w:rPr>
        <w:t>£365,000</w:t>
      </w:r>
      <w:r w:rsidRPr="00A13C13">
        <w:rPr>
          <w:rFonts w:ascii="Arial" w:hAnsi="Arial" w:cs="Arial"/>
        </w:rPr>
        <w:t xml:space="preserve">) on the Schools Block, </w:t>
      </w:r>
      <w:r w:rsidRPr="00A13C13" w:rsidR="005B308F">
        <w:rPr>
          <w:rFonts w:ascii="Arial" w:hAnsi="Arial" w:cs="Arial"/>
        </w:rPr>
        <w:t xml:space="preserve">which is </w:t>
      </w:r>
      <w:r w:rsidR="00116A8E">
        <w:rPr>
          <w:rFonts w:ascii="Arial" w:hAnsi="Arial" w:cs="Arial"/>
        </w:rPr>
        <w:t xml:space="preserve">mainly </w:t>
      </w:r>
      <w:r w:rsidRPr="00A13C13">
        <w:rPr>
          <w:rFonts w:ascii="Arial" w:hAnsi="Arial" w:cs="Arial"/>
        </w:rPr>
        <w:t>due to</w:t>
      </w:r>
      <w:r w:rsidRPr="00A13C13" w:rsidR="00146B85">
        <w:rPr>
          <w:rFonts w:ascii="Arial" w:hAnsi="Arial" w:cs="Arial"/>
        </w:rPr>
        <w:t xml:space="preserve"> overspends on suspended staff </w:t>
      </w:r>
      <w:r w:rsidRPr="00A13C13" w:rsidR="00102F0C">
        <w:rPr>
          <w:rFonts w:ascii="Arial" w:hAnsi="Arial" w:cs="Arial"/>
        </w:rPr>
        <w:t xml:space="preserve">and </w:t>
      </w:r>
      <w:r w:rsidRPr="00A13C13">
        <w:rPr>
          <w:rFonts w:ascii="Arial" w:hAnsi="Arial" w:cs="Arial"/>
        </w:rPr>
        <w:t xml:space="preserve">central provision funded by maintained </w:t>
      </w:r>
      <w:r w:rsidRPr="00FC4785">
        <w:rPr>
          <w:rFonts w:ascii="Arial" w:hAnsi="Arial" w:cs="Arial"/>
        </w:rPr>
        <w:t>schools (see paragraph</w:t>
      </w:r>
      <w:r w:rsidRPr="00FC4785" w:rsidR="007450EF">
        <w:rPr>
          <w:rFonts w:ascii="Arial" w:hAnsi="Arial" w:cs="Arial"/>
        </w:rPr>
        <w:t>s</w:t>
      </w:r>
      <w:r w:rsidRPr="00FC4785">
        <w:rPr>
          <w:rFonts w:ascii="Arial" w:hAnsi="Arial" w:cs="Arial"/>
        </w:rPr>
        <w:t xml:space="preserve"> </w:t>
      </w:r>
      <w:r w:rsidRPr="00FC4785" w:rsidR="007450EF">
        <w:rPr>
          <w:rFonts w:ascii="Arial" w:hAnsi="Arial" w:cs="Arial"/>
        </w:rPr>
        <w:t>3.</w:t>
      </w:r>
      <w:r w:rsidRPr="00FC4785" w:rsidR="00C00EAF">
        <w:rPr>
          <w:rFonts w:ascii="Arial" w:hAnsi="Arial" w:cs="Arial"/>
        </w:rPr>
        <w:t>2</w:t>
      </w:r>
      <w:r w:rsidRPr="00FC4785" w:rsidR="005D55A4">
        <w:rPr>
          <w:rFonts w:ascii="Arial" w:hAnsi="Arial" w:cs="Arial"/>
        </w:rPr>
        <w:t>0</w:t>
      </w:r>
      <w:r w:rsidRPr="00FC4785" w:rsidR="00C00EAF">
        <w:rPr>
          <w:rFonts w:ascii="Arial" w:hAnsi="Arial" w:cs="Arial"/>
        </w:rPr>
        <w:t xml:space="preserve"> </w:t>
      </w:r>
      <w:r w:rsidRPr="00FC4785" w:rsidR="00345187">
        <w:rPr>
          <w:rFonts w:ascii="Arial" w:hAnsi="Arial" w:cs="Arial"/>
        </w:rPr>
        <w:t>to</w:t>
      </w:r>
      <w:r w:rsidRPr="00FC4785" w:rsidR="007450EF">
        <w:rPr>
          <w:rFonts w:ascii="Arial" w:hAnsi="Arial" w:cs="Arial"/>
        </w:rPr>
        <w:t xml:space="preserve"> 3.</w:t>
      </w:r>
      <w:r w:rsidRPr="00FC4785" w:rsidR="00C00EAF">
        <w:rPr>
          <w:rFonts w:ascii="Arial" w:hAnsi="Arial" w:cs="Arial"/>
        </w:rPr>
        <w:t>2</w:t>
      </w:r>
      <w:r w:rsidRPr="00FC4785" w:rsidR="005D55A4">
        <w:rPr>
          <w:rFonts w:ascii="Arial" w:hAnsi="Arial" w:cs="Arial"/>
        </w:rPr>
        <w:t>1</w:t>
      </w:r>
      <w:r w:rsidRPr="00FC4785">
        <w:rPr>
          <w:rFonts w:ascii="Arial" w:hAnsi="Arial" w:cs="Arial"/>
        </w:rPr>
        <w:t>)</w:t>
      </w:r>
      <w:r w:rsidRPr="00FC4785" w:rsidR="00102F0C">
        <w:rPr>
          <w:rFonts w:ascii="Arial" w:hAnsi="Arial" w:cs="Arial"/>
        </w:rPr>
        <w:t xml:space="preserve">, offset </w:t>
      </w:r>
      <w:r w:rsidRPr="00A13C13" w:rsidR="00102F0C">
        <w:rPr>
          <w:rFonts w:ascii="Arial" w:hAnsi="Arial" w:cs="Arial"/>
        </w:rPr>
        <w:t>by an underspend on the growth fund</w:t>
      </w:r>
      <w:r w:rsidRPr="00A13C13" w:rsidR="00652AD8">
        <w:rPr>
          <w:rFonts w:ascii="Arial" w:hAnsi="Arial" w:cs="Arial"/>
        </w:rPr>
        <w:t>.</w:t>
      </w:r>
    </w:p>
    <w:p w:rsidRPr="00A063CE" w:rsidR="00A063CE" w:rsidRDefault="00BB75EB" w14:paraId="059DDFB8" w14:textId="1AB88FDA">
      <w:pPr>
        <w:pStyle w:val="Heading2"/>
        <w:keepNext w:val="0"/>
        <w:tabs>
          <w:tab w:val="clear" w:pos="576"/>
          <w:tab w:val="num" w:pos="426"/>
        </w:tabs>
        <w:ind w:left="426" w:hanging="568"/>
        <w:jc w:val="left"/>
        <w:rPr>
          <w:rFonts w:ascii="Arial" w:hAnsi="Arial" w:cs="Arial"/>
          <w:bCs/>
          <w:szCs w:val="24"/>
        </w:rPr>
      </w:pPr>
      <w:r w:rsidRPr="00A063CE">
        <w:rPr>
          <w:rFonts w:ascii="Arial" w:hAnsi="Arial" w:cs="Arial"/>
        </w:rPr>
        <w:t>The £571,000 overspend on suspended teachers is due to</w:t>
      </w:r>
      <w:r w:rsidRPr="00A063CE" w:rsidR="00A063CE">
        <w:rPr>
          <w:rFonts w:ascii="Arial" w:hAnsi="Arial" w:cs="Arial"/>
        </w:rPr>
        <w:t xml:space="preserve"> an increase in </w:t>
      </w:r>
      <w:proofErr w:type="gramStart"/>
      <w:r w:rsidRPr="00A063CE" w:rsidR="00A063CE">
        <w:rPr>
          <w:rFonts w:ascii="Arial" w:hAnsi="Arial" w:cs="Arial"/>
        </w:rPr>
        <w:t>high cost</w:t>
      </w:r>
      <w:proofErr w:type="gramEnd"/>
      <w:r w:rsidRPr="00A063CE" w:rsidR="00A063CE">
        <w:rPr>
          <w:rFonts w:ascii="Arial" w:hAnsi="Arial" w:cs="Arial"/>
        </w:rPr>
        <w:t xml:space="preserve"> </w:t>
      </w:r>
      <w:r w:rsidR="006F4B5A">
        <w:rPr>
          <w:rFonts w:ascii="Arial" w:hAnsi="Arial" w:cs="Arial"/>
        </w:rPr>
        <w:t>case</w:t>
      </w:r>
      <w:r w:rsidRPr="00A063CE" w:rsidR="00A063CE">
        <w:rPr>
          <w:rFonts w:ascii="Arial" w:hAnsi="Arial" w:cs="Arial"/>
        </w:rPr>
        <w:t>s.</w:t>
      </w:r>
    </w:p>
    <w:p w:rsidRPr="00F37842" w:rsidR="008D565E" w:rsidRDefault="00AA755A" w14:paraId="5F1D312C" w14:textId="4BF8CB26">
      <w:pPr>
        <w:pStyle w:val="Heading2"/>
        <w:keepNext w:val="0"/>
        <w:tabs>
          <w:tab w:val="clear" w:pos="576"/>
          <w:tab w:val="num" w:pos="426"/>
        </w:tabs>
        <w:ind w:left="426" w:hanging="568"/>
        <w:jc w:val="left"/>
        <w:rPr>
          <w:rFonts w:ascii="Arial" w:hAnsi="Arial" w:cs="Arial"/>
          <w:bCs/>
          <w:szCs w:val="24"/>
        </w:rPr>
      </w:pPr>
      <w:r>
        <w:rPr>
          <w:rFonts w:ascii="Arial" w:hAnsi="Arial" w:cs="Arial"/>
          <w:szCs w:val="24"/>
        </w:rPr>
        <w:t>T</w:t>
      </w:r>
      <w:r w:rsidRPr="00A063CE" w:rsidR="001C2466">
        <w:rPr>
          <w:rFonts w:ascii="Arial" w:hAnsi="Arial" w:cs="Arial"/>
          <w:szCs w:val="24"/>
        </w:rPr>
        <w:t>h</w:t>
      </w:r>
      <w:r w:rsidR="00954C92">
        <w:rPr>
          <w:rFonts w:ascii="Arial" w:hAnsi="Arial" w:cs="Arial"/>
          <w:szCs w:val="24"/>
        </w:rPr>
        <w:t xml:space="preserve">is is offset by </w:t>
      </w:r>
      <w:r w:rsidRPr="00A063CE" w:rsidR="001C2466">
        <w:rPr>
          <w:rFonts w:ascii="Arial" w:hAnsi="Arial" w:cs="Arial"/>
          <w:szCs w:val="24"/>
        </w:rPr>
        <w:t>a continued underspend on the growth fund</w:t>
      </w:r>
      <w:r w:rsidRPr="00A063CE" w:rsidR="00D11B67">
        <w:rPr>
          <w:rFonts w:ascii="Arial" w:hAnsi="Arial" w:cs="Arial"/>
          <w:szCs w:val="24"/>
        </w:rPr>
        <w:t xml:space="preserve">, largely </w:t>
      </w:r>
      <w:r w:rsidRPr="00A063CE" w:rsidR="001C434C">
        <w:rPr>
          <w:rFonts w:ascii="Arial" w:hAnsi="Arial" w:cs="Arial"/>
          <w:szCs w:val="24"/>
        </w:rPr>
        <w:t>because th</w:t>
      </w:r>
      <w:r w:rsidRPr="00A063CE" w:rsidR="00433F57">
        <w:rPr>
          <w:rFonts w:ascii="Arial" w:hAnsi="Arial" w:cs="Arial"/>
          <w:bCs/>
          <w:szCs w:val="24"/>
        </w:rPr>
        <w:t>e</w:t>
      </w:r>
      <w:r w:rsidRPr="00A063CE" w:rsidR="00433F57">
        <w:rPr>
          <w:rFonts w:ascii="Arial" w:hAnsi="Arial" w:cs="Arial"/>
          <w:szCs w:val="24"/>
        </w:rPr>
        <w:t xml:space="preserve"> </w:t>
      </w:r>
      <w:proofErr w:type="gramStart"/>
      <w:r w:rsidRPr="00A063CE" w:rsidR="00420F9F">
        <w:rPr>
          <w:rFonts w:ascii="Arial" w:hAnsi="Arial" w:cs="Arial"/>
          <w:szCs w:val="24"/>
        </w:rPr>
        <w:t>spend</w:t>
      </w:r>
      <w:proofErr w:type="gramEnd"/>
      <w:r w:rsidRPr="00A063CE" w:rsidR="00420F9F">
        <w:rPr>
          <w:rFonts w:ascii="Arial" w:hAnsi="Arial" w:cs="Arial"/>
          <w:szCs w:val="24"/>
        </w:rPr>
        <w:t xml:space="preserve"> on </w:t>
      </w:r>
      <w:r w:rsidRPr="00A063CE" w:rsidR="00433F57">
        <w:rPr>
          <w:rFonts w:ascii="Arial" w:hAnsi="Arial" w:cs="Arial"/>
          <w:szCs w:val="24"/>
        </w:rPr>
        <w:t>temporary classroom</w:t>
      </w:r>
      <w:r w:rsidRPr="00A063CE" w:rsidR="00420F9F">
        <w:rPr>
          <w:rFonts w:ascii="Arial" w:hAnsi="Arial" w:cs="Arial"/>
          <w:szCs w:val="24"/>
        </w:rPr>
        <w:t xml:space="preserve">s remains </w:t>
      </w:r>
      <w:r w:rsidRPr="00A063CE" w:rsidR="00676D23">
        <w:rPr>
          <w:rFonts w:ascii="Arial" w:hAnsi="Arial" w:cs="Arial"/>
          <w:szCs w:val="24"/>
        </w:rPr>
        <w:t>low</w:t>
      </w:r>
      <w:r w:rsidR="00954C92">
        <w:rPr>
          <w:rFonts w:ascii="Arial" w:hAnsi="Arial" w:cs="Arial"/>
          <w:szCs w:val="24"/>
        </w:rPr>
        <w:t xml:space="preserve"> </w:t>
      </w:r>
      <w:r w:rsidR="00371FB8">
        <w:rPr>
          <w:rFonts w:ascii="Arial" w:hAnsi="Arial" w:cs="Arial"/>
          <w:szCs w:val="24"/>
        </w:rPr>
        <w:t>with</w:t>
      </w:r>
      <w:r w:rsidRPr="00A063CE" w:rsidR="008B31BB">
        <w:rPr>
          <w:rFonts w:ascii="Arial" w:hAnsi="Arial" w:cs="Arial"/>
          <w:szCs w:val="24"/>
        </w:rPr>
        <w:t xml:space="preserve"> the final position </w:t>
      </w:r>
      <w:proofErr w:type="gramStart"/>
      <w:r w:rsidR="00360887">
        <w:rPr>
          <w:rFonts w:ascii="Arial" w:hAnsi="Arial" w:cs="Arial"/>
          <w:szCs w:val="24"/>
        </w:rPr>
        <w:t>an</w:t>
      </w:r>
      <w:r w:rsidRPr="00A063CE" w:rsidR="008B31BB">
        <w:rPr>
          <w:rFonts w:ascii="Arial" w:hAnsi="Arial" w:cs="Arial"/>
          <w:szCs w:val="24"/>
        </w:rPr>
        <w:t xml:space="preserve"> underspend</w:t>
      </w:r>
      <w:proofErr w:type="gramEnd"/>
      <w:r w:rsidRPr="00A063CE" w:rsidR="008B31BB">
        <w:rPr>
          <w:rFonts w:ascii="Arial" w:hAnsi="Arial" w:cs="Arial"/>
          <w:szCs w:val="24"/>
        </w:rPr>
        <w:t xml:space="preserve"> of </w:t>
      </w:r>
      <w:r w:rsidRPr="00F37842" w:rsidR="003170F6">
        <w:rPr>
          <w:rFonts w:ascii="Arial" w:hAnsi="Arial" w:cs="Arial"/>
          <w:szCs w:val="24"/>
        </w:rPr>
        <w:t>£</w:t>
      </w:r>
      <w:r w:rsidRPr="00F37842" w:rsidR="00F54E2F">
        <w:rPr>
          <w:rFonts w:ascii="Arial" w:hAnsi="Arial" w:cs="Arial"/>
          <w:bCs/>
          <w:szCs w:val="24"/>
        </w:rPr>
        <w:t>401</w:t>
      </w:r>
      <w:r w:rsidRPr="00F37842" w:rsidR="008C20E2">
        <w:rPr>
          <w:rFonts w:ascii="Arial" w:hAnsi="Arial" w:cs="Arial"/>
          <w:szCs w:val="24"/>
        </w:rPr>
        <w:t>,000</w:t>
      </w:r>
      <w:r w:rsidRPr="00F37842" w:rsidR="00C505D3">
        <w:rPr>
          <w:rFonts w:ascii="Arial" w:hAnsi="Arial" w:cs="Arial"/>
          <w:bCs/>
          <w:szCs w:val="24"/>
        </w:rPr>
        <w:t>.</w:t>
      </w:r>
      <w:r w:rsidRPr="00F37842" w:rsidR="005D2A01">
        <w:rPr>
          <w:rFonts w:ascii="Arial" w:hAnsi="Arial" w:cs="Arial"/>
          <w:bCs/>
          <w:szCs w:val="24"/>
        </w:rPr>
        <w:t xml:space="preserve"> However</w:t>
      </w:r>
      <w:r w:rsidR="00163430">
        <w:rPr>
          <w:rFonts w:ascii="Arial" w:hAnsi="Arial" w:cs="Arial"/>
          <w:bCs/>
          <w:szCs w:val="24"/>
        </w:rPr>
        <w:t>,</w:t>
      </w:r>
      <w:r w:rsidRPr="00F37842" w:rsidR="005D2A01">
        <w:rPr>
          <w:rFonts w:ascii="Arial" w:hAnsi="Arial" w:cs="Arial"/>
          <w:bCs/>
          <w:szCs w:val="24"/>
        </w:rPr>
        <w:t xml:space="preserve"> th</w:t>
      </w:r>
      <w:r w:rsidRPr="00F37842" w:rsidR="00290D1B">
        <w:rPr>
          <w:rFonts w:ascii="Arial" w:hAnsi="Arial" w:cs="Arial"/>
          <w:bCs/>
          <w:szCs w:val="24"/>
        </w:rPr>
        <w:t>ese are not anticipated to continue long term.</w:t>
      </w:r>
    </w:p>
    <w:p w:rsidRPr="00F37842" w:rsidR="005B5537" w:rsidP="008D565E" w:rsidRDefault="005B5537" w14:paraId="76F5D9C9" w14:textId="130179D6">
      <w:pPr>
        <w:pStyle w:val="Heading2"/>
        <w:keepNext w:val="0"/>
        <w:tabs>
          <w:tab w:val="clear" w:pos="576"/>
          <w:tab w:val="num" w:pos="426"/>
        </w:tabs>
        <w:ind w:left="426" w:hanging="568"/>
        <w:jc w:val="left"/>
        <w:rPr>
          <w:rFonts w:ascii="Arial" w:hAnsi="Arial" w:cs="Arial"/>
          <w:bCs/>
          <w:szCs w:val="24"/>
        </w:rPr>
      </w:pPr>
      <w:r w:rsidRPr="00F37842">
        <w:rPr>
          <w:rFonts w:ascii="Arial" w:hAnsi="Arial" w:cs="Arial"/>
          <w:bCs/>
          <w:szCs w:val="24"/>
        </w:rPr>
        <w:t>The DSG growth allocation for 202</w:t>
      </w:r>
      <w:r w:rsidRPr="00F37842" w:rsidR="00346359">
        <w:rPr>
          <w:rFonts w:ascii="Arial" w:hAnsi="Arial" w:cs="Arial"/>
          <w:bCs/>
          <w:szCs w:val="24"/>
        </w:rPr>
        <w:t>5</w:t>
      </w:r>
      <w:r w:rsidRPr="00F37842">
        <w:rPr>
          <w:rFonts w:ascii="Arial" w:hAnsi="Arial" w:cs="Arial"/>
          <w:bCs/>
          <w:szCs w:val="24"/>
        </w:rPr>
        <w:t>/2</w:t>
      </w:r>
      <w:r w:rsidRPr="00F37842" w:rsidR="00346359">
        <w:rPr>
          <w:rFonts w:ascii="Arial" w:hAnsi="Arial" w:cs="Arial"/>
          <w:bCs/>
          <w:szCs w:val="24"/>
        </w:rPr>
        <w:t>6</w:t>
      </w:r>
      <w:r w:rsidRPr="00F37842">
        <w:rPr>
          <w:rFonts w:ascii="Arial" w:hAnsi="Arial" w:cs="Arial"/>
          <w:bCs/>
          <w:szCs w:val="24"/>
        </w:rPr>
        <w:t xml:space="preserve"> shows a reduction in funding of £</w:t>
      </w:r>
      <w:r w:rsidRPr="00F37842" w:rsidR="00713660">
        <w:rPr>
          <w:rFonts w:ascii="Arial" w:hAnsi="Arial" w:cs="Arial"/>
          <w:bCs/>
          <w:szCs w:val="24"/>
        </w:rPr>
        <w:t>906</w:t>
      </w:r>
      <w:r w:rsidRPr="00F37842">
        <w:rPr>
          <w:rFonts w:ascii="Arial" w:hAnsi="Arial" w:cs="Arial"/>
          <w:bCs/>
          <w:szCs w:val="24"/>
        </w:rPr>
        <w:t>,000</w:t>
      </w:r>
      <w:r w:rsidRPr="00F37842" w:rsidR="00290D1B">
        <w:rPr>
          <w:rFonts w:ascii="Arial" w:hAnsi="Arial" w:cs="Arial"/>
          <w:bCs/>
          <w:szCs w:val="24"/>
        </w:rPr>
        <w:t xml:space="preserve">, which poses a risk </w:t>
      </w:r>
      <w:r w:rsidRPr="00F37842" w:rsidR="00F37842">
        <w:rPr>
          <w:rFonts w:ascii="Arial" w:hAnsi="Arial" w:cs="Arial"/>
          <w:bCs/>
          <w:szCs w:val="24"/>
        </w:rPr>
        <w:t xml:space="preserve">for 25/26 of a less </w:t>
      </w:r>
      <w:r w:rsidRPr="00F37842" w:rsidR="00E51164">
        <w:rPr>
          <w:rFonts w:ascii="Arial" w:hAnsi="Arial" w:cs="Arial"/>
          <w:bCs/>
          <w:szCs w:val="24"/>
        </w:rPr>
        <w:t>favorable</w:t>
      </w:r>
      <w:r w:rsidRPr="00F37842" w:rsidR="00F37842">
        <w:rPr>
          <w:rFonts w:ascii="Arial" w:hAnsi="Arial" w:cs="Arial"/>
          <w:bCs/>
          <w:szCs w:val="24"/>
        </w:rPr>
        <w:t xml:space="preserve"> position</w:t>
      </w:r>
      <w:r w:rsidRPr="00F37842">
        <w:rPr>
          <w:rFonts w:ascii="Arial" w:hAnsi="Arial" w:cs="Arial"/>
          <w:bCs/>
          <w:szCs w:val="24"/>
        </w:rPr>
        <w:t>.</w:t>
      </w:r>
    </w:p>
    <w:p w:rsidRPr="00CF1DF6" w:rsidR="009414E5" w:rsidRDefault="00EF58BC" w14:paraId="223304A8" w14:textId="045DBFC1">
      <w:pPr>
        <w:pStyle w:val="Heading2"/>
        <w:keepNext w:val="0"/>
        <w:numPr>
          <w:ilvl w:val="0"/>
          <w:numId w:val="0"/>
        </w:numPr>
        <w:tabs>
          <w:tab w:val="num" w:pos="426"/>
        </w:tabs>
        <w:ind w:left="426"/>
        <w:jc w:val="left"/>
        <w:rPr>
          <w:rFonts w:ascii="Arial" w:hAnsi="Arial" w:cs="Arial"/>
          <w:b/>
          <w:szCs w:val="24"/>
        </w:rPr>
      </w:pPr>
      <w:r w:rsidRPr="00CF1DF6">
        <w:rPr>
          <w:rFonts w:ascii="Arial" w:hAnsi="Arial" w:cs="Arial"/>
          <w:b/>
          <w:szCs w:val="24"/>
        </w:rPr>
        <w:t>High Needs Block</w:t>
      </w:r>
    </w:p>
    <w:p w:rsidRPr="003061B5" w:rsidR="001E1BED" w:rsidP="00634C26" w:rsidRDefault="003A0E5D" w14:paraId="1E4CEE27" w14:textId="743460E3">
      <w:pPr>
        <w:pStyle w:val="Heading2"/>
        <w:keepNext w:val="0"/>
        <w:tabs>
          <w:tab w:val="clear" w:pos="576"/>
          <w:tab w:val="num" w:pos="426"/>
        </w:tabs>
        <w:ind w:left="426" w:hanging="568"/>
        <w:jc w:val="left"/>
        <w:rPr>
          <w:rStyle w:val="normaltextrun"/>
          <w:rFonts w:ascii="Arial" w:hAnsi="Arial" w:cs="Arial"/>
        </w:rPr>
      </w:pPr>
      <w:r w:rsidRPr="003061B5">
        <w:rPr>
          <w:rStyle w:val="normaltextrun"/>
          <w:rFonts w:ascii="Arial" w:hAnsi="Arial" w:cs="Arial"/>
        </w:rPr>
        <w:t>The final position on the High Needs Block is an overspend of £</w:t>
      </w:r>
      <w:r w:rsidRPr="003061B5" w:rsidR="003273A7">
        <w:rPr>
          <w:rStyle w:val="normaltextrun"/>
          <w:rFonts w:ascii="Arial" w:hAnsi="Arial" w:cs="Arial"/>
        </w:rPr>
        <w:t>9</w:t>
      </w:r>
      <w:r w:rsidRPr="003061B5" w:rsidR="006D4DF9">
        <w:rPr>
          <w:rStyle w:val="normaltextrun"/>
          <w:rFonts w:ascii="Arial" w:hAnsi="Arial" w:cs="Arial"/>
        </w:rPr>
        <w:t>4</w:t>
      </w:r>
      <w:r w:rsidRPr="003061B5">
        <w:rPr>
          <w:rStyle w:val="normaltextrun"/>
          <w:rFonts w:ascii="Arial" w:hAnsi="Arial" w:cs="Arial"/>
        </w:rPr>
        <w:t>m (</w:t>
      </w:r>
      <w:r w:rsidRPr="003061B5" w:rsidR="006D4DF9">
        <w:rPr>
          <w:rStyle w:val="normaltextrun"/>
          <w:rFonts w:ascii="Arial" w:hAnsi="Arial" w:cs="Arial"/>
        </w:rPr>
        <w:t>48.5</w:t>
      </w:r>
      <w:r w:rsidRPr="003061B5">
        <w:rPr>
          <w:rStyle w:val="normaltextrun"/>
          <w:rFonts w:ascii="Arial" w:hAnsi="Arial" w:cs="Arial"/>
        </w:rPr>
        <w:t xml:space="preserve">%). This represents an increase in expenditure in </w:t>
      </w:r>
      <w:r w:rsidRPr="003061B5" w:rsidR="00E40E15">
        <w:rPr>
          <w:rStyle w:val="normaltextrun"/>
          <w:rFonts w:ascii="Arial" w:hAnsi="Arial" w:cs="Arial"/>
        </w:rPr>
        <w:t>2024/25</w:t>
      </w:r>
      <w:r w:rsidRPr="003061B5">
        <w:rPr>
          <w:rStyle w:val="normaltextrun"/>
          <w:rFonts w:ascii="Arial" w:hAnsi="Arial" w:cs="Arial"/>
        </w:rPr>
        <w:t xml:space="preserve"> of £</w:t>
      </w:r>
      <w:r w:rsidRPr="003061B5" w:rsidR="004C1DA2">
        <w:rPr>
          <w:rStyle w:val="normaltextrun"/>
          <w:rFonts w:ascii="Arial" w:hAnsi="Arial" w:cs="Arial"/>
        </w:rPr>
        <w:t>62.7m</w:t>
      </w:r>
      <w:r w:rsidRPr="003061B5">
        <w:rPr>
          <w:rStyle w:val="normaltextrun"/>
          <w:rFonts w:ascii="Arial" w:hAnsi="Arial" w:cs="Arial"/>
        </w:rPr>
        <w:t xml:space="preserve"> (</w:t>
      </w:r>
      <w:r w:rsidRPr="003061B5" w:rsidR="004D0752">
        <w:rPr>
          <w:rStyle w:val="normaltextrun"/>
          <w:rFonts w:ascii="Arial" w:hAnsi="Arial" w:cs="Arial"/>
        </w:rPr>
        <w:t>26.3</w:t>
      </w:r>
      <w:r w:rsidRPr="003061B5">
        <w:rPr>
          <w:rStyle w:val="normaltextrun"/>
          <w:rFonts w:ascii="Arial" w:hAnsi="Arial" w:cs="Arial"/>
        </w:rPr>
        <w:t>%) from the prior year</w:t>
      </w:r>
      <w:r w:rsidRPr="003061B5" w:rsidR="006D2A34">
        <w:rPr>
          <w:rStyle w:val="normaltextrun"/>
          <w:rFonts w:ascii="Arial" w:hAnsi="Arial" w:cs="Arial"/>
        </w:rPr>
        <w:t>,</w:t>
      </w:r>
      <w:r w:rsidRPr="003061B5" w:rsidR="00CA6076">
        <w:rPr>
          <w:rStyle w:val="normaltextrun"/>
          <w:rFonts w:ascii="Arial" w:hAnsi="Arial" w:cs="Arial"/>
        </w:rPr>
        <w:t xml:space="preserve"> </w:t>
      </w:r>
      <w:r w:rsidRPr="003061B5" w:rsidR="00614CD2">
        <w:rPr>
          <w:rStyle w:val="normaltextrun"/>
          <w:rFonts w:ascii="Arial" w:hAnsi="Arial" w:cs="Arial"/>
        </w:rPr>
        <w:t xml:space="preserve">this </w:t>
      </w:r>
      <w:r w:rsidRPr="003061B5" w:rsidR="006D2A34">
        <w:rPr>
          <w:rStyle w:val="normaltextrun"/>
          <w:rFonts w:ascii="Arial" w:hAnsi="Arial" w:cs="Arial"/>
        </w:rPr>
        <w:t xml:space="preserve">rate of growth </w:t>
      </w:r>
      <w:r w:rsidRPr="003061B5" w:rsidR="00614CD2">
        <w:rPr>
          <w:rStyle w:val="normaltextrun"/>
          <w:rFonts w:ascii="Arial" w:hAnsi="Arial" w:cs="Arial"/>
        </w:rPr>
        <w:t xml:space="preserve">is greater </w:t>
      </w:r>
      <w:r w:rsidRPr="003061B5" w:rsidR="000227DE">
        <w:rPr>
          <w:rStyle w:val="normaltextrun"/>
          <w:rFonts w:ascii="Arial" w:hAnsi="Arial" w:cs="Arial"/>
        </w:rPr>
        <w:t>than</w:t>
      </w:r>
      <w:r w:rsidRPr="003061B5" w:rsidR="00614CD2">
        <w:rPr>
          <w:rStyle w:val="normaltextrun"/>
          <w:rFonts w:ascii="Arial" w:hAnsi="Arial" w:cs="Arial"/>
        </w:rPr>
        <w:t xml:space="preserve"> the </w:t>
      </w:r>
      <w:r w:rsidRPr="003061B5" w:rsidR="005F6CB1">
        <w:rPr>
          <w:rStyle w:val="normaltextrun"/>
          <w:rFonts w:ascii="Arial" w:hAnsi="Arial" w:cs="Arial"/>
        </w:rPr>
        <w:t>average 15% growth seen in the previous 4 years</w:t>
      </w:r>
      <w:r w:rsidRPr="003061B5" w:rsidR="009F03EB">
        <w:rPr>
          <w:rStyle w:val="normaltextrun"/>
          <w:rFonts w:ascii="Arial" w:hAnsi="Arial" w:cs="Arial"/>
        </w:rPr>
        <w:t xml:space="preserve">.  </w:t>
      </w:r>
    </w:p>
    <w:p w:rsidRPr="003061B5" w:rsidR="00A52546" w:rsidP="00634C26" w:rsidRDefault="00D777BD" w14:paraId="4B9D9C0A" w14:textId="77777777">
      <w:pPr>
        <w:pStyle w:val="Heading2"/>
        <w:keepNext w:val="0"/>
        <w:tabs>
          <w:tab w:val="clear" w:pos="576"/>
          <w:tab w:val="num" w:pos="426"/>
        </w:tabs>
        <w:ind w:left="426" w:hanging="568"/>
        <w:jc w:val="left"/>
        <w:rPr>
          <w:rStyle w:val="normaltextrun"/>
          <w:rFonts w:ascii="Arial" w:hAnsi="Arial" w:cs="Arial"/>
        </w:rPr>
      </w:pPr>
      <w:r w:rsidRPr="003061B5">
        <w:rPr>
          <w:rStyle w:val="normaltextrun"/>
          <w:rFonts w:ascii="Arial" w:hAnsi="Arial" w:cs="Arial"/>
        </w:rPr>
        <w:t xml:space="preserve">SEN2 </w:t>
      </w:r>
      <w:r w:rsidRPr="003061B5" w:rsidR="00954FAE">
        <w:rPr>
          <w:rStyle w:val="normaltextrun"/>
          <w:rFonts w:ascii="Arial" w:hAnsi="Arial" w:cs="Arial"/>
        </w:rPr>
        <w:t>reporting</w:t>
      </w:r>
      <w:r w:rsidRPr="003061B5" w:rsidR="00B807B6">
        <w:rPr>
          <w:rStyle w:val="normaltextrun"/>
          <w:rFonts w:ascii="Arial" w:hAnsi="Arial" w:cs="Arial"/>
        </w:rPr>
        <w:t xml:space="preserve"> </w:t>
      </w:r>
      <w:r w:rsidRPr="003061B5" w:rsidR="00225641">
        <w:rPr>
          <w:rStyle w:val="normaltextrun"/>
          <w:rFonts w:ascii="Arial" w:hAnsi="Arial" w:cs="Arial"/>
        </w:rPr>
        <w:t>show</w:t>
      </w:r>
      <w:r w:rsidRPr="003061B5" w:rsidR="00B807B6">
        <w:rPr>
          <w:rStyle w:val="normaltextrun"/>
          <w:rFonts w:ascii="Arial" w:hAnsi="Arial" w:cs="Arial"/>
        </w:rPr>
        <w:t>s</w:t>
      </w:r>
      <w:r w:rsidRPr="003061B5" w:rsidR="00225641">
        <w:rPr>
          <w:rStyle w:val="normaltextrun"/>
          <w:rFonts w:ascii="Arial" w:hAnsi="Arial" w:cs="Arial"/>
        </w:rPr>
        <w:t xml:space="preserve"> that the </w:t>
      </w:r>
      <w:r w:rsidRPr="003061B5" w:rsidR="00CB60F5">
        <w:rPr>
          <w:rStyle w:val="normaltextrun"/>
          <w:rFonts w:ascii="Arial" w:hAnsi="Arial" w:cs="Arial"/>
        </w:rPr>
        <w:t>number of education, health and care plans (EHCPs) continues to increase</w:t>
      </w:r>
      <w:r w:rsidRPr="003061B5" w:rsidR="007105B4">
        <w:rPr>
          <w:rStyle w:val="normaltextrun"/>
          <w:rFonts w:ascii="Arial" w:hAnsi="Arial" w:cs="Arial"/>
        </w:rPr>
        <w:t xml:space="preserve"> year on year:</w:t>
      </w:r>
    </w:p>
    <w:tbl>
      <w:tblPr>
        <w:tblW w:w="7986" w:type="dxa"/>
        <w:tblLook w:val="04A0" w:firstRow="1" w:lastRow="0" w:firstColumn="1" w:lastColumn="0" w:noHBand="0" w:noVBand="1"/>
      </w:tblPr>
      <w:tblGrid>
        <w:gridCol w:w="2804"/>
        <w:gridCol w:w="1090"/>
        <w:gridCol w:w="977"/>
        <w:gridCol w:w="1048"/>
        <w:gridCol w:w="1090"/>
        <w:gridCol w:w="977"/>
      </w:tblGrid>
      <w:tr w:rsidRPr="00A52546" w:rsidR="00786988" w:rsidTr="006812B9" w14:paraId="4699E7F2" w14:textId="77777777">
        <w:trPr>
          <w:trHeight w:val="324"/>
        </w:trPr>
        <w:tc>
          <w:tcPr>
            <w:tcW w:w="2804" w:type="dxa"/>
            <w:tcBorders>
              <w:top w:val="nil"/>
              <w:left w:val="nil"/>
              <w:bottom w:val="nil"/>
              <w:right w:val="nil"/>
            </w:tcBorders>
            <w:shd w:val="clear" w:color="auto" w:fill="auto"/>
            <w:noWrap/>
            <w:vAlign w:val="bottom"/>
            <w:hideMark/>
          </w:tcPr>
          <w:p w:rsidRPr="00A52546" w:rsidR="00A52546" w:rsidP="00A52546" w:rsidRDefault="00A52546" w14:paraId="5D8DD7C0" w14:textId="77777777">
            <w:pPr>
              <w:spacing w:after="0"/>
              <w:jc w:val="center"/>
              <w:rPr>
                <w:rFonts w:ascii="Arial" w:hAnsi="Arial" w:cs="Arial"/>
                <w:b/>
                <w:bCs/>
                <w:color w:val="000000"/>
                <w:sz w:val="22"/>
                <w:szCs w:val="22"/>
                <w:lang w:val="en-GB" w:eastAsia="en-GB"/>
              </w:rPr>
            </w:pPr>
          </w:p>
        </w:tc>
        <w:tc>
          <w:tcPr>
            <w:tcW w:w="1090" w:type="dxa"/>
            <w:tcBorders>
              <w:top w:val="single" w:color="auto" w:sz="4" w:space="0"/>
              <w:left w:val="single" w:color="auto" w:sz="4" w:space="0"/>
              <w:bottom w:val="single" w:color="auto" w:sz="4" w:space="0"/>
              <w:right w:val="single" w:color="auto" w:sz="4" w:space="0"/>
            </w:tcBorders>
            <w:shd w:val="clear" w:color="auto" w:fill="BDD6EE" w:themeFill="accent5" w:themeFillTint="66"/>
            <w:noWrap/>
            <w:vAlign w:val="bottom"/>
            <w:hideMark/>
          </w:tcPr>
          <w:p w:rsidRPr="00A52546" w:rsidR="00A52546" w:rsidP="00A52546" w:rsidRDefault="00A52546" w14:paraId="259AC348" w14:textId="77777777">
            <w:pPr>
              <w:spacing w:after="0"/>
              <w:jc w:val="right"/>
              <w:rPr>
                <w:rFonts w:ascii="Arial" w:hAnsi="Arial" w:cs="Arial"/>
                <w:b/>
                <w:bCs/>
                <w:color w:val="000000"/>
                <w:sz w:val="22"/>
                <w:szCs w:val="22"/>
                <w:lang w:val="en-GB" w:eastAsia="en-GB"/>
              </w:rPr>
            </w:pPr>
            <w:r w:rsidRPr="00A52546">
              <w:rPr>
                <w:rFonts w:ascii="Arial" w:hAnsi="Arial" w:cs="Arial"/>
                <w:b/>
                <w:bCs/>
                <w:color w:val="000000"/>
                <w:sz w:val="22"/>
                <w:szCs w:val="22"/>
                <w:lang w:val="en-GB" w:eastAsia="en-GB"/>
              </w:rPr>
              <w:t>2021</w:t>
            </w:r>
          </w:p>
        </w:tc>
        <w:tc>
          <w:tcPr>
            <w:tcW w:w="977" w:type="dxa"/>
            <w:tcBorders>
              <w:top w:val="single" w:color="auto" w:sz="4" w:space="0"/>
              <w:left w:val="nil"/>
              <w:bottom w:val="single" w:color="auto" w:sz="4" w:space="0"/>
              <w:right w:val="single" w:color="auto" w:sz="4" w:space="0"/>
            </w:tcBorders>
            <w:shd w:val="clear" w:color="auto" w:fill="BDD6EE" w:themeFill="accent5" w:themeFillTint="66"/>
            <w:noWrap/>
            <w:vAlign w:val="bottom"/>
            <w:hideMark/>
          </w:tcPr>
          <w:p w:rsidRPr="00A52546" w:rsidR="00A52546" w:rsidP="00A52546" w:rsidRDefault="00A52546" w14:paraId="3D427587" w14:textId="77777777">
            <w:pPr>
              <w:spacing w:after="0"/>
              <w:jc w:val="right"/>
              <w:rPr>
                <w:rFonts w:ascii="Arial" w:hAnsi="Arial" w:cs="Arial"/>
                <w:b/>
                <w:bCs/>
                <w:color w:val="000000"/>
                <w:sz w:val="22"/>
                <w:szCs w:val="22"/>
                <w:lang w:val="en-GB" w:eastAsia="en-GB"/>
              </w:rPr>
            </w:pPr>
            <w:r w:rsidRPr="00A52546">
              <w:rPr>
                <w:rFonts w:ascii="Arial" w:hAnsi="Arial" w:cs="Arial"/>
                <w:b/>
                <w:bCs/>
                <w:color w:val="000000"/>
                <w:sz w:val="22"/>
                <w:szCs w:val="22"/>
                <w:lang w:val="en-GB" w:eastAsia="en-GB"/>
              </w:rPr>
              <w:t>2022</w:t>
            </w:r>
          </w:p>
        </w:tc>
        <w:tc>
          <w:tcPr>
            <w:tcW w:w="1048" w:type="dxa"/>
            <w:tcBorders>
              <w:top w:val="single" w:color="auto" w:sz="4" w:space="0"/>
              <w:left w:val="nil"/>
              <w:bottom w:val="single" w:color="auto" w:sz="4" w:space="0"/>
              <w:right w:val="single" w:color="auto" w:sz="4" w:space="0"/>
            </w:tcBorders>
            <w:shd w:val="clear" w:color="auto" w:fill="BDD6EE" w:themeFill="accent5" w:themeFillTint="66"/>
            <w:noWrap/>
            <w:vAlign w:val="bottom"/>
            <w:hideMark/>
          </w:tcPr>
          <w:p w:rsidRPr="00A52546" w:rsidR="00A52546" w:rsidP="00A52546" w:rsidRDefault="00A52546" w14:paraId="39A383C0" w14:textId="77777777">
            <w:pPr>
              <w:spacing w:after="0"/>
              <w:jc w:val="right"/>
              <w:rPr>
                <w:rFonts w:ascii="Arial" w:hAnsi="Arial" w:cs="Arial"/>
                <w:b/>
                <w:bCs/>
                <w:color w:val="000000"/>
                <w:sz w:val="22"/>
                <w:szCs w:val="22"/>
                <w:lang w:val="en-GB" w:eastAsia="en-GB"/>
              </w:rPr>
            </w:pPr>
            <w:r w:rsidRPr="00A52546">
              <w:rPr>
                <w:rFonts w:ascii="Arial" w:hAnsi="Arial" w:cs="Arial"/>
                <w:b/>
                <w:bCs/>
                <w:color w:val="000000"/>
                <w:sz w:val="22"/>
                <w:szCs w:val="22"/>
                <w:lang w:val="en-GB" w:eastAsia="en-GB"/>
              </w:rPr>
              <w:t>2023</w:t>
            </w:r>
          </w:p>
        </w:tc>
        <w:tc>
          <w:tcPr>
            <w:tcW w:w="1090" w:type="dxa"/>
            <w:tcBorders>
              <w:top w:val="single" w:color="auto" w:sz="4" w:space="0"/>
              <w:left w:val="nil"/>
              <w:bottom w:val="single" w:color="auto" w:sz="4" w:space="0"/>
              <w:right w:val="single" w:color="auto" w:sz="4" w:space="0"/>
            </w:tcBorders>
            <w:shd w:val="clear" w:color="auto" w:fill="BDD6EE" w:themeFill="accent5" w:themeFillTint="66"/>
            <w:noWrap/>
            <w:vAlign w:val="bottom"/>
            <w:hideMark/>
          </w:tcPr>
          <w:p w:rsidRPr="00A52546" w:rsidR="00A52546" w:rsidP="00A52546" w:rsidRDefault="00A52546" w14:paraId="51023012" w14:textId="77777777">
            <w:pPr>
              <w:spacing w:after="0"/>
              <w:jc w:val="right"/>
              <w:rPr>
                <w:rFonts w:ascii="Arial" w:hAnsi="Arial" w:cs="Arial"/>
                <w:b/>
                <w:bCs/>
                <w:color w:val="000000"/>
                <w:sz w:val="22"/>
                <w:szCs w:val="22"/>
                <w:lang w:val="en-GB" w:eastAsia="en-GB"/>
              </w:rPr>
            </w:pPr>
            <w:r w:rsidRPr="00A52546">
              <w:rPr>
                <w:rFonts w:ascii="Arial" w:hAnsi="Arial" w:cs="Arial"/>
                <w:b/>
                <w:bCs/>
                <w:color w:val="000000"/>
                <w:sz w:val="22"/>
                <w:szCs w:val="22"/>
                <w:lang w:val="en-GB" w:eastAsia="en-GB"/>
              </w:rPr>
              <w:t>2024</w:t>
            </w:r>
          </w:p>
        </w:tc>
        <w:tc>
          <w:tcPr>
            <w:tcW w:w="977" w:type="dxa"/>
            <w:tcBorders>
              <w:top w:val="single" w:color="auto" w:sz="4" w:space="0"/>
              <w:left w:val="nil"/>
              <w:bottom w:val="single" w:color="auto" w:sz="4" w:space="0"/>
              <w:right w:val="single" w:color="auto" w:sz="4" w:space="0"/>
            </w:tcBorders>
            <w:shd w:val="clear" w:color="auto" w:fill="BDD6EE" w:themeFill="accent5" w:themeFillTint="66"/>
            <w:noWrap/>
            <w:vAlign w:val="bottom"/>
            <w:hideMark/>
          </w:tcPr>
          <w:p w:rsidRPr="00A52546" w:rsidR="00A52546" w:rsidP="00A52546" w:rsidRDefault="00A52546" w14:paraId="5BFAFBC7" w14:textId="77777777">
            <w:pPr>
              <w:spacing w:after="0"/>
              <w:jc w:val="right"/>
              <w:rPr>
                <w:rFonts w:ascii="Arial" w:hAnsi="Arial" w:cs="Arial"/>
                <w:b/>
                <w:bCs/>
                <w:color w:val="000000"/>
                <w:sz w:val="22"/>
                <w:szCs w:val="22"/>
                <w:lang w:val="en-GB" w:eastAsia="en-GB"/>
              </w:rPr>
            </w:pPr>
            <w:r w:rsidRPr="00A52546">
              <w:rPr>
                <w:rFonts w:ascii="Arial" w:hAnsi="Arial" w:cs="Arial"/>
                <w:b/>
                <w:bCs/>
                <w:color w:val="000000"/>
                <w:sz w:val="22"/>
                <w:szCs w:val="22"/>
                <w:lang w:val="en-GB" w:eastAsia="en-GB"/>
              </w:rPr>
              <w:t>2025</w:t>
            </w:r>
          </w:p>
        </w:tc>
      </w:tr>
      <w:tr w:rsidRPr="00A52546" w:rsidR="006812B9" w:rsidTr="006812B9" w14:paraId="45A7270C" w14:textId="77777777">
        <w:trPr>
          <w:trHeight w:val="324"/>
        </w:trPr>
        <w:tc>
          <w:tcPr>
            <w:tcW w:w="280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52546" w:rsidR="00A52546" w:rsidP="00A52546" w:rsidRDefault="00A52546" w14:paraId="196402E9" w14:textId="77777777">
            <w:pPr>
              <w:spacing w:after="0"/>
              <w:jc w:val="left"/>
              <w:rPr>
                <w:rFonts w:ascii="Arial" w:hAnsi="Arial" w:cs="Arial"/>
                <w:color w:val="000000"/>
                <w:sz w:val="22"/>
                <w:szCs w:val="22"/>
                <w:lang w:val="en-GB" w:eastAsia="en-GB"/>
              </w:rPr>
            </w:pPr>
            <w:r w:rsidRPr="00A52546">
              <w:rPr>
                <w:rFonts w:ascii="Arial" w:hAnsi="Arial" w:cs="Arial"/>
                <w:color w:val="000000"/>
                <w:sz w:val="22"/>
                <w:szCs w:val="22"/>
                <w:lang w:val="en-GB" w:eastAsia="en-GB"/>
              </w:rPr>
              <w:t>Total EHCPs</w:t>
            </w:r>
          </w:p>
        </w:tc>
        <w:tc>
          <w:tcPr>
            <w:tcW w:w="1090" w:type="dxa"/>
            <w:tcBorders>
              <w:top w:val="nil"/>
              <w:left w:val="nil"/>
              <w:bottom w:val="single" w:color="auto" w:sz="4" w:space="0"/>
              <w:right w:val="single" w:color="auto" w:sz="4" w:space="0"/>
            </w:tcBorders>
            <w:shd w:val="clear" w:color="auto" w:fill="auto"/>
            <w:noWrap/>
            <w:vAlign w:val="bottom"/>
            <w:hideMark/>
          </w:tcPr>
          <w:p w:rsidRPr="00A52546" w:rsidR="00A52546" w:rsidP="00A52546" w:rsidRDefault="00A52546" w14:paraId="2CD06FE0" w14:textId="77777777">
            <w:pPr>
              <w:spacing w:after="0"/>
              <w:jc w:val="right"/>
              <w:rPr>
                <w:rFonts w:ascii="Arial" w:hAnsi="Arial" w:cs="Arial"/>
                <w:color w:val="000000"/>
                <w:sz w:val="22"/>
                <w:szCs w:val="22"/>
                <w:lang w:val="en-GB" w:eastAsia="en-GB"/>
              </w:rPr>
            </w:pPr>
            <w:r w:rsidRPr="00A52546">
              <w:rPr>
                <w:rFonts w:ascii="Arial" w:hAnsi="Arial" w:cs="Arial"/>
                <w:color w:val="000000"/>
                <w:sz w:val="22"/>
                <w:szCs w:val="22"/>
                <w:lang w:val="en-GB" w:eastAsia="en-GB"/>
              </w:rPr>
              <w:t>10,507</w:t>
            </w:r>
          </w:p>
        </w:tc>
        <w:tc>
          <w:tcPr>
            <w:tcW w:w="977" w:type="dxa"/>
            <w:tcBorders>
              <w:top w:val="nil"/>
              <w:left w:val="nil"/>
              <w:bottom w:val="single" w:color="auto" w:sz="4" w:space="0"/>
              <w:right w:val="single" w:color="auto" w:sz="4" w:space="0"/>
            </w:tcBorders>
            <w:shd w:val="clear" w:color="auto" w:fill="auto"/>
            <w:noWrap/>
            <w:vAlign w:val="bottom"/>
            <w:hideMark/>
          </w:tcPr>
          <w:p w:rsidRPr="00A52546" w:rsidR="00A52546" w:rsidP="00A52546" w:rsidRDefault="00A52546" w14:paraId="5360A5F0" w14:textId="77777777">
            <w:pPr>
              <w:spacing w:after="0"/>
              <w:jc w:val="right"/>
              <w:rPr>
                <w:rFonts w:ascii="Arial" w:hAnsi="Arial" w:cs="Arial"/>
                <w:color w:val="000000"/>
                <w:sz w:val="22"/>
                <w:szCs w:val="22"/>
                <w:lang w:val="en-GB" w:eastAsia="en-GB"/>
              </w:rPr>
            </w:pPr>
            <w:r w:rsidRPr="00A52546">
              <w:rPr>
                <w:rFonts w:ascii="Arial" w:hAnsi="Arial" w:cs="Arial"/>
                <w:color w:val="000000"/>
                <w:sz w:val="22"/>
                <w:szCs w:val="22"/>
                <w:lang w:val="en-GB" w:eastAsia="en-GB"/>
              </w:rPr>
              <w:t>12,750</w:t>
            </w:r>
          </w:p>
        </w:tc>
        <w:tc>
          <w:tcPr>
            <w:tcW w:w="1048" w:type="dxa"/>
            <w:tcBorders>
              <w:top w:val="nil"/>
              <w:left w:val="nil"/>
              <w:bottom w:val="single" w:color="auto" w:sz="4" w:space="0"/>
              <w:right w:val="single" w:color="auto" w:sz="4" w:space="0"/>
            </w:tcBorders>
            <w:shd w:val="clear" w:color="auto" w:fill="auto"/>
            <w:noWrap/>
            <w:vAlign w:val="bottom"/>
            <w:hideMark/>
          </w:tcPr>
          <w:p w:rsidRPr="00A52546" w:rsidR="00A52546" w:rsidP="00A52546" w:rsidRDefault="00A52546" w14:paraId="3DCABF8E" w14:textId="77777777">
            <w:pPr>
              <w:spacing w:after="0"/>
              <w:jc w:val="right"/>
              <w:rPr>
                <w:rFonts w:ascii="Arial" w:hAnsi="Arial" w:cs="Arial"/>
                <w:color w:val="000000"/>
                <w:sz w:val="22"/>
                <w:szCs w:val="22"/>
                <w:lang w:val="en-GB" w:eastAsia="en-GB"/>
              </w:rPr>
            </w:pPr>
            <w:r w:rsidRPr="00A52546">
              <w:rPr>
                <w:rFonts w:ascii="Arial" w:hAnsi="Arial" w:cs="Arial"/>
                <w:color w:val="000000"/>
                <w:sz w:val="22"/>
                <w:szCs w:val="22"/>
                <w:lang w:val="en-GB" w:eastAsia="en-GB"/>
              </w:rPr>
              <w:t>14,548</w:t>
            </w:r>
          </w:p>
        </w:tc>
        <w:tc>
          <w:tcPr>
            <w:tcW w:w="1090" w:type="dxa"/>
            <w:tcBorders>
              <w:top w:val="nil"/>
              <w:left w:val="nil"/>
              <w:bottom w:val="single" w:color="auto" w:sz="4" w:space="0"/>
              <w:right w:val="single" w:color="auto" w:sz="4" w:space="0"/>
            </w:tcBorders>
            <w:shd w:val="clear" w:color="auto" w:fill="auto"/>
            <w:noWrap/>
            <w:vAlign w:val="bottom"/>
            <w:hideMark/>
          </w:tcPr>
          <w:p w:rsidRPr="00A52546" w:rsidR="00A52546" w:rsidP="00A52546" w:rsidRDefault="00A52546" w14:paraId="26237C7C" w14:textId="77777777">
            <w:pPr>
              <w:spacing w:after="0"/>
              <w:jc w:val="right"/>
              <w:rPr>
                <w:rFonts w:ascii="Arial" w:hAnsi="Arial" w:cs="Arial"/>
                <w:color w:val="000000"/>
                <w:sz w:val="22"/>
                <w:szCs w:val="22"/>
                <w:lang w:val="en-GB" w:eastAsia="en-GB"/>
              </w:rPr>
            </w:pPr>
            <w:r w:rsidRPr="00A52546">
              <w:rPr>
                <w:rFonts w:ascii="Arial" w:hAnsi="Arial" w:cs="Arial"/>
                <w:color w:val="000000"/>
                <w:sz w:val="22"/>
                <w:szCs w:val="22"/>
                <w:lang w:val="en-GB" w:eastAsia="en-GB"/>
              </w:rPr>
              <w:t>16,038</w:t>
            </w:r>
          </w:p>
        </w:tc>
        <w:tc>
          <w:tcPr>
            <w:tcW w:w="977" w:type="dxa"/>
            <w:tcBorders>
              <w:top w:val="nil"/>
              <w:left w:val="nil"/>
              <w:bottom w:val="single" w:color="auto" w:sz="4" w:space="0"/>
              <w:right w:val="single" w:color="auto" w:sz="4" w:space="0"/>
            </w:tcBorders>
            <w:shd w:val="clear" w:color="auto" w:fill="auto"/>
            <w:noWrap/>
            <w:vAlign w:val="bottom"/>
            <w:hideMark/>
          </w:tcPr>
          <w:p w:rsidRPr="00A52546" w:rsidR="00A52546" w:rsidP="00A52546" w:rsidRDefault="00A52546" w14:paraId="3A6B68FB" w14:textId="77777777">
            <w:pPr>
              <w:spacing w:after="0"/>
              <w:jc w:val="right"/>
              <w:rPr>
                <w:rFonts w:ascii="Arial" w:hAnsi="Arial" w:cs="Arial"/>
                <w:color w:val="000000"/>
                <w:sz w:val="22"/>
                <w:szCs w:val="22"/>
                <w:lang w:val="en-GB" w:eastAsia="en-GB"/>
              </w:rPr>
            </w:pPr>
            <w:r w:rsidRPr="00A52546">
              <w:rPr>
                <w:rFonts w:ascii="Arial" w:hAnsi="Arial" w:cs="Arial"/>
                <w:color w:val="000000"/>
                <w:sz w:val="22"/>
                <w:szCs w:val="22"/>
                <w:lang w:val="en-GB" w:eastAsia="en-GB"/>
              </w:rPr>
              <w:t>17,765</w:t>
            </w:r>
          </w:p>
        </w:tc>
      </w:tr>
      <w:tr w:rsidRPr="00A52546" w:rsidR="006812B9" w:rsidTr="006812B9" w14:paraId="40CC5544" w14:textId="77777777">
        <w:trPr>
          <w:trHeight w:val="324"/>
        </w:trPr>
        <w:tc>
          <w:tcPr>
            <w:tcW w:w="2804" w:type="dxa"/>
            <w:tcBorders>
              <w:top w:val="nil"/>
              <w:left w:val="single" w:color="auto" w:sz="4" w:space="0"/>
              <w:bottom w:val="single" w:color="auto" w:sz="4" w:space="0"/>
              <w:right w:val="single" w:color="auto" w:sz="4" w:space="0"/>
            </w:tcBorders>
            <w:shd w:val="clear" w:color="auto" w:fill="auto"/>
            <w:noWrap/>
            <w:vAlign w:val="bottom"/>
            <w:hideMark/>
          </w:tcPr>
          <w:p w:rsidRPr="00A52546" w:rsidR="00A52546" w:rsidP="00A52546" w:rsidRDefault="00A52546" w14:paraId="3891C43D" w14:textId="77777777">
            <w:pPr>
              <w:spacing w:after="0"/>
              <w:jc w:val="left"/>
              <w:rPr>
                <w:rFonts w:ascii="Arial" w:hAnsi="Arial" w:cs="Arial"/>
                <w:color w:val="000000"/>
                <w:sz w:val="22"/>
                <w:szCs w:val="22"/>
                <w:lang w:val="en-GB" w:eastAsia="en-GB"/>
              </w:rPr>
            </w:pPr>
            <w:r w:rsidRPr="00A52546">
              <w:rPr>
                <w:rFonts w:ascii="Arial" w:hAnsi="Arial" w:cs="Arial"/>
                <w:color w:val="000000"/>
                <w:sz w:val="22"/>
                <w:szCs w:val="22"/>
                <w:lang w:val="en-GB" w:eastAsia="en-GB"/>
              </w:rPr>
              <w:t>Growth on Prior Year %</w:t>
            </w:r>
          </w:p>
        </w:tc>
        <w:tc>
          <w:tcPr>
            <w:tcW w:w="1090" w:type="dxa"/>
            <w:tcBorders>
              <w:top w:val="nil"/>
              <w:left w:val="nil"/>
              <w:bottom w:val="single" w:color="auto" w:sz="4" w:space="0"/>
              <w:right w:val="single" w:color="auto" w:sz="4" w:space="0"/>
            </w:tcBorders>
            <w:shd w:val="clear" w:color="auto" w:fill="auto"/>
            <w:noWrap/>
            <w:vAlign w:val="bottom"/>
            <w:hideMark/>
          </w:tcPr>
          <w:p w:rsidRPr="00A52546" w:rsidR="00A52546" w:rsidP="00A52546" w:rsidRDefault="00A52546" w14:paraId="4B221992" w14:textId="77777777">
            <w:pPr>
              <w:spacing w:after="0"/>
              <w:jc w:val="right"/>
              <w:rPr>
                <w:rFonts w:ascii="Arial" w:hAnsi="Arial" w:cs="Arial"/>
                <w:color w:val="000000"/>
                <w:sz w:val="22"/>
                <w:szCs w:val="22"/>
                <w:lang w:val="en-GB" w:eastAsia="en-GB"/>
              </w:rPr>
            </w:pPr>
            <w:r w:rsidRPr="00A52546">
              <w:rPr>
                <w:rFonts w:ascii="Arial" w:hAnsi="Arial" w:cs="Arial"/>
                <w:color w:val="000000"/>
                <w:sz w:val="22"/>
                <w:szCs w:val="22"/>
                <w:lang w:val="en-GB" w:eastAsia="en-GB"/>
              </w:rPr>
              <w:t>16%</w:t>
            </w:r>
          </w:p>
        </w:tc>
        <w:tc>
          <w:tcPr>
            <w:tcW w:w="977" w:type="dxa"/>
            <w:tcBorders>
              <w:top w:val="nil"/>
              <w:left w:val="nil"/>
              <w:bottom w:val="single" w:color="auto" w:sz="4" w:space="0"/>
              <w:right w:val="single" w:color="auto" w:sz="4" w:space="0"/>
            </w:tcBorders>
            <w:shd w:val="clear" w:color="auto" w:fill="auto"/>
            <w:noWrap/>
            <w:vAlign w:val="bottom"/>
            <w:hideMark/>
          </w:tcPr>
          <w:p w:rsidRPr="00A52546" w:rsidR="00A52546" w:rsidP="00A52546" w:rsidRDefault="00A52546" w14:paraId="763BE5D4" w14:textId="77777777">
            <w:pPr>
              <w:spacing w:after="0"/>
              <w:jc w:val="right"/>
              <w:rPr>
                <w:rFonts w:ascii="Arial" w:hAnsi="Arial" w:cs="Arial"/>
                <w:color w:val="000000"/>
                <w:sz w:val="22"/>
                <w:szCs w:val="22"/>
                <w:lang w:val="en-GB" w:eastAsia="en-GB"/>
              </w:rPr>
            </w:pPr>
            <w:r w:rsidRPr="00A52546">
              <w:rPr>
                <w:rFonts w:ascii="Arial" w:hAnsi="Arial" w:cs="Arial"/>
                <w:color w:val="000000"/>
                <w:sz w:val="22"/>
                <w:szCs w:val="22"/>
                <w:lang w:val="en-GB" w:eastAsia="en-GB"/>
              </w:rPr>
              <w:t>21%</w:t>
            </w:r>
          </w:p>
        </w:tc>
        <w:tc>
          <w:tcPr>
            <w:tcW w:w="1048" w:type="dxa"/>
            <w:tcBorders>
              <w:top w:val="nil"/>
              <w:left w:val="nil"/>
              <w:bottom w:val="single" w:color="auto" w:sz="4" w:space="0"/>
              <w:right w:val="single" w:color="auto" w:sz="4" w:space="0"/>
            </w:tcBorders>
            <w:shd w:val="clear" w:color="auto" w:fill="auto"/>
            <w:noWrap/>
            <w:vAlign w:val="bottom"/>
            <w:hideMark/>
          </w:tcPr>
          <w:p w:rsidRPr="00A52546" w:rsidR="00A52546" w:rsidP="00A52546" w:rsidRDefault="00A52546" w14:paraId="72ECF684" w14:textId="77777777">
            <w:pPr>
              <w:spacing w:after="0"/>
              <w:jc w:val="right"/>
              <w:rPr>
                <w:rFonts w:ascii="Arial" w:hAnsi="Arial" w:cs="Arial"/>
                <w:color w:val="000000"/>
                <w:sz w:val="22"/>
                <w:szCs w:val="22"/>
                <w:lang w:val="en-GB" w:eastAsia="en-GB"/>
              </w:rPr>
            </w:pPr>
            <w:r w:rsidRPr="00A52546">
              <w:rPr>
                <w:rFonts w:ascii="Arial" w:hAnsi="Arial" w:cs="Arial"/>
                <w:color w:val="000000"/>
                <w:sz w:val="22"/>
                <w:szCs w:val="22"/>
                <w:lang w:val="en-GB" w:eastAsia="en-GB"/>
              </w:rPr>
              <w:t>14%</w:t>
            </w:r>
          </w:p>
        </w:tc>
        <w:tc>
          <w:tcPr>
            <w:tcW w:w="1090" w:type="dxa"/>
            <w:tcBorders>
              <w:top w:val="nil"/>
              <w:left w:val="nil"/>
              <w:bottom w:val="single" w:color="auto" w:sz="4" w:space="0"/>
              <w:right w:val="single" w:color="auto" w:sz="4" w:space="0"/>
            </w:tcBorders>
            <w:shd w:val="clear" w:color="auto" w:fill="auto"/>
            <w:noWrap/>
            <w:vAlign w:val="bottom"/>
            <w:hideMark/>
          </w:tcPr>
          <w:p w:rsidRPr="00A52546" w:rsidR="00A52546" w:rsidP="00A52546" w:rsidRDefault="00A52546" w14:paraId="07BA1394" w14:textId="77777777">
            <w:pPr>
              <w:spacing w:after="0"/>
              <w:jc w:val="right"/>
              <w:rPr>
                <w:rFonts w:ascii="Arial" w:hAnsi="Arial" w:cs="Arial"/>
                <w:color w:val="000000"/>
                <w:sz w:val="22"/>
                <w:szCs w:val="22"/>
                <w:lang w:val="en-GB" w:eastAsia="en-GB"/>
              </w:rPr>
            </w:pPr>
            <w:r w:rsidRPr="00A52546">
              <w:rPr>
                <w:rFonts w:ascii="Arial" w:hAnsi="Arial" w:cs="Arial"/>
                <w:color w:val="000000"/>
                <w:sz w:val="22"/>
                <w:szCs w:val="22"/>
                <w:lang w:val="en-GB" w:eastAsia="en-GB"/>
              </w:rPr>
              <w:t>10%</w:t>
            </w:r>
          </w:p>
        </w:tc>
        <w:tc>
          <w:tcPr>
            <w:tcW w:w="977" w:type="dxa"/>
            <w:tcBorders>
              <w:top w:val="nil"/>
              <w:left w:val="nil"/>
              <w:bottom w:val="single" w:color="auto" w:sz="4" w:space="0"/>
              <w:right w:val="single" w:color="auto" w:sz="4" w:space="0"/>
            </w:tcBorders>
            <w:shd w:val="clear" w:color="auto" w:fill="auto"/>
            <w:noWrap/>
            <w:vAlign w:val="bottom"/>
            <w:hideMark/>
          </w:tcPr>
          <w:p w:rsidRPr="00A52546" w:rsidR="00A52546" w:rsidP="00A52546" w:rsidRDefault="00A52546" w14:paraId="088DBE5B" w14:textId="77777777">
            <w:pPr>
              <w:spacing w:after="0"/>
              <w:jc w:val="right"/>
              <w:rPr>
                <w:rFonts w:ascii="Arial" w:hAnsi="Arial" w:cs="Arial"/>
                <w:color w:val="000000"/>
                <w:sz w:val="22"/>
                <w:szCs w:val="22"/>
                <w:lang w:val="en-GB" w:eastAsia="en-GB"/>
              </w:rPr>
            </w:pPr>
            <w:r w:rsidRPr="00A52546">
              <w:rPr>
                <w:rFonts w:ascii="Arial" w:hAnsi="Arial" w:cs="Arial"/>
                <w:color w:val="000000"/>
                <w:sz w:val="22"/>
                <w:szCs w:val="22"/>
                <w:lang w:val="en-GB" w:eastAsia="en-GB"/>
              </w:rPr>
              <w:t>11%</w:t>
            </w:r>
          </w:p>
        </w:tc>
      </w:tr>
    </w:tbl>
    <w:p w:rsidRPr="006F5D43" w:rsidR="00B8008A" w:rsidP="00A52546" w:rsidRDefault="00CB4E59" w14:paraId="5393875B" w14:textId="19040E19">
      <w:pPr>
        <w:pStyle w:val="Heading2"/>
        <w:keepNext w:val="0"/>
        <w:numPr>
          <w:ilvl w:val="0"/>
          <w:numId w:val="0"/>
        </w:numPr>
        <w:ind w:left="426"/>
        <w:jc w:val="left"/>
        <w:rPr>
          <w:rStyle w:val="normaltextrun"/>
          <w:rFonts w:ascii="Arial" w:hAnsi="Arial" w:cs="Arial"/>
          <w:color w:val="FF0000"/>
        </w:rPr>
      </w:pPr>
      <w:r w:rsidRPr="006F5D43">
        <w:rPr>
          <w:rStyle w:val="normaltextrun"/>
          <w:rFonts w:ascii="Arial" w:hAnsi="Arial" w:cs="Arial"/>
          <w:color w:val="FF0000"/>
        </w:rPr>
        <w:t xml:space="preserve"> </w:t>
      </w:r>
    </w:p>
    <w:p w:rsidRPr="00EF35A8" w:rsidR="00A66E27" w:rsidRDefault="00E93EF5" w14:paraId="4EEF633B" w14:textId="624A5FF8">
      <w:pPr>
        <w:pStyle w:val="Heading2"/>
        <w:keepNext w:val="0"/>
        <w:tabs>
          <w:tab w:val="clear" w:pos="576"/>
          <w:tab w:val="num" w:pos="426"/>
        </w:tabs>
        <w:ind w:left="426" w:hanging="568"/>
        <w:jc w:val="left"/>
      </w:pPr>
      <w:r w:rsidRPr="00EF35A8">
        <w:rPr>
          <w:rStyle w:val="normaltextrun"/>
          <w:rFonts w:ascii="Arial" w:hAnsi="Arial" w:cs="Arial"/>
        </w:rPr>
        <w:t xml:space="preserve">There continues to be </w:t>
      </w:r>
      <w:proofErr w:type="gramStart"/>
      <w:r w:rsidRPr="00EF35A8">
        <w:rPr>
          <w:rStyle w:val="normaltextrun"/>
          <w:rFonts w:ascii="Arial" w:hAnsi="Arial" w:cs="Arial"/>
        </w:rPr>
        <w:t>a significant</w:t>
      </w:r>
      <w:proofErr w:type="gramEnd"/>
      <w:r w:rsidRPr="00EF35A8">
        <w:rPr>
          <w:rStyle w:val="normaltextrun"/>
          <w:rFonts w:ascii="Arial" w:hAnsi="Arial" w:cs="Arial"/>
        </w:rPr>
        <w:t xml:space="preserve"> </w:t>
      </w:r>
      <w:r w:rsidRPr="00EF35A8" w:rsidR="00C00963">
        <w:rPr>
          <w:rStyle w:val="normaltextrun"/>
          <w:rFonts w:ascii="Arial" w:hAnsi="Arial" w:cs="Arial"/>
        </w:rPr>
        <w:t xml:space="preserve">and growing </w:t>
      </w:r>
      <w:r w:rsidRPr="00EF35A8">
        <w:rPr>
          <w:rStyle w:val="normaltextrun"/>
          <w:rFonts w:ascii="Arial" w:hAnsi="Arial" w:cs="Arial"/>
        </w:rPr>
        <w:t xml:space="preserve">pressure on the independent </w:t>
      </w:r>
      <w:r w:rsidRPr="00EF35A8" w:rsidR="00FD7D3C">
        <w:rPr>
          <w:rStyle w:val="normaltextrun"/>
          <w:rFonts w:ascii="Arial" w:hAnsi="Arial" w:cs="Arial"/>
        </w:rPr>
        <w:t>provisions</w:t>
      </w:r>
      <w:r w:rsidRPr="00EF35A8" w:rsidR="007C5782">
        <w:rPr>
          <w:rStyle w:val="normaltextrun"/>
          <w:rFonts w:ascii="Arial" w:hAnsi="Arial" w:cs="Arial"/>
        </w:rPr>
        <w:t xml:space="preserve"> of £</w:t>
      </w:r>
      <w:r w:rsidRPr="00EF35A8" w:rsidR="00EF35A8">
        <w:rPr>
          <w:rStyle w:val="normaltextrun"/>
          <w:rFonts w:ascii="Arial" w:hAnsi="Arial" w:cs="Arial"/>
        </w:rPr>
        <w:t>52.9</w:t>
      </w:r>
      <w:r w:rsidRPr="00EF35A8" w:rsidR="007C5782">
        <w:rPr>
          <w:rStyle w:val="normaltextrun"/>
          <w:rFonts w:ascii="Arial" w:hAnsi="Arial" w:cs="Arial"/>
        </w:rPr>
        <w:t>m</w:t>
      </w:r>
      <w:r w:rsidRPr="00EF35A8" w:rsidR="00A23356">
        <w:rPr>
          <w:rStyle w:val="normaltextrun"/>
          <w:rFonts w:ascii="Arial" w:hAnsi="Arial" w:cs="Arial"/>
        </w:rPr>
        <w:t>. This is compared to a pressure of £</w:t>
      </w:r>
      <w:r w:rsidRPr="00EF35A8" w:rsidR="00EF35A8">
        <w:rPr>
          <w:rStyle w:val="normaltextrun"/>
          <w:rFonts w:ascii="Arial" w:hAnsi="Arial" w:cs="Arial"/>
        </w:rPr>
        <w:t>30.5</w:t>
      </w:r>
      <w:r w:rsidRPr="00EF35A8" w:rsidR="00A82B6D">
        <w:rPr>
          <w:rStyle w:val="normaltextrun"/>
          <w:rFonts w:ascii="Arial" w:hAnsi="Arial" w:cs="Arial"/>
        </w:rPr>
        <w:t xml:space="preserve">m in the previous financial year. </w:t>
      </w:r>
      <w:r w:rsidRPr="00EF35A8" w:rsidR="00E31C27">
        <w:rPr>
          <w:rStyle w:val="normaltextrun"/>
          <w:rFonts w:ascii="Arial" w:hAnsi="Arial" w:cs="Arial"/>
        </w:rPr>
        <w:t xml:space="preserve">The following table shows how </w:t>
      </w:r>
      <w:r w:rsidRPr="00F45439" w:rsidR="00BF334F">
        <w:rPr>
          <w:rFonts w:ascii="Arial" w:hAnsi="Arial" w:cs="Arial"/>
        </w:rPr>
        <w:t xml:space="preserve">changes to </w:t>
      </w:r>
      <w:proofErr w:type="gramStart"/>
      <w:r w:rsidR="00BF334F">
        <w:rPr>
          <w:rFonts w:ascii="Arial" w:hAnsi="Arial" w:cs="Arial"/>
          <w:szCs w:val="24"/>
          <w:lang w:eastAsia="en-GB"/>
        </w:rPr>
        <w:t>average</w:t>
      </w:r>
      <w:proofErr w:type="gramEnd"/>
      <w:r w:rsidR="00E31C27">
        <w:rPr>
          <w:rFonts w:ascii="Arial" w:hAnsi="Arial" w:cs="Arial"/>
          <w:szCs w:val="24"/>
          <w:lang w:eastAsia="en-GB"/>
        </w:rPr>
        <w:t xml:space="preserve"> number of </w:t>
      </w:r>
      <w:r w:rsidRPr="00486A5D" w:rsidR="00BF334F">
        <w:rPr>
          <w:rFonts w:ascii="Arial" w:hAnsi="Arial" w:cs="Arial"/>
          <w:szCs w:val="24"/>
          <w:lang w:eastAsia="en-GB"/>
        </w:rPr>
        <w:t xml:space="preserve">full-time equivalent </w:t>
      </w:r>
      <w:r w:rsidRPr="00486A5D" w:rsidR="00E31C27">
        <w:rPr>
          <w:rFonts w:ascii="Arial" w:hAnsi="Arial" w:cs="Arial"/>
          <w:szCs w:val="24"/>
          <w:lang w:eastAsia="en-GB"/>
        </w:rPr>
        <w:t>placements</w:t>
      </w:r>
      <w:r w:rsidR="00E31C27">
        <w:rPr>
          <w:rFonts w:ascii="Arial" w:hAnsi="Arial" w:cs="Arial"/>
          <w:szCs w:val="24"/>
          <w:lang w:eastAsia="en-GB"/>
        </w:rPr>
        <w:t xml:space="preserve"> </w:t>
      </w:r>
      <w:r w:rsidR="00BF334F">
        <w:rPr>
          <w:rFonts w:ascii="Arial" w:hAnsi="Arial" w:cs="Arial"/>
          <w:szCs w:val="24"/>
          <w:lang w:eastAsia="en-GB"/>
        </w:rPr>
        <w:t>(</w:t>
      </w:r>
      <w:r w:rsidRPr="00F45439" w:rsidR="00BF334F">
        <w:rPr>
          <w:rFonts w:ascii="Arial" w:hAnsi="Arial" w:cs="Arial"/>
        </w:rPr>
        <w:t>FTE</w:t>
      </w:r>
      <w:r w:rsidR="00BF334F">
        <w:rPr>
          <w:rFonts w:ascii="Arial" w:hAnsi="Arial" w:cs="Arial"/>
        </w:rPr>
        <w:t>)</w:t>
      </w:r>
      <w:r w:rsidRPr="00F45439" w:rsidR="00BF334F">
        <w:rPr>
          <w:rFonts w:ascii="Arial" w:hAnsi="Arial" w:cs="Arial"/>
        </w:rPr>
        <w:t xml:space="preserve"> </w:t>
      </w:r>
      <w:r w:rsidRPr="00EF35A8" w:rsidR="00E31C27">
        <w:rPr>
          <w:rStyle w:val="normaltextrun"/>
          <w:rFonts w:ascii="Arial" w:hAnsi="Arial" w:cs="Arial"/>
        </w:rPr>
        <w:t xml:space="preserve">and cost </w:t>
      </w:r>
      <w:r w:rsidR="00541746">
        <w:rPr>
          <w:rStyle w:val="normaltextrun"/>
          <w:rFonts w:ascii="Arial" w:hAnsi="Arial" w:cs="Arial"/>
        </w:rPr>
        <w:t>per</w:t>
      </w:r>
      <w:r w:rsidRPr="00EF35A8" w:rsidR="00E31C27">
        <w:rPr>
          <w:rStyle w:val="normaltextrun"/>
          <w:rFonts w:ascii="Arial" w:hAnsi="Arial" w:cs="Arial"/>
        </w:rPr>
        <w:t xml:space="preserve"> </w:t>
      </w:r>
      <w:r w:rsidR="00CB1186">
        <w:rPr>
          <w:rStyle w:val="normaltextrun"/>
          <w:rFonts w:ascii="Arial" w:hAnsi="Arial" w:cs="Arial"/>
        </w:rPr>
        <w:t xml:space="preserve">independent </w:t>
      </w:r>
      <w:r w:rsidRPr="00EF35A8" w:rsidR="00E31C27">
        <w:rPr>
          <w:rStyle w:val="normaltextrun"/>
          <w:rFonts w:ascii="Arial" w:hAnsi="Arial" w:cs="Arial"/>
        </w:rPr>
        <w:t xml:space="preserve">placement </w:t>
      </w:r>
      <w:proofErr w:type="gramStart"/>
      <w:r w:rsidRPr="00EF35A8" w:rsidR="00E31C27">
        <w:rPr>
          <w:rStyle w:val="normaltextrun"/>
          <w:rFonts w:ascii="Arial" w:hAnsi="Arial" w:cs="Arial"/>
        </w:rPr>
        <w:t>has</w:t>
      </w:r>
      <w:proofErr w:type="gramEnd"/>
      <w:r w:rsidRPr="00EF35A8" w:rsidR="00E31C27">
        <w:rPr>
          <w:rStyle w:val="normaltextrun"/>
          <w:rFonts w:ascii="Arial" w:hAnsi="Arial" w:cs="Arial"/>
        </w:rPr>
        <w:t xml:space="preserve"> changed since </w:t>
      </w:r>
      <w:proofErr w:type="gramStart"/>
      <w:r w:rsidRPr="00EF35A8" w:rsidR="00E31C27">
        <w:rPr>
          <w:rStyle w:val="normaltextrun"/>
          <w:rFonts w:ascii="Arial" w:hAnsi="Arial" w:cs="Arial"/>
        </w:rPr>
        <w:t>financial</w:t>
      </w:r>
      <w:proofErr w:type="gramEnd"/>
      <w:r w:rsidRPr="00EF35A8" w:rsidR="00E31C27">
        <w:rPr>
          <w:rStyle w:val="normaltextrun"/>
          <w:rFonts w:ascii="Arial" w:hAnsi="Arial" w:cs="Arial"/>
        </w:rPr>
        <w:t xml:space="preserve"> year 20</w:t>
      </w:r>
      <w:r w:rsidRPr="00EF35A8" w:rsidR="00483627">
        <w:rPr>
          <w:rStyle w:val="normaltextrun"/>
          <w:rFonts w:ascii="Arial" w:hAnsi="Arial" w:cs="Arial"/>
        </w:rPr>
        <w:t>2</w:t>
      </w:r>
      <w:r w:rsidRPr="00EF35A8" w:rsidR="00EF35A8">
        <w:rPr>
          <w:rStyle w:val="normaltextrun"/>
          <w:rFonts w:ascii="Arial" w:hAnsi="Arial" w:cs="Arial"/>
        </w:rPr>
        <w:t>3</w:t>
      </w:r>
      <w:r w:rsidRPr="00EF35A8" w:rsidR="00380619">
        <w:rPr>
          <w:rStyle w:val="normaltextrun"/>
          <w:rFonts w:ascii="Arial" w:hAnsi="Arial" w:cs="Arial"/>
        </w:rPr>
        <w:t>/2</w:t>
      </w:r>
      <w:r w:rsidRPr="00EF35A8" w:rsidR="00EF35A8">
        <w:rPr>
          <w:rStyle w:val="normaltextrun"/>
          <w:rFonts w:ascii="Arial" w:hAnsi="Arial" w:cs="Arial"/>
        </w:rPr>
        <w:t>4</w:t>
      </w:r>
      <w:r w:rsidRPr="00EF35A8" w:rsidR="00E31C27">
        <w:rPr>
          <w:rStyle w:val="normaltextrun"/>
          <w:rFonts w:ascii="Arial" w:hAnsi="Arial" w:cs="Arial"/>
        </w:rPr>
        <w:t>:</w:t>
      </w:r>
    </w:p>
    <w:tbl>
      <w:tblPr>
        <w:tblW w:w="8060" w:type="dxa"/>
        <w:tblLook w:val="04A0" w:firstRow="1" w:lastRow="0" w:firstColumn="1" w:lastColumn="0" w:noHBand="0" w:noVBand="1"/>
      </w:tblPr>
      <w:tblGrid>
        <w:gridCol w:w="2117"/>
        <w:gridCol w:w="1417"/>
        <w:gridCol w:w="1418"/>
        <w:gridCol w:w="1417"/>
        <w:gridCol w:w="1691"/>
      </w:tblGrid>
      <w:tr w:rsidRPr="006F5D43" w:rsidR="006F5D43" w:rsidTr="00E90B11" w14:paraId="56BDDC3B" w14:textId="77777777">
        <w:trPr>
          <w:trHeight w:val="1171"/>
        </w:trPr>
        <w:tc>
          <w:tcPr>
            <w:tcW w:w="211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86A5D" w:rsidR="00864FC9" w:rsidP="00864FC9" w:rsidRDefault="00864FC9" w14:paraId="7B2B17A5" w14:textId="77777777">
            <w:pPr>
              <w:spacing w:after="0"/>
              <w:jc w:val="left"/>
              <w:rPr>
                <w:rFonts w:ascii="Arial" w:hAnsi="Arial" w:cs="Arial"/>
                <w:szCs w:val="24"/>
                <w:lang w:val="en-GB" w:eastAsia="en-GB"/>
              </w:rPr>
            </w:pPr>
            <w:r w:rsidRPr="00486A5D">
              <w:rPr>
                <w:rFonts w:ascii="Arial" w:hAnsi="Arial" w:cs="Arial"/>
                <w:szCs w:val="24"/>
                <w:lang w:eastAsia="en-GB"/>
              </w:rPr>
              <w:t> </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86A5D" w:rsidR="00864FC9" w:rsidP="00864FC9" w:rsidRDefault="00C819C9" w14:paraId="3F371179" w14:textId="5F3FA1F9">
            <w:pPr>
              <w:spacing w:after="0"/>
              <w:jc w:val="left"/>
              <w:rPr>
                <w:rFonts w:ascii="Arial" w:hAnsi="Arial" w:cs="Arial"/>
                <w:szCs w:val="24"/>
                <w:lang w:val="en-GB" w:eastAsia="en-GB"/>
              </w:rPr>
            </w:pPr>
            <w:r>
              <w:rPr>
                <w:rFonts w:ascii="Arial" w:hAnsi="Arial" w:cs="Arial"/>
                <w:szCs w:val="24"/>
                <w:lang w:eastAsia="en-GB"/>
              </w:rPr>
              <w:t>FTE</w:t>
            </w:r>
            <w:r w:rsidR="007D42CE">
              <w:rPr>
                <w:rFonts w:ascii="Arial" w:hAnsi="Arial" w:cs="Arial"/>
                <w:szCs w:val="24"/>
                <w:lang w:eastAsia="en-GB"/>
              </w:rPr>
              <w:t xml:space="preserve"> 2024/25</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486A5D" w:rsidR="00864FC9" w:rsidP="00864FC9" w:rsidRDefault="00864FC9" w14:paraId="3EA6249A" w14:textId="59084A4C">
            <w:pPr>
              <w:spacing w:after="0"/>
              <w:jc w:val="left"/>
              <w:rPr>
                <w:rFonts w:ascii="Arial" w:hAnsi="Arial" w:cs="Arial"/>
                <w:szCs w:val="24"/>
                <w:lang w:val="en-GB" w:eastAsia="en-GB"/>
              </w:rPr>
            </w:pPr>
            <w:r w:rsidRPr="00486A5D">
              <w:rPr>
                <w:rFonts w:ascii="Arial" w:hAnsi="Arial" w:cs="Arial"/>
                <w:szCs w:val="24"/>
                <w:lang w:eastAsia="en-GB"/>
              </w:rPr>
              <w:t>% change from 202</w:t>
            </w:r>
            <w:r w:rsidRPr="00486A5D" w:rsidR="00486A5D">
              <w:rPr>
                <w:rFonts w:ascii="Arial" w:hAnsi="Arial" w:cs="Arial"/>
                <w:szCs w:val="24"/>
                <w:lang w:eastAsia="en-GB"/>
              </w:rPr>
              <w:t>3</w:t>
            </w:r>
            <w:r w:rsidRPr="00486A5D" w:rsidR="002F19AE">
              <w:rPr>
                <w:rFonts w:ascii="Arial" w:hAnsi="Arial" w:cs="Arial"/>
                <w:szCs w:val="24"/>
                <w:lang w:eastAsia="en-GB"/>
              </w:rPr>
              <w:t>/2</w:t>
            </w:r>
            <w:r w:rsidRPr="00486A5D" w:rsidR="00486A5D">
              <w:rPr>
                <w:rFonts w:ascii="Arial" w:hAnsi="Arial" w:cs="Arial"/>
                <w:szCs w:val="24"/>
                <w:lang w:eastAsia="en-GB"/>
              </w:rPr>
              <w:t>4</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86A5D" w:rsidR="00864FC9" w:rsidP="00864FC9" w:rsidRDefault="00864FC9" w14:paraId="06D6F307" w14:textId="29A603BC">
            <w:pPr>
              <w:spacing w:after="0"/>
              <w:jc w:val="left"/>
              <w:rPr>
                <w:rFonts w:ascii="Arial" w:hAnsi="Arial" w:cs="Arial"/>
                <w:szCs w:val="24"/>
                <w:lang w:val="en-GB" w:eastAsia="en-GB"/>
              </w:rPr>
            </w:pPr>
            <w:r w:rsidRPr="00486A5D">
              <w:rPr>
                <w:rFonts w:ascii="Arial" w:hAnsi="Arial" w:cs="Arial"/>
                <w:szCs w:val="24"/>
                <w:lang w:eastAsia="en-GB"/>
              </w:rPr>
              <w:t xml:space="preserve">Average cost </w:t>
            </w:r>
            <w:r w:rsidR="007D42CE">
              <w:rPr>
                <w:rFonts w:ascii="Arial" w:hAnsi="Arial" w:cs="Arial"/>
                <w:szCs w:val="24"/>
                <w:lang w:eastAsia="en-GB"/>
              </w:rPr>
              <w:t>2024/25</w:t>
            </w:r>
          </w:p>
        </w:tc>
        <w:tc>
          <w:tcPr>
            <w:tcW w:w="1691" w:type="dxa"/>
            <w:tcBorders>
              <w:top w:val="single" w:color="auto" w:sz="8" w:space="0"/>
              <w:left w:val="nil"/>
              <w:bottom w:val="single" w:color="auto" w:sz="8" w:space="0"/>
              <w:right w:val="single" w:color="auto" w:sz="8" w:space="0"/>
            </w:tcBorders>
            <w:shd w:val="clear" w:color="auto" w:fill="auto"/>
            <w:vAlign w:val="center"/>
            <w:hideMark/>
          </w:tcPr>
          <w:p w:rsidRPr="00486A5D" w:rsidR="00864FC9" w:rsidP="00864FC9" w:rsidRDefault="00864FC9" w14:paraId="7F36072A" w14:textId="7773CECC">
            <w:pPr>
              <w:spacing w:after="0"/>
              <w:jc w:val="left"/>
              <w:rPr>
                <w:rFonts w:ascii="Arial" w:hAnsi="Arial" w:cs="Arial"/>
                <w:szCs w:val="24"/>
                <w:lang w:val="en-GB" w:eastAsia="en-GB"/>
              </w:rPr>
            </w:pPr>
            <w:r w:rsidRPr="00486A5D">
              <w:rPr>
                <w:rFonts w:ascii="Arial" w:hAnsi="Arial" w:cs="Arial"/>
                <w:szCs w:val="24"/>
                <w:lang w:eastAsia="en-GB"/>
              </w:rPr>
              <w:t>% change from 202</w:t>
            </w:r>
            <w:r w:rsidRPr="00486A5D" w:rsidR="00486A5D">
              <w:rPr>
                <w:rFonts w:ascii="Arial" w:hAnsi="Arial" w:cs="Arial"/>
                <w:szCs w:val="24"/>
                <w:lang w:eastAsia="en-GB"/>
              </w:rPr>
              <w:t>3</w:t>
            </w:r>
            <w:r w:rsidRPr="00486A5D" w:rsidR="004C2A3D">
              <w:rPr>
                <w:rFonts w:ascii="Arial" w:hAnsi="Arial" w:cs="Arial"/>
                <w:szCs w:val="24"/>
                <w:lang w:eastAsia="en-GB"/>
              </w:rPr>
              <w:t>/2</w:t>
            </w:r>
            <w:r w:rsidRPr="00486A5D" w:rsidR="00486A5D">
              <w:rPr>
                <w:rFonts w:ascii="Arial" w:hAnsi="Arial" w:cs="Arial"/>
                <w:szCs w:val="24"/>
                <w:lang w:eastAsia="en-GB"/>
              </w:rPr>
              <w:t>4</w:t>
            </w:r>
          </w:p>
        </w:tc>
      </w:tr>
      <w:tr w:rsidRPr="006F5D43" w:rsidR="006F5D43" w:rsidTr="00E90B11" w14:paraId="5B28A5A9" w14:textId="77777777">
        <w:trPr>
          <w:trHeight w:val="303"/>
        </w:trPr>
        <w:tc>
          <w:tcPr>
            <w:tcW w:w="2117" w:type="dxa"/>
            <w:tcBorders>
              <w:top w:val="nil"/>
              <w:left w:val="single" w:color="auto" w:sz="8" w:space="0"/>
              <w:bottom w:val="single" w:color="auto" w:sz="8" w:space="0"/>
              <w:right w:val="single" w:color="auto" w:sz="8" w:space="0"/>
            </w:tcBorders>
            <w:shd w:val="clear" w:color="auto" w:fill="auto"/>
            <w:vAlign w:val="center"/>
            <w:hideMark/>
          </w:tcPr>
          <w:p w:rsidRPr="00486A5D" w:rsidR="00864FC9" w:rsidP="00864FC9" w:rsidRDefault="00864FC9" w14:paraId="4CB69495" w14:textId="47A75D90">
            <w:pPr>
              <w:spacing w:after="0"/>
              <w:jc w:val="left"/>
              <w:rPr>
                <w:rFonts w:ascii="Arial" w:hAnsi="Arial" w:cs="Arial"/>
                <w:szCs w:val="24"/>
                <w:lang w:val="en-GB" w:eastAsia="en-GB"/>
              </w:rPr>
            </w:pPr>
            <w:r w:rsidRPr="00486A5D">
              <w:rPr>
                <w:rFonts w:ascii="Arial" w:hAnsi="Arial" w:cs="Arial"/>
                <w:szCs w:val="24"/>
                <w:lang w:eastAsia="en-GB"/>
              </w:rPr>
              <w:t>INMSS</w:t>
            </w:r>
          </w:p>
        </w:tc>
        <w:tc>
          <w:tcPr>
            <w:tcW w:w="1417" w:type="dxa"/>
            <w:tcBorders>
              <w:top w:val="nil"/>
              <w:left w:val="nil"/>
              <w:bottom w:val="single" w:color="auto" w:sz="8" w:space="0"/>
              <w:right w:val="single" w:color="auto" w:sz="8" w:space="0"/>
            </w:tcBorders>
            <w:shd w:val="clear" w:color="auto" w:fill="auto"/>
            <w:vAlign w:val="center"/>
            <w:hideMark/>
          </w:tcPr>
          <w:p w:rsidRPr="00486A5D" w:rsidR="00864FC9" w:rsidP="007F71BC" w:rsidRDefault="00582443" w14:paraId="136EE71B" w14:textId="1153B278">
            <w:pPr>
              <w:spacing w:after="0"/>
              <w:jc w:val="right"/>
              <w:rPr>
                <w:rFonts w:ascii="Arial" w:hAnsi="Arial" w:cs="Arial"/>
                <w:szCs w:val="24"/>
                <w:lang w:val="en-GB" w:eastAsia="en-GB"/>
              </w:rPr>
            </w:pPr>
            <w:r w:rsidRPr="00486A5D">
              <w:rPr>
                <w:rFonts w:ascii="Arial" w:hAnsi="Arial" w:cs="Arial"/>
                <w:szCs w:val="24"/>
                <w:lang w:val="en-GB" w:eastAsia="en-GB"/>
              </w:rPr>
              <w:t>1,</w:t>
            </w:r>
            <w:r w:rsidR="001A6052">
              <w:rPr>
                <w:rFonts w:ascii="Arial" w:hAnsi="Arial" w:cs="Arial"/>
                <w:szCs w:val="24"/>
                <w:lang w:val="en-GB" w:eastAsia="en-GB"/>
              </w:rPr>
              <w:t>207</w:t>
            </w:r>
          </w:p>
        </w:tc>
        <w:tc>
          <w:tcPr>
            <w:tcW w:w="1418" w:type="dxa"/>
            <w:tcBorders>
              <w:top w:val="nil"/>
              <w:left w:val="nil"/>
              <w:bottom w:val="single" w:color="auto" w:sz="8" w:space="0"/>
              <w:right w:val="single" w:color="auto" w:sz="8" w:space="0"/>
            </w:tcBorders>
            <w:shd w:val="clear" w:color="auto" w:fill="auto"/>
            <w:vAlign w:val="center"/>
            <w:hideMark/>
          </w:tcPr>
          <w:p w:rsidRPr="00486A5D" w:rsidR="00864FC9" w:rsidP="007F71BC" w:rsidRDefault="00ED4762" w14:paraId="20A4BB85" w14:textId="4494DBDF">
            <w:pPr>
              <w:spacing w:after="0"/>
              <w:jc w:val="right"/>
              <w:rPr>
                <w:rFonts w:ascii="Arial" w:hAnsi="Arial" w:cs="Arial"/>
                <w:szCs w:val="24"/>
                <w:lang w:val="en-GB" w:eastAsia="en-GB"/>
              </w:rPr>
            </w:pPr>
            <w:r>
              <w:rPr>
                <w:rFonts w:ascii="Arial" w:hAnsi="Arial" w:cs="Arial"/>
                <w:szCs w:val="24"/>
                <w:lang w:val="en-GB" w:eastAsia="en-GB"/>
              </w:rPr>
              <w:t>32.96</w:t>
            </w:r>
            <w:r w:rsidRPr="00486A5D" w:rsidR="00864FC9">
              <w:rPr>
                <w:rFonts w:ascii="Arial" w:hAnsi="Arial" w:cs="Arial"/>
                <w:szCs w:val="24"/>
                <w:lang w:val="en-GB" w:eastAsia="en-GB"/>
              </w:rPr>
              <w:t>%</w:t>
            </w:r>
          </w:p>
        </w:tc>
        <w:tc>
          <w:tcPr>
            <w:tcW w:w="1417" w:type="dxa"/>
            <w:tcBorders>
              <w:top w:val="nil"/>
              <w:left w:val="nil"/>
              <w:bottom w:val="single" w:color="auto" w:sz="8" w:space="0"/>
              <w:right w:val="single" w:color="auto" w:sz="8" w:space="0"/>
            </w:tcBorders>
            <w:shd w:val="clear" w:color="auto" w:fill="auto"/>
            <w:vAlign w:val="center"/>
            <w:hideMark/>
          </w:tcPr>
          <w:p w:rsidRPr="00486A5D" w:rsidR="00864FC9" w:rsidP="007F71BC" w:rsidRDefault="00864FC9" w14:paraId="6ABAA672" w14:textId="3ABDAE78">
            <w:pPr>
              <w:spacing w:after="0"/>
              <w:jc w:val="right"/>
              <w:rPr>
                <w:rFonts w:ascii="Arial" w:hAnsi="Arial" w:cs="Arial"/>
                <w:szCs w:val="24"/>
                <w:lang w:val="en-GB" w:eastAsia="en-GB"/>
              </w:rPr>
            </w:pPr>
            <w:r w:rsidRPr="00486A5D">
              <w:rPr>
                <w:rFonts w:ascii="Arial" w:hAnsi="Arial" w:cs="Arial"/>
                <w:szCs w:val="24"/>
                <w:lang w:eastAsia="en-GB"/>
              </w:rPr>
              <w:t xml:space="preserve">     </w:t>
            </w:r>
            <w:r w:rsidRPr="00486A5D" w:rsidR="007F71BC">
              <w:rPr>
                <w:rFonts w:ascii="Arial" w:hAnsi="Arial" w:cs="Arial"/>
                <w:szCs w:val="24"/>
                <w:lang w:eastAsia="en-GB"/>
              </w:rPr>
              <w:t>£</w:t>
            </w:r>
            <w:r w:rsidR="00642668">
              <w:rPr>
                <w:rFonts w:ascii="Arial" w:hAnsi="Arial" w:cs="Arial"/>
                <w:szCs w:val="24"/>
                <w:lang w:eastAsia="en-GB"/>
              </w:rPr>
              <w:t>76,914</w:t>
            </w:r>
          </w:p>
        </w:tc>
        <w:tc>
          <w:tcPr>
            <w:tcW w:w="1691" w:type="dxa"/>
            <w:tcBorders>
              <w:top w:val="nil"/>
              <w:left w:val="nil"/>
              <w:bottom w:val="single" w:color="auto" w:sz="8" w:space="0"/>
              <w:right w:val="single" w:color="auto" w:sz="8" w:space="0"/>
            </w:tcBorders>
            <w:shd w:val="clear" w:color="auto" w:fill="auto"/>
            <w:vAlign w:val="center"/>
            <w:hideMark/>
          </w:tcPr>
          <w:p w:rsidRPr="00486A5D" w:rsidR="00864FC9" w:rsidP="007F71BC" w:rsidRDefault="00642668" w14:paraId="1590480C" w14:textId="7930F3C2">
            <w:pPr>
              <w:spacing w:after="0"/>
              <w:jc w:val="right"/>
              <w:rPr>
                <w:rFonts w:ascii="Arial" w:hAnsi="Arial" w:cs="Arial"/>
                <w:szCs w:val="24"/>
                <w:lang w:val="en-GB" w:eastAsia="en-GB"/>
              </w:rPr>
            </w:pPr>
            <w:r>
              <w:rPr>
                <w:rFonts w:ascii="Arial" w:hAnsi="Arial" w:cs="Arial"/>
                <w:szCs w:val="24"/>
                <w:lang w:val="en-GB" w:eastAsia="en-GB"/>
              </w:rPr>
              <w:t>2.86</w:t>
            </w:r>
            <w:r w:rsidRPr="00486A5D" w:rsidR="00864FC9">
              <w:rPr>
                <w:rFonts w:ascii="Arial" w:hAnsi="Arial" w:cs="Arial"/>
                <w:szCs w:val="24"/>
                <w:lang w:val="en-GB" w:eastAsia="en-GB"/>
              </w:rPr>
              <w:t>%</w:t>
            </w:r>
          </w:p>
        </w:tc>
      </w:tr>
      <w:tr w:rsidRPr="006F5D43" w:rsidR="006F5D43" w:rsidTr="00E90B11" w14:paraId="63FD87AA" w14:textId="77777777">
        <w:trPr>
          <w:trHeight w:val="592"/>
        </w:trPr>
        <w:tc>
          <w:tcPr>
            <w:tcW w:w="2117" w:type="dxa"/>
            <w:tcBorders>
              <w:top w:val="nil"/>
              <w:left w:val="single" w:color="auto" w:sz="8" w:space="0"/>
              <w:bottom w:val="single" w:color="auto" w:sz="8" w:space="0"/>
              <w:right w:val="single" w:color="auto" w:sz="8" w:space="0"/>
            </w:tcBorders>
            <w:shd w:val="clear" w:color="auto" w:fill="auto"/>
            <w:vAlign w:val="center"/>
            <w:hideMark/>
          </w:tcPr>
          <w:p w:rsidRPr="00486A5D" w:rsidR="00864FC9" w:rsidP="00864FC9" w:rsidRDefault="00EF35A8" w14:paraId="4168322A" w14:textId="672990FE">
            <w:pPr>
              <w:spacing w:after="0"/>
              <w:jc w:val="left"/>
              <w:rPr>
                <w:rFonts w:ascii="Arial" w:hAnsi="Arial" w:cs="Arial"/>
                <w:szCs w:val="24"/>
                <w:lang w:val="en-GB" w:eastAsia="en-GB"/>
              </w:rPr>
            </w:pPr>
            <w:r w:rsidRPr="00486A5D">
              <w:rPr>
                <w:rFonts w:ascii="Arial" w:hAnsi="Arial" w:cs="Arial"/>
                <w:szCs w:val="24"/>
                <w:lang w:eastAsia="en-GB"/>
              </w:rPr>
              <w:t>SPI</w:t>
            </w:r>
          </w:p>
        </w:tc>
        <w:tc>
          <w:tcPr>
            <w:tcW w:w="1417" w:type="dxa"/>
            <w:tcBorders>
              <w:top w:val="nil"/>
              <w:left w:val="nil"/>
              <w:bottom w:val="single" w:color="auto" w:sz="8" w:space="0"/>
              <w:right w:val="single" w:color="auto" w:sz="8" w:space="0"/>
            </w:tcBorders>
            <w:shd w:val="clear" w:color="auto" w:fill="auto"/>
            <w:vAlign w:val="center"/>
            <w:hideMark/>
          </w:tcPr>
          <w:p w:rsidRPr="00486A5D" w:rsidR="00864FC9" w:rsidP="007F71BC" w:rsidRDefault="001A6052" w14:paraId="55595311" w14:textId="56245D3A">
            <w:pPr>
              <w:spacing w:after="0"/>
              <w:jc w:val="right"/>
              <w:rPr>
                <w:rFonts w:ascii="Arial" w:hAnsi="Arial" w:cs="Arial"/>
                <w:szCs w:val="24"/>
                <w:lang w:val="en-GB" w:eastAsia="en-GB"/>
              </w:rPr>
            </w:pPr>
            <w:r>
              <w:rPr>
                <w:rFonts w:ascii="Arial" w:hAnsi="Arial" w:cs="Arial"/>
                <w:szCs w:val="24"/>
                <w:lang w:val="en-GB" w:eastAsia="en-GB"/>
              </w:rPr>
              <w:t>170</w:t>
            </w:r>
          </w:p>
        </w:tc>
        <w:tc>
          <w:tcPr>
            <w:tcW w:w="1418" w:type="dxa"/>
            <w:tcBorders>
              <w:top w:val="nil"/>
              <w:left w:val="nil"/>
              <w:bottom w:val="single" w:color="auto" w:sz="8" w:space="0"/>
              <w:right w:val="single" w:color="auto" w:sz="8" w:space="0"/>
            </w:tcBorders>
            <w:shd w:val="clear" w:color="auto" w:fill="auto"/>
            <w:vAlign w:val="center"/>
            <w:hideMark/>
          </w:tcPr>
          <w:p w:rsidRPr="00486A5D" w:rsidR="00864FC9" w:rsidP="007F71BC" w:rsidRDefault="00ED4762" w14:paraId="5ED49CE6" w14:textId="353E5C3B">
            <w:pPr>
              <w:spacing w:after="0"/>
              <w:jc w:val="right"/>
              <w:rPr>
                <w:rFonts w:ascii="Arial" w:hAnsi="Arial" w:cs="Arial"/>
                <w:szCs w:val="24"/>
                <w:lang w:val="en-GB" w:eastAsia="en-GB"/>
              </w:rPr>
            </w:pPr>
            <w:r>
              <w:rPr>
                <w:rFonts w:ascii="Arial" w:hAnsi="Arial" w:cs="Arial"/>
                <w:szCs w:val="24"/>
                <w:lang w:val="en-GB" w:eastAsia="en-GB"/>
              </w:rPr>
              <w:t>19.91</w:t>
            </w:r>
            <w:r w:rsidRPr="00486A5D" w:rsidR="00582443">
              <w:rPr>
                <w:rFonts w:ascii="Arial" w:hAnsi="Arial" w:cs="Arial"/>
                <w:szCs w:val="24"/>
                <w:lang w:val="en-GB" w:eastAsia="en-GB"/>
              </w:rPr>
              <w:t>%</w:t>
            </w:r>
          </w:p>
        </w:tc>
        <w:tc>
          <w:tcPr>
            <w:tcW w:w="1417" w:type="dxa"/>
            <w:tcBorders>
              <w:top w:val="nil"/>
              <w:left w:val="nil"/>
              <w:bottom w:val="single" w:color="auto" w:sz="8" w:space="0"/>
              <w:right w:val="single" w:color="auto" w:sz="8" w:space="0"/>
            </w:tcBorders>
            <w:shd w:val="clear" w:color="auto" w:fill="auto"/>
            <w:vAlign w:val="center"/>
            <w:hideMark/>
          </w:tcPr>
          <w:p w:rsidRPr="00486A5D" w:rsidR="00864FC9" w:rsidP="007F71BC" w:rsidRDefault="00864FC9" w14:paraId="1D9408B6" w14:textId="497DEA83">
            <w:pPr>
              <w:spacing w:after="0"/>
              <w:jc w:val="right"/>
              <w:rPr>
                <w:rFonts w:ascii="Arial" w:hAnsi="Arial" w:cs="Arial"/>
                <w:szCs w:val="24"/>
                <w:lang w:val="en-GB" w:eastAsia="en-GB"/>
              </w:rPr>
            </w:pPr>
            <w:r w:rsidRPr="00486A5D">
              <w:rPr>
                <w:rFonts w:ascii="Arial" w:hAnsi="Arial" w:cs="Arial"/>
                <w:szCs w:val="24"/>
                <w:lang w:eastAsia="en-GB"/>
              </w:rPr>
              <w:t>£</w:t>
            </w:r>
            <w:r w:rsidR="00642668">
              <w:rPr>
                <w:rFonts w:ascii="Arial" w:hAnsi="Arial" w:cs="Arial"/>
                <w:szCs w:val="24"/>
                <w:lang w:eastAsia="en-GB"/>
              </w:rPr>
              <w:t>45,330</w:t>
            </w:r>
            <w:r w:rsidRPr="00486A5D">
              <w:rPr>
                <w:rFonts w:ascii="Arial" w:hAnsi="Arial" w:cs="Arial"/>
                <w:szCs w:val="24"/>
                <w:lang w:eastAsia="en-GB"/>
              </w:rPr>
              <w:t xml:space="preserve"> </w:t>
            </w:r>
          </w:p>
        </w:tc>
        <w:tc>
          <w:tcPr>
            <w:tcW w:w="1691" w:type="dxa"/>
            <w:tcBorders>
              <w:top w:val="nil"/>
              <w:left w:val="nil"/>
              <w:bottom w:val="single" w:color="auto" w:sz="8" w:space="0"/>
              <w:right w:val="single" w:color="auto" w:sz="8" w:space="0"/>
            </w:tcBorders>
            <w:shd w:val="clear" w:color="auto" w:fill="auto"/>
            <w:vAlign w:val="center"/>
            <w:hideMark/>
          </w:tcPr>
          <w:p w:rsidRPr="00486A5D" w:rsidR="00864FC9" w:rsidP="007F71BC" w:rsidRDefault="00642668" w14:paraId="531EE9D6" w14:textId="18D2A976">
            <w:pPr>
              <w:spacing w:after="0"/>
              <w:jc w:val="right"/>
              <w:rPr>
                <w:rFonts w:ascii="Arial" w:hAnsi="Arial" w:cs="Arial"/>
                <w:szCs w:val="24"/>
                <w:lang w:val="en-GB" w:eastAsia="en-GB"/>
              </w:rPr>
            </w:pPr>
            <w:r>
              <w:rPr>
                <w:rFonts w:ascii="Arial" w:hAnsi="Arial" w:cs="Arial"/>
                <w:szCs w:val="24"/>
                <w:lang w:val="en-GB" w:eastAsia="en-GB"/>
              </w:rPr>
              <w:t>12.33</w:t>
            </w:r>
            <w:r w:rsidRPr="00486A5D" w:rsidR="00582443">
              <w:rPr>
                <w:rFonts w:ascii="Arial" w:hAnsi="Arial" w:cs="Arial"/>
                <w:szCs w:val="24"/>
                <w:lang w:val="en-GB" w:eastAsia="en-GB"/>
              </w:rPr>
              <w:t>%</w:t>
            </w:r>
          </w:p>
        </w:tc>
      </w:tr>
    </w:tbl>
    <w:p w:rsidRPr="006F5D43" w:rsidR="00B80DF3" w:rsidP="00B80DF3" w:rsidRDefault="00B80DF3" w14:paraId="7E9A38A9" w14:textId="77777777">
      <w:pPr>
        <w:pStyle w:val="Heading2"/>
        <w:keepNext w:val="0"/>
        <w:numPr>
          <w:ilvl w:val="0"/>
          <w:numId w:val="0"/>
        </w:numPr>
        <w:spacing w:after="0"/>
        <w:ind w:left="426"/>
        <w:jc w:val="left"/>
        <w:rPr>
          <w:rStyle w:val="normaltextrun"/>
          <w:rFonts w:ascii="Arial" w:hAnsi="Arial" w:cs="Arial"/>
          <w:color w:val="FF0000"/>
        </w:rPr>
      </w:pPr>
    </w:p>
    <w:p w:rsidRPr="00D01FFD" w:rsidR="005A1439" w:rsidP="005A1439" w:rsidRDefault="009E5690" w14:paraId="3177448A" w14:textId="6D1DEAFE">
      <w:pPr>
        <w:pStyle w:val="Heading2"/>
        <w:keepNext w:val="0"/>
        <w:tabs>
          <w:tab w:val="clear" w:pos="576"/>
          <w:tab w:val="num" w:pos="426"/>
        </w:tabs>
        <w:ind w:left="426" w:hanging="568"/>
        <w:jc w:val="left"/>
        <w:rPr>
          <w:rStyle w:val="normaltextrun"/>
          <w:rFonts w:ascii="Arial" w:hAnsi="Arial" w:cs="Arial"/>
        </w:rPr>
      </w:pPr>
      <w:r w:rsidRPr="00D01FFD">
        <w:rPr>
          <w:rStyle w:val="normaltextrun"/>
          <w:rFonts w:ascii="Arial" w:hAnsi="Arial" w:cs="Arial"/>
        </w:rPr>
        <w:t>The</w:t>
      </w:r>
      <w:r w:rsidRPr="00D01FFD" w:rsidR="00A007EC">
        <w:rPr>
          <w:rStyle w:val="normaltextrun"/>
          <w:rFonts w:ascii="Arial" w:hAnsi="Arial" w:cs="Arial"/>
        </w:rPr>
        <w:t xml:space="preserve">re has been </w:t>
      </w:r>
      <w:r w:rsidR="000D567A">
        <w:rPr>
          <w:rStyle w:val="normaltextrun"/>
          <w:rFonts w:ascii="Arial" w:hAnsi="Arial" w:cs="Arial"/>
        </w:rPr>
        <w:t xml:space="preserve">a </w:t>
      </w:r>
      <w:r w:rsidRPr="00D01FFD" w:rsidR="00A007EC">
        <w:rPr>
          <w:rStyle w:val="normaltextrun"/>
          <w:rFonts w:ascii="Arial" w:hAnsi="Arial" w:cs="Arial"/>
        </w:rPr>
        <w:t>continued increase in demand for independent places</w:t>
      </w:r>
      <w:r w:rsidRPr="00D01FFD" w:rsidR="008532E8">
        <w:rPr>
          <w:rStyle w:val="normaltextrun"/>
          <w:rFonts w:ascii="Arial" w:hAnsi="Arial" w:cs="Arial"/>
        </w:rPr>
        <w:t xml:space="preserve"> </w:t>
      </w:r>
      <w:r w:rsidRPr="00D01FFD" w:rsidR="00DF06CF">
        <w:rPr>
          <w:rStyle w:val="normaltextrun"/>
          <w:rFonts w:ascii="Arial" w:hAnsi="Arial" w:cs="Arial"/>
        </w:rPr>
        <w:t xml:space="preserve">as seen in previous years </w:t>
      </w:r>
      <w:r w:rsidRPr="00D01FFD" w:rsidR="00DC239F">
        <w:rPr>
          <w:rStyle w:val="normaltextrun"/>
          <w:rFonts w:ascii="Arial" w:hAnsi="Arial" w:cs="Arial"/>
        </w:rPr>
        <w:t>again</w:t>
      </w:r>
      <w:r w:rsidRPr="00D01FFD" w:rsidR="00120C65">
        <w:rPr>
          <w:rStyle w:val="normaltextrun"/>
          <w:rFonts w:ascii="Arial" w:hAnsi="Arial" w:cs="Arial"/>
        </w:rPr>
        <w:t xml:space="preserve"> </w:t>
      </w:r>
      <w:r w:rsidRPr="00D01FFD" w:rsidR="003B59B7">
        <w:rPr>
          <w:rStyle w:val="normaltextrun"/>
          <w:rFonts w:ascii="Arial" w:hAnsi="Arial" w:cs="Arial"/>
        </w:rPr>
        <w:t xml:space="preserve">due to the significant </w:t>
      </w:r>
      <w:r w:rsidRPr="00D01FFD" w:rsidR="009F066D">
        <w:rPr>
          <w:rStyle w:val="normaltextrun"/>
          <w:rFonts w:ascii="Arial" w:hAnsi="Arial" w:cs="Arial"/>
        </w:rPr>
        <w:t xml:space="preserve">rise in </w:t>
      </w:r>
      <w:r w:rsidRPr="00D01FFD" w:rsidR="0024446E">
        <w:rPr>
          <w:rStyle w:val="normaltextrun"/>
          <w:rFonts w:ascii="Arial" w:hAnsi="Arial" w:cs="Arial"/>
        </w:rPr>
        <w:t>EHCPs and increasing complexity of need</w:t>
      </w:r>
      <w:r w:rsidR="00E10DCA">
        <w:rPr>
          <w:rStyle w:val="normaltextrun"/>
          <w:rFonts w:ascii="Arial" w:hAnsi="Arial" w:cs="Arial"/>
        </w:rPr>
        <w:t xml:space="preserve">. </w:t>
      </w:r>
      <w:r w:rsidR="00EA0ADC">
        <w:rPr>
          <w:rStyle w:val="normaltextrun"/>
          <w:rFonts w:ascii="Arial" w:hAnsi="Arial" w:cs="Arial"/>
        </w:rPr>
        <w:t xml:space="preserve">New places have been created in </w:t>
      </w:r>
      <w:proofErr w:type="gramStart"/>
      <w:r w:rsidR="00EA0ADC">
        <w:rPr>
          <w:rStyle w:val="normaltextrun"/>
          <w:rFonts w:ascii="Arial" w:hAnsi="Arial" w:cs="Arial"/>
        </w:rPr>
        <w:t>year</w:t>
      </w:r>
      <w:proofErr w:type="gramEnd"/>
      <w:r w:rsidR="00EA0ADC">
        <w:rPr>
          <w:rStyle w:val="normaltextrun"/>
          <w:rFonts w:ascii="Arial" w:hAnsi="Arial" w:cs="Arial"/>
        </w:rPr>
        <w:t xml:space="preserve"> however</w:t>
      </w:r>
      <w:r w:rsidRPr="00D01FFD" w:rsidR="0046354E">
        <w:rPr>
          <w:rStyle w:val="normaltextrun"/>
          <w:rFonts w:ascii="Arial" w:hAnsi="Arial" w:cs="Arial"/>
        </w:rPr>
        <w:t>,</w:t>
      </w:r>
      <w:r w:rsidRPr="00D01FFD" w:rsidR="0024446E">
        <w:rPr>
          <w:rStyle w:val="normaltextrun"/>
          <w:rFonts w:ascii="Arial" w:hAnsi="Arial" w:cs="Arial"/>
        </w:rPr>
        <w:t xml:space="preserve"> </w:t>
      </w:r>
      <w:r w:rsidRPr="00D01FFD" w:rsidR="00120C65">
        <w:rPr>
          <w:rStyle w:val="normaltextrun"/>
          <w:rFonts w:ascii="Arial" w:hAnsi="Arial" w:cs="Arial"/>
        </w:rPr>
        <w:t xml:space="preserve">it </w:t>
      </w:r>
      <w:proofErr w:type="gramStart"/>
      <w:r w:rsidRPr="00D01FFD" w:rsidR="00413C46">
        <w:rPr>
          <w:rStyle w:val="normaltextrun"/>
          <w:rFonts w:ascii="Arial" w:hAnsi="Arial" w:cs="Arial"/>
        </w:rPr>
        <w:t>ha</w:t>
      </w:r>
      <w:r w:rsidRPr="00D01FFD" w:rsidR="00120C65">
        <w:rPr>
          <w:rStyle w:val="normaltextrun"/>
          <w:rFonts w:ascii="Arial" w:hAnsi="Arial" w:cs="Arial"/>
        </w:rPr>
        <w:t>s</w:t>
      </w:r>
      <w:proofErr w:type="gramEnd"/>
      <w:r w:rsidRPr="00D01FFD" w:rsidR="00120C65">
        <w:rPr>
          <w:rStyle w:val="normaltextrun"/>
          <w:rFonts w:ascii="Arial" w:hAnsi="Arial" w:cs="Arial"/>
        </w:rPr>
        <w:t xml:space="preserve"> not possible to accommodate all pupils with an EHCP in a maintained school placement.</w:t>
      </w:r>
      <w:r w:rsidRPr="00D01FFD" w:rsidR="004A27B3">
        <w:rPr>
          <w:rStyle w:val="normaltextrun"/>
          <w:rFonts w:ascii="Arial" w:hAnsi="Arial" w:cs="Arial"/>
        </w:rPr>
        <w:t xml:space="preserve"> </w:t>
      </w:r>
    </w:p>
    <w:p w:rsidRPr="00A771CF" w:rsidR="00747D49" w:rsidP="00747D49" w:rsidRDefault="00642668" w14:paraId="48C0C8BF" w14:textId="27A0D6EB">
      <w:pPr>
        <w:pStyle w:val="Heading2"/>
        <w:keepNext w:val="0"/>
        <w:tabs>
          <w:tab w:val="clear" w:pos="576"/>
          <w:tab w:val="num" w:pos="426"/>
        </w:tabs>
        <w:ind w:left="426" w:hanging="568"/>
        <w:jc w:val="left"/>
        <w:rPr>
          <w:rStyle w:val="normaltextrun"/>
          <w:rFonts w:ascii="Arial" w:hAnsi="Arial" w:cs="Arial"/>
        </w:rPr>
      </w:pPr>
      <w:r w:rsidRPr="00A771CF">
        <w:rPr>
          <w:rStyle w:val="normaltextrun"/>
          <w:rFonts w:ascii="Arial" w:hAnsi="Arial" w:cs="Arial"/>
        </w:rPr>
        <w:t xml:space="preserve">The average cost of </w:t>
      </w:r>
      <w:proofErr w:type="gramStart"/>
      <w:r w:rsidRPr="00A771CF">
        <w:rPr>
          <w:rStyle w:val="normaltextrun"/>
          <w:rFonts w:ascii="Arial" w:hAnsi="Arial" w:cs="Arial"/>
        </w:rPr>
        <w:t>a SPI</w:t>
      </w:r>
      <w:proofErr w:type="gramEnd"/>
      <w:r w:rsidRPr="00A771CF">
        <w:rPr>
          <w:rStyle w:val="normaltextrun"/>
          <w:rFonts w:ascii="Arial" w:hAnsi="Arial" w:cs="Arial"/>
        </w:rPr>
        <w:t xml:space="preserve"> placement has increased sign</w:t>
      </w:r>
      <w:r w:rsidRPr="00A771CF" w:rsidR="00470890">
        <w:rPr>
          <w:rStyle w:val="normaltextrun"/>
          <w:rFonts w:ascii="Arial" w:hAnsi="Arial" w:cs="Arial"/>
        </w:rPr>
        <w:t>ificantly</w:t>
      </w:r>
      <w:r w:rsidRPr="00A771CF" w:rsidR="002F247E">
        <w:rPr>
          <w:rStyle w:val="normaltextrun"/>
          <w:rFonts w:ascii="Arial" w:hAnsi="Arial" w:cs="Arial"/>
        </w:rPr>
        <w:t xml:space="preserve">, a </w:t>
      </w:r>
      <w:r w:rsidRPr="00A771CF" w:rsidR="002D0989">
        <w:rPr>
          <w:rStyle w:val="normaltextrun"/>
          <w:rFonts w:ascii="Arial" w:hAnsi="Arial" w:cs="Arial"/>
        </w:rPr>
        <w:t xml:space="preserve">large factor being that </w:t>
      </w:r>
      <w:r w:rsidRPr="00A771CF" w:rsidR="00030B89">
        <w:rPr>
          <w:rStyle w:val="normaltextrun"/>
          <w:rFonts w:ascii="Arial" w:hAnsi="Arial" w:cs="Arial"/>
        </w:rPr>
        <w:t>we have re</w:t>
      </w:r>
      <w:r w:rsidRPr="00A771CF" w:rsidR="003815F5">
        <w:rPr>
          <w:rStyle w:val="normaltextrun"/>
          <w:rFonts w:ascii="Arial" w:hAnsi="Arial" w:cs="Arial"/>
        </w:rPr>
        <w:t>ached</w:t>
      </w:r>
      <w:r w:rsidRPr="00A771CF" w:rsidR="00030B89">
        <w:rPr>
          <w:rStyle w:val="normaltextrun"/>
          <w:rFonts w:ascii="Arial" w:hAnsi="Arial" w:cs="Arial"/>
        </w:rPr>
        <w:t xml:space="preserve"> capacity with </w:t>
      </w:r>
      <w:r w:rsidRPr="00A771CF" w:rsidR="001411F1">
        <w:rPr>
          <w:rStyle w:val="normaltextrun"/>
          <w:rFonts w:ascii="Arial" w:hAnsi="Arial" w:cs="Arial"/>
        </w:rPr>
        <w:t>lower cost providers and</w:t>
      </w:r>
      <w:r w:rsidRPr="00A771CF" w:rsidR="008D4C57">
        <w:rPr>
          <w:rStyle w:val="normaltextrun"/>
          <w:rFonts w:ascii="Arial" w:hAnsi="Arial" w:cs="Arial"/>
        </w:rPr>
        <w:t xml:space="preserve"> have had to use more expensive providers for new placements</w:t>
      </w:r>
      <w:r w:rsidRPr="00A771CF" w:rsidR="00A771CF">
        <w:rPr>
          <w:rStyle w:val="normaltextrun"/>
          <w:rFonts w:ascii="Arial" w:hAnsi="Arial" w:cs="Arial"/>
        </w:rPr>
        <w:t>.</w:t>
      </w:r>
    </w:p>
    <w:p w:rsidRPr="00F45439" w:rsidR="00BB7AF2" w:rsidP="00BB7AF2" w:rsidRDefault="00BB7AF2" w14:paraId="2F3BE762" w14:textId="50F042A4">
      <w:pPr>
        <w:pStyle w:val="Heading2"/>
        <w:keepNext w:val="0"/>
        <w:numPr>
          <w:ilvl w:val="0"/>
          <w:numId w:val="0"/>
        </w:numPr>
        <w:tabs>
          <w:tab w:val="num" w:pos="426"/>
        </w:tabs>
        <w:ind w:left="426"/>
        <w:jc w:val="left"/>
        <w:rPr>
          <w:rFonts w:ascii="Arial" w:hAnsi="Arial" w:cs="Arial"/>
          <w:szCs w:val="24"/>
          <w:u w:val="single"/>
        </w:rPr>
      </w:pPr>
      <w:r w:rsidRPr="00F45439">
        <w:rPr>
          <w:rFonts w:ascii="Arial" w:hAnsi="Arial" w:cs="Arial"/>
          <w:szCs w:val="24"/>
          <w:u w:val="single"/>
        </w:rPr>
        <w:t>Top-up funding (maintained) – overspend of £</w:t>
      </w:r>
      <w:r w:rsidRPr="00F45439" w:rsidR="004A51B9">
        <w:rPr>
          <w:rFonts w:ascii="Arial" w:hAnsi="Arial" w:cs="Arial"/>
          <w:szCs w:val="24"/>
          <w:u w:val="single"/>
        </w:rPr>
        <w:t>43.0</w:t>
      </w:r>
      <w:r w:rsidRPr="00F45439">
        <w:rPr>
          <w:rFonts w:ascii="Arial" w:hAnsi="Arial" w:cs="Arial"/>
          <w:szCs w:val="24"/>
          <w:u w:val="single"/>
        </w:rPr>
        <w:t>m</w:t>
      </w:r>
    </w:p>
    <w:p w:rsidRPr="00F45439" w:rsidR="00BB7AF2" w:rsidP="00BB7AF2" w:rsidRDefault="00BB7AF2" w14:paraId="282860F6" w14:textId="77777777">
      <w:pPr>
        <w:pStyle w:val="Heading2"/>
        <w:keepNext w:val="0"/>
        <w:tabs>
          <w:tab w:val="num" w:pos="426"/>
        </w:tabs>
        <w:ind w:left="426" w:hanging="568"/>
        <w:jc w:val="left"/>
        <w:rPr>
          <w:rFonts w:ascii="Arial" w:hAnsi="Arial" w:cs="Arial"/>
          <w:szCs w:val="24"/>
        </w:rPr>
      </w:pPr>
      <w:r w:rsidRPr="00F45439">
        <w:rPr>
          <w:rFonts w:ascii="Arial" w:hAnsi="Arial" w:cs="Arial"/>
          <w:szCs w:val="24"/>
        </w:rPr>
        <w:t xml:space="preserve">There continues to be </w:t>
      </w:r>
      <w:proofErr w:type="gramStart"/>
      <w:r w:rsidRPr="00F45439">
        <w:rPr>
          <w:rFonts w:ascii="Arial" w:hAnsi="Arial" w:cs="Arial"/>
          <w:szCs w:val="24"/>
        </w:rPr>
        <w:t>a significant</w:t>
      </w:r>
      <w:proofErr w:type="gramEnd"/>
      <w:r w:rsidRPr="00F45439">
        <w:rPr>
          <w:rFonts w:ascii="Arial" w:hAnsi="Arial" w:cs="Arial"/>
          <w:szCs w:val="24"/>
        </w:rPr>
        <w:t xml:space="preserve"> pressure on the top-up funding budgets because of increased demand and complexity of need.</w:t>
      </w:r>
    </w:p>
    <w:p w:rsidRPr="00F45439" w:rsidR="00B1440A" w:rsidP="00BB7AF2" w:rsidRDefault="00CC2735" w14:paraId="00C0967F" w14:textId="2DF0B4E2">
      <w:pPr>
        <w:pStyle w:val="Heading2"/>
        <w:keepNext w:val="0"/>
        <w:tabs>
          <w:tab w:val="num" w:pos="426"/>
        </w:tabs>
        <w:ind w:left="426" w:hanging="568"/>
        <w:jc w:val="left"/>
        <w:rPr>
          <w:rFonts w:ascii="Arial" w:hAnsi="Arial" w:cs="Arial"/>
        </w:rPr>
      </w:pPr>
      <w:r w:rsidRPr="00F45439">
        <w:rPr>
          <w:rFonts w:ascii="Arial" w:hAnsi="Arial" w:cs="Arial"/>
        </w:rPr>
        <w:t xml:space="preserve"> </w:t>
      </w:r>
      <w:r w:rsidRPr="00F45439" w:rsidR="00BB7AF2">
        <w:rPr>
          <w:rFonts w:ascii="Arial" w:hAnsi="Arial" w:cs="Arial"/>
        </w:rPr>
        <w:t xml:space="preserve">The year-on-year changes to </w:t>
      </w:r>
      <w:proofErr w:type="gramStart"/>
      <w:r w:rsidR="001E25AE">
        <w:rPr>
          <w:rFonts w:ascii="Arial" w:hAnsi="Arial" w:cs="Arial"/>
          <w:szCs w:val="24"/>
          <w:lang w:eastAsia="en-GB"/>
        </w:rPr>
        <w:t>average</w:t>
      </w:r>
      <w:proofErr w:type="gramEnd"/>
      <w:r w:rsidR="00260598">
        <w:rPr>
          <w:rFonts w:ascii="Arial" w:hAnsi="Arial" w:cs="Arial"/>
          <w:szCs w:val="24"/>
          <w:lang w:eastAsia="en-GB"/>
        </w:rPr>
        <w:t xml:space="preserve"> number of</w:t>
      </w:r>
      <w:r w:rsidR="00C10D34">
        <w:rPr>
          <w:rFonts w:ascii="Arial" w:hAnsi="Arial" w:cs="Arial"/>
          <w:szCs w:val="24"/>
          <w:lang w:eastAsia="en-GB"/>
        </w:rPr>
        <w:t xml:space="preserve"> </w:t>
      </w:r>
      <w:r w:rsidRPr="00486A5D" w:rsidR="00C10D34">
        <w:rPr>
          <w:rFonts w:ascii="Arial" w:hAnsi="Arial" w:cs="Arial"/>
          <w:szCs w:val="24"/>
          <w:lang w:eastAsia="en-GB"/>
        </w:rPr>
        <w:t>full-time equivalent placements</w:t>
      </w:r>
      <w:r w:rsidR="00C10D34">
        <w:rPr>
          <w:rFonts w:ascii="Arial" w:hAnsi="Arial" w:cs="Arial"/>
          <w:szCs w:val="24"/>
          <w:lang w:eastAsia="en-GB"/>
        </w:rPr>
        <w:t xml:space="preserve"> (</w:t>
      </w:r>
      <w:r w:rsidRPr="00F45439" w:rsidR="00BB7AF2">
        <w:rPr>
          <w:rFonts w:ascii="Arial" w:hAnsi="Arial" w:cs="Arial"/>
        </w:rPr>
        <w:t>FTE</w:t>
      </w:r>
      <w:r w:rsidR="00C10D34">
        <w:rPr>
          <w:rFonts w:ascii="Arial" w:hAnsi="Arial" w:cs="Arial"/>
        </w:rPr>
        <w:t>)</w:t>
      </w:r>
      <w:r w:rsidRPr="00F45439" w:rsidR="00BB7AF2">
        <w:rPr>
          <w:rFonts w:ascii="Arial" w:hAnsi="Arial" w:cs="Arial"/>
        </w:rPr>
        <w:t xml:space="preserve"> and average unit costs for top-up are summarised in the table below:</w:t>
      </w:r>
    </w:p>
    <w:tbl>
      <w:tblPr>
        <w:tblW w:w="7928" w:type="dxa"/>
        <w:tblLook w:val="04A0" w:firstRow="1" w:lastRow="0" w:firstColumn="1" w:lastColumn="0" w:noHBand="0" w:noVBand="1"/>
      </w:tblPr>
      <w:tblGrid>
        <w:gridCol w:w="2258"/>
        <w:gridCol w:w="1276"/>
        <w:gridCol w:w="1276"/>
        <w:gridCol w:w="1559"/>
        <w:gridCol w:w="1559"/>
      </w:tblGrid>
      <w:tr w:rsidRPr="00B1440A" w:rsidR="00B1440A" w:rsidTr="00B1440A" w14:paraId="6ECBAFE8" w14:textId="77777777">
        <w:trPr>
          <w:trHeight w:val="940"/>
        </w:trPr>
        <w:tc>
          <w:tcPr>
            <w:tcW w:w="2258"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B1440A" w:rsidR="00B1440A" w:rsidP="00B1440A" w:rsidRDefault="00B1440A" w14:paraId="775A2E4C" w14:textId="77777777">
            <w:pPr>
              <w:spacing w:after="0"/>
              <w:rPr>
                <w:rFonts w:ascii="Arial" w:hAnsi="Arial" w:cs="Arial"/>
                <w:color w:val="000000"/>
                <w:szCs w:val="24"/>
                <w:lang w:val="en-GB" w:eastAsia="en-GB"/>
              </w:rPr>
            </w:pPr>
            <w:r w:rsidRPr="00B1440A">
              <w:rPr>
                <w:rFonts w:ascii="Arial" w:hAnsi="Arial" w:cs="Arial"/>
                <w:color w:val="000000"/>
                <w:szCs w:val="24"/>
                <w:lang w:eastAsia="en-GB"/>
              </w:rPr>
              <w:t> </w:t>
            </w:r>
          </w:p>
        </w:tc>
        <w:tc>
          <w:tcPr>
            <w:tcW w:w="1276" w:type="dxa"/>
            <w:tcBorders>
              <w:top w:val="single" w:color="auto" w:sz="8" w:space="0"/>
              <w:left w:val="nil"/>
              <w:bottom w:val="single" w:color="auto" w:sz="8" w:space="0"/>
              <w:right w:val="single" w:color="auto" w:sz="8" w:space="0"/>
            </w:tcBorders>
            <w:shd w:val="clear" w:color="auto" w:fill="auto"/>
            <w:vAlign w:val="center"/>
            <w:hideMark/>
          </w:tcPr>
          <w:p w:rsidRPr="00B1440A" w:rsidR="00B1440A" w:rsidP="00B1440A" w:rsidRDefault="00B1440A" w14:paraId="59AF013C" w14:textId="77777777">
            <w:pPr>
              <w:spacing w:after="0"/>
              <w:jc w:val="center"/>
              <w:rPr>
                <w:rFonts w:ascii="Arial" w:hAnsi="Arial" w:cs="Arial"/>
                <w:color w:val="000000"/>
                <w:szCs w:val="24"/>
                <w:lang w:val="en-GB" w:eastAsia="en-GB"/>
              </w:rPr>
            </w:pPr>
            <w:r w:rsidRPr="00B1440A">
              <w:rPr>
                <w:rFonts w:ascii="Arial" w:hAnsi="Arial" w:cs="Arial"/>
                <w:color w:val="000000"/>
                <w:szCs w:val="24"/>
                <w:lang w:eastAsia="en-GB"/>
              </w:rPr>
              <w:t xml:space="preserve">FTE 2024/25 </w:t>
            </w:r>
          </w:p>
        </w:tc>
        <w:tc>
          <w:tcPr>
            <w:tcW w:w="1276" w:type="dxa"/>
            <w:tcBorders>
              <w:top w:val="single" w:color="auto" w:sz="8" w:space="0"/>
              <w:left w:val="nil"/>
              <w:bottom w:val="single" w:color="auto" w:sz="8" w:space="0"/>
              <w:right w:val="single" w:color="auto" w:sz="8" w:space="0"/>
            </w:tcBorders>
            <w:shd w:val="clear" w:color="auto" w:fill="auto"/>
            <w:vAlign w:val="center"/>
            <w:hideMark/>
          </w:tcPr>
          <w:p w:rsidRPr="00B1440A" w:rsidR="00B1440A" w:rsidP="00B1440A" w:rsidRDefault="00B1440A" w14:paraId="29CF4845" w14:textId="77777777">
            <w:pPr>
              <w:spacing w:after="0"/>
              <w:jc w:val="center"/>
              <w:rPr>
                <w:rFonts w:ascii="Arial" w:hAnsi="Arial" w:cs="Arial"/>
                <w:color w:val="000000"/>
                <w:szCs w:val="24"/>
                <w:lang w:val="en-GB" w:eastAsia="en-GB"/>
              </w:rPr>
            </w:pPr>
            <w:r w:rsidRPr="00B1440A">
              <w:rPr>
                <w:rFonts w:ascii="Arial" w:hAnsi="Arial" w:cs="Arial"/>
                <w:color w:val="000000"/>
                <w:szCs w:val="24"/>
                <w:lang w:eastAsia="en-GB"/>
              </w:rPr>
              <w:t>% change from 2023/24</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B1440A" w:rsidR="00B1440A" w:rsidP="00B1440A" w:rsidRDefault="00B1440A" w14:paraId="10144102" w14:textId="77777777">
            <w:pPr>
              <w:spacing w:after="0"/>
              <w:jc w:val="center"/>
              <w:rPr>
                <w:rFonts w:ascii="Arial" w:hAnsi="Arial" w:cs="Arial"/>
                <w:color w:val="000000"/>
                <w:szCs w:val="24"/>
                <w:lang w:val="en-GB" w:eastAsia="en-GB"/>
              </w:rPr>
            </w:pPr>
            <w:r w:rsidRPr="00B1440A">
              <w:rPr>
                <w:rFonts w:ascii="Arial" w:hAnsi="Arial" w:cs="Arial"/>
                <w:color w:val="000000"/>
                <w:szCs w:val="24"/>
                <w:lang w:eastAsia="en-GB"/>
              </w:rPr>
              <w:t xml:space="preserve">Average Cost 2024/25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B1440A" w:rsidR="00B1440A" w:rsidP="00B1440A" w:rsidRDefault="00B1440A" w14:paraId="740E9735" w14:textId="77777777">
            <w:pPr>
              <w:spacing w:after="0"/>
              <w:jc w:val="center"/>
              <w:rPr>
                <w:rFonts w:ascii="Arial" w:hAnsi="Arial" w:cs="Arial"/>
                <w:color w:val="000000"/>
                <w:szCs w:val="24"/>
                <w:lang w:val="en-GB" w:eastAsia="en-GB"/>
              </w:rPr>
            </w:pPr>
            <w:r w:rsidRPr="00B1440A">
              <w:rPr>
                <w:rFonts w:ascii="Arial" w:hAnsi="Arial" w:cs="Arial"/>
                <w:color w:val="000000"/>
                <w:szCs w:val="24"/>
                <w:lang w:eastAsia="en-GB"/>
              </w:rPr>
              <w:t>% change from 2023/24</w:t>
            </w:r>
          </w:p>
        </w:tc>
      </w:tr>
      <w:tr w:rsidRPr="00B1440A" w:rsidR="00B1440A" w:rsidTr="00B1440A" w14:paraId="4EBA45F0" w14:textId="77777777">
        <w:trPr>
          <w:trHeight w:val="320"/>
        </w:trPr>
        <w:tc>
          <w:tcPr>
            <w:tcW w:w="2258" w:type="dxa"/>
            <w:tcBorders>
              <w:top w:val="nil"/>
              <w:left w:val="single" w:color="auto" w:sz="8" w:space="0"/>
              <w:bottom w:val="single" w:color="auto" w:sz="8" w:space="0"/>
              <w:right w:val="single" w:color="auto" w:sz="8" w:space="0"/>
            </w:tcBorders>
            <w:shd w:val="clear" w:color="auto" w:fill="auto"/>
            <w:noWrap/>
            <w:vAlign w:val="center"/>
            <w:hideMark/>
          </w:tcPr>
          <w:p w:rsidRPr="00B1440A" w:rsidR="00B1440A" w:rsidP="00B1440A" w:rsidRDefault="00B1440A" w14:paraId="1728479A" w14:textId="77777777">
            <w:pPr>
              <w:spacing w:after="0"/>
              <w:rPr>
                <w:rFonts w:ascii="Arial" w:hAnsi="Arial" w:cs="Arial"/>
                <w:color w:val="000000"/>
                <w:szCs w:val="24"/>
                <w:lang w:val="en-GB" w:eastAsia="en-GB"/>
              </w:rPr>
            </w:pPr>
            <w:r w:rsidRPr="00B1440A">
              <w:rPr>
                <w:rFonts w:ascii="Arial" w:hAnsi="Arial" w:cs="Arial"/>
                <w:color w:val="000000"/>
                <w:szCs w:val="24"/>
                <w:lang w:eastAsia="en-GB"/>
              </w:rPr>
              <w:t>Special schools</w:t>
            </w:r>
          </w:p>
        </w:tc>
        <w:tc>
          <w:tcPr>
            <w:tcW w:w="1276" w:type="dxa"/>
            <w:tcBorders>
              <w:top w:val="nil"/>
              <w:left w:val="nil"/>
              <w:bottom w:val="single" w:color="auto" w:sz="8" w:space="0"/>
              <w:right w:val="single" w:color="auto" w:sz="8" w:space="0"/>
            </w:tcBorders>
            <w:shd w:val="clear" w:color="auto" w:fill="auto"/>
            <w:vAlign w:val="center"/>
            <w:hideMark/>
          </w:tcPr>
          <w:p w:rsidRPr="00B1440A" w:rsidR="00B1440A" w:rsidP="00B1440A" w:rsidRDefault="00B1440A" w14:paraId="7F4F9D35"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3,390</w:t>
            </w:r>
          </w:p>
        </w:tc>
        <w:tc>
          <w:tcPr>
            <w:tcW w:w="1276" w:type="dxa"/>
            <w:tcBorders>
              <w:top w:val="nil"/>
              <w:left w:val="nil"/>
              <w:bottom w:val="single" w:color="auto" w:sz="8" w:space="0"/>
              <w:right w:val="single" w:color="auto" w:sz="8" w:space="0"/>
            </w:tcBorders>
            <w:shd w:val="clear" w:color="auto" w:fill="auto"/>
            <w:vAlign w:val="center"/>
            <w:hideMark/>
          </w:tcPr>
          <w:p w:rsidRPr="00B1440A" w:rsidR="00B1440A" w:rsidP="00B1440A" w:rsidRDefault="00B1440A" w14:paraId="2C4EF849"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3%</w:t>
            </w:r>
          </w:p>
        </w:tc>
        <w:tc>
          <w:tcPr>
            <w:tcW w:w="1559" w:type="dxa"/>
            <w:tcBorders>
              <w:top w:val="nil"/>
              <w:left w:val="nil"/>
              <w:bottom w:val="single" w:color="auto" w:sz="8" w:space="0"/>
              <w:right w:val="single" w:color="auto" w:sz="8" w:space="0"/>
            </w:tcBorders>
            <w:shd w:val="clear" w:color="auto" w:fill="auto"/>
            <w:vAlign w:val="center"/>
            <w:hideMark/>
          </w:tcPr>
          <w:p w:rsidRPr="00B1440A" w:rsidR="00B1440A" w:rsidP="00B1440A" w:rsidRDefault="00B1440A" w14:paraId="6C97D013"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11,662</w:t>
            </w:r>
          </w:p>
        </w:tc>
        <w:tc>
          <w:tcPr>
            <w:tcW w:w="1559" w:type="dxa"/>
            <w:tcBorders>
              <w:top w:val="nil"/>
              <w:left w:val="nil"/>
              <w:bottom w:val="single" w:color="auto" w:sz="8" w:space="0"/>
              <w:right w:val="single" w:color="auto" w:sz="8" w:space="0"/>
            </w:tcBorders>
            <w:shd w:val="clear" w:color="auto" w:fill="auto"/>
            <w:vAlign w:val="center"/>
            <w:hideMark/>
          </w:tcPr>
          <w:p w:rsidRPr="00B1440A" w:rsidR="00B1440A" w:rsidP="00B1440A" w:rsidRDefault="00B1440A" w14:paraId="171654A7"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40%</w:t>
            </w:r>
          </w:p>
        </w:tc>
      </w:tr>
      <w:tr w:rsidRPr="00B1440A" w:rsidR="00B1440A" w:rsidTr="00B1440A" w14:paraId="742839EB" w14:textId="77777777">
        <w:trPr>
          <w:trHeight w:val="320"/>
        </w:trPr>
        <w:tc>
          <w:tcPr>
            <w:tcW w:w="2258" w:type="dxa"/>
            <w:tcBorders>
              <w:top w:val="nil"/>
              <w:left w:val="single" w:color="auto" w:sz="8" w:space="0"/>
              <w:bottom w:val="single" w:color="auto" w:sz="8" w:space="0"/>
              <w:right w:val="single" w:color="auto" w:sz="8" w:space="0"/>
            </w:tcBorders>
            <w:shd w:val="clear" w:color="auto" w:fill="auto"/>
            <w:noWrap/>
            <w:vAlign w:val="center"/>
            <w:hideMark/>
          </w:tcPr>
          <w:p w:rsidRPr="00B1440A" w:rsidR="00B1440A" w:rsidP="00B1440A" w:rsidRDefault="00B1440A" w14:paraId="5B19D5A9" w14:textId="77777777">
            <w:pPr>
              <w:spacing w:after="0"/>
              <w:rPr>
                <w:rFonts w:ascii="Arial" w:hAnsi="Arial" w:cs="Arial"/>
                <w:color w:val="000000"/>
                <w:szCs w:val="24"/>
                <w:lang w:val="en-GB" w:eastAsia="en-GB"/>
              </w:rPr>
            </w:pPr>
            <w:r w:rsidRPr="00B1440A">
              <w:rPr>
                <w:rFonts w:ascii="Arial" w:hAnsi="Arial" w:cs="Arial"/>
                <w:color w:val="000000"/>
                <w:szCs w:val="24"/>
                <w:lang w:eastAsia="en-GB"/>
              </w:rPr>
              <w:t>RP</w:t>
            </w:r>
          </w:p>
        </w:tc>
        <w:tc>
          <w:tcPr>
            <w:tcW w:w="1276" w:type="dxa"/>
            <w:tcBorders>
              <w:top w:val="nil"/>
              <w:left w:val="nil"/>
              <w:bottom w:val="single" w:color="auto" w:sz="8" w:space="0"/>
              <w:right w:val="single" w:color="auto" w:sz="8" w:space="0"/>
            </w:tcBorders>
            <w:shd w:val="clear" w:color="auto" w:fill="auto"/>
            <w:vAlign w:val="center"/>
            <w:hideMark/>
          </w:tcPr>
          <w:p w:rsidRPr="00B1440A" w:rsidR="00B1440A" w:rsidP="00B1440A" w:rsidRDefault="00B1440A" w14:paraId="0926AD8F"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587</w:t>
            </w:r>
          </w:p>
        </w:tc>
        <w:tc>
          <w:tcPr>
            <w:tcW w:w="1276" w:type="dxa"/>
            <w:tcBorders>
              <w:top w:val="nil"/>
              <w:left w:val="nil"/>
              <w:bottom w:val="single" w:color="auto" w:sz="8" w:space="0"/>
              <w:right w:val="single" w:color="auto" w:sz="8" w:space="0"/>
            </w:tcBorders>
            <w:shd w:val="clear" w:color="auto" w:fill="auto"/>
            <w:vAlign w:val="center"/>
            <w:hideMark/>
          </w:tcPr>
          <w:p w:rsidRPr="00B1440A" w:rsidR="00B1440A" w:rsidP="00B1440A" w:rsidRDefault="00B1440A" w14:paraId="2BDCEF69"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1%</w:t>
            </w:r>
          </w:p>
        </w:tc>
        <w:tc>
          <w:tcPr>
            <w:tcW w:w="1559" w:type="dxa"/>
            <w:tcBorders>
              <w:top w:val="nil"/>
              <w:left w:val="nil"/>
              <w:bottom w:val="single" w:color="auto" w:sz="8" w:space="0"/>
              <w:right w:val="single" w:color="auto" w:sz="8" w:space="0"/>
            </w:tcBorders>
            <w:shd w:val="clear" w:color="auto" w:fill="auto"/>
            <w:vAlign w:val="center"/>
            <w:hideMark/>
          </w:tcPr>
          <w:p w:rsidRPr="00B1440A" w:rsidR="00B1440A" w:rsidP="00B1440A" w:rsidRDefault="00B1440A" w14:paraId="55D96C48"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7,469</w:t>
            </w:r>
          </w:p>
        </w:tc>
        <w:tc>
          <w:tcPr>
            <w:tcW w:w="1559" w:type="dxa"/>
            <w:tcBorders>
              <w:top w:val="nil"/>
              <w:left w:val="nil"/>
              <w:bottom w:val="single" w:color="auto" w:sz="8" w:space="0"/>
              <w:right w:val="single" w:color="auto" w:sz="8" w:space="0"/>
            </w:tcBorders>
            <w:shd w:val="clear" w:color="auto" w:fill="auto"/>
            <w:vAlign w:val="center"/>
            <w:hideMark/>
          </w:tcPr>
          <w:p w:rsidRPr="00B1440A" w:rsidR="00B1440A" w:rsidP="00B1440A" w:rsidRDefault="00B1440A" w14:paraId="111BD788"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26%</w:t>
            </w:r>
          </w:p>
        </w:tc>
      </w:tr>
      <w:tr w:rsidRPr="00B1440A" w:rsidR="00B1440A" w:rsidTr="00B1440A" w14:paraId="0FEDEA04" w14:textId="77777777">
        <w:trPr>
          <w:trHeight w:val="320"/>
        </w:trPr>
        <w:tc>
          <w:tcPr>
            <w:tcW w:w="2258" w:type="dxa"/>
            <w:tcBorders>
              <w:top w:val="nil"/>
              <w:left w:val="single" w:color="auto" w:sz="8" w:space="0"/>
              <w:bottom w:val="single" w:color="auto" w:sz="8" w:space="0"/>
              <w:right w:val="single" w:color="auto" w:sz="8" w:space="0"/>
            </w:tcBorders>
            <w:shd w:val="clear" w:color="auto" w:fill="auto"/>
            <w:noWrap/>
            <w:vAlign w:val="center"/>
            <w:hideMark/>
          </w:tcPr>
          <w:p w:rsidRPr="00B1440A" w:rsidR="00B1440A" w:rsidP="00B1440A" w:rsidRDefault="00B1440A" w14:paraId="4642F172" w14:textId="77777777">
            <w:pPr>
              <w:spacing w:after="0"/>
              <w:rPr>
                <w:rFonts w:ascii="Arial" w:hAnsi="Arial" w:cs="Arial"/>
                <w:color w:val="000000"/>
                <w:szCs w:val="24"/>
                <w:lang w:val="en-GB" w:eastAsia="en-GB"/>
              </w:rPr>
            </w:pPr>
            <w:r w:rsidRPr="00B1440A">
              <w:rPr>
                <w:rFonts w:ascii="Arial" w:hAnsi="Arial" w:cs="Arial"/>
                <w:color w:val="000000"/>
                <w:szCs w:val="24"/>
                <w:lang w:eastAsia="en-GB"/>
              </w:rPr>
              <w:t>Mainstream</w:t>
            </w:r>
          </w:p>
        </w:tc>
        <w:tc>
          <w:tcPr>
            <w:tcW w:w="1276" w:type="dxa"/>
            <w:tcBorders>
              <w:top w:val="nil"/>
              <w:left w:val="nil"/>
              <w:bottom w:val="single" w:color="auto" w:sz="8" w:space="0"/>
              <w:right w:val="single" w:color="auto" w:sz="8" w:space="0"/>
            </w:tcBorders>
            <w:shd w:val="clear" w:color="auto" w:fill="auto"/>
            <w:vAlign w:val="center"/>
            <w:hideMark/>
          </w:tcPr>
          <w:p w:rsidRPr="00B1440A" w:rsidR="00B1440A" w:rsidP="00B1440A" w:rsidRDefault="00B1440A" w14:paraId="11356CAC"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6,757</w:t>
            </w:r>
          </w:p>
        </w:tc>
        <w:tc>
          <w:tcPr>
            <w:tcW w:w="1276" w:type="dxa"/>
            <w:tcBorders>
              <w:top w:val="nil"/>
              <w:left w:val="nil"/>
              <w:bottom w:val="single" w:color="auto" w:sz="8" w:space="0"/>
              <w:right w:val="single" w:color="auto" w:sz="8" w:space="0"/>
            </w:tcBorders>
            <w:shd w:val="clear" w:color="auto" w:fill="auto"/>
            <w:vAlign w:val="center"/>
            <w:hideMark/>
          </w:tcPr>
          <w:p w:rsidRPr="00B1440A" w:rsidR="00B1440A" w:rsidP="00B1440A" w:rsidRDefault="00B1440A" w14:paraId="4996B62F"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14%</w:t>
            </w:r>
          </w:p>
        </w:tc>
        <w:tc>
          <w:tcPr>
            <w:tcW w:w="1559" w:type="dxa"/>
            <w:tcBorders>
              <w:top w:val="nil"/>
              <w:left w:val="nil"/>
              <w:bottom w:val="single" w:color="auto" w:sz="8" w:space="0"/>
              <w:right w:val="single" w:color="auto" w:sz="8" w:space="0"/>
            </w:tcBorders>
            <w:shd w:val="clear" w:color="auto" w:fill="auto"/>
            <w:vAlign w:val="center"/>
            <w:hideMark/>
          </w:tcPr>
          <w:p w:rsidRPr="00B1440A" w:rsidR="00B1440A" w:rsidP="00B1440A" w:rsidRDefault="00B1440A" w14:paraId="35D80FA7"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5,387</w:t>
            </w:r>
          </w:p>
        </w:tc>
        <w:tc>
          <w:tcPr>
            <w:tcW w:w="1559" w:type="dxa"/>
            <w:tcBorders>
              <w:top w:val="nil"/>
              <w:left w:val="nil"/>
              <w:bottom w:val="single" w:color="auto" w:sz="8" w:space="0"/>
              <w:right w:val="single" w:color="auto" w:sz="8" w:space="0"/>
            </w:tcBorders>
            <w:shd w:val="clear" w:color="auto" w:fill="auto"/>
            <w:vAlign w:val="center"/>
            <w:hideMark/>
          </w:tcPr>
          <w:p w:rsidRPr="00B1440A" w:rsidR="00B1440A" w:rsidP="00B1440A" w:rsidRDefault="00B1440A" w14:paraId="3CDD46B2"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4%</w:t>
            </w:r>
          </w:p>
        </w:tc>
      </w:tr>
      <w:tr w:rsidRPr="00B1440A" w:rsidR="00B1440A" w:rsidTr="00B1440A" w14:paraId="1464A339" w14:textId="77777777">
        <w:trPr>
          <w:trHeight w:val="320"/>
        </w:trPr>
        <w:tc>
          <w:tcPr>
            <w:tcW w:w="2258" w:type="dxa"/>
            <w:tcBorders>
              <w:top w:val="nil"/>
              <w:left w:val="single" w:color="auto" w:sz="8" w:space="0"/>
              <w:bottom w:val="single" w:color="auto" w:sz="8" w:space="0"/>
              <w:right w:val="single" w:color="auto" w:sz="8" w:space="0"/>
            </w:tcBorders>
            <w:shd w:val="clear" w:color="auto" w:fill="auto"/>
            <w:noWrap/>
            <w:vAlign w:val="center"/>
            <w:hideMark/>
          </w:tcPr>
          <w:p w:rsidRPr="00B1440A" w:rsidR="00B1440A" w:rsidP="00B1440A" w:rsidRDefault="00B1440A" w14:paraId="35375CA4" w14:textId="77777777">
            <w:pPr>
              <w:spacing w:after="0"/>
              <w:rPr>
                <w:rFonts w:ascii="Arial" w:hAnsi="Arial" w:cs="Arial"/>
                <w:color w:val="000000"/>
                <w:szCs w:val="24"/>
                <w:lang w:val="en-GB" w:eastAsia="en-GB"/>
              </w:rPr>
            </w:pPr>
            <w:r w:rsidRPr="00B1440A">
              <w:rPr>
                <w:rFonts w:ascii="Arial" w:hAnsi="Arial" w:cs="Arial"/>
                <w:color w:val="000000"/>
                <w:szCs w:val="24"/>
                <w:lang w:eastAsia="en-GB"/>
              </w:rPr>
              <w:t>FE college</w:t>
            </w:r>
          </w:p>
        </w:tc>
        <w:tc>
          <w:tcPr>
            <w:tcW w:w="1276" w:type="dxa"/>
            <w:tcBorders>
              <w:top w:val="nil"/>
              <w:left w:val="nil"/>
              <w:bottom w:val="single" w:color="auto" w:sz="8" w:space="0"/>
              <w:right w:val="single" w:color="auto" w:sz="8" w:space="0"/>
            </w:tcBorders>
            <w:shd w:val="clear" w:color="auto" w:fill="auto"/>
            <w:noWrap/>
            <w:vAlign w:val="center"/>
            <w:hideMark/>
          </w:tcPr>
          <w:p w:rsidRPr="00B1440A" w:rsidR="00B1440A" w:rsidP="00B1440A" w:rsidRDefault="00B1440A" w14:paraId="27E9DA78"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1,373</w:t>
            </w:r>
          </w:p>
        </w:tc>
        <w:tc>
          <w:tcPr>
            <w:tcW w:w="1276" w:type="dxa"/>
            <w:tcBorders>
              <w:top w:val="nil"/>
              <w:left w:val="nil"/>
              <w:bottom w:val="single" w:color="auto" w:sz="8" w:space="0"/>
              <w:right w:val="single" w:color="auto" w:sz="8" w:space="0"/>
            </w:tcBorders>
            <w:shd w:val="clear" w:color="auto" w:fill="auto"/>
            <w:noWrap/>
            <w:vAlign w:val="center"/>
            <w:hideMark/>
          </w:tcPr>
          <w:p w:rsidRPr="00B1440A" w:rsidR="00B1440A" w:rsidP="00B1440A" w:rsidRDefault="00B1440A" w14:paraId="516EEDBB"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16%</w:t>
            </w:r>
          </w:p>
        </w:tc>
        <w:tc>
          <w:tcPr>
            <w:tcW w:w="1559" w:type="dxa"/>
            <w:tcBorders>
              <w:top w:val="nil"/>
              <w:left w:val="nil"/>
              <w:bottom w:val="single" w:color="auto" w:sz="8" w:space="0"/>
              <w:right w:val="single" w:color="auto" w:sz="8" w:space="0"/>
            </w:tcBorders>
            <w:shd w:val="clear" w:color="auto" w:fill="auto"/>
            <w:noWrap/>
            <w:vAlign w:val="center"/>
            <w:hideMark/>
          </w:tcPr>
          <w:p w:rsidRPr="00B1440A" w:rsidR="00B1440A" w:rsidP="00B1440A" w:rsidRDefault="00B1440A" w14:paraId="27A30B5B"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5,672</w:t>
            </w:r>
          </w:p>
        </w:tc>
        <w:tc>
          <w:tcPr>
            <w:tcW w:w="1559" w:type="dxa"/>
            <w:tcBorders>
              <w:top w:val="nil"/>
              <w:left w:val="nil"/>
              <w:bottom w:val="single" w:color="auto" w:sz="8" w:space="0"/>
              <w:right w:val="single" w:color="auto" w:sz="8" w:space="0"/>
            </w:tcBorders>
            <w:shd w:val="clear" w:color="auto" w:fill="auto"/>
            <w:noWrap/>
            <w:vAlign w:val="center"/>
            <w:hideMark/>
          </w:tcPr>
          <w:p w:rsidRPr="00B1440A" w:rsidR="00B1440A" w:rsidP="00B1440A" w:rsidRDefault="00B1440A" w14:paraId="34F77588"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-2%</w:t>
            </w:r>
          </w:p>
        </w:tc>
      </w:tr>
      <w:tr w:rsidRPr="00B1440A" w:rsidR="00B1440A" w:rsidTr="00B1440A" w14:paraId="71913702" w14:textId="77777777">
        <w:trPr>
          <w:trHeight w:val="320"/>
        </w:trPr>
        <w:tc>
          <w:tcPr>
            <w:tcW w:w="2258" w:type="dxa"/>
            <w:tcBorders>
              <w:top w:val="nil"/>
              <w:left w:val="single" w:color="auto" w:sz="8" w:space="0"/>
              <w:bottom w:val="single" w:color="auto" w:sz="8" w:space="0"/>
              <w:right w:val="single" w:color="auto" w:sz="8" w:space="0"/>
            </w:tcBorders>
            <w:shd w:val="clear" w:color="auto" w:fill="auto"/>
            <w:noWrap/>
            <w:vAlign w:val="center"/>
            <w:hideMark/>
          </w:tcPr>
          <w:p w:rsidRPr="00B1440A" w:rsidR="00B1440A" w:rsidP="00B1440A" w:rsidRDefault="00B1440A" w14:paraId="73D679C0" w14:textId="77777777">
            <w:pPr>
              <w:spacing w:after="0"/>
              <w:rPr>
                <w:rFonts w:ascii="Arial" w:hAnsi="Arial" w:cs="Arial"/>
                <w:color w:val="000000"/>
                <w:szCs w:val="24"/>
                <w:lang w:val="en-GB" w:eastAsia="en-GB"/>
              </w:rPr>
            </w:pPr>
            <w:r w:rsidRPr="00B1440A">
              <w:rPr>
                <w:rFonts w:ascii="Arial" w:hAnsi="Arial" w:cs="Arial"/>
                <w:color w:val="000000"/>
                <w:szCs w:val="24"/>
                <w:lang w:eastAsia="en-GB"/>
              </w:rPr>
              <w:t>OLA</w:t>
            </w:r>
          </w:p>
        </w:tc>
        <w:tc>
          <w:tcPr>
            <w:tcW w:w="1276" w:type="dxa"/>
            <w:tcBorders>
              <w:top w:val="nil"/>
              <w:left w:val="nil"/>
              <w:bottom w:val="single" w:color="auto" w:sz="8" w:space="0"/>
              <w:right w:val="single" w:color="auto" w:sz="8" w:space="0"/>
            </w:tcBorders>
            <w:shd w:val="clear" w:color="auto" w:fill="auto"/>
            <w:noWrap/>
            <w:vAlign w:val="center"/>
            <w:hideMark/>
          </w:tcPr>
          <w:p w:rsidRPr="00B1440A" w:rsidR="00B1440A" w:rsidP="00B1440A" w:rsidRDefault="00B1440A" w14:paraId="0609B5DC"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607</w:t>
            </w:r>
          </w:p>
        </w:tc>
        <w:tc>
          <w:tcPr>
            <w:tcW w:w="1276" w:type="dxa"/>
            <w:tcBorders>
              <w:top w:val="nil"/>
              <w:left w:val="nil"/>
              <w:bottom w:val="single" w:color="auto" w:sz="8" w:space="0"/>
              <w:right w:val="single" w:color="auto" w:sz="8" w:space="0"/>
            </w:tcBorders>
            <w:shd w:val="clear" w:color="auto" w:fill="auto"/>
            <w:noWrap/>
            <w:vAlign w:val="center"/>
            <w:hideMark/>
          </w:tcPr>
          <w:p w:rsidRPr="00B1440A" w:rsidR="00B1440A" w:rsidP="00B1440A" w:rsidRDefault="00B1440A" w14:paraId="3D927D2F"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14%</w:t>
            </w:r>
          </w:p>
        </w:tc>
        <w:tc>
          <w:tcPr>
            <w:tcW w:w="1559" w:type="dxa"/>
            <w:tcBorders>
              <w:top w:val="nil"/>
              <w:left w:val="nil"/>
              <w:bottom w:val="single" w:color="auto" w:sz="8" w:space="0"/>
              <w:right w:val="single" w:color="auto" w:sz="8" w:space="0"/>
            </w:tcBorders>
            <w:shd w:val="clear" w:color="auto" w:fill="auto"/>
            <w:noWrap/>
            <w:vAlign w:val="center"/>
            <w:hideMark/>
          </w:tcPr>
          <w:p w:rsidRPr="00B1440A" w:rsidR="00B1440A" w:rsidP="00B1440A" w:rsidRDefault="00B1440A" w14:paraId="37D939C2"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12,370</w:t>
            </w:r>
          </w:p>
        </w:tc>
        <w:tc>
          <w:tcPr>
            <w:tcW w:w="1559" w:type="dxa"/>
            <w:tcBorders>
              <w:top w:val="nil"/>
              <w:left w:val="nil"/>
              <w:bottom w:val="single" w:color="auto" w:sz="8" w:space="0"/>
              <w:right w:val="single" w:color="auto" w:sz="8" w:space="0"/>
            </w:tcBorders>
            <w:shd w:val="clear" w:color="auto" w:fill="auto"/>
            <w:noWrap/>
            <w:vAlign w:val="center"/>
            <w:hideMark/>
          </w:tcPr>
          <w:p w:rsidRPr="00B1440A" w:rsidR="00B1440A" w:rsidP="00B1440A" w:rsidRDefault="00B1440A" w14:paraId="23899E78" w14:textId="77777777">
            <w:pPr>
              <w:spacing w:after="0"/>
              <w:jc w:val="right"/>
              <w:rPr>
                <w:rFonts w:ascii="Arial" w:hAnsi="Arial" w:cs="Arial"/>
                <w:color w:val="000000"/>
                <w:szCs w:val="24"/>
                <w:lang w:val="en-GB" w:eastAsia="en-GB"/>
              </w:rPr>
            </w:pPr>
            <w:r w:rsidRPr="00B1440A">
              <w:rPr>
                <w:rFonts w:ascii="Arial" w:hAnsi="Arial" w:cs="Arial"/>
                <w:color w:val="000000"/>
                <w:szCs w:val="24"/>
                <w:lang w:eastAsia="en-GB"/>
              </w:rPr>
              <w:t>8%</w:t>
            </w:r>
          </w:p>
        </w:tc>
      </w:tr>
    </w:tbl>
    <w:p w:rsidRPr="00433EDF" w:rsidR="00BB7AF2" w:rsidP="00BB7AF2" w:rsidRDefault="00BB7AF2" w14:paraId="6E154790" w14:textId="2B961925">
      <w:pPr>
        <w:numPr>
          <w:ilvl w:val="0"/>
          <w:numId w:val="13"/>
        </w:numPr>
        <w:spacing w:before="120"/>
        <w:ind w:left="992" w:hanging="357"/>
        <w:jc w:val="left"/>
        <w:rPr>
          <w:rFonts w:ascii="Arial" w:hAnsi="Arial" w:cs="Arial"/>
          <w:szCs w:val="24"/>
        </w:rPr>
      </w:pPr>
      <w:r w:rsidRPr="00231C1C">
        <w:rPr>
          <w:rFonts w:ascii="Arial" w:hAnsi="Arial" w:cs="Arial"/>
          <w:b/>
          <w:szCs w:val="24"/>
        </w:rPr>
        <w:t xml:space="preserve">Special </w:t>
      </w:r>
      <w:proofErr w:type="gramStart"/>
      <w:r w:rsidRPr="00231C1C">
        <w:rPr>
          <w:rFonts w:ascii="Arial" w:hAnsi="Arial" w:cs="Arial"/>
          <w:b/>
          <w:szCs w:val="24"/>
        </w:rPr>
        <w:t>schools</w:t>
      </w:r>
      <w:proofErr w:type="gramEnd"/>
      <w:r w:rsidRPr="00231C1C">
        <w:rPr>
          <w:rFonts w:ascii="Arial" w:hAnsi="Arial" w:cs="Arial"/>
          <w:b/>
          <w:szCs w:val="24"/>
        </w:rPr>
        <w:t xml:space="preserve"> top-up funding</w:t>
      </w:r>
      <w:r w:rsidRPr="00433EDF">
        <w:rPr>
          <w:rFonts w:ascii="Arial" w:hAnsi="Arial" w:cs="Arial"/>
          <w:szCs w:val="24"/>
        </w:rPr>
        <w:t xml:space="preserve"> – overspend of £</w:t>
      </w:r>
      <w:r w:rsidRPr="00433EDF" w:rsidR="005252B0">
        <w:rPr>
          <w:rFonts w:ascii="Arial" w:hAnsi="Arial" w:cs="Arial"/>
          <w:szCs w:val="24"/>
        </w:rPr>
        <w:t>10.0</w:t>
      </w:r>
      <w:r w:rsidRPr="00433EDF">
        <w:rPr>
          <w:rFonts w:ascii="Arial" w:hAnsi="Arial" w:cs="Arial"/>
          <w:szCs w:val="24"/>
        </w:rPr>
        <w:t>m; the pressure represents a</w:t>
      </w:r>
      <w:r w:rsidR="00D3194C">
        <w:rPr>
          <w:rFonts w:ascii="Arial" w:hAnsi="Arial" w:cs="Arial"/>
          <w:szCs w:val="24"/>
        </w:rPr>
        <w:t xml:space="preserve">n increase in </w:t>
      </w:r>
      <w:r w:rsidR="009B4CDD">
        <w:rPr>
          <w:rFonts w:ascii="Arial" w:hAnsi="Arial" w:cs="Arial"/>
          <w:szCs w:val="24"/>
        </w:rPr>
        <w:t xml:space="preserve">top up </w:t>
      </w:r>
      <w:r w:rsidR="00D3194C">
        <w:rPr>
          <w:rFonts w:ascii="Arial" w:hAnsi="Arial" w:cs="Arial"/>
          <w:szCs w:val="24"/>
        </w:rPr>
        <w:t>costs following</w:t>
      </w:r>
      <w:r w:rsidRPr="00433EDF">
        <w:rPr>
          <w:rFonts w:ascii="Arial" w:hAnsi="Arial" w:cs="Arial"/>
          <w:szCs w:val="24"/>
        </w:rPr>
        <w:t xml:space="preserve"> the implementation of the new </w:t>
      </w:r>
      <w:r w:rsidR="00D3194C">
        <w:rPr>
          <w:rFonts w:ascii="Arial" w:hAnsi="Arial" w:cs="Arial"/>
          <w:szCs w:val="24"/>
        </w:rPr>
        <w:t>special scho</w:t>
      </w:r>
      <w:r w:rsidR="0097392F">
        <w:rPr>
          <w:rFonts w:ascii="Arial" w:hAnsi="Arial" w:cs="Arial"/>
          <w:szCs w:val="24"/>
        </w:rPr>
        <w:t xml:space="preserve">ol </w:t>
      </w:r>
      <w:r w:rsidR="00873A04">
        <w:rPr>
          <w:rFonts w:ascii="Arial" w:hAnsi="Arial" w:cs="Arial"/>
          <w:szCs w:val="24"/>
        </w:rPr>
        <w:t xml:space="preserve">funding </w:t>
      </w:r>
      <w:r w:rsidRPr="00433EDF">
        <w:rPr>
          <w:rFonts w:ascii="Arial" w:hAnsi="Arial" w:cs="Arial"/>
          <w:szCs w:val="24"/>
        </w:rPr>
        <w:t xml:space="preserve">framework </w:t>
      </w:r>
      <w:r w:rsidR="00F2075B">
        <w:rPr>
          <w:rFonts w:ascii="Arial" w:hAnsi="Arial" w:cs="Arial"/>
          <w:szCs w:val="24"/>
        </w:rPr>
        <w:t>which funds more special school</w:t>
      </w:r>
      <w:r w:rsidRPr="00433EDF">
        <w:rPr>
          <w:rFonts w:ascii="Arial" w:hAnsi="Arial" w:cs="Arial"/>
          <w:szCs w:val="24"/>
        </w:rPr>
        <w:t xml:space="preserve"> funding </w:t>
      </w:r>
      <w:r w:rsidR="00F2075B">
        <w:rPr>
          <w:rFonts w:ascii="Arial" w:hAnsi="Arial" w:cs="Arial"/>
          <w:szCs w:val="24"/>
        </w:rPr>
        <w:t xml:space="preserve">through top up </w:t>
      </w:r>
      <w:r w:rsidR="00F134B0">
        <w:rPr>
          <w:rFonts w:ascii="Arial" w:hAnsi="Arial" w:cs="Arial"/>
          <w:szCs w:val="24"/>
        </w:rPr>
        <w:t xml:space="preserve">rather than </w:t>
      </w:r>
      <w:r w:rsidR="00167B47">
        <w:rPr>
          <w:rFonts w:ascii="Arial" w:hAnsi="Arial" w:cs="Arial"/>
          <w:szCs w:val="24"/>
        </w:rPr>
        <w:t>place related</w:t>
      </w:r>
      <w:r w:rsidRPr="00433EDF">
        <w:rPr>
          <w:rFonts w:ascii="Arial" w:hAnsi="Arial" w:cs="Arial"/>
          <w:szCs w:val="24"/>
        </w:rPr>
        <w:t xml:space="preserve"> funding</w:t>
      </w:r>
      <w:r w:rsidR="00560AC8">
        <w:rPr>
          <w:rFonts w:ascii="Arial" w:hAnsi="Arial" w:cs="Arial"/>
          <w:szCs w:val="24"/>
        </w:rPr>
        <w:t xml:space="preserve">.  </w:t>
      </w:r>
      <w:r w:rsidR="005E2B13">
        <w:rPr>
          <w:rFonts w:ascii="Arial" w:hAnsi="Arial" w:cs="Arial"/>
          <w:szCs w:val="24"/>
        </w:rPr>
        <w:t>The outturn includes</w:t>
      </w:r>
      <w:r w:rsidRPr="00433EDF">
        <w:rPr>
          <w:rFonts w:ascii="Arial" w:hAnsi="Arial" w:cs="Arial"/>
          <w:szCs w:val="24"/>
        </w:rPr>
        <w:t xml:space="preserve"> </w:t>
      </w:r>
      <w:r w:rsidRPr="00433EDF" w:rsidR="00EB2713">
        <w:rPr>
          <w:rFonts w:ascii="Arial" w:hAnsi="Arial" w:cs="Arial"/>
          <w:szCs w:val="24"/>
        </w:rPr>
        <w:t>£6</w:t>
      </w:r>
      <w:r w:rsidRPr="00433EDF" w:rsidR="00EE5175">
        <w:rPr>
          <w:rFonts w:ascii="Arial" w:hAnsi="Arial" w:cs="Arial"/>
          <w:szCs w:val="24"/>
        </w:rPr>
        <w:t>12,000 for exceptional protection agreed for the first year of the framework</w:t>
      </w:r>
      <w:r w:rsidRPr="00433EDF" w:rsidR="00433EDF">
        <w:rPr>
          <w:rFonts w:ascii="Arial" w:hAnsi="Arial" w:cs="Arial"/>
          <w:szCs w:val="24"/>
        </w:rPr>
        <w:t xml:space="preserve">. </w:t>
      </w:r>
      <w:r w:rsidR="006236A2">
        <w:rPr>
          <w:rFonts w:ascii="Arial" w:hAnsi="Arial" w:cs="Arial"/>
          <w:szCs w:val="24"/>
        </w:rPr>
        <w:t xml:space="preserve"> </w:t>
      </w:r>
      <w:r w:rsidR="00995C56">
        <w:rPr>
          <w:rFonts w:ascii="Arial" w:hAnsi="Arial" w:cs="Arial"/>
          <w:szCs w:val="24"/>
        </w:rPr>
        <w:t xml:space="preserve">There also </w:t>
      </w:r>
      <w:r w:rsidRPr="00433EDF">
        <w:rPr>
          <w:rFonts w:ascii="Arial" w:hAnsi="Arial" w:cs="Arial"/>
          <w:szCs w:val="24"/>
        </w:rPr>
        <w:t>continue</w:t>
      </w:r>
      <w:r w:rsidR="00093A24">
        <w:rPr>
          <w:rFonts w:ascii="Arial" w:hAnsi="Arial" w:cs="Arial"/>
          <w:szCs w:val="24"/>
        </w:rPr>
        <w:t>s</w:t>
      </w:r>
      <w:r w:rsidRPr="00433EDF">
        <w:rPr>
          <w:rFonts w:ascii="Arial" w:hAnsi="Arial" w:cs="Arial"/>
          <w:szCs w:val="24"/>
        </w:rPr>
        <w:t xml:space="preserve"> </w:t>
      </w:r>
      <w:r w:rsidR="00995C56">
        <w:rPr>
          <w:rFonts w:ascii="Arial" w:hAnsi="Arial" w:cs="Arial"/>
          <w:szCs w:val="24"/>
        </w:rPr>
        <w:t xml:space="preserve">to be an </w:t>
      </w:r>
      <w:r w:rsidRPr="00433EDF">
        <w:rPr>
          <w:rFonts w:ascii="Arial" w:hAnsi="Arial" w:cs="Arial"/>
          <w:szCs w:val="24"/>
        </w:rPr>
        <w:t xml:space="preserve">increase in demand </w:t>
      </w:r>
      <w:r w:rsidR="00231101">
        <w:rPr>
          <w:rFonts w:ascii="Arial" w:hAnsi="Arial" w:cs="Arial"/>
          <w:szCs w:val="24"/>
        </w:rPr>
        <w:t xml:space="preserve">and levels of </w:t>
      </w:r>
      <w:r w:rsidR="00184E36">
        <w:rPr>
          <w:rFonts w:ascii="Arial" w:hAnsi="Arial" w:cs="Arial"/>
          <w:szCs w:val="24"/>
        </w:rPr>
        <w:t xml:space="preserve">need </w:t>
      </w:r>
      <w:r w:rsidR="001875A6">
        <w:rPr>
          <w:rFonts w:ascii="Arial" w:hAnsi="Arial" w:cs="Arial"/>
          <w:szCs w:val="24"/>
        </w:rPr>
        <w:t>complexity</w:t>
      </w:r>
      <w:r w:rsidR="00184E36">
        <w:rPr>
          <w:rFonts w:ascii="Arial" w:hAnsi="Arial" w:cs="Arial"/>
          <w:szCs w:val="24"/>
        </w:rPr>
        <w:t xml:space="preserve"> being supported</w:t>
      </w:r>
      <w:r w:rsidR="0094093F">
        <w:rPr>
          <w:rFonts w:ascii="Arial" w:hAnsi="Arial" w:cs="Arial"/>
          <w:szCs w:val="24"/>
        </w:rPr>
        <w:t xml:space="preserve"> </w:t>
      </w:r>
      <w:r w:rsidR="00C41B53">
        <w:rPr>
          <w:rFonts w:ascii="Arial" w:hAnsi="Arial" w:cs="Arial"/>
          <w:szCs w:val="24"/>
        </w:rPr>
        <w:t>with £1</w:t>
      </w:r>
      <w:r w:rsidR="00B47BB1">
        <w:rPr>
          <w:rFonts w:ascii="Arial" w:hAnsi="Arial" w:cs="Arial"/>
          <w:szCs w:val="24"/>
        </w:rPr>
        <w:t xml:space="preserve">m of the recorded pressure related to </w:t>
      </w:r>
      <w:r w:rsidR="00601BE1">
        <w:rPr>
          <w:rFonts w:ascii="Arial" w:hAnsi="Arial" w:cs="Arial"/>
          <w:szCs w:val="24"/>
        </w:rPr>
        <w:t xml:space="preserve">pupils </w:t>
      </w:r>
      <w:r w:rsidR="00BE6335">
        <w:rPr>
          <w:rFonts w:ascii="Arial" w:hAnsi="Arial" w:cs="Arial"/>
          <w:szCs w:val="24"/>
        </w:rPr>
        <w:t>top up band</w:t>
      </w:r>
      <w:r w:rsidR="004F4251">
        <w:rPr>
          <w:rFonts w:ascii="Arial" w:hAnsi="Arial" w:cs="Arial"/>
          <w:szCs w:val="24"/>
        </w:rPr>
        <w:t xml:space="preserve">ing </w:t>
      </w:r>
      <w:r w:rsidR="00573FAA">
        <w:rPr>
          <w:rFonts w:ascii="Arial" w:hAnsi="Arial" w:cs="Arial"/>
          <w:szCs w:val="24"/>
        </w:rPr>
        <w:t>moving up the scale</w:t>
      </w:r>
      <w:r w:rsidR="007E3056">
        <w:rPr>
          <w:rFonts w:ascii="Arial" w:hAnsi="Arial" w:cs="Arial"/>
          <w:szCs w:val="24"/>
        </w:rPr>
        <w:t xml:space="preserve"> on </w:t>
      </w:r>
      <w:r w:rsidR="001C5411">
        <w:rPr>
          <w:rFonts w:ascii="Arial" w:hAnsi="Arial" w:cs="Arial"/>
          <w:szCs w:val="24"/>
        </w:rPr>
        <w:t>average</w:t>
      </w:r>
      <w:r w:rsidRPr="00433EDF">
        <w:rPr>
          <w:rFonts w:ascii="Arial" w:hAnsi="Arial" w:cs="Arial"/>
          <w:szCs w:val="24"/>
        </w:rPr>
        <w:t xml:space="preserve">. </w:t>
      </w:r>
    </w:p>
    <w:p w:rsidRPr="00D21B34" w:rsidR="00BB7AF2" w:rsidP="00BB7AF2" w:rsidRDefault="00BB7AF2" w14:paraId="416743DE" w14:textId="5E958643">
      <w:pPr>
        <w:pStyle w:val="Heading3"/>
        <w:keepNext w:val="0"/>
        <w:numPr>
          <w:ilvl w:val="0"/>
          <w:numId w:val="13"/>
        </w:numPr>
        <w:ind w:left="993" w:hanging="357"/>
        <w:jc w:val="left"/>
        <w:rPr>
          <w:rFonts w:ascii="Arial" w:hAnsi="Arial" w:cs="Arial"/>
          <w:szCs w:val="24"/>
        </w:rPr>
      </w:pPr>
      <w:r w:rsidRPr="005A6959">
        <w:rPr>
          <w:rFonts w:ascii="Arial" w:hAnsi="Arial" w:cs="Arial"/>
          <w:b/>
          <w:szCs w:val="24"/>
        </w:rPr>
        <w:t>Resourced provision (RP) top-up funding</w:t>
      </w:r>
      <w:r w:rsidRPr="00D21B34">
        <w:rPr>
          <w:rFonts w:ascii="Arial" w:hAnsi="Arial" w:cs="Arial"/>
          <w:szCs w:val="24"/>
        </w:rPr>
        <w:t xml:space="preserve"> – overspend of £6</w:t>
      </w:r>
      <w:r w:rsidRPr="00D21B34" w:rsidR="00433EDF">
        <w:rPr>
          <w:rFonts w:ascii="Arial" w:hAnsi="Arial" w:cs="Arial"/>
          <w:szCs w:val="24"/>
        </w:rPr>
        <w:t>6</w:t>
      </w:r>
      <w:r w:rsidRPr="00D21B34">
        <w:rPr>
          <w:rFonts w:ascii="Arial" w:hAnsi="Arial" w:cs="Arial"/>
          <w:szCs w:val="24"/>
        </w:rPr>
        <w:t>2,000: this represents a continued increase in demand for places</w:t>
      </w:r>
      <w:r w:rsidR="00595A4D">
        <w:rPr>
          <w:rFonts w:ascii="Arial" w:hAnsi="Arial" w:cs="Arial"/>
          <w:szCs w:val="24"/>
        </w:rPr>
        <w:t xml:space="preserve"> and increase t</w:t>
      </w:r>
      <w:r w:rsidR="00F54CCE">
        <w:rPr>
          <w:rFonts w:ascii="Arial" w:hAnsi="Arial" w:cs="Arial"/>
          <w:szCs w:val="24"/>
        </w:rPr>
        <w:t>o unit costs</w:t>
      </w:r>
      <w:r w:rsidRPr="00D21B34">
        <w:rPr>
          <w:rFonts w:ascii="Arial" w:hAnsi="Arial" w:cs="Arial"/>
          <w:szCs w:val="24"/>
        </w:rPr>
        <w:t xml:space="preserve">. </w:t>
      </w:r>
      <w:r w:rsidR="00DA1202">
        <w:rPr>
          <w:rFonts w:ascii="Arial" w:hAnsi="Arial" w:cs="Arial"/>
          <w:szCs w:val="24"/>
        </w:rPr>
        <w:t xml:space="preserve">The increase </w:t>
      </w:r>
      <w:r w:rsidR="00892DC3">
        <w:rPr>
          <w:rFonts w:ascii="Arial" w:hAnsi="Arial" w:cs="Arial"/>
          <w:szCs w:val="24"/>
        </w:rPr>
        <w:t>to average costs includes t</w:t>
      </w:r>
      <w:r w:rsidRPr="00D21B34">
        <w:rPr>
          <w:rFonts w:ascii="Arial" w:hAnsi="Arial" w:cs="Arial"/>
          <w:szCs w:val="24"/>
        </w:rPr>
        <w:t xml:space="preserve">he inflationary uplift of top-up rates along with an unbudgeted increase in funding for social, emotional and mental health difficulties which </w:t>
      </w:r>
      <w:proofErr w:type="gramStart"/>
      <w:r w:rsidRPr="00D21B34">
        <w:rPr>
          <w:rFonts w:ascii="Arial" w:hAnsi="Arial" w:cs="Arial"/>
          <w:szCs w:val="24"/>
        </w:rPr>
        <w:t>accounts</w:t>
      </w:r>
      <w:proofErr w:type="gramEnd"/>
      <w:r w:rsidRPr="00D21B34">
        <w:rPr>
          <w:rFonts w:ascii="Arial" w:hAnsi="Arial" w:cs="Arial"/>
          <w:szCs w:val="24"/>
        </w:rPr>
        <w:t xml:space="preserve"> for £573,000 of the above pressure. </w:t>
      </w:r>
      <w:r w:rsidRPr="00D21B34" w:rsidR="001C5371">
        <w:rPr>
          <w:rFonts w:ascii="Arial" w:hAnsi="Arial" w:cs="Arial"/>
          <w:szCs w:val="24"/>
        </w:rPr>
        <w:t xml:space="preserve">The outturn includes over-occupancy funding for 35 places where some </w:t>
      </w:r>
      <w:proofErr w:type="gramStart"/>
      <w:r w:rsidRPr="00D21B34" w:rsidR="001C5371">
        <w:rPr>
          <w:rFonts w:ascii="Arial" w:hAnsi="Arial" w:cs="Arial"/>
          <w:szCs w:val="24"/>
        </w:rPr>
        <w:t>resourced</w:t>
      </w:r>
      <w:proofErr w:type="gramEnd"/>
      <w:r w:rsidRPr="00D21B34" w:rsidR="001C5371">
        <w:rPr>
          <w:rFonts w:ascii="Arial" w:hAnsi="Arial" w:cs="Arial"/>
          <w:szCs w:val="24"/>
        </w:rPr>
        <w:t xml:space="preserve"> provisions have exceeded their agreed place numbers.</w:t>
      </w:r>
    </w:p>
    <w:p w:rsidRPr="00E6579B" w:rsidR="00BB7AF2" w:rsidP="00BB7AF2" w:rsidRDefault="00BB7AF2" w14:paraId="31A36C7F" w14:textId="5C0C37BA">
      <w:pPr>
        <w:pStyle w:val="ListParagraph"/>
        <w:numPr>
          <w:ilvl w:val="0"/>
          <w:numId w:val="13"/>
        </w:numPr>
        <w:spacing w:after="120"/>
        <w:ind w:left="993"/>
        <w:rPr>
          <w:rFonts w:ascii="Arial" w:hAnsi="Arial" w:cs="Arial"/>
          <w:sz w:val="24"/>
          <w:szCs w:val="24"/>
        </w:rPr>
      </w:pPr>
      <w:r w:rsidRPr="001C5411">
        <w:rPr>
          <w:rFonts w:ascii="Arial" w:hAnsi="Arial" w:cs="Arial"/>
          <w:b/>
          <w:sz w:val="24"/>
          <w:szCs w:val="24"/>
        </w:rPr>
        <w:t xml:space="preserve">Mainstream </w:t>
      </w:r>
      <w:proofErr w:type="gramStart"/>
      <w:r w:rsidRPr="001C5411">
        <w:rPr>
          <w:rFonts w:ascii="Arial" w:hAnsi="Arial" w:cs="Arial"/>
          <w:b/>
          <w:sz w:val="24"/>
          <w:szCs w:val="24"/>
        </w:rPr>
        <w:t>schools</w:t>
      </w:r>
      <w:proofErr w:type="gramEnd"/>
      <w:r w:rsidRPr="001C5411">
        <w:rPr>
          <w:rFonts w:ascii="Arial" w:hAnsi="Arial" w:cs="Arial"/>
          <w:b/>
          <w:sz w:val="24"/>
          <w:szCs w:val="24"/>
        </w:rPr>
        <w:t xml:space="preserve"> top-up funding</w:t>
      </w:r>
      <w:r w:rsidRPr="00E6579B">
        <w:rPr>
          <w:rFonts w:ascii="Arial" w:hAnsi="Arial" w:cs="Arial"/>
          <w:sz w:val="24"/>
          <w:szCs w:val="24"/>
        </w:rPr>
        <w:t xml:space="preserve"> – overspend of £11.</w:t>
      </w:r>
      <w:r w:rsidRPr="00E6579B" w:rsidR="009832E0">
        <w:rPr>
          <w:rFonts w:ascii="Arial" w:hAnsi="Arial" w:cs="Arial"/>
          <w:sz w:val="24"/>
          <w:szCs w:val="24"/>
        </w:rPr>
        <w:t>6</w:t>
      </w:r>
      <w:r w:rsidRPr="00E6579B">
        <w:rPr>
          <w:rFonts w:ascii="Arial" w:hAnsi="Arial" w:cs="Arial"/>
          <w:sz w:val="24"/>
          <w:szCs w:val="24"/>
        </w:rPr>
        <w:t xml:space="preserve">m: there </w:t>
      </w:r>
      <w:r w:rsidRPr="00E6579B" w:rsidR="009832E0">
        <w:rPr>
          <w:rFonts w:ascii="Arial" w:hAnsi="Arial" w:cs="Arial"/>
          <w:sz w:val="24"/>
          <w:szCs w:val="24"/>
        </w:rPr>
        <w:t>has been</w:t>
      </w:r>
      <w:r w:rsidRPr="00E6579B">
        <w:rPr>
          <w:rFonts w:ascii="Arial" w:hAnsi="Arial" w:cs="Arial"/>
          <w:sz w:val="24"/>
          <w:szCs w:val="24"/>
        </w:rPr>
        <w:t xml:space="preserve"> a significant increase in mainstream school top-up funding, with an increase of £5.</w:t>
      </w:r>
      <w:r w:rsidRPr="00E6579B" w:rsidR="00E6579B">
        <w:rPr>
          <w:rFonts w:ascii="Arial" w:hAnsi="Arial" w:cs="Arial"/>
          <w:sz w:val="24"/>
          <w:szCs w:val="24"/>
        </w:rPr>
        <w:t>5</w:t>
      </w:r>
      <w:r w:rsidRPr="00E6579B">
        <w:rPr>
          <w:rFonts w:ascii="Arial" w:hAnsi="Arial" w:cs="Arial"/>
          <w:sz w:val="24"/>
          <w:szCs w:val="24"/>
        </w:rPr>
        <w:t>m compared to the 2023/24 outturn (+1</w:t>
      </w:r>
      <w:r w:rsidRPr="00E6579B" w:rsidR="00E6579B">
        <w:rPr>
          <w:rFonts w:ascii="Arial" w:hAnsi="Arial" w:cs="Arial"/>
          <w:sz w:val="24"/>
          <w:szCs w:val="24"/>
        </w:rPr>
        <w:t>8</w:t>
      </w:r>
      <w:r w:rsidRPr="00E6579B">
        <w:rPr>
          <w:rFonts w:ascii="Arial" w:hAnsi="Arial" w:cs="Arial"/>
          <w:sz w:val="24"/>
          <w:szCs w:val="24"/>
        </w:rPr>
        <w:t>%) due to higher pupil numbers and continued growth in the complexity of needs being supported.</w:t>
      </w:r>
      <w:r w:rsidR="004D20C8">
        <w:rPr>
          <w:rFonts w:ascii="Arial" w:hAnsi="Arial" w:cs="Arial"/>
          <w:sz w:val="24"/>
          <w:szCs w:val="24"/>
        </w:rPr>
        <w:t xml:space="preserve">  Some of the additional </w:t>
      </w:r>
      <w:r w:rsidR="00312490">
        <w:rPr>
          <w:rFonts w:ascii="Arial" w:hAnsi="Arial" w:cs="Arial"/>
          <w:sz w:val="24"/>
          <w:szCs w:val="24"/>
        </w:rPr>
        <w:t>costs</w:t>
      </w:r>
      <w:r w:rsidR="004D20C8">
        <w:rPr>
          <w:rFonts w:ascii="Arial" w:hAnsi="Arial" w:cs="Arial"/>
          <w:sz w:val="24"/>
          <w:szCs w:val="24"/>
        </w:rPr>
        <w:t xml:space="preserve"> relating to increased complexity </w:t>
      </w:r>
      <w:proofErr w:type="gramStart"/>
      <w:r w:rsidR="004D20C8">
        <w:rPr>
          <w:rFonts w:ascii="Arial" w:hAnsi="Arial" w:cs="Arial"/>
          <w:sz w:val="24"/>
          <w:szCs w:val="24"/>
        </w:rPr>
        <w:t>is</w:t>
      </w:r>
      <w:proofErr w:type="gramEnd"/>
      <w:r w:rsidR="004D20C8">
        <w:rPr>
          <w:rFonts w:ascii="Arial" w:hAnsi="Arial" w:cs="Arial"/>
          <w:sz w:val="24"/>
          <w:szCs w:val="24"/>
        </w:rPr>
        <w:t xml:space="preserve"> reflected within the discretionary spending budget rather than within top up.</w:t>
      </w:r>
    </w:p>
    <w:p w:rsidRPr="0007394D" w:rsidR="00BB7AF2" w:rsidP="00BB7AF2" w:rsidRDefault="00BB7AF2" w14:paraId="65861D99" w14:textId="4318A24F">
      <w:pPr>
        <w:pStyle w:val="ListParagraph"/>
        <w:numPr>
          <w:ilvl w:val="0"/>
          <w:numId w:val="13"/>
        </w:numPr>
        <w:spacing w:after="120"/>
        <w:ind w:left="993"/>
        <w:rPr>
          <w:rFonts w:ascii="Arial" w:hAnsi="Arial" w:cs="Arial"/>
          <w:sz w:val="24"/>
          <w:szCs w:val="24"/>
        </w:rPr>
      </w:pPr>
      <w:r w:rsidRPr="00F33A77">
        <w:rPr>
          <w:rFonts w:ascii="Arial" w:hAnsi="Arial" w:cs="Arial"/>
          <w:b/>
          <w:sz w:val="24"/>
          <w:szCs w:val="24"/>
        </w:rPr>
        <w:t>Education centres top-up funding</w:t>
      </w:r>
      <w:r w:rsidRPr="0007394D">
        <w:rPr>
          <w:rFonts w:ascii="Arial" w:hAnsi="Arial" w:cs="Arial"/>
          <w:sz w:val="24"/>
          <w:szCs w:val="24"/>
        </w:rPr>
        <w:t xml:space="preserve"> – overspend of </w:t>
      </w:r>
      <w:r w:rsidRPr="0007394D" w:rsidR="005C5731">
        <w:rPr>
          <w:rFonts w:ascii="Arial" w:hAnsi="Arial" w:cs="Arial"/>
          <w:sz w:val="24"/>
          <w:szCs w:val="24"/>
        </w:rPr>
        <w:t>£938,000</w:t>
      </w:r>
      <w:r w:rsidRPr="0007394D">
        <w:rPr>
          <w:rFonts w:ascii="Arial" w:hAnsi="Arial" w:cs="Arial"/>
          <w:sz w:val="24"/>
          <w:szCs w:val="24"/>
        </w:rPr>
        <w:t xml:space="preserve">. This overspend mainly stems from growth in demand. </w:t>
      </w:r>
    </w:p>
    <w:p w:rsidRPr="001815EB" w:rsidR="00BB7AF2" w:rsidP="00BB7AF2" w:rsidRDefault="00BB7AF2" w14:paraId="652A7223" w14:textId="298B43C3">
      <w:pPr>
        <w:pStyle w:val="Heading3"/>
        <w:keepNext w:val="0"/>
        <w:numPr>
          <w:ilvl w:val="0"/>
          <w:numId w:val="13"/>
        </w:numPr>
        <w:ind w:left="993" w:hanging="357"/>
        <w:jc w:val="left"/>
        <w:rPr>
          <w:rFonts w:ascii="Arial" w:hAnsi="Arial" w:cs="Arial"/>
          <w:szCs w:val="24"/>
        </w:rPr>
      </w:pPr>
      <w:r w:rsidRPr="00A557CB">
        <w:rPr>
          <w:rFonts w:ascii="Arial" w:hAnsi="Arial" w:cs="Arial"/>
          <w:b/>
          <w:szCs w:val="24"/>
        </w:rPr>
        <w:t>Pupils in Other Local Authorities (OLA) top-up funding</w:t>
      </w:r>
      <w:r w:rsidRPr="001815EB">
        <w:rPr>
          <w:rFonts w:ascii="Arial" w:hAnsi="Arial" w:cs="Arial"/>
          <w:szCs w:val="24"/>
        </w:rPr>
        <w:t xml:space="preserve"> – overspend of £</w:t>
      </w:r>
      <w:r w:rsidRPr="001815EB" w:rsidR="00C1711B">
        <w:rPr>
          <w:rFonts w:ascii="Arial" w:hAnsi="Arial" w:cs="Arial"/>
          <w:szCs w:val="24"/>
        </w:rPr>
        <w:t>3.2</w:t>
      </w:r>
      <w:r w:rsidRPr="001815EB">
        <w:rPr>
          <w:rFonts w:ascii="Arial" w:hAnsi="Arial" w:cs="Arial"/>
          <w:szCs w:val="24"/>
        </w:rPr>
        <w:t xml:space="preserve">m: Growth in spend stems mainly from an increase in placements and average costs. </w:t>
      </w:r>
    </w:p>
    <w:p w:rsidRPr="00F93BC2" w:rsidR="00BB7AF2" w:rsidP="00BB7AF2" w:rsidRDefault="00BB7AF2" w14:paraId="286996B6" w14:textId="2E8D6629">
      <w:pPr>
        <w:numPr>
          <w:ilvl w:val="0"/>
          <w:numId w:val="13"/>
        </w:numPr>
        <w:ind w:left="993"/>
        <w:jc w:val="left"/>
        <w:rPr>
          <w:rFonts w:ascii="Arial" w:hAnsi="Arial" w:cs="Arial"/>
          <w:szCs w:val="24"/>
        </w:rPr>
      </w:pPr>
      <w:r w:rsidRPr="0095726A">
        <w:rPr>
          <w:rFonts w:ascii="Arial" w:hAnsi="Arial" w:cs="Arial"/>
          <w:b/>
          <w:szCs w:val="24"/>
        </w:rPr>
        <w:t>Discretionary payments</w:t>
      </w:r>
      <w:r w:rsidRPr="00F93BC2">
        <w:rPr>
          <w:rFonts w:ascii="Arial" w:hAnsi="Arial" w:cs="Arial"/>
          <w:szCs w:val="24"/>
        </w:rPr>
        <w:t xml:space="preserve"> – overspend of £</w:t>
      </w:r>
      <w:r w:rsidRPr="00F93BC2" w:rsidR="00F23D38">
        <w:rPr>
          <w:rFonts w:ascii="Arial" w:hAnsi="Arial" w:cs="Arial"/>
          <w:szCs w:val="24"/>
        </w:rPr>
        <w:t>14.4</w:t>
      </w:r>
      <w:r w:rsidRPr="00F93BC2">
        <w:rPr>
          <w:rFonts w:ascii="Arial" w:hAnsi="Arial" w:cs="Arial"/>
          <w:szCs w:val="24"/>
        </w:rPr>
        <w:t xml:space="preserve">m: the primary purpose of this budget is to put bespoke packages in place for pupils in their mainstream or special school environment and to avoid escalation resulting in the need to </w:t>
      </w:r>
      <w:r w:rsidR="00D51B2F">
        <w:rPr>
          <w:rFonts w:ascii="Arial" w:hAnsi="Arial" w:cs="Arial"/>
          <w:szCs w:val="24"/>
        </w:rPr>
        <w:t>m</w:t>
      </w:r>
      <w:r w:rsidR="008E5D8C">
        <w:rPr>
          <w:rFonts w:ascii="Arial" w:hAnsi="Arial" w:cs="Arial"/>
          <w:szCs w:val="24"/>
        </w:rPr>
        <w:t>ove their provision</w:t>
      </w:r>
      <w:r w:rsidR="0004709F">
        <w:rPr>
          <w:rFonts w:ascii="Arial" w:hAnsi="Arial" w:cs="Arial"/>
          <w:szCs w:val="24"/>
        </w:rPr>
        <w:t>.</w:t>
      </w:r>
      <w:r w:rsidRPr="00F93BC2">
        <w:rPr>
          <w:rFonts w:ascii="Arial" w:hAnsi="Arial" w:cs="Arial"/>
          <w:szCs w:val="24"/>
        </w:rPr>
        <w:t xml:space="preserve"> The overall increase in the number of pupils with an EHCP </w:t>
      </w:r>
      <w:r w:rsidR="00BD5941">
        <w:rPr>
          <w:rFonts w:ascii="Arial" w:hAnsi="Arial" w:cs="Arial"/>
          <w:szCs w:val="24"/>
        </w:rPr>
        <w:t xml:space="preserve">and the complexity of the needs being identified </w:t>
      </w:r>
      <w:r w:rsidRPr="00F93BC2">
        <w:rPr>
          <w:rFonts w:ascii="Arial" w:hAnsi="Arial" w:cs="Arial"/>
          <w:szCs w:val="24"/>
        </w:rPr>
        <w:t xml:space="preserve">has resulted in the need for significantly more calls from this budget, particularly for pupils in mainstream schools.  This </w:t>
      </w:r>
      <w:r w:rsidRPr="00F93BC2" w:rsidR="00FC3CDB">
        <w:rPr>
          <w:rFonts w:ascii="Arial" w:hAnsi="Arial" w:cs="Arial"/>
          <w:szCs w:val="24"/>
        </w:rPr>
        <w:t>outturn</w:t>
      </w:r>
      <w:r w:rsidRPr="00F93BC2">
        <w:rPr>
          <w:rFonts w:ascii="Arial" w:hAnsi="Arial" w:cs="Arial"/>
          <w:szCs w:val="24"/>
        </w:rPr>
        <w:t xml:space="preserve"> reflects the continuing exponential growth in demand from this budget over seven years, with an average year on year growth of </w:t>
      </w:r>
      <w:r w:rsidRPr="00F93BC2" w:rsidR="0009379B">
        <w:rPr>
          <w:rFonts w:ascii="Arial" w:hAnsi="Arial" w:cs="Arial"/>
          <w:szCs w:val="24"/>
        </w:rPr>
        <w:t>3</w:t>
      </w:r>
      <w:r w:rsidRPr="00F93BC2">
        <w:rPr>
          <w:rFonts w:ascii="Arial" w:hAnsi="Arial" w:cs="Arial"/>
          <w:szCs w:val="24"/>
        </w:rPr>
        <w:t xml:space="preserve">9%, however this </w:t>
      </w:r>
      <w:r w:rsidRPr="00F93BC2" w:rsidR="00F93BC2">
        <w:rPr>
          <w:rFonts w:ascii="Arial" w:hAnsi="Arial" w:cs="Arial"/>
          <w:szCs w:val="24"/>
        </w:rPr>
        <w:t>outturn</w:t>
      </w:r>
      <w:r w:rsidRPr="00F93BC2">
        <w:rPr>
          <w:rFonts w:ascii="Arial" w:hAnsi="Arial" w:cs="Arial"/>
          <w:szCs w:val="24"/>
        </w:rPr>
        <w:t xml:space="preserve"> represents </w:t>
      </w:r>
      <w:r w:rsidRPr="00F93BC2" w:rsidR="00F93BC2">
        <w:rPr>
          <w:rFonts w:ascii="Arial" w:hAnsi="Arial" w:cs="Arial"/>
          <w:szCs w:val="24"/>
        </w:rPr>
        <w:t>71</w:t>
      </w:r>
      <w:r w:rsidRPr="00F93BC2">
        <w:rPr>
          <w:rFonts w:ascii="Arial" w:hAnsi="Arial" w:cs="Arial"/>
          <w:szCs w:val="24"/>
        </w:rPr>
        <w:t xml:space="preserve">% growth compared with 2023/24 outturn. </w:t>
      </w:r>
    </w:p>
    <w:p w:rsidRPr="00FC0457" w:rsidR="00672808" w:rsidP="00DA1E53" w:rsidRDefault="00A20AD1" w14:paraId="44DA8507" w14:textId="3679D82A">
      <w:pPr>
        <w:pStyle w:val="Heading2"/>
        <w:keepNext w:val="0"/>
        <w:tabs>
          <w:tab w:val="clear" w:pos="576"/>
          <w:tab w:val="num" w:pos="426"/>
        </w:tabs>
        <w:ind w:left="426" w:hanging="568"/>
        <w:jc w:val="left"/>
        <w:rPr>
          <w:rStyle w:val="normaltextrun"/>
          <w:rFonts w:ascii="Arial" w:hAnsi="Arial" w:cs="Arial"/>
          <w:color w:val="000000" w:themeColor="text1"/>
        </w:rPr>
      </w:pPr>
      <w:r w:rsidRPr="00FC0457">
        <w:rPr>
          <w:rStyle w:val="normaltextrun"/>
          <w:rFonts w:ascii="Arial" w:hAnsi="Arial" w:cs="Arial"/>
          <w:color w:val="000000" w:themeColor="text1"/>
        </w:rPr>
        <w:t>Other material variances within the High Needs Block include:</w:t>
      </w:r>
      <w:r w:rsidRPr="00FC0457" w:rsidR="00DA1E53">
        <w:rPr>
          <w:rStyle w:val="normaltextrun"/>
          <w:rFonts w:ascii="Arial" w:hAnsi="Arial" w:cs="Arial"/>
          <w:color w:val="000000" w:themeColor="text1"/>
        </w:rPr>
        <w:t xml:space="preserve"> </w:t>
      </w:r>
    </w:p>
    <w:p w:rsidRPr="00FC0457" w:rsidR="006F3AC0" w:rsidP="00E70E62" w:rsidRDefault="006F3AC0" w14:paraId="68C7D216" w14:textId="17BC3082">
      <w:pPr>
        <w:pStyle w:val="Heading2"/>
        <w:keepNext w:val="0"/>
        <w:numPr>
          <w:ilvl w:val="0"/>
          <w:numId w:val="10"/>
        </w:numPr>
        <w:tabs>
          <w:tab w:val="num" w:pos="851"/>
        </w:tabs>
        <w:ind w:left="851" w:hanging="425"/>
        <w:jc w:val="left"/>
        <w:rPr>
          <w:rStyle w:val="normaltextrun"/>
          <w:rFonts w:ascii="Arial" w:hAnsi="Arial" w:cs="Arial"/>
          <w:color w:val="000000" w:themeColor="text1"/>
        </w:rPr>
      </w:pPr>
      <w:r w:rsidRPr="00FC0457">
        <w:rPr>
          <w:rStyle w:val="normaltextrun"/>
          <w:rFonts w:ascii="Arial" w:hAnsi="Arial" w:cs="Arial"/>
          <w:b/>
          <w:bCs/>
          <w:color w:val="000000" w:themeColor="text1"/>
        </w:rPr>
        <w:t>SEN Support Services</w:t>
      </w:r>
      <w:r w:rsidRPr="00FC0457">
        <w:rPr>
          <w:rStyle w:val="normaltextrun"/>
          <w:rFonts w:ascii="Arial" w:hAnsi="Arial" w:cs="Arial"/>
          <w:color w:val="000000" w:themeColor="text1"/>
        </w:rPr>
        <w:t>: Underspend £813,000</w:t>
      </w:r>
      <w:r w:rsidRPr="00FC0457" w:rsidR="00803DF9">
        <w:rPr>
          <w:rStyle w:val="normaltextrun"/>
          <w:rFonts w:ascii="Arial" w:hAnsi="Arial" w:cs="Arial"/>
          <w:color w:val="000000" w:themeColor="text1"/>
        </w:rPr>
        <w:t xml:space="preserve">, </w:t>
      </w:r>
      <w:proofErr w:type="gramStart"/>
      <w:r w:rsidRPr="00FC0457" w:rsidR="00803DF9">
        <w:rPr>
          <w:rStyle w:val="normaltextrun"/>
          <w:rFonts w:ascii="Arial" w:hAnsi="Arial" w:cs="Arial"/>
          <w:color w:val="000000" w:themeColor="text1"/>
        </w:rPr>
        <w:t>the majority of</w:t>
      </w:r>
      <w:proofErr w:type="gramEnd"/>
      <w:r w:rsidRPr="00FC0457" w:rsidR="00803DF9">
        <w:rPr>
          <w:rStyle w:val="normaltextrun"/>
          <w:rFonts w:ascii="Arial" w:hAnsi="Arial" w:cs="Arial"/>
          <w:color w:val="000000" w:themeColor="text1"/>
        </w:rPr>
        <w:t xml:space="preserve"> this underspend relates to lower uptake </w:t>
      </w:r>
      <w:r w:rsidRPr="00FC0457" w:rsidR="00CE20F2">
        <w:rPr>
          <w:rStyle w:val="normaltextrun"/>
          <w:rFonts w:ascii="Arial" w:hAnsi="Arial" w:cs="Arial"/>
          <w:color w:val="000000" w:themeColor="text1"/>
        </w:rPr>
        <w:t>of SEN inclusion funding</w:t>
      </w:r>
      <w:r w:rsidRPr="00FC0457" w:rsidR="000B6F21">
        <w:rPr>
          <w:rStyle w:val="normaltextrun"/>
          <w:rFonts w:ascii="Arial" w:hAnsi="Arial" w:cs="Arial"/>
          <w:color w:val="000000" w:themeColor="text1"/>
        </w:rPr>
        <w:t xml:space="preserve"> (SENIF)</w:t>
      </w:r>
      <w:r w:rsidRPr="00FC0457" w:rsidR="00CE20F2">
        <w:rPr>
          <w:rStyle w:val="normaltextrun"/>
          <w:rFonts w:ascii="Arial" w:hAnsi="Arial" w:cs="Arial"/>
          <w:color w:val="000000" w:themeColor="text1"/>
        </w:rPr>
        <w:t xml:space="preserve"> for </w:t>
      </w:r>
      <w:r w:rsidRPr="00FC0457" w:rsidR="00FA6D0C">
        <w:rPr>
          <w:rStyle w:val="normaltextrun"/>
          <w:rFonts w:ascii="Arial" w:hAnsi="Arial" w:cs="Arial"/>
          <w:color w:val="000000" w:themeColor="text1"/>
        </w:rPr>
        <w:t>children with EHCPs in early years settings</w:t>
      </w:r>
      <w:r w:rsidRPr="00FC0457" w:rsidR="008F1029">
        <w:rPr>
          <w:rStyle w:val="normaltextrun"/>
          <w:rFonts w:ascii="Arial" w:hAnsi="Arial" w:cs="Arial"/>
          <w:color w:val="000000" w:themeColor="text1"/>
        </w:rPr>
        <w:t xml:space="preserve"> </w:t>
      </w:r>
      <w:r w:rsidRPr="00FC0457" w:rsidR="00EC089F">
        <w:rPr>
          <w:rStyle w:val="normaltextrun"/>
          <w:rFonts w:ascii="Arial" w:hAnsi="Arial" w:cs="Arial"/>
          <w:color w:val="000000" w:themeColor="text1"/>
        </w:rPr>
        <w:t>(£</w:t>
      </w:r>
      <w:r w:rsidRPr="00FC0457" w:rsidR="002345C4">
        <w:rPr>
          <w:rStyle w:val="normaltextrun"/>
          <w:rFonts w:ascii="Arial" w:hAnsi="Arial" w:cs="Arial"/>
          <w:color w:val="000000" w:themeColor="text1"/>
        </w:rPr>
        <w:t>359,000).</w:t>
      </w:r>
      <w:r w:rsidRPr="00FC0457" w:rsidR="00B634BA">
        <w:rPr>
          <w:rStyle w:val="normaltextrun"/>
          <w:rFonts w:ascii="Arial" w:hAnsi="Arial" w:cs="Arial"/>
          <w:color w:val="000000" w:themeColor="text1"/>
        </w:rPr>
        <w:t xml:space="preserve"> </w:t>
      </w:r>
      <w:r w:rsidRPr="00FC0457" w:rsidR="004B5D9F">
        <w:rPr>
          <w:rStyle w:val="normaltextrun"/>
          <w:rFonts w:ascii="Arial" w:hAnsi="Arial" w:cs="Arial"/>
          <w:color w:val="000000" w:themeColor="text1"/>
        </w:rPr>
        <w:t>D</w:t>
      </w:r>
      <w:r w:rsidRPr="00FC0457" w:rsidR="00B634BA">
        <w:rPr>
          <w:rStyle w:val="normaltextrun"/>
          <w:rFonts w:ascii="Arial" w:hAnsi="Arial" w:cs="Arial"/>
          <w:color w:val="000000" w:themeColor="text1"/>
        </w:rPr>
        <w:t xml:space="preserve">emand for </w:t>
      </w:r>
      <w:r w:rsidRPr="00FC0457" w:rsidR="000B6F21">
        <w:rPr>
          <w:rStyle w:val="normaltextrun"/>
          <w:rFonts w:ascii="Arial" w:hAnsi="Arial" w:cs="Arial"/>
          <w:color w:val="000000" w:themeColor="text1"/>
        </w:rPr>
        <w:t>SENIF in the high needs block</w:t>
      </w:r>
      <w:r w:rsidRPr="00FC0457" w:rsidR="00B634BA">
        <w:rPr>
          <w:rStyle w:val="normaltextrun"/>
          <w:rFonts w:ascii="Arial" w:hAnsi="Arial" w:cs="Arial"/>
          <w:color w:val="000000" w:themeColor="text1"/>
        </w:rPr>
        <w:t xml:space="preserve"> </w:t>
      </w:r>
      <w:r w:rsidRPr="00FC0457" w:rsidR="006849D3">
        <w:rPr>
          <w:rStyle w:val="normaltextrun"/>
          <w:rFonts w:ascii="Arial" w:hAnsi="Arial" w:cs="Arial"/>
          <w:color w:val="000000" w:themeColor="text1"/>
        </w:rPr>
        <w:t>is not yet following clear trends so difficult to predict</w:t>
      </w:r>
      <w:r w:rsidRPr="00FC0457" w:rsidR="00546B47">
        <w:rPr>
          <w:rStyle w:val="normaltextrun"/>
          <w:rFonts w:ascii="Arial" w:hAnsi="Arial" w:cs="Arial"/>
          <w:color w:val="000000" w:themeColor="text1"/>
        </w:rPr>
        <w:t xml:space="preserve">, we also believe the transition to </w:t>
      </w:r>
      <w:proofErr w:type="gramStart"/>
      <w:r w:rsidRPr="00FC0457" w:rsidR="00546B47">
        <w:rPr>
          <w:rStyle w:val="normaltextrun"/>
          <w:rFonts w:ascii="Arial" w:hAnsi="Arial" w:cs="Arial"/>
          <w:color w:val="000000" w:themeColor="text1"/>
        </w:rPr>
        <w:t>schools</w:t>
      </w:r>
      <w:proofErr w:type="gramEnd"/>
      <w:r w:rsidRPr="00FC0457" w:rsidR="00546B47">
        <w:rPr>
          <w:rStyle w:val="normaltextrun"/>
          <w:rFonts w:ascii="Arial" w:hAnsi="Arial" w:cs="Arial"/>
          <w:color w:val="000000" w:themeColor="text1"/>
        </w:rPr>
        <w:t xml:space="preserve"> work may have </w:t>
      </w:r>
      <w:r w:rsidRPr="00FC0457" w:rsidR="000477CE">
        <w:rPr>
          <w:rStyle w:val="normaltextrun"/>
          <w:rFonts w:ascii="Arial" w:hAnsi="Arial" w:cs="Arial"/>
          <w:color w:val="000000" w:themeColor="text1"/>
        </w:rPr>
        <w:t>contributed to a reductio</w:t>
      </w:r>
      <w:r w:rsidRPr="00FC0457" w:rsidR="000C5E08">
        <w:rPr>
          <w:rStyle w:val="normaltextrun"/>
          <w:rFonts w:ascii="Arial" w:hAnsi="Arial" w:cs="Arial"/>
          <w:color w:val="000000" w:themeColor="text1"/>
        </w:rPr>
        <w:t xml:space="preserve">n </w:t>
      </w:r>
      <w:r w:rsidRPr="00FC0457" w:rsidR="004661AE">
        <w:rPr>
          <w:rStyle w:val="normaltextrun"/>
          <w:rFonts w:ascii="Arial" w:hAnsi="Arial" w:cs="Arial"/>
          <w:color w:val="000000" w:themeColor="text1"/>
        </w:rPr>
        <w:t>on the forecast spend.</w:t>
      </w:r>
      <w:r w:rsidRPr="00FC0457" w:rsidR="00C42872">
        <w:rPr>
          <w:rStyle w:val="normaltextrun"/>
          <w:rFonts w:ascii="Arial" w:hAnsi="Arial" w:cs="Arial"/>
          <w:color w:val="000000" w:themeColor="text1"/>
        </w:rPr>
        <w:t xml:space="preserve"> </w:t>
      </w:r>
      <w:r w:rsidR="003C6F7A">
        <w:rPr>
          <w:rStyle w:val="normaltextrun"/>
          <w:rFonts w:ascii="Arial" w:hAnsi="Arial" w:cs="Arial"/>
          <w:color w:val="000000" w:themeColor="text1"/>
        </w:rPr>
        <w:t>F</w:t>
      </w:r>
      <w:r w:rsidR="006B1DA6">
        <w:rPr>
          <w:rStyle w:val="normaltextrun"/>
          <w:rFonts w:ascii="Arial" w:hAnsi="Arial" w:cs="Arial"/>
          <w:color w:val="000000" w:themeColor="text1"/>
        </w:rPr>
        <w:t xml:space="preserve">urther </w:t>
      </w:r>
      <w:proofErr w:type="gramStart"/>
      <w:r w:rsidR="006B1DA6">
        <w:rPr>
          <w:rStyle w:val="normaltextrun"/>
          <w:rFonts w:ascii="Arial" w:hAnsi="Arial" w:cs="Arial"/>
          <w:color w:val="000000" w:themeColor="text1"/>
        </w:rPr>
        <w:t>underspend</w:t>
      </w:r>
      <w:r w:rsidR="003C6F7A">
        <w:rPr>
          <w:rStyle w:val="normaltextrun"/>
          <w:rFonts w:ascii="Arial" w:hAnsi="Arial" w:cs="Arial"/>
          <w:color w:val="000000" w:themeColor="text1"/>
        </w:rPr>
        <w:t>s are</w:t>
      </w:r>
      <w:proofErr w:type="gramEnd"/>
      <w:r w:rsidR="006B1DA6">
        <w:rPr>
          <w:rStyle w:val="normaltextrun"/>
          <w:rFonts w:ascii="Arial" w:hAnsi="Arial" w:cs="Arial"/>
          <w:color w:val="000000" w:themeColor="text1"/>
        </w:rPr>
        <w:t xml:space="preserve"> due to delays in the roll </w:t>
      </w:r>
      <w:r w:rsidR="007D0DB1">
        <w:rPr>
          <w:rStyle w:val="normaltextrun"/>
          <w:rFonts w:ascii="Arial" w:hAnsi="Arial" w:cs="Arial"/>
          <w:color w:val="000000" w:themeColor="text1"/>
        </w:rPr>
        <w:t>ou</w:t>
      </w:r>
      <w:r w:rsidR="00B161DD">
        <w:rPr>
          <w:rStyle w:val="normaltextrun"/>
          <w:rFonts w:ascii="Arial" w:hAnsi="Arial" w:cs="Arial"/>
          <w:color w:val="000000" w:themeColor="text1"/>
        </w:rPr>
        <w:t xml:space="preserve">t of </w:t>
      </w:r>
      <w:r w:rsidR="003C6F7A">
        <w:rPr>
          <w:rStyle w:val="normaltextrun"/>
          <w:rFonts w:ascii="Arial" w:hAnsi="Arial" w:cs="Arial"/>
          <w:color w:val="000000" w:themeColor="text1"/>
        </w:rPr>
        <w:t xml:space="preserve">new </w:t>
      </w:r>
      <w:proofErr w:type="gramStart"/>
      <w:r w:rsidRPr="00FC0457" w:rsidR="00CD54D3">
        <w:rPr>
          <w:rStyle w:val="normaltextrun"/>
          <w:rFonts w:ascii="Arial" w:hAnsi="Arial" w:cs="Arial"/>
          <w:color w:val="000000" w:themeColor="text1"/>
        </w:rPr>
        <w:t>spend</w:t>
      </w:r>
      <w:proofErr w:type="gramEnd"/>
      <w:r w:rsidRPr="00FC0457" w:rsidR="00CD54D3">
        <w:rPr>
          <w:rStyle w:val="normaltextrun"/>
          <w:rFonts w:ascii="Arial" w:hAnsi="Arial" w:cs="Arial"/>
          <w:color w:val="000000" w:themeColor="text1"/>
        </w:rPr>
        <w:t xml:space="preserve"> to save </w:t>
      </w:r>
      <w:r w:rsidR="003C6F7A">
        <w:rPr>
          <w:rStyle w:val="normaltextrun"/>
          <w:rFonts w:ascii="Arial" w:hAnsi="Arial" w:cs="Arial"/>
          <w:color w:val="000000" w:themeColor="text1"/>
        </w:rPr>
        <w:t>initiatives and t</w:t>
      </w:r>
      <w:r w:rsidRPr="00FC0457" w:rsidR="00980A18">
        <w:rPr>
          <w:rStyle w:val="normaltextrun"/>
          <w:rFonts w:ascii="Arial" w:hAnsi="Arial" w:cs="Arial"/>
          <w:color w:val="000000" w:themeColor="text1"/>
        </w:rPr>
        <w:t xml:space="preserve">he </w:t>
      </w:r>
      <w:r w:rsidRPr="00FC0457" w:rsidR="00C42872">
        <w:rPr>
          <w:rStyle w:val="normaltextrun"/>
          <w:rFonts w:ascii="Arial" w:hAnsi="Arial" w:cs="Arial"/>
          <w:color w:val="000000" w:themeColor="text1"/>
        </w:rPr>
        <w:t xml:space="preserve">Specialist </w:t>
      </w:r>
      <w:r w:rsidRPr="00FC0457" w:rsidR="008613B3">
        <w:rPr>
          <w:rStyle w:val="normaltextrun"/>
          <w:rFonts w:ascii="Arial" w:hAnsi="Arial" w:cs="Arial"/>
          <w:color w:val="000000" w:themeColor="text1"/>
        </w:rPr>
        <w:t>T</w:t>
      </w:r>
      <w:r w:rsidRPr="00FC0457" w:rsidR="00C42872">
        <w:rPr>
          <w:rStyle w:val="normaltextrun"/>
          <w:rFonts w:ascii="Arial" w:hAnsi="Arial" w:cs="Arial"/>
          <w:color w:val="000000" w:themeColor="text1"/>
        </w:rPr>
        <w:t xml:space="preserve">eacher and Therapy </w:t>
      </w:r>
      <w:r w:rsidRPr="00FC0457" w:rsidR="008613B3">
        <w:rPr>
          <w:rStyle w:val="normaltextrun"/>
          <w:rFonts w:ascii="Arial" w:hAnsi="Arial" w:cs="Arial"/>
          <w:color w:val="000000" w:themeColor="text1"/>
        </w:rPr>
        <w:t>S</w:t>
      </w:r>
      <w:r w:rsidRPr="00FC0457" w:rsidR="00C42872">
        <w:rPr>
          <w:rStyle w:val="normaltextrun"/>
          <w:rFonts w:ascii="Arial" w:hAnsi="Arial" w:cs="Arial"/>
          <w:color w:val="000000" w:themeColor="text1"/>
        </w:rPr>
        <w:t xml:space="preserve">ervices </w:t>
      </w:r>
      <w:proofErr w:type="gramStart"/>
      <w:r w:rsidRPr="00FC0457" w:rsidR="00C42872">
        <w:rPr>
          <w:rStyle w:val="normaltextrun"/>
          <w:rFonts w:ascii="Arial" w:hAnsi="Arial" w:cs="Arial"/>
          <w:color w:val="000000" w:themeColor="text1"/>
        </w:rPr>
        <w:t>as a result of</w:t>
      </w:r>
      <w:proofErr w:type="gramEnd"/>
      <w:r w:rsidRPr="00FC0457" w:rsidR="00C42872">
        <w:rPr>
          <w:rStyle w:val="normaltextrun"/>
          <w:rFonts w:ascii="Arial" w:hAnsi="Arial" w:cs="Arial"/>
          <w:color w:val="000000" w:themeColor="text1"/>
        </w:rPr>
        <w:t xml:space="preserve"> </w:t>
      </w:r>
      <w:r w:rsidRPr="00FC0457" w:rsidR="00437093">
        <w:rPr>
          <w:rStyle w:val="normaltextrun"/>
          <w:rFonts w:ascii="Arial" w:hAnsi="Arial" w:cs="Arial"/>
          <w:color w:val="000000" w:themeColor="text1"/>
        </w:rPr>
        <w:t xml:space="preserve">vacancies </w:t>
      </w:r>
      <w:r w:rsidRPr="00FC0457" w:rsidR="002D5F04">
        <w:rPr>
          <w:rStyle w:val="normaltextrun"/>
          <w:rFonts w:ascii="Arial" w:hAnsi="Arial" w:cs="Arial"/>
          <w:color w:val="000000" w:themeColor="text1"/>
        </w:rPr>
        <w:t xml:space="preserve">being held within the team </w:t>
      </w:r>
      <w:r w:rsidRPr="00FC0457" w:rsidR="001D61F9">
        <w:rPr>
          <w:rStyle w:val="normaltextrun"/>
          <w:rFonts w:ascii="Arial" w:hAnsi="Arial" w:cs="Arial"/>
          <w:color w:val="000000" w:themeColor="text1"/>
        </w:rPr>
        <w:t xml:space="preserve">and additional </w:t>
      </w:r>
      <w:r w:rsidRPr="00FC0457" w:rsidR="005A0310">
        <w:rPr>
          <w:rStyle w:val="normaltextrun"/>
          <w:rFonts w:ascii="Arial" w:hAnsi="Arial" w:cs="Arial"/>
          <w:color w:val="000000" w:themeColor="text1"/>
        </w:rPr>
        <w:t xml:space="preserve">grant funding to support uplifts to centrally employed </w:t>
      </w:r>
      <w:proofErr w:type="spellStart"/>
      <w:proofErr w:type="gramStart"/>
      <w:r w:rsidRPr="00FC0457" w:rsidR="005A0310">
        <w:rPr>
          <w:rStyle w:val="normaltextrun"/>
          <w:rFonts w:ascii="Arial" w:hAnsi="Arial" w:cs="Arial"/>
          <w:color w:val="000000" w:themeColor="text1"/>
        </w:rPr>
        <w:t>teachers</w:t>
      </w:r>
      <w:proofErr w:type="spellEnd"/>
      <w:proofErr w:type="gramEnd"/>
      <w:r w:rsidRPr="00FC0457" w:rsidR="005A0310">
        <w:rPr>
          <w:rStyle w:val="normaltextrun"/>
          <w:rFonts w:ascii="Arial" w:hAnsi="Arial" w:cs="Arial"/>
          <w:color w:val="000000" w:themeColor="text1"/>
        </w:rPr>
        <w:t xml:space="preserve"> pay and pensions </w:t>
      </w:r>
      <w:r w:rsidRPr="00FC0457" w:rsidR="002D5F04">
        <w:rPr>
          <w:rStyle w:val="normaltextrun"/>
          <w:rFonts w:ascii="Arial" w:hAnsi="Arial" w:cs="Arial"/>
          <w:color w:val="000000" w:themeColor="text1"/>
        </w:rPr>
        <w:t>(</w:t>
      </w:r>
      <w:r w:rsidRPr="00FC0457" w:rsidR="000D799B">
        <w:rPr>
          <w:rStyle w:val="normaltextrun"/>
          <w:rFonts w:ascii="Arial" w:hAnsi="Arial" w:cs="Arial"/>
          <w:color w:val="000000" w:themeColor="text1"/>
        </w:rPr>
        <w:t>£</w:t>
      </w:r>
      <w:r w:rsidRPr="00FC0457" w:rsidR="000D40D4">
        <w:rPr>
          <w:rStyle w:val="normaltextrun"/>
          <w:rFonts w:ascii="Arial" w:hAnsi="Arial" w:cs="Arial"/>
          <w:color w:val="000000" w:themeColor="text1"/>
        </w:rPr>
        <w:t>193,000</w:t>
      </w:r>
      <w:r w:rsidRPr="00FC0457" w:rsidR="002D5F04">
        <w:rPr>
          <w:rStyle w:val="normaltextrun"/>
          <w:rFonts w:ascii="Arial" w:hAnsi="Arial" w:cs="Arial"/>
          <w:color w:val="000000" w:themeColor="text1"/>
        </w:rPr>
        <w:t>)</w:t>
      </w:r>
      <w:r w:rsidRPr="00FC0457" w:rsidR="000D40D4">
        <w:rPr>
          <w:rStyle w:val="normaltextrun"/>
          <w:rFonts w:ascii="Arial" w:hAnsi="Arial" w:cs="Arial"/>
          <w:color w:val="000000" w:themeColor="text1"/>
        </w:rPr>
        <w:t>.</w:t>
      </w:r>
    </w:p>
    <w:p w:rsidRPr="00FC0457" w:rsidR="004E4F44" w:rsidP="00E70E62" w:rsidRDefault="004E4F44" w14:paraId="5323DAA3" w14:textId="24679849">
      <w:pPr>
        <w:pStyle w:val="Heading2"/>
        <w:keepNext w:val="0"/>
        <w:numPr>
          <w:ilvl w:val="0"/>
          <w:numId w:val="10"/>
        </w:numPr>
        <w:tabs>
          <w:tab w:val="num" w:pos="851"/>
        </w:tabs>
        <w:ind w:left="851" w:hanging="425"/>
        <w:jc w:val="left"/>
        <w:rPr>
          <w:rStyle w:val="normaltextrun"/>
          <w:rFonts w:ascii="Arial" w:hAnsi="Arial" w:cs="Arial"/>
          <w:color w:val="000000" w:themeColor="text1"/>
        </w:rPr>
      </w:pPr>
      <w:bookmarkStart w:name="_Hlk25237662" w:id="1"/>
      <w:bookmarkStart w:name="OLE_LINK6" w:id="2"/>
      <w:bookmarkStart w:name="OLE_LINK7" w:id="3"/>
      <w:r w:rsidRPr="00FC0457">
        <w:rPr>
          <w:rStyle w:val="normaltextrun"/>
          <w:rFonts w:ascii="Arial" w:hAnsi="Arial" w:cs="Arial"/>
          <w:b/>
          <w:color w:val="000000" w:themeColor="text1"/>
        </w:rPr>
        <w:t>High needs support for inclusion:</w:t>
      </w:r>
      <w:r w:rsidRPr="00FC0457" w:rsidR="001C0A76">
        <w:rPr>
          <w:rStyle w:val="normaltextrun"/>
          <w:rFonts w:ascii="Arial" w:hAnsi="Arial" w:cs="Arial"/>
          <w:b/>
          <w:color w:val="000000" w:themeColor="text1"/>
        </w:rPr>
        <w:t xml:space="preserve"> </w:t>
      </w:r>
      <w:r w:rsidRPr="00FC0457" w:rsidR="001C0A76">
        <w:rPr>
          <w:rStyle w:val="normaltextrun"/>
          <w:rFonts w:ascii="Arial" w:hAnsi="Arial" w:cs="Arial"/>
          <w:color w:val="000000" w:themeColor="text1"/>
        </w:rPr>
        <w:t xml:space="preserve">underspend of </w:t>
      </w:r>
      <w:r w:rsidRPr="00FC0457" w:rsidR="007E38A1">
        <w:rPr>
          <w:rStyle w:val="normaltextrun"/>
          <w:rFonts w:ascii="Arial" w:hAnsi="Arial" w:cs="Arial"/>
          <w:color w:val="000000" w:themeColor="text1"/>
        </w:rPr>
        <w:t>£</w:t>
      </w:r>
      <w:r w:rsidRPr="00FC0457" w:rsidR="00D913C8">
        <w:rPr>
          <w:rStyle w:val="normaltextrun"/>
          <w:rFonts w:ascii="Arial" w:hAnsi="Arial" w:cs="Arial"/>
          <w:color w:val="000000" w:themeColor="text1"/>
        </w:rPr>
        <w:t>647</w:t>
      </w:r>
      <w:r w:rsidRPr="00FC0457" w:rsidR="005B1339">
        <w:rPr>
          <w:rStyle w:val="normaltextrun"/>
          <w:rFonts w:ascii="Arial" w:hAnsi="Arial" w:cs="Arial"/>
          <w:color w:val="000000" w:themeColor="text1"/>
        </w:rPr>
        <w:t>,000.</w:t>
      </w:r>
      <w:r w:rsidRPr="00FC0457" w:rsidR="00782766">
        <w:rPr>
          <w:rStyle w:val="normaltextrun"/>
          <w:rFonts w:ascii="Arial" w:hAnsi="Arial" w:cs="Arial"/>
          <w:color w:val="000000" w:themeColor="text1"/>
        </w:rPr>
        <w:t xml:space="preserve"> </w:t>
      </w:r>
      <w:r w:rsidRPr="00FC0457" w:rsidR="00E4386C">
        <w:rPr>
          <w:rStyle w:val="normaltextrun"/>
          <w:rFonts w:ascii="Arial" w:hAnsi="Arial" w:cs="Arial"/>
          <w:color w:val="000000" w:themeColor="text1"/>
        </w:rPr>
        <w:t>Some</w:t>
      </w:r>
      <w:r w:rsidRPr="00FC0457" w:rsidR="00970FA2">
        <w:rPr>
          <w:rStyle w:val="normaltextrun"/>
          <w:rFonts w:ascii="Arial" w:hAnsi="Arial" w:cs="Arial"/>
          <w:color w:val="000000" w:themeColor="text1"/>
        </w:rPr>
        <w:t xml:space="preserve"> of this underspend </w:t>
      </w:r>
      <w:r w:rsidRPr="00FC0457" w:rsidR="00183BE0">
        <w:rPr>
          <w:rStyle w:val="normaltextrun"/>
          <w:rFonts w:ascii="Arial" w:hAnsi="Arial" w:cs="Arial"/>
          <w:color w:val="000000" w:themeColor="text1"/>
        </w:rPr>
        <w:t>(£</w:t>
      </w:r>
      <w:r w:rsidRPr="00FC0457" w:rsidR="00C94629">
        <w:rPr>
          <w:rStyle w:val="normaltextrun"/>
          <w:rFonts w:ascii="Arial" w:hAnsi="Arial" w:cs="Arial"/>
          <w:color w:val="000000" w:themeColor="text1"/>
        </w:rPr>
        <w:t>1</w:t>
      </w:r>
      <w:r w:rsidRPr="00FC0457" w:rsidR="00E07121">
        <w:rPr>
          <w:rStyle w:val="normaltextrun"/>
          <w:rFonts w:ascii="Arial" w:hAnsi="Arial" w:cs="Arial"/>
          <w:color w:val="000000" w:themeColor="text1"/>
        </w:rPr>
        <w:t>47</w:t>
      </w:r>
      <w:r w:rsidRPr="00FC0457" w:rsidR="00183BE0">
        <w:rPr>
          <w:rStyle w:val="normaltextrun"/>
          <w:rFonts w:ascii="Arial" w:hAnsi="Arial" w:cs="Arial"/>
          <w:color w:val="000000" w:themeColor="text1"/>
        </w:rPr>
        <w:t xml:space="preserve">,000) </w:t>
      </w:r>
      <w:r w:rsidRPr="00FC0457" w:rsidR="0078397C">
        <w:rPr>
          <w:rStyle w:val="normaltextrun"/>
          <w:rFonts w:ascii="Arial" w:hAnsi="Arial" w:cs="Arial"/>
          <w:color w:val="000000" w:themeColor="text1"/>
        </w:rPr>
        <w:t xml:space="preserve">is due </w:t>
      </w:r>
      <w:r w:rsidRPr="00FC0457" w:rsidR="00970FA2">
        <w:rPr>
          <w:rStyle w:val="normaltextrun"/>
          <w:rFonts w:ascii="Arial" w:hAnsi="Arial" w:cs="Arial"/>
          <w:color w:val="000000" w:themeColor="text1"/>
        </w:rPr>
        <w:t>to additional in</w:t>
      </w:r>
      <w:r w:rsidRPr="00FC0457" w:rsidR="0091425B">
        <w:rPr>
          <w:rStyle w:val="normaltextrun"/>
          <w:rFonts w:ascii="Arial" w:hAnsi="Arial" w:cs="Arial"/>
          <w:color w:val="000000" w:themeColor="text1"/>
        </w:rPr>
        <w:t xml:space="preserve">come from </w:t>
      </w:r>
      <w:r w:rsidRPr="00FC0457" w:rsidR="0078397C">
        <w:rPr>
          <w:rStyle w:val="normaltextrun"/>
          <w:rFonts w:ascii="Arial" w:hAnsi="Arial" w:cs="Arial"/>
          <w:color w:val="000000" w:themeColor="text1"/>
        </w:rPr>
        <w:t xml:space="preserve">relating to </w:t>
      </w:r>
      <w:r w:rsidRPr="00FC0457" w:rsidR="00880FE4">
        <w:rPr>
          <w:rStyle w:val="normaltextrun"/>
          <w:rFonts w:ascii="Arial" w:hAnsi="Arial" w:cs="Arial"/>
          <w:color w:val="000000" w:themeColor="text1"/>
        </w:rPr>
        <w:t>Money Following Excluded Pupils.</w:t>
      </w:r>
      <w:r w:rsidRPr="00FC0457" w:rsidR="00782766">
        <w:rPr>
          <w:rStyle w:val="normaltextrun"/>
          <w:rFonts w:ascii="Arial" w:hAnsi="Arial" w:cs="Arial"/>
          <w:color w:val="000000" w:themeColor="text1"/>
        </w:rPr>
        <w:t xml:space="preserve"> </w:t>
      </w:r>
      <w:r w:rsidRPr="00FC0457" w:rsidR="00225E57">
        <w:rPr>
          <w:rStyle w:val="normaltextrun"/>
          <w:rFonts w:ascii="Arial" w:hAnsi="Arial" w:cs="Arial"/>
          <w:color w:val="000000" w:themeColor="text1"/>
        </w:rPr>
        <w:t>However</w:t>
      </w:r>
      <w:r w:rsidR="00214C5C">
        <w:rPr>
          <w:rStyle w:val="normaltextrun"/>
          <w:rFonts w:ascii="Arial" w:hAnsi="Arial" w:cs="Arial"/>
          <w:color w:val="000000" w:themeColor="text1"/>
        </w:rPr>
        <w:t>,</w:t>
      </w:r>
      <w:r w:rsidRPr="00FC0457" w:rsidR="00225E57">
        <w:rPr>
          <w:rStyle w:val="normaltextrun"/>
          <w:rFonts w:ascii="Arial" w:hAnsi="Arial" w:cs="Arial"/>
          <w:color w:val="000000" w:themeColor="text1"/>
        </w:rPr>
        <w:t xml:space="preserve"> the majority relates again to the combination of </w:t>
      </w:r>
      <w:r w:rsidRPr="00FC0457" w:rsidR="005C2F55">
        <w:rPr>
          <w:rStyle w:val="normaltextrun"/>
          <w:rFonts w:ascii="Arial" w:hAnsi="Arial" w:cs="Arial"/>
          <w:color w:val="000000" w:themeColor="text1"/>
        </w:rPr>
        <w:t>Primary Behaviour Service (£</w:t>
      </w:r>
      <w:r w:rsidRPr="00FC0457" w:rsidR="00531424">
        <w:rPr>
          <w:rStyle w:val="normaltextrun"/>
          <w:rFonts w:ascii="Arial" w:hAnsi="Arial" w:cs="Arial"/>
          <w:color w:val="000000" w:themeColor="text1"/>
        </w:rPr>
        <w:t>341</w:t>
      </w:r>
      <w:r w:rsidRPr="00FC0457" w:rsidR="00DF2542">
        <w:rPr>
          <w:rStyle w:val="normaltextrun"/>
          <w:rFonts w:ascii="Arial" w:hAnsi="Arial" w:cs="Arial"/>
          <w:color w:val="000000" w:themeColor="text1"/>
        </w:rPr>
        <w:t>,000</w:t>
      </w:r>
      <w:r w:rsidRPr="00FC0457" w:rsidR="005C2F55">
        <w:rPr>
          <w:rStyle w:val="normaltextrun"/>
          <w:rFonts w:ascii="Arial" w:hAnsi="Arial" w:cs="Arial"/>
          <w:color w:val="000000" w:themeColor="text1"/>
        </w:rPr>
        <w:t>) and Hampshire Achieves Future You service</w:t>
      </w:r>
      <w:r w:rsidRPr="00FC0457" w:rsidR="00DF2542">
        <w:rPr>
          <w:rStyle w:val="normaltextrun"/>
          <w:rFonts w:ascii="Arial" w:hAnsi="Arial" w:cs="Arial"/>
          <w:color w:val="000000" w:themeColor="text1"/>
        </w:rPr>
        <w:t xml:space="preserve"> (£</w:t>
      </w:r>
      <w:r w:rsidRPr="00FC0457" w:rsidR="00DE4DD2">
        <w:rPr>
          <w:rStyle w:val="normaltextrun"/>
          <w:rFonts w:ascii="Arial" w:hAnsi="Arial" w:cs="Arial"/>
          <w:color w:val="000000" w:themeColor="text1"/>
        </w:rPr>
        <w:t>84,000)</w:t>
      </w:r>
      <w:proofErr w:type="gramStart"/>
      <w:r w:rsidRPr="00FC0457" w:rsidR="005C2F55">
        <w:rPr>
          <w:rStyle w:val="normaltextrun"/>
          <w:rFonts w:ascii="Arial" w:hAnsi="Arial" w:cs="Arial"/>
          <w:color w:val="000000" w:themeColor="text1"/>
        </w:rPr>
        <w:t xml:space="preserve"> </w:t>
      </w:r>
      <w:r w:rsidRPr="00FC0457" w:rsidR="00225E57">
        <w:rPr>
          <w:rStyle w:val="normaltextrun"/>
          <w:rFonts w:ascii="Arial" w:hAnsi="Arial" w:cs="Arial"/>
          <w:color w:val="000000" w:themeColor="text1"/>
        </w:rPr>
        <w:t>holding</w:t>
      </w:r>
      <w:proofErr w:type="gramEnd"/>
      <w:r w:rsidRPr="00FC0457" w:rsidR="00225E57">
        <w:rPr>
          <w:rStyle w:val="normaltextrun"/>
          <w:rFonts w:ascii="Arial" w:hAnsi="Arial" w:cs="Arial"/>
          <w:color w:val="000000" w:themeColor="text1"/>
        </w:rPr>
        <w:t xml:space="preserve"> vacancies and receiving </w:t>
      </w:r>
      <w:r w:rsidRPr="00FC0457" w:rsidR="004971D9">
        <w:rPr>
          <w:rStyle w:val="normaltextrun"/>
          <w:rFonts w:ascii="Arial" w:hAnsi="Arial" w:cs="Arial"/>
          <w:color w:val="000000" w:themeColor="text1"/>
        </w:rPr>
        <w:t xml:space="preserve">additional grant funding to support uplifts to centrally employed </w:t>
      </w:r>
      <w:proofErr w:type="spellStart"/>
      <w:r w:rsidRPr="00FC0457" w:rsidR="004971D9">
        <w:rPr>
          <w:rStyle w:val="normaltextrun"/>
          <w:rFonts w:ascii="Arial" w:hAnsi="Arial" w:cs="Arial"/>
          <w:color w:val="000000" w:themeColor="text1"/>
        </w:rPr>
        <w:t>teachers</w:t>
      </w:r>
      <w:proofErr w:type="spellEnd"/>
      <w:r w:rsidRPr="00FC0457" w:rsidR="004971D9">
        <w:rPr>
          <w:rStyle w:val="normaltextrun"/>
          <w:rFonts w:ascii="Arial" w:hAnsi="Arial" w:cs="Arial"/>
          <w:color w:val="000000" w:themeColor="text1"/>
        </w:rPr>
        <w:t xml:space="preserve"> pay and pension</w:t>
      </w:r>
      <w:r w:rsidRPr="00FC0457" w:rsidR="005C2F55">
        <w:rPr>
          <w:rStyle w:val="normaltextrun"/>
          <w:rFonts w:ascii="Arial" w:hAnsi="Arial" w:cs="Arial"/>
          <w:color w:val="000000" w:themeColor="text1"/>
        </w:rPr>
        <w:t xml:space="preserve">. </w:t>
      </w:r>
    </w:p>
    <w:bookmarkEnd w:id="1"/>
    <w:p w:rsidRPr="00FC0457" w:rsidR="00512748" w:rsidP="00E70E62" w:rsidRDefault="00EC6100" w14:paraId="4DC1A984" w14:textId="4FD96DBE">
      <w:pPr>
        <w:pStyle w:val="Heading2"/>
        <w:keepNext w:val="0"/>
        <w:numPr>
          <w:ilvl w:val="0"/>
          <w:numId w:val="10"/>
        </w:numPr>
        <w:tabs>
          <w:tab w:val="num" w:pos="851"/>
        </w:tabs>
        <w:ind w:left="851" w:hanging="425"/>
        <w:jc w:val="left"/>
        <w:rPr>
          <w:rStyle w:val="normaltextrun"/>
          <w:rFonts w:ascii="Arial" w:hAnsi="Arial" w:cs="Arial"/>
          <w:color w:val="000000" w:themeColor="text1"/>
        </w:rPr>
      </w:pPr>
      <w:r w:rsidRPr="00FC0457">
        <w:rPr>
          <w:rStyle w:val="normaltextrun"/>
          <w:rFonts w:ascii="Arial" w:hAnsi="Arial" w:cs="Arial"/>
          <w:b/>
          <w:color w:val="000000" w:themeColor="text1"/>
        </w:rPr>
        <w:t xml:space="preserve">Hospital Education Service: </w:t>
      </w:r>
      <w:r w:rsidRPr="00FC0457" w:rsidR="001C0A76">
        <w:rPr>
          <w:rStyle w:val="normaltextrun"/>
          <w:rFonts w:ascii="Arial" w:hAnsi="Arial" w:cs="Arial"/>
          <w:color w:val="000000" w:themeColor="text1"/>
        </w:rPr>
        <w:t xml:space="preserve">underspend of </w:t>
      </w:r>
      <w:r w:rsidRPr="00FC0457" w:rsidR="00460295">
        <w:rPr>
          <w:rStyle w:val="normaltextrun"/>
          <w:rFonts w:ascii="Arial" w:hAnsi="Arial" w:cs="Arial"/>
          <w:color w:val="000000" w:themeColor="text1"/>
        </w:rPr>
        <w:t>£</w:t>
      </w:r>
      <w:r w:rsidRPr="00FC0457" w:rsidR="00D913C8">
        <w:rPr>
          <w:rStyle w:val="normaltextrun"/>
          <w:rFonts w:ascii="Arial" w:hAnsi="Arial" w:cs="Arial"/>
          <w:bCs/>
          <w:color w:val="000000" w:themeColor="text1"/>
        </w:rPr>
        <w:t>428</w:t>
      </w:r>
      <w:r w:rsidRPr="00FC0457" w:rsidR="00460295">
        <w:rPr>
          <w:rStyle w:val="normaltextrun"/>
          <w:rFonts w:ascii="Arial" w:hAnsi="Arial" w:cs="Arial"/>
          <w:color w:val="000000" w:themeColor="text1"/>
        </w:rPr>
        <w:t>,000</w:t>
      </w:r>
      <w:r w:rsidRPr="00FC0457" w:rsidR="009072D7">
        <w:rPr>
          <w:rStyle w:val="normaltextrun"/>
          <w:rFonts w:ascii="Arial" w:hAnsi="Arial" w:cs="Arial"/>
          <w:color w:val="000000" w:themeColor="text1"/>
        </w:rPr>
        <w:t xml:space="preserve">.  </w:t>
      </w:r>
      <w:r w:rsidRPr="00FC0457" w:rsidR="00E850FA">
        <w:rPr>
          <w:rStyle w:val="normaltextrun"/>
          <w:rFonts w:ascii="Arial" w:hAnsi="Arial" w:cs="Arial"/>
          <w:color w:val="000000" w:themeColor="text1"/>
        </w:rPr>
        <w:t xml:space="preserve">Both pay and </w:t>
      </w:r>
      <w:proofErr w:type="spellStart"/>
      <w:proofErr w:type="gramStart"/>
      <w:r w:rsidRPr="00FC0457" w:rsidR="00E850FA">
        <w:rPr>
          <w:rStyle w:val="normaltextrun"/>
          <w:rFonts w:ascii="Arial" w:hAnsi="Arial" w:cs="Arial"/>
          <w:color w:val="000000" w:themeColor="text1"/>
        </w:rPr>
        <w:t>non pay</w:t>
      </w:r>
      <w:proofErr w:type="spellEnd"/>
      <w:proofErr w:type="gramEnd"/>
      <w:r w:rsidRPr="00FC0457" w:rsidR="00E850FA">
        <w:rPr>
          <w:rStyle w:val="normaltextrun"/>
          <w:rFonts w:ascii="Arial" w:hAnsi="Arial" w:cs="Arial"/>
          <w:color w:val="000000" w:themeColor="text1"/>
        </w:rPr>
        <w:t xml:space="preserve"> costs were reduced this year </w:t>
      </w:r>
      <w:proofErr w:type="gramStart"/>
      <w:r w:rsidRPr="00FC0457" w:rsidR="00E850FA">
        <w:rPr>
          <w:rStyle w:val="normaltextrun"/>
          <w:rFonts w:ascii="Arial" w:hAnsi="Arial" w:cs="Arial"/>
          <w:color w:val="000000" w:themeColor="text1"/>
        </w:rPr>
        <w:t>as a result of</w:t>
      </w:r>
      <w:proofErr w:type="gramEnd"/>
      <w:r w:rsidRPr="00FC0457" w:rsidR="00E850FA">
        <w:rPr>
          <w:rStyle w:val="normaltextrun"/>
          <w:rFonts w:ascii="Arial" w:hAnsi="Arial" w:cs="Arial"/>
          <w:color w:val="000000" w:themeColor="text1"/>
        </w:rPr>
        <w:t xml:space="preserve"> further delays </w:t>
      </w:r>
      <w:proofErr w:type="gramStart"/>
      <w:r w:rsidRPr="00FC0457" w:rsidR="00E850FA">
        <w:rPr>
          <w:rStyle w:val="normaltextrun"/>
          <w:rFonts w:ascii="Arial" w:hAnsi="Arial" w:cs="Arial"/>
          <w:color w:val="000000" w:themeColor="text1"/>
        </w:rPr>
        <w:t>to</w:t>
      </w:r>
      <w:proofErr w:type="gramEnd"/>
      <w:r w:rsidRPr="00FC0457" w:rsidR="00152F11">
        <w:rPr>
          <w:rStyle w:val="normaltextrun"/>
          <w:rFonts w:ascii="Arial" w:hAnsi="Arial" w:cs="Arial"/>
          <w:color w:val="000000" w:themeColor="text1"/>
        </w:rPr>
        <w:t xml:space="preserve"> </w:t>
      </w:r>
      <w:r w:rsidRPr="00FC0457" w:rsidR="00050219">
        <w:rPr>
          <w:rStyle w:val="normaltextrun"/>
          <w:rFonts w:ascii="Arial" w:hAnsi="Arial" w:cs="Arial"/>
          <w:color w:val="000000" w:themeColor="text1"/>
        </w:rPr>
        <w:t xml:space="preserve">filling additional capacity at </w:t>
      </w:r>
      <w:r w:rsidRPr="00FC0457" w:rsidR="00775162">
        <w:rPr>
          <w:rStyle w:val="normaltextrun"/>
          <w:rFonts w:ascii="Arial" w:hAnsi="Arial" w:cs="Arial"/>
          <w:color w:val="000000" w:themeColor="text1"/>
        </w:rPr>
        <w:t xml:space="preserve">our maintained </w:t>
      </w:r>
      <w:proofErr w:type="gramStart"/>
      <w:r w:rsidRPr="00FC0457" w:rsidR="00775162">
        <w:rPr>
          <w:rStyle w:val="normaltextrun"/>
          <w:rFonts w:ascii="Arial" w:hAnsi="Arial" w:cs="Arial"/>
          <w:color w:val="000000" w:themeColor="text1"/>
        </w:rPr>
        <w:t>provisions</w:t>
      </w:r>
      <w:proofErr w:type="gramEnd"/>
      <w:r w:rsidRPr="00FC0457" w:rsidR="00FC0457">
        <w:rPr>
          <w:rStyle w:val="normaltextrun"/>
          <w:rFonts w:ascii="Arial" w:hAnsi="Arial" w:cs="Arial"/>
          <w:color w:val="000000" w:themeColor="text1"/>
        </w:rPr>
        <w:t xml:space="preserve"> this is expected to improve in 2025/26</w:t>
      </w:r>
    </w:p>
    <w:p w:rsidRPr="000203E4" w:rsidR="00571FAF" w:rsidP="00571FAF" w:rsidRDefault="00571FAF" w14:paraId="313D9D47" w14:textId="0D1167A0">
      <w:pPr>
        <w:pStyle w:val="Heading2"/>
        <w:keepNext w:val="0"/>
        <w:numPr>
          <w:ilvl w:val="0"/>
          <w:numId w:val="0"/>
        </w:numPr>
        <w:ind w:left="426"/>
        <w:jc w:val="left"/>
        <w:rPr>
          <w:rFonts w:ascii="Arial" w:hAnsi="Arial" w:cs="Arial"/>
          <w:b/>
          <w:szCs w:val="24"/>
        </w:rPr>
      </w:pPr>
      <w:r w:rsidRPr="000203E4">
        <w:rPr>
          <w:rFonts w:ascii="Arial" w:hAnsi="Arial" w:cs="Arial"/>
          <w:b/>
          <w:szCs w:val="24"/>
        </w:rPr>
        <w:t>Central School Services Block</w:t>
      </w:r>
    </w:p>
    <w:p w:rsidR="001106C2" w:rsidP="001106C2" w:rsidRDefault="00DE793D" w14:paraId="75FBB94C" w14:textId="77777777">
      <w:pPr>
        <w:pStyle w:val="Heading2"/>
        <w:keepNext w:val="0"/>
        <w:tabs>
          <w:tab w:val="clear" w:pos="576"/>
          <w:tab w:val="num" w:pos="426"/>
        </w:tabs>
        <w:ind w:left="426" w:hanging="568"/>
        <w:jc w:val="left"/>
        <w:rPr>
          <w:rFonts w:ascii="Arial" w:hAnsi="Arial" w:cs="Arial"/>
          <w:szCs w:val="24"/>
        </w:rPr>
      </w:pPr>
      <w:r w:rsidRPr="00BC2B1D">
        <w:rPr>
          <w:rFonts w:ascii="Arial" w:hAnsi="Arial" w:cs="Arial"/>
        </w:rPr>
        <w:t xml:space="preserve">The </w:t>
      </w:r>
      <w:r w:rsidRPr="00BC2B1D" w:rsidR="000A4BF9">
        <w:rPr>
          <w:rFonts w:ascii="Arial" w:hAnsi="Arial" w:cs="Arial"/>
        </w:rPr>
        <w:t>final</w:t>
      </w:r>
      <w:r w:rsidRPr="00BC2B1D">
        <w:rPr>
          <w:rFonts w:ascii="Arial" w:hAnsi="Arial" w:cs="Arial"/>
        </w:rPr>
        <w:t xml:space="preserve"> position on the block</w:t>
      </w:r>
      <w:r w:rsidRPr="00FE4516">
        <w:rPr>
          <w:rFonts w:ascii="Arial" w:hAnsi="Arial" w:cs="Arial"/>
          <w:szCs w:val="24"/>
        </w:rPr>
        <w:t xml:space="preserve"> is a</w:t>
      </w:r>
      <w:r w:rsidRPr="00FE4516" w:rsidR="004B0B06">
        <w:rPr>
          <w:rFonts w:ascii="Arial" w:hAnsi="Arial" w:cs="Arial"/>
          <w:szCs w:val="24"/>
        </w:rPr>
        <w:t xml:space="preserve">n </w:t>
      </w:r>
      <w:r w:rsidRPr="00FE4516" w:rsidR="004672C8">
        <w:rPr>
          <w:rFonts w:ascii="Arial" w:hAnsi="Arial" w:cs="Arial"/>
          <w:szCs w:val="24"/>
        </w:rPr>
        <w:t>ove</w:t>
      </w:r>
      <w:r w:rsidRPr="00FE4516" w:rsidR="004B0B06">
        <w:rPr>
          <w:rFonts w:ascii="Arial" w:hAnsi="Arial" w:cs="Arial"/>
          <w:szCs w:val="24"/>
        </w:rPr>
        <w:t>rspend</w:t>
      </w:r>
      <w:r w:rsidRPr="00FE4516">
        <w:rPr>
          <w:rFonts w:ascii="Arial" w:hAnsi="Arial" w:cs="Arial"/>
          <w:szCs w:val="24"/>
        </w:rPr>
        <w:t xml:space="preserve"> of £</w:t>
      </w:r>
      <w:r w:rsidRPr="00FE4516" w:rsidR="004672C8">
        <w:rPr>
          <w:rFonts w:ascii="Arial" w:hAnsi="Arial" w:cs="Arial"/>
          <w:szCs w:val="24"/>
        </w:rPr>
        <w:t>9</w:t>
      </w:r>
      <w:r w:rsidRPr="00FE4516">
        <w:rPr>
          <w:rFonts w:ascii="Arial" w:hAnsi="Arial" w:cs="Arial"/>
          <w:szCs w:val="24"/>
        </w:rPr>
        <w:t>,000</w:t>
      </w:r>
      <w:r w:rsidRPr="00FE4516" w:rsidR="00E41BE1">
        <w:rPr>
          <w:rFonts w:ascii="Arial" w:hAnsi="Arial" w:cs="Arial"/>
          <w:szCs w:val="24"/>
        </w:rPr>
        <w:t xml:space="preserve"> (</w:t>
      </w:r>
      <w:r w:rsidRPr="00FE4516" w:rsidR="00FE4516">
        <w:rPr>
          <w:rFonts w:ascii="Arial" w:hAnsi="Arial" w:cs="Arial"/>
          <w:szCs w:val="24"/>
        </w:rPr>
        <w:t>0.1</w:t>
      </w:r>
      <w:r w:rsidRPr="00FE4516" w:rsidR="00E41BE1">
        <w:rPr>
          <w:rFonts w:ascii="Arial" w:hAnsi="Arial" w:cs="Arial"/>
          <w:szCs w:val="24"/>
        </w:rPr>
        <w:t>%)</w:t>
      </w:r>
      <w:r w:rsidRPr="00FE4516" w:rsidR="006903A8">
        <w:rPr>
          <w:rFonts w:ascii="Arial" w:hAnsi="Arial" w:cs="Arial"/>
          <w:szCs w:val="24"/>
        </w:rPr>
        <w:t>.</w:t>
      </w:r>
    </w:p>
    <w:p w:rsidRPr="001106C2" w:rsidR="00755C06" w:rsidP="001106C2" w:rsidRDefault="00E11EB6" w14:paraId="3DAFF4DF" w14:textId="4A5162C9">
      <w:pPr>
        <w:pStyle w:val="Heading2"/>
        <w:keepNext w:val="0"/>
        <w:tabs>
          <w:tab w:val="clear" w:pos="576"/>
          <w:tab w:val="num" w:pos="426"/>
        </w:tabs>
        <w:ind w:left="426" w:hanging="568"/>
        <w:jc w:val="left"/>
        <w:rPr>
          <w:rFonts w:ascii="Arial" w:hAnsi="Arial" w:cs="Arial"/>
          <w:szCs w:val="24"/>
        </w:rPr>
      </w:pPr>
      <w:r w:rsidRPr="001106C2">
        <w:rPr>
          <w:rFonts w:ascii="Arial" w:hAnsi="Arial" w:cs="Arial"/>
        </w:rPr>
        <w:t>Th</w:t>
      </w:r>
      <w:r w:rsidRPr="001106C2" w:rsidR="00230EED">
        <w:rPr>
          <w:rFonts w:ascii="Arial" w:hAnsi="Arial" w:cs="Arial"/>
        </w:rPr>
        <w:t xml:space="preserve">e main area of pressure within the block </w:t>
      </w:r>
      <w:r w:rsidRPr="001106C2" w:rsidR="0062680E">
        <w:rPr>
          <w:rFonts w:ascii="Arial" w:hAnsi="Arial" w:cs="Arial"/>
        </w:rPr>
        <w:t>relate</w:t>
      </w:r>
      <w:r w:rsidRPr="001106C2" w:rsidR="00D571D8">
        <w:rPr>
          <w:rFonts w:ascii="Arial" w:hAnsi="Arial" w:cs="Arial"/>
        </w:rPr>
        <w:t xml:space="preserve">d to </w:t>
      </w:r>
      <w:r w:rsidRPr="001106C2" w:rsidR="0062680E">
        <w:rPr>
          <w:rFonts w:ascii="Arial" w:hAnsi="Arial" w:cs="Arial"/>
        </w:rPr>
        <w:t>Fees to independent schools for pupils without SEN</w:t>
      </w:r>
      <w:r w:rsidRPr="001106C2" w:rsidR="00D0131C">
        <w:rPr>
          <w:rFonts w:ascii="Arial" w:hAnsi="Arial" w:cs="Arial"/>
        </w:rPr>
        <w:t xml:space="preserve"> (£8</w:t>
      </w:r>
      <w:r w:rsidR="005970BE">
        <w:rPr>
          <w:rFonts w:ascii="Arial" w:hAnsi="Arial" w:cs="Arial"/>
        </w:rPr>
        <w:t>3</w:t>
      </w:r>
      <w:r w:rsidRPr="001106C2" w:rsidR="00D0131C">
        <w:rPr>
          <w:rFonts w:ascii="Arial" w:hAnsi="Arial" w:cs="Arial"/>
        </w:rPr>
        <w:t>,000)</w:t>
      </w:r>
      <w:r w:rsidRPr="001106C2" w:rsidR="00D571D8">
        <w:rPr>
          <w:rFonts w:ascii="Arial" w:hAnsi="Arial" w:cs="Arial"/>
        </w:rPr>
        <w:t xml:space="preserve">, this category includes </w:t>
      </w:r>
      <w:r w:rsidRPr="001106C2" w:rsidR="005D7213">
        <w:rPr>
          <w:rFonts w:ascii="Arial" w:hAnsi="Arial" w:cs="Arial"/>
        </w:rPr>
        <w:t>inclusion funding for all settings and there has been greater demand for this element</w:t>
      </w:r>
      <w:r w:rsidRPr="001106C2" w:rsidR="0062680E">
        <w:rPr>
          <w:rFonts w:ascii="Arial" w:hAnsi="Arial" w:cs="Arial"/>
        </w:rPr>
        <w:t xml:space="preserve">. </w:t>
      </w:r>
      <w:r w:rsidRPr="001106C2" w:rsidR="009F4378">
        <w:rPr>
          <w:rFonts w:ascii="Arial" w:hAnsi="Arial" w:cs="Arial"/>
        </w:rPr>
        <w:t>Th</w:t>
      </w:r>
      <w:r w:rsidRPr="001106C2" w:rsidR="00C45E50">
        <w:rPr>
          <w:rFonts w:ascii="Arial" w:hAnsi="Arial" w:cs="Arial"/>
        </w:rPr>
        <w:t xml:space="preserve">ere was also a small pressure in relation to </w:t>
      </w:r>
      <w:r w:rsidRPr="001106C2" w:rsidR="00D0131C">
        <w:rPr>
          <w:rFonts w:ascii="Arial" w:hAnsi="Arial" w:cs="Arial"/>
        </w:rPr>
        <w:t>copyright</w:t>
      </w:r>
      <w:r w:rsidRPr="001106C2" w:rsidR="009F4378">
        <w:rPr>
          <w:rFonts w:ascii="Arial" w:hAnsi="Arial" w:cs="Arial"/>
        </w:rPr>
        <w:t xml:space="preserve"> </w:t>
      </w:r>
      <w:r w:rsidRPr="001106C2" w:rsidR="00D0131C">
        <w:rPr>
          <w:rFonts w:ascii="Arial" w:hAnsi="Arial" w:cs="Arial"/>
        </w:rPr>
        <w:t>licenses (£35,000)</w:t>
      </w:r>
      <w:r w:rsidRPr="001106C2" w:rsidR="006805AB">
        <w:rPr>
          <w:rFonts w:ascii="Arial" w:hAnsi="Arial" w:cs="Arial"/>
        </w:rPr>
        <w:t xml:space="preserve">.  Both pressures have been offset by </w:t>
      </w:r>
      <w:r w:rsidRPr="001106C2" w:rsidR="00755C06">
        <w:rPr>
          <w:rFonts w:ascii="Arial" w:hAnsi="Arial" w:cs="Arial"/>
        </w:rPr>
        <w:t>small underspends across the block mainly in relation to staffing costs being lower than budget</w:t>
      </w:r>
      <w:r w:rsidR="00FB1A1A">
        <w:rPr>
          <w:rFonts w:ascii="Arial" w:hAnsi="Arial" w:cs="Arial"/>
        </w:rPr>
        <w:t xml:space="preserve"> due to vacancies</w:t>
      </w:r>
      <w:r w:rsidRPr="001106C2" w:rsidR="00755C06">
        <w:rPr>
          <w:rFonts w:ascii="Arial" w:hAnsi="Arial" w:cs="Arial"/>
        </w:rPr>
        <w:t>.</w:t>
      </w:r>
    </w:p>
    <w:bookmarkEnd w:id="2"/>
    <w:bookmarkEnd w:id="3"/>
    <w:p w:rsidRPr="000203E4" w:rsidR="009414E5" w:rsidRDefault="009414E5" w14:paraId="400E12C5" w14:textId="0EE9E2D6">
      <w:pPr>
        <w:pStyle w:val="Heading2"/>
        <w:keepNext w:val="0"/>
        <w:numPr>
          <w:ilvl w:val="0"/>
          <w:numId w:val="0"/>
        </w:numPr>
        <w:tabs>
          <w:tab w:val="num" w:pos="426"/>
        </w:tabs>
        <w:ind w:left="426"/>
        <w:jc w:val="left"/>
        <w:rPr>
          <w:rFonts w:ascii="Arial" w:hAnsi="Arial" w:cs="Arial"/>
          <w:b/>
          <w:szCs w:val="24"/>
        </w:rPr>
      </w:pPr>
      <w:r w:rsidRPr="000203E4">
        <w:rPr>
          <w:rFonts w:ascii="Arial" w:hAnsi="Arial" w:cs="Arial"/>
          <w:b/>
          <w:szCs w:val="24"/>
        </w:rPr>
        <w:t xml:space="preserve">Central </w:t>
      </w:r>
      <w:r w:rsidRPr="000203E4" w:rsidR="00C9482B">
        <w:rPr>
          <w:rFonts w:ascii="Arial" w:hAnsi="Arial" w:cs="Arial"/>
          <w:b/>
          <w:szCs w:val="24"/>
        </w:rPr>
        <w:t>p</w:t>
      </w:r>
      <w:r w:rsidRPr="000203E4">
        <w:rPr>
          <w:rFonts w:ascii="Arial" w:hAnsi="Arial" w:cs="Arial"/>
          <w:b/>
          <w:szCs w:val="24"/>
        </w:rPr>
        <w:t xml:space="preserve">rovision </w:t>
      </w:r>
      <w:r w:rsidRPr="000203E4" w:rsidR="00C9482B">
        <w:rPr>
          <w:rFonts w:ascii="Arial" w:hAnsi="Arial" w:cs="Arial"/>
          <w:b/>
          <w:szCs w:val="24"/>
        </w:rPr>
        <w:t>f</w:t>
      </w:r>
      <w:r w:rsidRPr="000203E4">
        <w:rPr>
          <w:rFonts w:ascii="Arial" w:hAnsi="Arial" w:cs="Arial"/>
          <w:b/>
          <w:szCs w:val="24"/>
        </w:rPr>
        <w:t xml:space="preserve">unded </w:t>
      </w:r>
      <w:r w:rsidRPr="000203E4" w:rsidR="004D353F">
        <w:rPr>
          <w:rFonts w:ascii="Arial" w:hAnsi="Arial" w:cs="Arial"/>
          <w:b/>
          <w:szCs w:val="24"/>
        </w:rPr>
        <w:t>by</w:t>
      </w:r>
      <w:r w:rsidRPr="000203E4">
        <w:rPr>
          <w:rFonts w:ascii="Arial" w:hAnsi="Arial" w:cs="Arial"/>
          <w:b/>
          <w:szCs w:val="24"/>
        </w:rPr>
        <w:t xml:space="preserve"> </w:t>
      </w:r>
      <w:r w:rsidRPr="000203E4" w:rsidR="00C9482B">
        <w:rPr>
          <w:rFonts w:ascii="Arial" w:hAnsi="Arial" w:cs="Arial"/>
          <w:b/>
          <w:szCs w:val="24"/>
        </w:rPr>
        <w:t>m</w:t>
      </w:r>
      <w:r w:rsidRPr="000203E4">
        <w:rPr>
          <w:rFonts w:ascii="Arial" w:hAnsi="Arial" w:cs="Arial"/>
          <w:b/>
          <w:szCs w:val="24"/>
        </w:rPr>
        <w:t xml:space="preserve">aintained </w:t>
      </w:r>
      <w:r w:rsidRPr="000203E4" w:rsidR="00C9482B">
        <w:rPr>
          <w:rFonts w:ascii="Arial" w:hAnsi="Arial" w:cs="Arial"/>
          <w:b/>
          <w:szCs w:val="24"/>
        </w:rPr>
        <w:t>s</w:t>
      </w:r>
      <w:r w:rsidRPr="000203E4">
        <w:rPr>
          <w:rFonts w:ascii="Arial" w:hAnsi="Arial" w:cs="Arial"/>
          <w:b/>
          <w:szCs w:val="24"/>
        </w:rPr>
        <w:t xml:space="preserve">chool </w:t>
      </w:r>
      <w:r w:rsidRPr="000203E4" w:rsidR="009B16CD">
        <w:rPr>
          <w:rFonts w:ascii="Arial" w:hAnsi="Arial" w:cs="Arial"/>
          <w:b/>
          <w:szCs w:val="24"/>
        </w:rPr>
        <w:t>budgets</w:t>
      </w:r>
    </w:p>
    <w:p w:rsidRPr="00986656" w:rsidR="00EF4EEB" w:rsidP="003A3422" w:rsidRDefault="003A3422" w14:paraId="76F2E85A" w14:textId="61F5C00C">
      <w:pPr>
        <w:pStyle w:val="Heading2"/>
        <w:keepNext w:val="0"/>
        <w:tabs>
          <w:tab w:val="clear" w:pos="576"/>
          <w:tab w:val="num" w:pos="426"/>
        </w:tabs>
        <w:ind w:left="426" w:hanging="568"/>
        <w:jc w:val="left"/>
        <w:rPr>
          <w:rFonts w:ascii="Arial" w:hAnsi="Arial" w:cs="Arial"/>
          <w:szCs w:val="24"/>
        </w:rPr>
      </w:pPr>
      <w:r w:rsidRPr="00986656">
        <w:rPr>
          <w:rFonts w:ascii="Arial" w:hAnsi="Arial" w:cs="Arial"/>
          <w:szCs w:val="24"/>
        </w:rPr>
        <w:t xml:space="preserve">The overall </w:t>
      </w:r>
      <w:r w:rsidRPr="00986656" w:rsidR="00B23324">
        <w:rPr>
          <w:rFonts w:ascii="Arial" w:hAnsi="Arial" w:cs="Arial"/>
          <w:szCs w:val="24"/>
        </w:rPr>
        <w:t>over</w:t>
      </w:r>
      <w:r w:rsidRPr="00986656">
        <w:rPr>
          <w:rFonts w:ascii="Arial" w:hAnsi="Arial" w:cs="Arial"/>
          <w:szCs w:val="24"/>
        </w:rPr>
        <w:t xml:space="preserve">spend of </w:t>
      </w:r>
      <w:r w:rsidRPr="00986656" w:rsidR="00B67AB7">
        <w:rPr>
          <w:rFonts w:ascii="Arial" w:hAnsi="Arial" w:cs="Arial"/>
          <w:szCs w:val="24"/>
        </w:rPr>
        <w:t>£</w:t>
      </w:r>
      <w:r w:rsidRPr="00986656" w:rsidR="00B23324">
        <w:rPr>
          <w:rFonts w:ascii="Arial" w:hAnsi="Arial" w:cs="Arial"/>
          <w:szCs w:val="24"/>
        </w:rPr>
        <w:t>275</w:t>
      </w:r>
      <w:r w:rsidRPr="00986656" w:rsidR="00485E30">
        <w:rPr>
          <w:rFonts w:ascii="Arial" w:hAnsi="Arial" w:cs="Arial"/>
          <w:szCs w:val="24"/>
        </w:rPr>
        <w:t xml:space="preserve">,000 </w:t>
      </w:r>
      <w:r w:rsidRPr="00986656">
        <w:rPr>
          <w:rFonts w:ascii="Arial" w:hAnsi="Arial" w:cs="Arial"/>
          <w:szCs w:val="24"/>
        </w:rPr>
        <w:t>on the central provision funded by maintained schools has been apportioned t</w:t>
      </w:r>
      <w:r w:rsidRPr="00986656" w:rsidR="007F53D3">
        <w:rPr>
          <w:rFonts w:ascii="Arial" w:hAnsi="Arial" w:cs="Arial"/>
          <w:szCs w:val="24"/>
        </w:rPr>
        <w:t>o the Schools Block and High Needs Block based on the contributions from the schools funded from these blocks.</w:t>
      </w:r>
    </w:p>
    <w:p w:rsidRPr="00986656" w:rsidR="14202BF7" w:rsidP="7514AA5A" w:rsidRDefault="14202BF7" w14:paraId="185090D7" w14:textId="7FF21739">
      <w:pPr>
        <w:pStyle w:val="Heading2"/>
        <w:keepNext w:val="0"/>
        <w:tabs>
          <w:tab w:val="clear" w:pos="576"/>
          <w:tab w:val="num" w:pos="426"/>
        </w:tabs>
        <w:spacing w:line="259" w:lineRule="auto"/>
        <w:ind w:left="426" w:hanging="568"/>
        <w:jc w:val="left"/>
        <w:rPr>
          <w:rFonts w:ascii="Arial" w:hAnsi="Arial" w:cs="Arial"/>
        </w:rPr>
      </w:pPr>
      <w:r w:rsidRPr="00986656">
        <w:rPr>
          <w:rFonts w:ascii="Arial" w:hAnsi="Arial" w:cs="Arial"/>
        </w:rPr>
        <w:t>Th</w:t>
      </w:r>
      <w:r w:rsidR="00EC4211">
        <w:rPr>
          <w:rFonts w:ascii="Arial" w:hAnsi="Arial" w:cs="Arial"/>
        </w:rPr>
        <w:t xml:space="preserve">is relates to </w:t>
      </w:r>
      <w:r w:rsidRPr="00986656" w:rsidR="7F33E677">
        <w:rPr>
          <w:rFonts w:ascii="Arial" w:hAnsi="Arial" w:cs="Arial"/>
        </w:rPr>
        <w:t xml:space="preserve">an </w:t>
      </w:r>
      <w:r w:rsidRPr="00986656" w:rsidR="000A2BB4">
        <w:rPr>
          <w:rFonts w:ascii="Arial" w:hAnsi="Arial" w:cs="Arial"/>
        </w:rPr>
        <w:t>over</w:t>
      </w:r>
      <w:r w:rsidRPr="00986656" w:rsidR="7F33E677">
        <w:rPr>
          <w:rFonts w:ascii="Arial" w:hAnsi="Arial" w:cs="Arial"/>
        </w:rPr>
        <w:t>spend of £</w:t>
      </w:r>
      <w:r w:rsidRPr="00986656" w:rsidR="000A2BB4">
        <w:rPr>
          <w:rFonts w:ascii="Arial" w:hAnsi="Arial" w:cs="Arial"/>
        </w:rPr>
        <w:t>333</w:t>
      </w:r>
      <w:r w:rsidRPr="00986656" w:rsidR="7F33E677">
        <w:rPr>
          <w:rFonts w:ascii="Arial" w:hAnsi="Arial" w:cs="Arial"/>
        </w:rPr>
        <w:t xml:space="preserve">,000 on the </w:t>
      </w:r>
      <w:r w:rsidRPr="00986656" w:rsidR="1AD1D09C">
        <w:rPr>
          <w:rFonts w:ascii="Arial" w:hAnsi="Arial" w:cs="Arial"/>
        </w:rPr>
        <w:t>redundancy and premature retirement costs budget</w:t>
      </w:r>
      <w:r w:rsidRPr="00986656" w:rsidR="6BE1499F">
        <w:rPr>
          <w:rFonts w:ascii="Arial" w:hAnsi="Arial" w:cs="Arial"/>
        </w:rPr>
        <w:t xml:space="preserve">, </w:t>
      </w:r>
      <w:r w:rsidRPr="00986656" w:rsidR="41988489">
        <w:rPr>
          <w:rFonts w:ascii="Arial" w:hAnsi="Arial" w:cs="Arial"/>
        </w:rPr>
        <w:t xml:space="preserve">due to </w:t>
      </w:r>
      <w:r w:rsidRPr="00986656" w:rsidR="0083779C">
        <w:rPr>
          <w:rFonts w:ascii="Arial" w:hAnsi="Arial" w:cs="Arial"/>
        </w:rPr>
        <w:t xml:space="preserve">a significant increase in school </w:t>
      </w:r>
      <w:proofErr w:type="gramStart"/>
      <w:r w:rsidRPr="00986656" w:rsidR="0083779C">
        <w:rPr>
          <w:rFonts w:ascii="Arial" w:hAnsi="Arial" w:cs="Arial"/>
        </w:rPr>
        <w:t>restructures</w:t>
      </w:r>
      <w:proofErr w:type="gramEnd"/>
      <w:r w:rsidRPr="00986656" w:rsidR="0083779C">
        <w:rPr>
          <w:rFonts w:ascii="Arial" w:hAnsi="Arial" w:cs="Arial"/>
        </w:rPr>
        <w:t xml:space="preserve"> and within this</w:t>
      </w:r>
      <w:r w:rsidRPr="00986656" w:rsidR="00986656">
        <w:rPr>
          <w:rFonts w:ascii="Arial" w:hAnsi="Arial" w:cs="Arial"/>
        </w:rPr>
        <w:t xml:space="preserve"> </w:t>
      </w:r>
      <w:r w:rsidRPr="00986656" w:rsidR="0083779C">
        <w:rPr>
          <w:rFonts w:ascii="Arial" w:hAnsi="Arial" w:cs="Arial"/>
        </w:rPr>
        <w:t>some expensive individual cases with high pension strain charges</w:t>
      </w:r>
      <w:r w:rsidRPr="00986656" w:rsidR="00986656">
        <w:rPr>
          <w:rFonts w:ascii="Arial" w:hAnsi="Arial" w:cs="Arial"/>
        </w:rPr>
        <w:t>.</w:t>
      </w:r>
    </w:p>
    <w:p w:rsidR="00042639" w:rsidP="00042639" w:rsidRDefault="00DB3855" w14:paraId="48F66512" w14:textId="77777777">
      <w:pPr>
        <w:pStyle w:val="Heading1"/>
        <w:keepNext w:val="0"/>
        <w:tabs>
          <w:tab w:val="clear" w:pos="2843"/>
        </w:tabs>
        <w:ind w:left="431" w:hanging="431"/>
        <w:jc w:val="left"/>
        <w:rPr>
          <w:rFonts w:ascii="Arial" w:hAnsi="Arial" w:cs="Arial"/>
          <w:bCs/>
          <w:szCs w:val="24"/>
        </w:rPr>
      </w:pPr>
      <w:r w:rsidRPr="00DB3855">
        <w:rPr>
          <w:rFonts w:ascii="Arial" w:hAnsi="Arial" w:cs="Arial"/>
          <w:bCs/>
          <w:szCs w:val="24"/>
        </w:rPr>
        <w:t>2025</w:t>
      </w:r>
      <w:r w:rsidR="00042639">
        <w:rPr>
          <w:rFonts w:ascii="Arial" w:hAnsi="Arial" w:cs="Arial"/>
          <w:bCs/>
          <w:szCs w:val="24"/>
        </w:rPr>
        <w:t>/26</w:t>
      </w:r>
      <w:r w:rsidRPr="00DB3855">
        <w:rPr>
          <w:rFonts w:ascii="Arial" w:hAnsi="Arial" w:cs="Arial"/>
          <w:bCs/>
          <w:szCs w:val="24"/>
        </w:rPr>
        <w:t xml:space="preserve"> budget variances</w:t>
      </w:r>
    </w:p>
    <w:p w:rsidRPr="00407A8C" w:rsidR="004546E9" w:rsidP="00407A8C" w:rsidRDefault="00DD408A" w14:paraId="76123B64" w14:textId="717A8A64">
      <w:pPr>
        <w:pStyle w:val="Heading2"/>
        <w:keepNext w:val="0"/>
        <w:tabs>
          <w:tab w:val="clear" w:pos="576"/>
          <w:tab w:val="num" w:pos="426"/>
        </w:tabs>
        <w:ind w:left="426" w:hanging="568"/>
        <w:jc w:val="left"/>
        <w:rPr>
          <w:rFonts w:ascii="Arial" w:hAnsi="Arial" w:cs="Arial"/>
          <w:szCs w:val="24"/>
        </w:rPr>
      </w:pPr>
      <w:r>
        <w:rPr>
          <w:rFonts w:ascii="Arial" w:hAnsi="Arial" w:cs="Arial"/>
          <w:szCs w:val="24"/>
        </w:rPr>
        <w:t>Following an update o</w:t>
      </w:r>
      <w:r w:rsidR="00C55A62">
        <w:rPr>
          <w:rFonts w:ascii="Arial" w:hAnsi="Arial" w:cs="Arial"/>
          <w:szCs w:val="24"/>
        </w:rPr>
        <w:t xml:space="preserve">f our 2025/26 allocation and </w:t>
      </w:r>
      <w:r w:rsidR="00062DFD">
        <w:rPr>
          <w:rFonts w:ascii="Arial" w:hAnsi="Arial" w:cs="Arial"/>
          <w:szCs w:val="24"/>
        </w:rPr>
        <w:t xml:space="preserve">EHCP forecasts </w:t>
      </w:r>
      <w:r w:rsidR="0056480D">
        <w:rPr>
          <w:rFonts w:ascii="Arial" w:hAnsi="Arial" w:cs="Arial"/>
          <w:szCs w:val="24"/>
        </w:rPr>
        <w:t>there have been some changes to forecast spend</w:t>
      </w:r>
      <w:r w:rsidR="00C95F9F">
        <w:rPr>
          <w:rFonts w:ascii="Arial" w:hAnsi="Arial" w:cs="Arial"/>
          <w:szCs w:val="24"/>
        </w:rPr>
        <w:t xml:space="preserve"> </w:t>
      </w:r>
      <w:r w:rsidR="00EF4C6C">
        <w:rPr>
          <w:rFonts w:ascii="Arial" w:hAnsi="Arial" w:cs="Arial"/>
          <w:szCs w:val="24"/>
        </w:rPr>
        <w:t xml:space="preserve">within the </w:t>
      </w:r>
      <w:r w:rsidR="00ED6B9E">
        <w:rPr>
          <w:rFonts w:ascii="Arial" w:hAnsi="Arial" w:cs="Arial"/>
          <w:szCs w:val="24"/>
        </w:rPr>
        <w:t xml:space="preserve">High Needs block </w:t>
      </w:r>
      <w:r w:rsidR="00C95F9F">
        <w:rPr>
          <w:rFonts w:ascii="Arial" w:hAnsi="Arial" w:cs="Arial"/>
          <w:szCs w:val="24"/>
        </w:rPr>
        <w:t xml:space="preserve">and projected £132.2m deficit in </w:t>
      </w:r>
      <w:r w:rsidR="00C64E41">
        <w:rPr>
          <w:rFonts w:ascii="Arial" w:hAnsi="Arial" w:cs="Arial"/>
          <w:szCs w:val="24"/>
        </w:rPr>
        <w:t>2025/26</w:t>
      </w:r>
      <w:r w:rsidR="008F4D75">
        <w:rPr>
          <w:rFonts w:ascii="Arial" w:hAnsi="Arial" w:cs="Arial"/>
          <w:szCs w:val="24"/>
        </w:rPr>
        <w:t xml:space="preserve">.  </w:t>
      </w:r>
    </w:p>
    <w:p w:rsidRPr="0027717D" w:rsidR="00207AC1" w:rsidP="00407A8C" w:rsidRDefault="00A11481" w14:paraId="671BD55E" w14:textId="6834848D" w14:noSpellErr="1">
      <w:pPr>
        <w:pStyle w:val="Heading2"/>
        <w:keepNext w:val="0"/>
        <w:tabs>
          <w:tab w:val="clear" w:pos="576"/>
          <w:tab w:val="num" w:pos="426"/>
        </w:tabs>
        <w:ind w:left="426" w:hanging="568"/>
        <w:jc w:val="left"/>
        <w:rPr>
          <w:rFonts w:ascii="Arial" w:hAnsi="Arial" w:cs="Arial"/>
        </w:rPr>
      </w:pPr>
      <w:r w:rsidRPr="095A64EF" w:rsidR="00A11481">
        <w:rPr>
          <w:rFonts w:ascii="Arial" w:hAnsi="Arial" w:cs="Arial"/>
        </w:rPr>
        <w:t xml:space="preserve">The </w:t>
      </w:r>
      <w:r w:rsidRPr="095A64EF" w:rsidR="008F4D75">
        <w:rPr>
          <w:rFonts w:ascii="Arial" w:hAnsi="Arial" w:cs="Arial"/>
        </w:rPr>
        <w:t>current</w:t>
      </w:r>
      <w:r w:rsidRPr="095A64EF" w:rsidR="00A11481">
        <w:rPr>
          <w:rFonts w:ascii="Arial" w:hAnsi="Arial" w:cs="Arial"/>
        </w:rPr>
        <w:t xml:space="preserve"> position is </w:t>
      </w:r>
      <w:r w:rsidRPr="095A64EF" w:rsidR="00A11481">
        <w:rPr>
          <w:rFonts w:ascii="Arial" w:hAnsi="Arial" w:cs="Arial"/>
        </w:rPr>
        <w:t>£</w:t>
      </w:r>
      <w:r w:rsidRPr="095A64EF" w:rsidR="0002502E">
        <w:rPr>
          <w:rFonts w:ascii="Arial" w:hAnsi="Arial" w:cs="Arial"/>
        </w:rPr>
        <w:t>23.7</w:t>
      </w:r>
      <w:r w:rsidRPr="095A64EF" w:rsidR="00A11481">
        <w:rPr>
          <w:rFonts w:ascii="Arial" w:hAnsi="Arial" w:cs="Arial"/>
        </w:rPr>
        <w:t xml:space="preserve">m higher than the </w:t>
      </w:r>
      <w:r w:rsidRPr="095A64EF" w:rsidR="00351E77">
        <w:rPr>
          <w:rFonts w:ascii="Arial" w:hAnsi="Arial" w:cs="Arial"/>
        </w:rPr>
        <w:t>original budget</w:t>
      </w:r>
      <w:r w:rsidRPr="095A64EF" w:rsidR="00A11481">
        <w:rPr>
          <w:rFonts w:ascii="Arial" w:hAnsi="Arial" w:cs="Arial"/>
        </w:rPr>
        <w:t xml:space="preserve"> position reported to </w:t>
      </w:r>
      <w:r w:rsidRPr="095A64EF" w:rsidR="00A11481">
        <w:rPr>
          <w:rFonts w:ascii="Arial" w:hAnsi="Arial" w:cs="Arial"/>
        </w:rPr>
        <w:t>Schools</w:t>
      </w:r>
      <w:r w:rsidRPr="095A64EF" w:rsidR="00A11481">
        <w:rPr>
          <w:rFonts w:ascii="Arial" w:hAnsi="Arial" w:cs="Arial"/>
        </w:rPr>
        <w:t xml:space="preserve"> Forum in January. This increase </w:t>
      </w:r>
      <w:r w:rsidRPr="095A64EF" w:rsidR="00A11481">
        <w:rPr>
          <w:rFonts w:ascii="Arial" w:hAnsi="Arial" w:cs="Arial"/>
        </w:rPr>
        <w:t>mainly relates</w:t>
      </w:r>
      <w:r w:rsidRPr="095A64EF" w:rsidR="00A11481">
        <w:rPr>
          <w:rFonts w:ascii="Arial" w:hAnsi="Arial" w:cs="Arial"/>
        </w:rPr>
        <w:t xml:space="preserve"> to higher </w:t>
      </w:r>
      <w:r w:rsidRPr="095A64EF" w:rsidR="00A11481">
        <w:rPr>
          <w:rFonts w:ascii="Arial" w:hAnsi="Arial" w:cs="Arial"/>
        </w:rPr>
        <w:t>spend</w:t>
      </w:r>
      <w:r w:rsidRPr="095A64EF" w:rsidR="00A11481">
        <w:rPr>
          <w:rFonts w:ascii="Arial" w:hAnsi="Arial" w:cs="Arial"/>
        </w:rPr>
        <w:t xml:space="preserve"> </w:t>
      </w:r>
      <w:r w:rsidRPr="095A64EF" w:rsidR="00FF67EE">
        <w:rPr>
          <w:rFonts w:ascii="Arial" w:hAnsi="Arial" w:cs="Arial"/>
        </w:rPr>
        <w:t>as a result of</w:t>
      </w:r>
      <w:r w:rsidRPr="095A64EF" w:rsidR="00FF67EE">
        <w:rPr>
          <w:rFonts w:ascii="Arial" w:hAnsi="Arial" w:cs="Arial"/>
        </w:rPr>
        <w:t xml:space="preserve"> </w:t>
      </w:r>
      <w:r w:rsidRPr="095A64EF" w:rsidR="00594762">
        <w:rPr>
          <w:rFonts w:ascii="Arial" w:hAnsi="Arial" w:cs="Arial"/>
        </w:rPr>
        <w:t xml:space="preserve">increased demand </w:t>
      </w:r>
      <w:r w:rsidRPr="095A64EF" w:rsidR="00C31C73">
        <w:rPr>
          <w:rFonts w:ascii="Arial" w:hAnsi="Arial" w:cs="Arial"/>
        </w:rPr>
        <w:t>for</w:t>
      </w:r>
      <w:r w:rsidRPr="095A64EF" w:rsidR="00A11481">
        <w:rPr>
          <w:rFonts w:ascii="Arial" w:hAnsi="Arial" w:cs="Arial"/>
        </w:rPr>
        <w:t xml:space="preserve"> independent providers </w:t>
      </w:r>
      <w:r w:rsidRPr="095A64EF" w:rsidR="00A11481">
        <w:rPr>
          <w:rFonts w:ascii="Arial" w:hAnsi="Arial" w:cs="Arial"/>
        </w:rPr>
        <w:t>(£</w:t>
      </w:r>
      <w:r w:rsidRPr="095A64EF" w:rsidR="00BF03EF">
        <w:rPr>
          <w:rFonts w:ascii="Arial" w:hAnsi="Arial" w:cs="Arial"/>
        </w:rPr>
        <w:t>21.7</w:t>
      </w:r>
      <w:r w:rsidRPr="095A64EF" w:rsidR="00A11481">
        <w:rPr>
          <w:rFonts w:ascii="Arial" w:hAnsi="Arial" w:cs="Arial"/>
        </w:rPr>
        <w:t>m) and discretionary payments (£</w:t>
      </w:r>
      <w:r w:rsidRPr="095A64EF" w:rsidR="0001367A">
        <w:rPr>
          <w:rFonts w:ascii="Arial" w:hAnsi="Arial" w:cs="Arial"/>
        </w:rPr>
        <w:t>2.</w:t>
      </w:r>
      <w:r w:rsidRPr="095A64EF" w:rsidR="00EB3CAA">
        <w:rPr>
          <w:rFonts w:ascii="Arial" w:hAnsi="Arial" w:cs="Arial"/>
        </w:rPr>
        <w:t>8</w:t>
      </w:r>
      <w:r w:rsidRPr="095A64EF" w:rsidR="00A11481">
        <w:rPr>
          <w:rFonts w:ascii="Arial" w:hAnsi="Arial" w:cs="Arial"/>
        </w:rPr>
        <w:t xml:space="preserve">m). </w:t>
      </w:r>
    </w:p>
    <w:p w:rsidR="7B58E4DE" w:rsidP="095A64EF" w:rsidRDefault="7B58E4DE" w14:paraId="3C9DB82E" w14:textId="6033F936">
      <w:pPr>
        <w:pStyle w:val="Heading2"/>
        <w:keepNext w:val="0"/>
        <w:tabs>
          <w:tab w:val="clear" w:leader="none" w:pos="576"/>
          <w:tab w:val="num" w:leader="none" w:pos="426"/>
        </w:tabs>
        <w:ind w:left="426" w:hanging="568"/>
        <w:jc w:val="left"/>
        <w:rPr>
          <w:rFonts w:ascii="Arial" w:hAnsi="Arial" w:cs="Arial"/>
        </w:rPr>
      </w:pPr>
      <w:r w:rsidRPr="095A64EF" w:rsidR="7B58E4DE">
        <w:rPr>
          <w:rFonts w:ascii="Arial" w:hAnsi="Arial" w:cs="Arial"/>
        </w:rPr>
        <w:t>The statutory override for Dedicated Schools Grant (DSG) deficits, which allows local authorities to keep these deficits off their balance sheets,</w:t>
      </w:r>
      <w:r w:rsidRPr="095A64EF" w:rsidR="29D52CA1">
        <w:rPr>
          <w:rFonts w:ascii="Arial" w:hAnsi="Arial" w:cs="Arial"/>
        </w:rPr>
        <w:t xml:space="preserve"> </w:t>
      </w:r>
      <w:r w:rsidRPr="095A64EF" w:rsidR="79A3C93B">
        <w:rPr>
          <w:rFonts w:ascii="Arial" w:hAnsi="Arial" w:cs="Arial"/>
        </w:rPr>
        <w:t xml:space="preserve">has been extended for </w:t>
      </w:r>
      <w:r w:rsidRPr="095A64EF" w:rsidR="4083FD35">
        <w:rPr>
          <w:rFonts w:ascii="Arial" w:hAnsi="Arial" w:cs="Arial"/>
        </w:rPr>
        <w:t xml:space="preserve">two years </w:t>
      </w:r>
      <w:r w:rsidRPr="095A64EF" w:rsidR="19D8D257">
        <w:rPr>
          <w:rFonts w:ascii="Arial" w:hAnsi="Arial" w:cs="Arial"/>
        </w:rPr>
        <w:t>until March</w:t>
      </w:r>
      <w:r w:rsidRPr="095A64EF" w:rsidR="4083FD35">
        <w:rPr>
          <w:rFonts w:ascii="Arial" w:hAnsi="Arial" w:cs="Arial"/>
        </w:rPr>
        <w:t xml:space="preserve"> 2028.</w:t>
      </w:r>
      <w:r w:rsidRPr="095A64EF" w:rsidR="79A3C93B">
        <w:rPr>
          <w:rFonts w:ascii="Arial" w:hAnsi="Arial" w:cs="Arial"/>
        </w:rPr>
        <w:t xml:space="preserve"> </w:t>
      </w:r>
    </w:p>
    <w:p w:rsidRPr="0027717D" w:rsidR="00005116" w:rsidP="00407A8C" w:rsidRDefault="00C94494" w14:paraId="508F8AA9" w14:textId="77777777">
      <w:pPr>
        <w:pStyle w:val="Heading2"/>
        <w:keepNext w:val="0"/>
        <w:tabs>
          <w:tab w:val="clear" w:pos="576"/>
          <w:tab w:val="num" w:pos="426"/>
        </w:tabs>
        <w:ind w:left="426" w:hanging="568"/>
        <w:jc w:val="left"/>
        <w:rPr>
          <w:rFonts w:ascii="Arial" w:hAnsi="Arial" w:cs="Arial"/>
        </w:rPr>
      </w:pPr>
      <w:r w:rsidRPr="0027717D">
        <w:rPr>
          <w:rFonts w:ascii="Arial" w:hAnsi="Arial" w:cs="Arial"/>
        </w:rPr>
        <w:t>The</w:t>
      </w:r>
      <w:r w:rsidRPr="0027717D" w:rsidR="000C4289">
        <w:rPr>
          <w:rFonts w:ascii="Arial" w:hAnsi="Arial" w:cs="Arial"/>
        </w:rPr>
        <w:t xml:space="preserve"> </w:t>
      </w:r>
      <w:r w:rsidRPr="0027717D" w:rsidR="00D31364">
        <w:rPr>
          <w:rFonts w:ascii="Arial" w:hAnsi="Arial" w:cs="Arial"/>
        </w:rPr>
        <w:t xml:space="preserve">pressure on the </w:t>
      </w:r>
      <w:r w:rsidRPr="0027717D" w:rsidR="005149F6">
        <w:rPr>
          <w:rFonts w:ascii="Arial" w:hAnsi="Arial" w:cs="Arial"/>
        </w:rPr>
        <w:t xml:space="preserve">high needs block continues to be </w:t>
      </w:r>
      <w:r w:rsidRPr="0027717D" w:rsidR="00E801B2">
        <w:rPr>
          <w:rFonts w:ascii="Arial" w:hAnsi="Arial" w:cs="Arial"/>
        </w:rPr>
        <w:t xml:space="preserve">mitigated </w:t>
      </w:r>
      <w:r w:rsidR="00C36DC0">
        <w:rPr>
          <w:rFonts w:ascii="Arial" w:hAnsi="Arial" w:cs="Arial"/>
        </w:rPr>
        <w:t>by</w:t>
      </w:r>
      <w:r w:rsidR="00B6793A">
        <w:rPr>
          <w:rFonts w:ascii="Arial" w:hAnsi="Arial" w:cs="Arial"/>
        </w:rPr>
        <w:t xml:space="preserve"> our</w:t>
      </w:r>
      <w:r w:rsidRPr="0027717D" w:rsidR="00E801B2">
        <w:rPr>
          <w:rFonts w:ascii="Arial" w:hAnsi="Arial" w:cs="Arial"/>
        </w:rPr>
        <w:t xml:space="preserve"> </w:t>
      </w:r>
      <w:r w:rsidRPr="0027717D" w:rsidR="00E14760">
        <w:rPr>
          <w:rFonts w:ascii="Arial" w:hAnsi="Arial" w:cs="Arial"/>
        </w:rPr>
        <w:t xml:space="preserve">saving </w:t>
      </w:r>
      <w:r w:rsidRPr="0027717D" w:rsidR="00237598">
        <w:rPr>
          <w:rFonts w:ascii="Arial" w:hAnsi="Arial" w:cs="Arial"/>
        </w:rPr>
        <w:t xml:space="preserve">workstreams </w:t>
      </w:r>
      <w:r w:rsidRPr="0027717D" w:rsidR="009310A9">
        <w:rPr>
          <w:rFonts w:ascii="Arial" w:hAnsi="Arial" w:cs="Arial"/>
        </w:rPr>
        <w:t>managed by the Transforming SEND Hampshire board and</w:t>
      </w:r>
      <w:r w:rsidRPr="0027717D" w:rsidR="00853CF3">
        <w:rPr>
          <w:rFonts w:ascii="Arial" w:hAnsi="Arial" w:cs="Arial"/>
        </w:rPr>
        <w:t xml:space="preserve"> recorded o</w:t>
      </w:r>
      <w:r w:rsidRPr="0027717D" w:rsidR="006C276D">
        <w:rPr>
          <w:rFonts w:ascii="Arial" w:hAnsi="Arial" w:cs="Arial"/>
        </w:rPr>
        <w:t>n our DSG mana</w:t>
      </w:r>
      <w:r w:rsidRPr="0027717D" w:rsidR="0077532C">
        <w:rPr>
          <w:rFonts w:ascii="Arial" w:hAnsi="Arial" w:cs="Arial"/>
        </w:rPr>
        <w:t>gement plan</w:t>
      </w:r>
      <w:r w:rsidRPr="0027717D" w:rsidR="00520062">
        <w:rPr>
          <w:rFonts w:ascii="Arial" w:hAnsi="Arial" w:cs="Arial"/>
        </w:rPr>
        <w:t>.</w:t>
      </w:r>
      <w:r w:rsidRPr="0027717D" w:rsidR="00E863A0">
        <w:rPr>
          <w:rFonts w:ascii="Arial" w:hAnsi="Arial" w:cs="Arial"/>
        </w:rPr>
        <w:t xml:space="preserve">  In 2025/26 plans are in place to deliver £</w:t>
      </w:r>
      <w:r w:rsidRPr="0027717D" w:rsidR="008879B5">
        <w:rPr>
          <w:rFonts w:ascii="Arial" w:hAnsi="Arial" w:cs="Arial"/>
        </w:rPr>
        <w:t>41.7m</w:t>
      </w:r>
      <w:r w:rsidRPr="0027717D" w:rsidR="00000986">
        <w:rPr>
          <w:rFonts w:ascii="Arial" w:hAnsi="Arial" w:cs="Arial"/>
        </w:rPr>
        <w:t xml:space="preserve"> </w:t>
      </w:r>
      <w:r w:rsidRPr="0027717D" w:rsidR="00AC1354">
        <w:rPr>
          <w:rFonts w:ascii="Arial" w:hAnsi="Arial" w:cs="Arial"/>
        </w:rPr>
        <w:t>savings</w:t>
      </w:r>
      <w:r w:rsidRPr="0027717D" w:rsidR="00BF1960">
        <w:rPr>
          <w:rFonts w:ascii="Arial" w:hAnsi="Arial" w:cs="Arial"/>
        </w:rPr>
        <w:t>.</w:t>
      </w:r>
      <w:r w:rsidRPr="0027717D" w:rsidR="00722E24">
        <w:rPr>
          <w:rFonts w:ascii="Arial" w:hAnsi="Arial" w:cs="Arial"/>
        </w:rPr>
        <w:t xml:space="preserve"> </w:t>
      </w:r>
    </w:p>
    <w:p w:rsidRPr="009D0E6A" w:rsidR="001A6A5E" w:rsidP="007A1C06" w:rsidRDefault="006079F6" w14:paraId="791759DD" w14:textId="6C2B34A5">
      <w:pPr>
        <w:pStyle w:val="Heading2"/>
        <w:keepNext w:val="0"/>
        <w:tabs>
          <w:tab w:val="clear" w:pos="576"/>
          <w:tab w:val="num" w:pos="426"/>
        </w:tabs>
        <w:ind w:left="426" w:hanging="568"/>
        <w:jc w:val="left"/>
        <w:rPr>
          <w:rFonts w:ascii="Arial" w:hAnsi="Arial" w:cs="Arial"/>
        </w:rPr>
      </w:pPr>
      <w:r w:rsidRPr="006079F6">
        <w:rPr>
          <w:rFonts w:ascii="Arial" w:hAnsi="Arial" w:cs="Arial"/>
        </w:rPr>
        <w:t>The D</w:t>
      </w:r>
      <w:r>
        <w:rPr>
          <w:rFonts w:ascii="Arial" w:hAnsi="Arial" w:cs="Arial"/>
        </w:rPr>
        <w:t>f</w:t>
      </w:r>
      <w:r w:rsidRPr="006079F6">
        <w:rPr>
          <w:rFonts w:ascii="Arial" w:hAnsi="Arial" w:cs="Arial"/>
        </w:rPr>
        <w:t xml:space="preserve">E has accepted the School Teachers' Review Body's (STRB) recommendation for a 4% increase in teacher pay in England from September 2025. This means all pay ranges and advisory points for teachers and leaders will rise by 4% from September 2025. </w:t>
      </w:r>
      <w:r w:rsidRPr="00C25DAA" w:rsidR="00C25DAA">
        <w:rPr>
          <w:rFonts w:ascii="Arial" w:hAnsi="Arial" w:cs="Arial"/>
        </w:rPr>
        <w:t xml:space="preserve">£615 million in new funding </w:t>
      </w:r>
      <w:r w:rsidR="004E4214">
        <w:rPr>
          <w:rFonts w:ascii="Arial" w:hAnsi="Arial" w:cs="Arial"/>
        </w:rPr>
        <w:t xml:space="preserve">has been provided </w:t>
      </w:r>
      <w:r w:rsidRPr="00C25DAA" w:rsidR="00C25DAA">
        <w:rPr>
          <w:rFonts w:ascii="Arial" w:hAnsi="Arial" w:cs="Arial"/>
        </w:rPr>
        <w:t xml:space="preserve">to support </w:t>
      </w:r>
      <w:r w:rsidR="00DC50B7">
        <w:rPr>
          <w:rFonts w:ascii="Arial" w:hAnsi="Arial" w:cs="Arial"/>
        </w:rPr>
        <w:t>schools</w:t>
      </w:r>
      <w:r w:rsidRPr="00C25DAA" w:rsidR="00C25DAA">
        <w:rPr>
          <w:rFonts w:ascii="Arial" w:hAnsi="Arial" w:cs="Arial"/>
        </w:rPr>
        <w:t xml:space="preserve"> with their </w:t>
      </w:r>
      <w:proofErr w:type="gramStart"/>
      <w:r w:rsidRPr="00C25DAA" w:rsidR="00C25DAA">
        <w:rPr>
          <w:rFonts w:ascii="Arial" w:hAnsi="Arial" w:cs="Arial"/>
        </w:rPr>
        <w:t>costs</w:t>
      </w:r>
      <w:proofErr w:type="gramEnd"/>
      <w:r w:rsidRPr="00C25DAA" w:rsidR="00C25DAA">
        <w:rPr>
          <w:rFonts w:ascii="Arial" w:hAnsi="Arial" w:cs="Arial"/>
        </w:rPr>
        <w:t xml:space="preserve"> including staff pay.</w:t>
      </w:r>
    </w:p>
    <w:p w:rsidRPr="001231B5" w:rsidR="00BE5E88" w:rsidP="00BE5E88" w:rsidRDefault="004F757A" w14:paraId="7289B238" w14:textId="4FD476A6">
      <w:pPr>
        <w:pStyle w:val="NormalWeb"/>
        <w:numPr>
          <w:ilvl w:val="0"/>
          <w:numId w:val="17"/>
        </w:numPr>
        <w:spacing w:before="0" w:beforeAutospacing="0" w:after="300" w:afterAutospacing="0"/>
        <w:ind w:left="1080"/>
        <w:rPr>
          <w:rFonts w:ascii="Arial" w:hAnsi="Arial" w:cs="Arial"/>
          <w:color w:val="0B0C0C"/>
        </w:rPr>
      </w:pPr>
      <w:r w:rsidRPr="001231B5">
        <w:rPr>
          <w:rFonts w:ascii="Arial" w:hAnsi="Arial" w:cs="Arial"/>
          <w:color w:val="0B0C0C"/>
        </w:rPr>
        <w:t xml:space="preserve">The DfE have already announced </w:t>
      </w:r>
      <w:r w:rsidRPr="001231B5" w:rsidR="00BE5E88">
        <w:rPr>
          <w:rFonts w:ascii="Arial" w:hAnsi="Arial" w:cs="Arial"/>
          <w:color w:val="0B0C0C"/>
        </w:rPr>
        <w:t xml:space="preserve">£13.9 million additional funding for HCC </w:t>
      </w:r>
      <w:r w:rsidRPr="001231B5" w:rsidR="002870FD">
        <w:rPr>
          <w:rFonts w:ascii="Arial" w:hAnsi="Arial" w:cs="Arial"/>
          <w:color w:val="0B0C0C"/>
        </w:rPr>
        <w:t xml:space="preserve">for </w:t>
      </w:r>
      <w:r w:rsidRPr="001231B5" w:rsidR="00BE5E88">
        <w:rPr>
          <w:rFonts w:ascii="Arial" w:hAnsi="Arial" w:cs="Arial"/>
          <w:color w:val="0B0C0C"/>
        </w:rPr>
        <w:t>special and AP schools paid through the</w:t>
      </w:r>
      <w:r w:rsidRPr="001231B5" w:rsidR="002870FD">
        <w:rPr>
          <w:rFonts w:ascii="Arial" w:hAnsi="Arial" w:cs="Arial"/>
          <w:color w:val="0B0C0C"/>
        </w:rPr>
        <w:t xml:space="preserve"> existing</w:t>
      </w:r>
      <w:r w:rsidRPr="001231B5" w:rsidR="00BE5E88">
        <w:rPr>
          <w:rFonts w:ascii="Arial" w:hAnsi="Arial" w:cs="Arial"/>
          <w:color w:val="0B0C0C"/>
        </w:rPr>
        <w:t xml:space="preserve"> </w:t>
      </w:r>
      <w:hyperlink w:history="1" r:id="rId15">
        <w:r w:rsidRPr="001231B5" w:rsidR="00BE5E88">
          <w:rPr>
            <w:rStyle w:val="Hyperlink"/>
            <w:rFonts w:ascii="Arial" w:hAnsi="Arial" w:cs="Arial"/>
            <w:color w:val="1D70B8"/>
          </w:rPr>
          <w:t>core schools budget grant</w:t>
        </w:r>
      </w:hyperlink>
      <w:r w:rsidRPr="001231B5" w:rsidR="00BE5E88">
        <w:rPr>
          <w:rFonts w:ascii="Arial" w:hAnsi="Arial" w:cs="Arial"/>
          <w:color w:val="0B0C0C"/>
        </w:rPr>
        <w:t>.</w:t>
      </w:r>
    </w:p>
    <w:p w:rsidR="007A1C06" w:rsidP="00F340DD" w:rsidRDefault="007A1C06" w14:paraId="15351878" w14:textId="4186FC4B">
      <w:pPr>
        <w:pStyle w:val="NormalWeb"/>
        <w:numPr>
          <w:ilvl w:val="0"/>
          <w:numId w:val="17"/>
        </w:numPr>
        <w:spacing w:before="0" w:beforeAutospacing="0" w:after="300" w:afterAutospacing="0"/>
        <w:ind w:left="1080"/>
        <w:rPr>
          <w:rFonts w:ascii="Arial" w:hAnsi="Arial" w:cs="Arial"/>
          <w:color w:val="0B0C0C"/>
        </w:rPr>
      </w:pPr>
      <w:r w:rsidRPr="007A1C06">
        <w:rPr>
          <w:rFonts w:ascii="Arial" w:hAnsi="Arial" w:cs="Arial"/>
          <w:color w:val="0B0C0C"/>
        </w:rPr>
        <w:t xml:space="preserve">over £470 million for mainstream schools (5 to 16) and over £10 million for centrally employed staff through the </w:t>
      </w:r>
      <w:hyperlink w:history="1" r:id="rId16">
        <w:r w:rsidRPr="00762CAC" w:rsidR="00343E86">
          <w:rPr>
            <w:rStyle w:val="Hyperlink"/>
            <w:rFonts w:ascii="Arial" w:hAnsi="Arial" w:cs="Arial"/>
            <w:color w:val="1D70B8"/>
          </w:rPr>
          <w:t>schools budget support grant (SBSG)</w:t>
        </w:r>
      </w:hyperlink>
      <w:r w:rsidR="00343E86">
        <w:rPr>
          <w:rFonts w:ascii="Arial" w:hAnsi="Arial" w:cs="Arial"/>
          <w:color w:val="0B0C0C"/>
        </w:rPr>
        <w:t>,</w:t>
      </w:r>
      <w:r w:rsidR="00E95121">
        <w:rPr>
          <w:rFonts w:ascii="Arial" w:hAnsi="Arial" w:cs="Arial"/>
          <w:color w:val="0B0C0C"/>
        </w:rPr>
        <w:t xml:space="preserve"> with conditions and Hampshire </w:t>
      </w:r>
      <w:r w:rsidR="00711F15">
        <w:rPr>
          <w:rFonts w:ascii="Arial" w:hAnsi="Arial" w:cs="Arial"/>
          <w:color w:val="0B0C0C"/>
        </w:rPr>
        <w:t xml:space="preserve">specific </w:t>
      </w:r>
      <w:r w:rsidR="00E95121">
        <w:rPr>
          <w:rFonts w:ascii="Arial" w:hAnsi="Arial" w:cs="Arial"/>
          <w:color w:val="0B0C0C"/>
        </w:rPr>
        <w:t>allocations to be confirmed in the Autumn.</w:t>
      </w:r>
      <w:r w:rsidR="006E0E73">
        <w:rPr>
          <w:rFonts w:ascii="Arial" w:hAnsi="Arial" w:cs="Arial"/>
          <w:color w:val="0B0C0C"/>
        </w:rPr>
        <w:t xml:space="preserve"> </w:t>
      </w:r>
      <w:r w:rsidRPr="006E0E73" w:rsidR="006E0E73">
        <w:rPr>
          <w:rFonts w:ascii="Arial" w:hAnsi="Arial" w:cs="Arial"/>
          <w:color w:val="0B0C0C"/>
        </w:rPr>
        <w:t>Th</w:t>
      </w:r>
      <w:r w:rsidR="006E0E73">
        <w:rPr>
          <w:rFonts w:ascii="Arial" w:hAnsi="Arial" w:cs="Arial"/>
          <w:color w:val="0B0C0C"/>
        </w:rPr>
        <w:t>is will include ad</w:t>
      </w:r>
      <w:r w:rsidRPr="006E0E73" w:rsidR="006E0E73">
        <w:rPr>
          <w:rFonts w:ascii="Arial" w:hAnsi="Arial" w:cs="Arial"/>
          <w:color w:val="0B0C0C"/>
        </w:rPr>
        <w:t>ditional funding for mainstream schools with special units or resource provision (SURPs)</w:t>
      </w:r>
      <w:r w:rsidR="006B5DF4">
        <w:rPr>
          <w:rFonts w:ascii="Arial" w:hAnsi="Arial" w:cs="Arial"/>
          <w:color w:val="0B0C0C"/>
        </w:rPr>
        <w:t>,</w:t>
      </w:r>
      <w:r w:rsidRPr="006E0E73" w:rsidR="006E0E73">
        <w:rPr>
          <w:rFonts w:ascii="Arial" w:hAnsi="Arial" w:cs="Arial"/>
          <w:color w:val="0B0C0C"/>
        </w:rPr>
        <w:t xml:space="preserve"> on top of the allocation that all mainstream schools receive</w:t>
      </w:r>
      <w:r w:rsidR="006B5DF4">
        <w:rPr>
          <w:rFonts w:ascii="Arial" w:hAnsi="Arial" w:cs="Arial"/>
          <w:color w:val="0B0C0C"/>
        </w:rPr>
        <w:t>.</w:t>
      </w:r>
    </w:p>
    <w:p w:rsidRPr="00762CAC" w:rsidR="00762CAC" w:rsidP="00F340DD" w:rsidRDefault="00762CAC" w14:paraId="10465054" w14:textId="62BE8A01">
      <w:pPr>
        <w:pStyle w:val="NormalWeb"/>
        <w:numPr>
          <w:ilvl w:val="0"/>
          <w:numId w:val="17"/>
        </w:numPr>
        <w:spacing w:before="0" w:beforeAutospacing="0" w:after="300" w:afterAutospacing="0"/>
        <w:ind w:left="1080"/>
        <w:rPr>
          <w:rFonts w:ascii="Arial" w:hAnsi="Arial" w:cs="Arial"/>
          <w:color w:val="0B0C0C"/>
        </w:rPr>
      </w:pPr>
      <w:r w:rsidRPr="00762CAC">
        <w:rPr>
          <w:rFonts w:ascii="Arial" w:hAnsi="Arial" w:cs="Arial"/>
          <w:color w:val="0B0C0C"/>
        </w:rPr>
        <w:t xml:space="preserve">over £30 million for schools with 16 to 19 </w:t>
      </w:r>
      <w:proofErr w:type="gramStart"/>
      <w:r w:rsidRPr="00762CAC">
        <w:rPr>
          <w:rFonts w:ascii="Arial" w:hAnsi="Arial" w:cs="Arial"/>
          <w:color w:val="0B0C0C"/>
        </w:rPr>
        <w:t>provision</w:t>
      </w:r>
      <w:proofErr w:type="gramEnd"/>
      <w:r w:rsidRPr="00762CAC">
        <w:rPr>
          <w:rFonts w:ascii="Arial" w:hAnsi="Arial" w:cs="Arial"/>
          <w:color w:val="0B0C0C"/>
        </w:rPr>
        <w:t xml:space="preserve"> in core 16 to 19 funding allocations for the 2025 to 2026 academic year</w:t>
      </w:r>
      <w:r w:rsidR="00C5137C">
        <w:rPr>
          <w:rFonts w:ascii="Arial" w:hAnsi="Arial" w:cs="Arial"/>
          <w:color w:val="0B0C0C"/>
        </w:rPr>
        <w:t xml:space="preserve">. As well as </w:t>
      </w:r>
      <w:r w:rsidRPr="00C5137C" w:rsidR="00C5137C">
        <w:rPr>
          <w:rFonts w:ascii="Arial" w:hAnsi="Arial" w:cs="Arial"/>
          <w:color w:val="0B0C0C"/>
        </w:rPr>
        <w:t>£160 million in 2025 to 2026 to support colleges and other 16 to 19 providers to address immediate priorities, including recruiting and retaining expert teachers in high value subject areas</w:t>
      </w:r>
      <w:r w:rsidR="00C13372">
        <w:rPr>
          <w:rFonts w:ascii="Arial" w:hAnsi="Arial" w:cs="Arial"/>
          <w:color w:val="0B0C0C"/>
        </w:rPr>
        <w:t xml:space="preserve">. </w:t>
      </w:r>
      <w:r w:rsidR="00EC5382">
        <w:rPr>
          <w:rFonts w:ascii="Arial" w:hAnsi="Arial" w:cs="Arial"/>
          <w:color w:val="0B0C0C"/>
        </w:rPr>
        <w:t>F</w:t>
      </w:r>
      <w:r w:rsidRPr="00EC5382" w:rsidR="00EC5382">
        <w:rPr>
          <w:rFonts w:ascii="Arial" w:hAnsi="Arial" w:cs="Arial"/>
          <w:color w:val="0B0C0C"/>
        </w:rPr>
        <w:t xml:space="preserve">urther details on the 16 to 19 funding rate increases and revised </w:t>
      </w:r>
      <w:r w:rsidR="004A5457">
        <w:rPr>
          <w:rFonts w:ascii="Arial" w:hAnsi="Arial" w:cs="Arial"/>
          <w:color w:val="0B0C0C"/>
        </w:rPr>
        <w:t xml:space="preserve">local authority level </w:t>
      </w:r>
      <w:r w:rsidRPr="00EC5382" w:rsidR="00EC5382">
        <w:rPr>
          <w:rFonts w:ascii="Arial" w:hAnsi="Arial" w:cs="Arial"/>
          <w:color w:val="0B0C0C"/>
        </w:rPr>
        <w:t xml:space="preserve">allocations </w:t>
      </w:r>
      <w:r w:rsidR="00EC5382">
        <w:rPr>
          <w:rFonts w:ascii="Arial" w:hAnsi="Arial" w:cs="Arial"/>
          <w:color w:val="0B0C0C"/>
        </w:rPr>
        <w:t xml:space="preserve">are due imminently. </w:t>
      </w:r>
    </w:p>
    <w:p w:rsidRPr="001A6A5E" w:rsidR="007A1C06" w:rsidP="00F340DD" w:rsidRDefault="008A3251" w14:paraId="0E4D9BEB" w14:textId="67287356">
      <w:pPr>
        <w:pStyle w:val="NormalWeb"/>
        <w:numPr>
          <w:ilvl w:val="0"/>
          <w:numId w:val="17"/>
        </w:numPr>
        <w:spacing w:before="0" w:beforeAutospacing="0" w:after="300" w:afterAutospacing="0"/>
        <w:ind w:left="1080"/>
        <w:rPr>
          <w:rFonts w:ascii="Arial" w:hAnsi="Arial" w:cs="Arial"/>
          <w:color w:val="0B0C0C"/>
        </w:rPr>
      </w:pPr>
      <w:r>
        <w:rPr>
          <w:rFonts w:ascii="Arial" w:hAnsi="Arial" w:cs="Arial"/>
          <w:color w:val="0B0C0C"/>
        </w:rPr>
        <w:t>E</w:t>
      </w:r>
      <w:r w:rsidRPr="00762CAC" w:rsidR="00762CAC">
        <w:rPr>
          <w:rFonts w:ascii="Arial" w:hAnsi="Arial" w:cs="Arial"/>
          <w:color w:val="0B0C0C"/>
        </w:rPr>
        <w:t xml:space="preserve">arly years provision in schools will be combined with the early years (EY) NICs funding to form </w:t>
      </w:r>
      <w:r w:rsidR="00FF1CFF">
        <w:rPr>
          <w:rFonts w:ascii="Arial" w:hAnsi="Arial" w:cs="Arial"/>
          <w:color w:val="0B0C0C"/>
        </w:rPr>
        <w:t>the</w:t>
      </w:r>
      <w:r w:rsidRPr="00762CAC" w:rsidR="00762CAC">
        <w:rPr>
          <w:rFonts w:ascii="Arial" w:hAnsi="Arial" w:cs="Arial"/>
          <w:color w:val="0B0C0C"/>
        </w:rPr>
        <w:t xml:space="preserve"> </w:t>
      </w:r>
      <w:hyperlink w:history="1" r:id="rId17">
        <w:r w:rsidRPr="00762CAC" w:rsidR="00762CAC">
          <w:rPr>
            <w:rStyle w:val="Hyperlink"/>
            <w:rFonts w:ascii="Arial" w:hAnsi="Arial" w:cs="Arial"/>
            <w:color w:val="1D70B8"/>
          </w:rPr>
          <w:t>EY NICs and teachers' pay grant</w:t>
        </w:r>
      </w:hyperlink>
      <w:r w:rsidRPr="00762CAC" w:rsidR="00762CAC">
        <w:rPr>
          <w:rFonts w:ascii="Arial" w:hAnsi="Arial" w:cs="Arial"/>
          <w:color w:val="0B0C0C"/>
        </w:rPr>
        <w:t xml:space="preserve"> for 2025 to 2026</w:t>
      </w:r>
      <w:r w:rsidR="00FF1CFF">
        <w:rPr>
          <w:rFonts w:ascii="Arial" w:hAnsi="Arial" w:cs="Arial"/>
          <w:color w:val="0B0C0C"/>
        </w:rPr>
        <w:t xml:space="preserve">, </w:t>
      </w:r>
      <w:r w:rsidRPr="001231B5" w:rsidR="003A7AAB">
        <w:rPr>
          <w:rFonts w:ascii="Arial" w:hAnsi="Arial" w:cs="Arial"/>
          <w:color w:val="0B0C0C"/>
        </w:rPr>
        <w:t xml:space="preserve">and the DfE have confirmed this will </w:t>
      </w:r>
      <w:r w:rsidRPr="001231B5" w:rsidR="00FF1CFF">
        <w:rPr>
          <w:rFonts w:ascii="Arial" w:hAnsi="Arial" w:cs="Arial"/>
          <w:color w:val="0B0C0C"/>
        </w:rPr>
        <w:t>resul</w:t>
      </w:r>
      <w:r w:rsidRPr="001231B5" w:rsidR="00312B53">
        <w:rPr>
          <w:rFonts w:ascii="Arial" w:hAnsi="Arial" w:cs="Arial"/>
          <w:color w:val="0B0C0C"/>
        </w:rPr>
        <w:t>t</w:t>
      </w:r>
      <w:r w:rsidR="00FF1CFF">
        <w:rPr>
          <w:rFonts w:ascii="Arial" w:hAnsi="Arial" w:cs="Arial"/>
          <w:color w:val="0B0C0C"/>
        </w:rPr>
        <w:t xml:space="preserve"> in £237</w:t>
      </w:r>
      <w:r w:rsidR="00312B53">
        <w:rPr>
          <w:rFonts w:ascii="Arial" w:hAnsi="Arial" w:cs="Arial"/>
          <w:color w:val="0B0C0C"/>
        </w:rPr>
        <w:t>,000 for HCC.</w:t>
      </w:r>
    </w:p>
    <w:p w:rsidRPr="003D1F96" w:rsidR="00661CF5" w:rsidP="003D1F96" w:rsidRDefault="00ED6440" w14:paraId="34F62094" w14:textId="65A56E7C">
      <w:pPr>
        <w:pStyle w:val="Heading2"/>
        <w:keepNext w:val="0"/>
        <w:tabs>
          <w:tab w:val="clear" w:pos="576"/>
          <w:tab w:val="num" w:pos="426"/>
        </w:tabs>
        <w:ind w:left="426" w:hanging="568"/>
        <w:jc w:val="left"/>
        <w:rPr>
          <w:rFonts w:ascii="Arial" w:hAnsi="Arial" w:cs="Arial"/>
        </w:rPr>
      </w:pPr>
      <w:r w:rsidRPr="00ED6440">
        <w:rPr>
          <w:rFonts w:ascii="Arial" w:hAnsi="Arial" w:cs="Arial"/>
        </w:rPr>
        <w:t>Alongside th</w:t>
      </w:r>
      <w:r>
        <w:rPr>
          <w:rFonts w:ascii="Arial" w:hAnsi="Arial" w:cs="Arial"/>
        </w:rPr>
        <w:t>is</w:t>
      </w:r>
      <w:r w:rsidRPr="00ED6440">
        <w:rPr>
          <w:rFonts w:ascii="Arial" w:hAnsi="Arial" w:cs="Arial"/>
        </w:rPr>
        <w:t xml:space="preserve"> announcement, </w:t>
      </w:r>
      <w:r>
        <w:rPr>
          <w:rFonts w:ascii="Arial" w:hAnsi="Arial" w:cs="Arial"/>
        </w:rPr>
        <w:t>the DfE</w:t>
      </w:r>
      <w:r w:rsidRPr="00ED6440">
        <w:rPr>
          <w:rFonts w:ascii="Arial" w:hAnsi="Arial" w:cs="Arial"/>
        </w:rPr>
        <w:t xml:space="preserve"> also published allocations and conditions of grant relating to previously announced funding to support schools and post-16 providers with the increased </w:t>
      </w:r>
      <w:r w:rsidR="00383DD2">
        <w:rPr>
          <w:rFonts w:ascii="Arial" w:hAnsi="Arial" w:cs="Arial"/>
        </w:rPr>
        <w:t xml:space="preserve">employers </w:t>
      </w:r>
      <w:r w:rsidRPr="00ED6440">
        <w:rPr>
          <w:rFonts w:ascii="Arial" w:hAnsi="Arial" w:cs="Arial"/>
        </w:rPr>
        <w:t>N</w:t>
      </w:r>
      <w:r w:rsidR="00D00324">
        <w:rPr>
          <w:rFonts w:ascii="Arial" w:hAnsi="Arial" w:cs="Arial"/>
        </w:rPr>
        <w:t xml:space="preserve">ational </w:t>
      </w:r>
      <w:r w:rsidRPr="00ED6440">
        <w:rPr>
          <w:rFonts w:ascii="Arial" w:hAnsi="Arial" w:cs="Arial"/>
        </w:rPr>
        <w:t>I</w:t>
      </w:r>
      <w:r w:rsidR="000B7111">
        <w:rPr>
          <w:rFonts w:ascii="Arial" w:hAnsi="Arial" w:cs="Arial"/>
        </w:rPr>
        <w:t>nsurance</w:t>
      </w:r>
      <w:r w:rsidRPr="00ED6440">
        <w:rPr>
          <w:rFonts w:ascii="Arial" w:hAnsi="Arial" w:cs="Arial"/>
        </w:rPr>
        <w:t xml:space="preserve"> contributions</w:t>
      </w:r>
      <w:r w:rsidR="0079735D">
        <w:rPr>
          <w:rFonts w:ascii="Arial" w:hAnsi="Arial" w:cs="Arial"/>
        </w:rPr>
        <w:t xml:space="preserve">. Most of which are included in the above, </w:t>
      </w:r>
      <w:proofErr w:type="gramStart"/>
      <w:r w:rsidR="0079735D">
        <w:rPr>
          <w:rFonts w:ascii="Arial" w:hAnsi="Arial" w:cs="Arial"/>
        </w:rPr>
        <w:t>however there was</w:t>
      </w:r>
      <w:proofErr w:type="gramEnd"/>
      <w:r w:rsidR="00661CF5">
        <w:rPr>
          <w:rFonts w:ascii="Arial" w:hAnsi="Arial" w:cs="Arial"/>
        </w:rPr>
        <w:t>:</w:t>
      </w:r>
    </w:p>
    <w:tbl>
      <w:tblPr>
        <w:tblW w:w="0" w:type="auto"/>
        <w:tblCellSpacing w:w="15" w:type="dxa"/>
        <w:tblCellMar>
          <w:left w:w="0" w:type="dxa"/>
          <w:right w:w="0" w:type="dxa"/>
        </w:tblCellMar>
        <w:tblLook w:val="04A0" w:firstRow="1" w:lastRow="0" w:firstColumn="1" w:lastColumn="0" w:noHBand="0" w:noVBand="1"/>
      </w:tblPr>
      <w:tblGrid>
        <w:gridCol w:w="8312"/>
      </w:tblGrid>
      <w:tr w:rsidRPr="00661CF5" w:rsidR="00661CF5" w:rsidTr="00661CF5" w14:paraId="51685DC7" w14:textId="77777777">
        <w:trPr>
          <w:tblCellSpacing w:w="15" w:type="dxa"/>
        </w:trPr>
        <w:tc>
          <w:tcPr>
            <w:tcW w:w="0" w:type="auto"/>
            <w:tcMar>
              <w:top w:w="0" w:type="dxa"/>
              <w:left w:w="0" w:type="dxa"/>
              <w:bottom w:w="300" w:type="dxa"/>
              <w:right w:w="0" w:type="dxa"/>
            </w:tcMar>
            <w:vAlign w:val="center"/>
            <w:hideMark/>
          </w:tcPr>
          <w:p w:rsidRPr="00661CF5" w:rsidR="00661CF5" w:rsidP="00F340DD" w:rsidRDefault="009A6E1A" w14:paraId="614C9120" w14:textId="69BAC507">
            <w:pPr>
              <w:numPr>
                <w:ilvl w:val="0"/>
                <w:numId w:val="15"/>
              </w:numPr>
              <w:spacing w:before="75" w:after="75"/>
              <w:ind w:left="1080"/>
              <w:jc w:val="left"/>
              <w:rPr>
                <w:rFonts w:ascii="Helvetica" w:hAnsi="Helvetica" w:eastAsia="Aptos" w:cs="Helvetica"/>
                <w:color w:val="0B0C0C"/>
                <w:szCs w:val="24"/>
                <w:lang w:val="en-GB" w:eastAsia="en-GB"/>
              </w:rPr>
            </w:pPr>
            <w:r>
              <w:rPr>
                <w:rFonts w:ascii="Helvetica" w:hAnsi="Helvetica" w:eastAsia="Aptos" w:cs="Helvetica"/>
                <w:color w:val="0B0C0C"/>
                <w:szCs w:val="24"/>
                <w:lang w:val="en-GB" w:eastAsia="en-GB"/>
              </w:rPr>
              <w:t xml:space="preserve">£17.1m </w:t>
            </w:r>
            <w:r w:rsidR="0079735D">
              <w:rPr>
                <w:rFonts w:ascii="Helvetica" w:hAnsi="Helvetica" w:eastAsia="Aptos" w:cs="Helvetica"/>
                <w:color w:val="0B0C0C"/>
                <w:szCs w:val="24"/>
                <w:lang w:val="en-GB" w:eastAsia="en-GB"/>
              </w:rPr>
              <w:t>confirmed</w:t>
            </w:r>
            <w:r>
              <w:rPr>
                <w:rFonts w:ascii="Helvetica" w:hAnsi="Helvetica" w:eastAsia="Aptos" w:cs="Helvetica"/>
                <w:color w:val="0B0C0C"/>
                <w:szCs w:val="24"/>
                <w:lang w:val="en-GB" w:eastAsia="en-GB"/>
              </w:rPr>
              <w:t xml:space="preserve"> for HCC </w:t>
            </w:r>
            <w:r w:rsidR="005A1CF9">
              <w:rPr>
                <w:rFonts w:ascii="Helvetica" w:hAnsi="Helvetica" w:eastAsia="Aptos" w:cs="Helvetica"/>
                <w:color w:val="0B0C0C"/>
                <w:szCs w:val="24"/>
                <w:lang w:val="en-GB" w:eastAsia="en-GB"/>
              </w:rPr>
              <w:t>maintained</w:t>
            </w:r>
            <w:r w:rsidR="00954C6F">
              <w:rPr>
                <w:rFonts w:ascii="Helvetica" w:hAnsi="Helvetica" w:eastAsia="Aptos" w:cs="Helvetica"/>
                <w:color w:val="0B0C0C"/>
                <w:szCs w:val="24"/>
                <w:lang w:val="en-GB" w:eastAsia="en-GB"/>
              </w:rPr>
              <w:t xml:space="preserve"> s</w:t>
            </w:r>
            <w:r w:rsidRPr="00661CF5" w:rsidR="00661CF5">
              <w:rPr>
                <w:rFonts w:ascii="Helvetica" w:hAnsi="Helvetica" w:eastAsia="Aptos" w:cs="Helvetica"/>
                <w:color w:val="0B0C0C"/>
                <w:szCs w:val="24"/>
                <w:lang w:val="en-GB" w:eastAsia="en-GB"/>
              </w:rPr>
              <w:t>chool</w:t>
            </w:r>
            <w:r w:rsidR="00954C6F">
              <w:rPr>
                <w:rFonts w:ascii="Helvetica" w:hAnsi="Helvetica" w:eastAsia="Aptos" w:cs="Helvetica"/>
                <w:color w:val="0B0C0C"/>
                <w:szCs w:val="24"/>
                <w:lang w:val="en-GB" w:eastAsia="en-GB"/>
              </w:rPr>
              <w:t xml:space="preserve">s and academies </w:t>
            </w:r>
            <w:r w:rsidRPr="00661CF5" w:rsidR="00661CF5">
              <w:rPr>
                <w:rFonts w:ascii="Helvetica" w:hAnsi="Helvetica" w:eastAsia="Aptos" w:cs="Helvetica"/>
                <w:color w:val="0B0C0C"/>
                <w:szCs w:val="24"/>
                <w:lang w:val="en-GB" w:eastAsia="en-GB"/>
              </w:rPr>
              <w:t xml:space="preserve">for the </w:t>
            </w:r>
            <w:hyperlink w:history="1" r:id="rId18">
              <w:r w:rsidRPr="00661CF5" w:rsidR="00661CF5">
                <w:rPr>
                  <w:rFonts w:ascii="Helvetica" w:hAnsi="Helvetica" w:eastAsia="Aptos" w:cs="Helvetica"/>
                  <w:color w:val="1D70B8"/>
                  <w:szCs w:val="24"/>
                  <w:u w:val="single"/>
                  <w:lang w:val="en-GB" w:eastAsia="en-GB"/>
                </w:rPr>
                <w:t>National Insurance contributions (NICs) grant</w:t>
              </w:r>
            </w:hyperlink>
            <w:r w:rsidRPr="00661CF5" w:rsidR="00661CF5">
              <w:rPr>
                <w:rFonts w:ascii="Helvetica" w:hAnsi="Helvetica" w:eastAsia="Aptos" w:cs="Helvetica"/>
                <w:color w:val="0B0C0C"/>
                <w:szCs w:val="24"/>
                <w:lang w:val="en-GB" w:eastAsia="en-GB"/>
              </w:rPr>
              <w:t xml:space="preserve"> for 2025 to 2026</w:t>
            </w:r>
            <w:r w:rsidR="006B5DF4">
              <w:rPr>
                <w:rFonts w:ascii="Helvetica" w:hAnsi="Helvetica" w:eastAsia="Aptos" w:cs="Helvetica"/>
                <w:color w:val="0B0C0C"/>
                <w:szCs w:val="24"/>
                <w:lang w:val="en-GB" w:eastAsia="en-GB"/>
              </w:rPr>
              <w:t>.</w:t>
            </w:r>
          </w:p>
        </w:tc>
      </w:tr>
      <w:tr w:rsidRPr="00661CF5" w:rsidR="00661CF5" w:rsidTr="00661CF5" w14:paraId="4FB32832" w14:textId="77777777">
        <w:trPr>
          <w:tblCellSpacing w:w="15" w:type="dxa"/>
        </w:trPr>
        <w:tc>
          <w:tcPr>
            <w:tcW w:w="0" w:type="auto"/>
            <w:tcMar>
              <w:top w:w="0" w:type="dxa"/>
              <w:left w:w="0" w:type="dxa"/>
              <w:bottom w:w="300" w:type="dxa"/>
              <w:right w:w="0" w:type="dxa"/>
            </w:tcMar>
            <w:vAlign w:val="center"/>
            <w:hideMark/>
          </w:tcPr>
          <w:p w:rsidRPr="00661CF5" w:rsidR="00661CF5" w:rsidP="00F340DD" w:rsidRDefault="0079735D" w14:paraId="2AEC8B92" w14:textId="3D259AC0">
            <w:pPr>
              <w:numPr>
                <w:ilvl w:val="0"/>
                <w:numId w:val="16"/>
              </w:numPr>
              <w:spacing w:after="300"/>
              <w:ind w:left="1080"/>
              <w:jc w:val="left"/>
              <w:rPr>
                <w:rFonts w:ascii="Helvetica" w:hAnsi="Helvetica" w:eastAsia="Aptos" w:cs="Helvetica"/>
                <w:color w:val="0B0C0C"/>
                <w:szCs w:val="24"/>
                <w:lang w:val="en-GB" w:eastAsia="en-GB"/>
              </w:rPr>
            </w:pPr>
            <w:r>
              <w:rPr>
                <w:rFonts w:ascii="Helvetica" w:hAnsi="Helvetica" w:eastAsia="Aptos" w:cs="Helvetica"/>
                <w:color w:val="0B0C0C"/>
                <w:szCs w:val="24"/>
                <w:lang w:val="en-GB" w:eastAsia="en-GB"/>
              </w:rPr>
              <w:t xml:space="preserve">£20,000 for HCC re </w:t>
            </w:r>
            <w:r w:rsidRPr="00661CF5" w:rsidR="00661CF5">
              <w:rPr>
                <w:rFonts w:ascii="Helvetica" w:hAnsi="Helvetica" w:eastAsia="Aptos" w:cs="Helvetica"/>
                <w:color w:val="0B0C0C"/>
                <w:szCs w:val="24"/>
                <w:lang w:val="en-GB" w:eastAsia="en-GB"/>
              </w:rPr>
              <w:t xml:space="preserve">the </w:t>
            </w:r>
            <w:hyperlink w:history="1" r:id="rId19">
              <w:r w:rsidRPr="00661CF5" w:rsidR="00661CF5">
                <w:rPr>
                  <w:rFonts w:ascii="Helvetica" w:hAnsi="Helvetica" w:eastAsia="Aptos" w:cs="Helvetica"/>
                  <w:color w:val="1D70B8"/>
                  <w:szCs w:val="24"/>
                  <w:u w:val="single"/>
                  <w:lang w:val="en-GB" w:eastAsia="en-GB"/>
                </w:rPr>
                <w:t>post-16 National Insurance contribution grant (Post-16 NICs)</w:t>
              </w:r>
            </w:hyperlink>
            <w:r w:rsidRPr="00661CF5" w:rsidR="00661CF5">
              <w:rPr>
                <w:rFonts w:ascii="Helvetica" w:hAnsi="Helvetica" w:eastAsia="Aptos" w:cs="Helvetica"/>
                <w:color w:val="0B0C0C"/>
                <w:szCs w:val="24"/>
                <w:lang w:val="en-GB" w:eastAsia="en-GB"/>
              </w:rPr>
              <w:t xml:space="preserve"> </w:t>
            </w:r>
            <w:r w:rsidR="006B5DF4">
              <w:rPr>
                <w:rFonts w:ascii="Helvetica" w:hAnsi="Helvetica" w:eastAsia="Aptos" w:cs="Helvetica"/>
                <w:color w:val="0B0C0C"/>
                <w:szCs w:val="24"/>
                <w:lang w:val="en-GB" w:eastAsia="en-GB"/>
              </w:rPr>
              <w:t>.</w:t>
            </w:r>
          </w:p>
        </w:tc>
      </w:tr>
    </w:tbl>
    <w:p w:rsidR="00175028" w:rsidP="00175028" w:rsidRDefault="00EA055D" w14:paraId="73A5241E" w14:textId="77777777">
      <w:pPr>
        <w:pStyle w:val="Heading2"/>
        <w:keepNext w:val="0"/>
        <w:tabs>
          <w:tab w:val="clear" w:pos="576"/>
          <w:tab w:val="num" w:pos="426"/>
        </w:tabs>
        <w:ind w:left="426" w:hanging="568"/>
        <w:jc w:val="left"/>
        <w:rPr>
          <w:rFonts w:ascii="Arial" w:hAnsi="Arial" w:cs="Arial"/>
        </w:rPr>
      </w:pPr>
      <w:r w:rsidRPr="00F75DB2">
        <w:rPr>
          <w:rFonts w:ascii="Arial" w:hAnsi="Arial" w:cs="Arial"/>
        </w:rPr>
        <w:t>T</w:t>
      </w:r>
      <w:r w:rsidRPr="00F75DB2" w:rsidR="007135E5">
        <w:rPr>
          <w:rFonts w:ascii="Arial" w:hAnsi="Arial" w:cs="Arial"/>
        </w:rPr>
        <w:t>he DfE has announced they will move to t</w:t>
      </w:r>
      <w:r w:rsidRPr="00F75DB2">
        <w:rPr>
          <w:rFonts w:ascii="Arial" w:hAnsi="Arial" w:cs="Arial"/>
        </w:rPr>
        <w:t>ermly census</w:t>
      </w:r>
      <w:r w:rsidRPr="00F75DB2" w:rsidR="007135E5">
        <w:rPr>
          <w:rFonts w:ascii="Arial" w:hAnsi="Arial" w:cs="Arial"/>
        </w:rPr>
        <w:t>’</w:t>
      </w:r>
      <w:r w:rsidRPr="00F75DB2" w:rsidR="00F1369B">
        <w:rPr>
          <w:rFonts w:ascii="Arial" w:hAnsi="Arial" w:cs="Arial"/>
        </w:rPr>
        <w:t xml:space="preserve"> </w:t>
      </w:r>
      <w:r w:rsidRPr="00F75DB2" w:rsidR="006F3AE3">
        <w:rPr>
          <w:rFonts w:ascii="Arial" w:hAnsi="Arial" w:cs="Arial"/>
        </w:rPr>
        <w:t xml:space="preserve">in relation to Early Years entitlement take up, meaning there will be more regular in year </w:t>
      </w:r>
      <w:r w:rsidRPr="00F75DB2" w:rsidR="00ED7E2E">
        <w:rPr>
          <w:rFonts w:ascii="Arial" w:hAnsi="Arial" w:cs="Arial"/>
        </w:rPr>
        <w:t xml:space="preserve">adjustments to the </w:t>
      </w:r>
      <w:r w:rsidRPr="00F75DB2" w:rsidR="00F75DB2">
        <w:rPr>
          <w:rFonts w:ascii="Arial" w:hAnsi="Arial" w:cs="Arial"/>
        </w:rPr>
        <w:t xml:space="preserve">overall Early Years </w:t>
      </w:r>
      <w:r w:rsidRPr="00F75DB2" w:rsidR="00DC10B3">
        <w:rPr>
          <w:rFonts w:ascii="Arial" w:hAnsi="Arial" w:cs="Arial"/>
        </w:rPr>
        <w:t>allocation.</w:t>
      </w:r>
      <w:r w:rsidRPr="00F75DB2" w:rsidR="00442ED6">
        <w:rPr>
          <w:rFonts w:ascii="Arial" w:hAnsi="Arial" w:cs="Arial"/>
        </w:rPr>
        <w:t xml:space="preserve"> </w:t>
      </w:r>
      <w:r w:rsidRPr="00F75DB2" w:rsidR="00F75DB2">
        <w:rPr>
          <w:rFonts w:ascii="Arial" w:hAnsi="Arial" w:cs="Arial"/>
        </w:rPr>
        <w:t>We will provide detail as and when we are adjusting the budget to reflect this information.</w:t>
      </w:r>
    </w:p>
    <w:p w:rsidRPr="009C7208" w:rsidR="00FE6B5C" w:rsidP="009C7208" w:rsidRDefault="00FE6B5C" w14:paraId="6903B957" w14:textId="0A7989B9">
      <w:pPr>
        <w:pStyle w:val="Heading2"/>
        <w:keepNext w:val="0"/>
        <w:tabs>
          <w:tab w:val="clear" w:pos="576"/>
          <w:tab w:val="num" w:pos="426"/>
        </w:tabs>
        <w:ind w:left="426" w:hanging="568"/>
        <w:jc w:val="left"/>
        <w:rPr>
          <w:rFonts w:ascii="Arial" w:hAnsi="Arial" w:cs="Arial"/>
        </w:rPr>
      </w:pPr>
      <w:r w:rsidRPr="00FE6B5C">
        <w:rPr>
          <w:rFonts w:ascii="Arial" w:hAnsi="Arial"/>
          <w:lang w:val="en-GB"/>
        </w:rPr>
        <w:t xml:space="preserve">The </w:t>
      </w:r>
      <w:hyperlink w:history="1" r:id="rId20">
        <w:r w:rsidRPr="00DE5520">
          <w:rPr>
            <w:rStyle w:val="Hyperlink"/>
            <w:rFonts w:ascii="Arial" w:hAnsi="Arial"/>
            <w:lang w:val="en-GB"/>
          </w:rPr>
          <w:t>Government’s 2025 Spending Review</w:t>
        </w:r>
      </w:hyperlink>
      <w:r w:rsidR="002C078C">
        <w:rPr>
          <w:rFonts w:ascii="Arial" w:hAnsi="Arial" w:cs="Arial"/>
        </w:rPr>
        <w:t xml:space="preserve"> </w:t>
      </w:r>
      <w:r w:rsidRPr="00FE6B5C">
        <w:rPr>
          <w:rFonts w:ascii="Arial" w:hAnsi="Arial"/>
          <w:lang w:val="en-GB"/>
        </w:rPr>
        <w:t>outlines several key developments for the education sector, particularly schools and teaching staff, covering the period from 2026/27 to 2028/29 (and capital plans to 2029/30). The following are the most relevant changes</w:t>
      </w:r>
      <w:r w:rsidR="00CD14CB">
        <w:rPr>
          <w:rFonts w:ascii="Arial" w:hAnsi="Arial"/>
          <w:lang w:val="en-GB"/>
        </w:rPr>
        <w:t xml:space="preserve"> occurring </w:t>
      </w:r>
      <w:r w:rsidR="006E799C">
        <w:rPr>
          <w:rFonts w:ascii="Arial" w:hAnsi="Arial"/>
          <w:lang w:val="en-GB"/>
        </w:rPr>
        <w:t>nationally</w:t>
      </w:r>
      <w:r w:rsidR="003F4BB8">
        <w:rPr>
          <w:rFonts w:ascii="Arial" w:hAnsi="Arial"/>
          <w:lang w:val="en-GB"/>
        </w:rPr>
        <w:t xml:space="preserve">, further details </w:t>
      </w:r>
      <w:r w:rsidR="00364CC4">
        <w:rPr>
          <w:rFonts w:ascii="Arial" w:hAnsi="Arial"/>
          <w:lang w:val="en-GB"/>
        </w:rPr>
        <w:t xml:space="preserve">relating to the impact on Hampshire will be shared </w:t>
      </w:r>
      <w:r w:rsidR="00627E03">
        <w:rPr>
          <w:rFonts w:ascii="Arial" w:hAnsi="Arial"/>
          <w:lang w:val="en-GB"/>
        </w:rPr>
        <w:t>as they become available</w:t>
      </w:r>
      <w:r w:rsidRPr="00FE6B5C">
        <w:rPr>
          <w:rFonts w:ascii="Arial" w:hAnsi="Arial"/>
          <w:lang w:val="en-GB"/>
        </w:rPr>
        <w:t>:</w:t>
      </w:r>
    </w:p>
    <w:p w:rsidRPr="00FE6B5C" w:rsidR="00FE6B5C" w:rsidP="00CB7498" w:rsidRDefault="00FE6B5C" w14:paraId="4EEA3C09" w14:textId="094BC196">
      <w:pPr>
        <w:pStyle w:val="Heading2"/>
        <w:numPr>
          <w:ilvl w:val="0"/>
          <w:numId w:val="0"/>
        </w:numPr>
        <w:ind w:left="426"/>
        <w:rPr>
          <w:rFonts w:ascii="Arial" w:hAnsi="Arial"/>
          <w:b/>
          <w:bCs/>
          <w:lang w:val="en-GB"/>
        </w:rPr>
      </w:pPr>
      <w:r w:rsidRPr="00FE6B5C">
        <w:rPr>
          <w:rFonts w:ascii="Arial" w:hAnsi="Arial"/>
          <w:b/>
          <w:bCs/>
          <w:lang w:val="en-GB"/>
        </w:rPr>
        <w:t>School Funding</w:t>
      </w:r>
    </w:p>
    <w:p w:rsidRPr="00FE6B5C" w:rsidR="00FE6B5C" w:rsidP="00F144BE" w:rsidRDefault="00FE6B5C" w14:paraId="60679624" w14:textId="025798C3">
      <w:pPr>
        <w:pStyle w:val="Heading2"/>
        <w:keepNext w:val="0"/>
        <w:numPr>
          <w:ilvl w:val="0"/>
          <w:numId w:val="0"/>
        </w:numPr>
        <w:ind w:left="426"/>
        <w:jc w:val="left"/>
        <w:rPr>
          <w:rFonts w:ascii="Arial" w:hAnsi="Arial" w:cs="Arial"/>
        </w:rPr>
      </w:pPr>
      <w:r w:rsidRPr="00FE6B5C">
        <w:rPr>
          <w:rFonts w:ascii="Arial" w:hAnsi="Arial" w:cs="Arial"/>
        </w:rPr>
        <w:t xml:space="preserve">The core </w:t>
      </w:r>
      <w:proofErr w:type="gramStart"/>
      <w:r w:rsidRPr="00FE6B5C">
        <w:rPr>
          <w:rFonts w:ascii="Arial" w:hAnsi="Arial" w:cs="Arial"/>
        </w:rPr>
        <w:t>schools</w:t>
      </w:r>
      <w:proofErr w:type="gramEnd"/>
      <w:r w:rsidRPr="00FE6B5C">
        <w:rPr>
          <w:rFonts w:ascii="Arial" w:hAnsi="Arial" w:cs="Arial"/>
        </w:rPr>
        <w:t xml:space="preserve"> revenue budget will rise from £64.8bn in 2025/26 to £69.5bn in 2028/29.</w:t>
      </w:r>
      <w:r w:rsidR="00F144BE">
        <w:rPr>
          <w:rFonts w:ascii="Arial" w:hAnsi="Arial" w:cs="Arial"/>
        </w:rPr>
        <w:t xml:space="preserve">  </w:t>
      </w:r>
      <w:r w:rsidRPr="00FE6B5C">
        <w:rPr>
          <w:rFonts w:ascii="Arial" w:hAnsi="Arial" w:cs="Arial"/>
        </w:rPr>
        <w:t>This includes funding for the expansion of Free School Meals to all pupils with a parent on Universal Credit, reaching £410m annually by 2028/29.</w:t>
      </w:r>
      <w:r w:rsidR="00F144BE">
        <w:rPr>
          <w:rFonts w:ascii="Arial" w:hAnsi="Arial" w:cs="Arial"/>
        </w:rPr>
        <w:t xml:space="preserve">  </w:t>
      </w:r>
      <w:r w:rsidRPr="00FE6B5C">
        <w:rPr>
          <w:rFonts w:ascii="Arial" w:hAnsi="Arial" w:cs="Arial"/>
        </w:rPr>
        <w:t xml:space="preserve">The average real terms growth in the core </w:t>
      </w:r>
      <w:proofErr w:type="gramStart"/>
      <w:r w:rsidRPr="00FE6B5C">
        <w:rPr>
          <w:rFonts w:ascii="Arial" w:hAnsi="Arial" w:cs="Arial"/>
        </w:rPr>
        <w:t>schools</w:t>
      </w:r>
      <w:proofErr w:type="gramEnd"/>
      <w:r w:rsidRPr="00FE6B5C">
        <w:rPr>
          <w:rFonts w:ascii="Arial" w:hAnsi="Arial" w:cs="Arial"/>
        </w:rPr>
        <w:t xml:space="preserve"> budget is 0.4% per year, or 1.1% per pupil (0.9% excluding Free School Meals).</w:t>
      </w:r>
    </w:p>
    <w:p w:rsidRPr="00FE6B5C" w:rsidR="00FE6B5C" w:rsidP="00D95B45" w:rsidRDefault="00FE6B5C" w14:paraId="00F7BE0C" w14:textId="4FBF8A96">
      <w:pPr>
        <w:pStyle w:val="Heading2"/>
        <w:keepNext w:val="0"/>
        <w:numPr>
          <w:ilvl w:val="0"/>
          <w:numId w:val="0"/>
        </w:numPr>
        <w:ind w:left="426"/>
        <w:jc w:val="left"/>
        <w:rPr>
          <w:rFonts w:ascii="Arial" w:hAnsi="Arial" w:cs="Arial"/>
          <w:b/>
          <w:bCs/>
        </w:rPr>
      </w:pPr>
      <w:r w:rsidRPr="00FE6B5C">
        <w:rPr>
          <w:rFonts w:ascii="Arial" w:hAnsi="Arial" w:cs="Arial"/>
          <w:b/>
          <w:bCs/>
        </w:rPr>
        <w:t>Special Educational Needs and Disabilities (SEND)</w:t>
      </w:r>
    </w:p>
    <w:p w:rsidRPr="00FE6B5C" w:rsidR="00FE6B5C" w:rsidP="00F144BE" w:rsidRDefault="00FE6B5C" w14:paraId="7F4694BE" w14:textId="43C8260D">
      <w:pPr>
        <w:pStyle w:val="Heading2"/>
        <w:keepNext w:val="0"/>
        <w:numPr>
          <w:ilvl w:val="0"/>
          <w:numId w:val="0"/>
        </w:numPr>
        <w:ind w:left="426"/>
        <w:jc w:val="left"/>
        <w:rPr>
          <w:rFonts w:ascii="Arial" w:hAnsi="Arial" w:cs="Arial"/>
        </w:rPr>
      </w:pPr>
      <w:r w:rsidRPr="00FE6B5C">
        <w:rPr>
          <w:rFonts w:ascii="Arial" w:hAnsi="Arial" w:cs="Arial"/>
        </w:rPr>
        <w:t>A total of £760m is allocated for SEND reform, with £547m in 2026/27 and £213m in 2027/28.</w:t>
      </w:r>
      <w:r w:rsidR="00F144BE">
        <w:rPr>
          <w:rFonts w:ascii="Arial" w:hAnsi="Arial" w:cs="Arial"/>
        </w:rPr>
        <w:t xml:space="preserve">  </w:t>
      </w:r>
      <w:r w:rsidRPr="00FE6B5C">
        <w:rPr>
          <w:rFonts w:ascii="Arial" w:hAnsi="Arial" w:cs="Arial"/>
        </w:rPr>
        <w:t>Further details will be published in a Schools White Paper in autumn 2025.</w:t>
      </w:r>
    </w:p>
    <w:p w:rsidRPr="00FE6B5C" w:rsidR="00FE6B5C" w:rsidP="00D95B45" w:rsidRDefault="00FE6B5C" w14:paraId="51C542B2" w14:textId="2C972C14">
      <w:pPr>
        <w:pStyle w:val="Heading2"/>
        <w:keepNext w:val="0"/>
        <w:numPr>
          <w:ilvl w:val="0"/>
          <w:numId w:val="0"/>
        </w:numPr>
        <w:ind w:left="426"/>
        <w:jc w:val="left"/>
        <w:rPr>
          <w:rFonts w:ascii="Arial" w:hAnsi="Arial" w:cs="Arial"/>
          <w:b/>
          <w:bCs/>
        </w:rPr>
      </w:pPr>
      <w:r w:rsidRPr="00FE6B5C">
        <w:rPr>
          <w:rFonts w:ascii="Arial" w:hAnsi="Arial" w:cs="Arial"/>
          <w:b/>
          <w:bCs/>
        </w:rPr>
        <w:t>School Infrastructure and Maintenance</w:t>
      </w:r>
    </w:p>
    <w:p w:rsidRPr="00FE6B5C" w:rsidR="00FE6B5C" w:rsidP="009C6BEE" w:rsidRDefault="00FE6B5C" w14:paraId="266D9C89" w14:textId="54E8AA7F">
      <w:pPr>
        <w:pStyle w:val="Heading2"/>
        <w:keepNext w:val="0"/>
        <w:numPr>
          <w:ilvl w:val="0"/>
          <w:numId w:val="0"/>
        </w:numPr>
        <w:ind w:left="426"/>
        <w:jc w:val="left"/>
        <w:rPr>
          <w:rFonts w:ascii="Arial" w:hAnsi="Arial" w:cs="Arial"/>
        </w:rPr>
      </w:pPr>
      <w:r w:rsidRPr="00FE6B5C">
        <w:rPr>
          <w:rFonts w:ascii="Arial" w:hAnsi="Arial" w:cs="Arial"/>
        </w:rPr>
        <w:t>£2.6bn will be invested from 2026/27 to 2029/30 to meet mainstream school place demand.</w:t>
      </w:r>
      <w:r w:rsidR="009C6BEE">
        <w:rPr>
          <w:rFonts w:ascii="Arial" w:hAnsi="Arial" w:cs="Arial"/>
        </w:rPr>
        <w:t xml:space="preserve">  </w:t>
      </w:r>
      <w:r w:rsidRPr="00FE6B5C">
        <w:rPr>
          <w:rFonts w:ascii="Arial" w:hAnsi="Arial" w:cs="Arial"/>
        </w:rPr>
        <w:t>School maintenance funding will rise with inflation, reaching £2.3bn by 2029/30, an increase of over £400m compared to 2024/25.</w:t>
      </w:r>
      <w:r w:rsidR="009C6BEE">
        <w:rPr>
          <w:rFonts w:ascii="Arial" w:hAnsi="Arial" w:cs="Arial"/>
        </w:rPr>
        <w:t xml:space="preserve">  </w:t>
      </w:r>
      <w:r w:rsidRPr="00FE6B5C">
        <w:rPr>
          <w:rFonts w:ascii="Arial" w:hAnsi="Arial" w:cs="Arial"/>
        </w:rPr>
        <w:t>The School Rebuilding Programme will continue with £2.4bn annually over the next four years, reaffirming the commitment to rebuild over 500 schools.</w:t>
      </w:r>
    </w:p>
    <w:p w:rsidRPr="00FE6B5C" w:rsidR="00FE6B5C" w:rsidP="00D95B45" w:rsidRDefault="00FE6B5C" w14:paraId="561B0AFC" w14:textId="004D20B7">
      <w:pPr>
        <w:pStyle w:val="Heading2"/>
        <w:keepNext w:val="0"/>
        <w:numPr>
          <w:ilvl w:val="0"/>
          <w:numId w:val="0"/>
        </w:numPr>
        <w:ind w:left="426"/>
        <w:jc w:val="left"/>
        <w:rPr>
          <w:rFonts w:ascii="Arial" w:hAnsi="Arial" w:cs="Arial"/>
          <w:b/>
          <w:bCs/>
        </w:rPr>
      </w:pPr>
      <w:r w:rsidRPr="00FE6B5C">
        <w:rPr>
          <w:rFonts w:ascii="Arial" w:hAnsi="Arial" w:cs="Arial"/>
          <w:b/>
          <w:bCs/>
        </w:rPr>
        <w:t>Early Years and Childcare</w:t>
      </w:r>
    </w:p>
    <w:p w:rsidRPr="00FE6B5C" w:rsidR="00FE6B5C" w:rsidP="009C6BEE" w:rsidRDefault="00FE6B5C" w14:paraId="3B7B688D" w14:textId="2F6A09B7">
      <w:pPr>
        <w:pStyle w:val="Heading2"/>
        <w:keepNext w:val="0"/>
        <w:numPr>
          <w:ilvl w:val="0"/>
          <w:numId w:val="0"/>
        </w:numPr>
        <w:ind w:left="426"/>
        <w:jc w:val="left"/>
        <w:rPr>
          <w:rFonts w:ascii="Arial" w:hAnsi="Arial" w:cs="Arial"/>
        </w:rPr>
      </w:pPr>
      <w:r w:rsidRPr="00FE6B5C">
        <w:rPr>
          <w:rFonts w:ascii="Arial" w:hAnsi="Arial" w:cs="Arial"/>
        </w:rPr>
        <w:t>An additional £1.6bn per year by 2028/29 will support the expansion of free childcare.</w:t>
      </w:r>
      <w:r w:rsidR="009C6BEE">
        <w:rPr>
          <w:rFonts w:ascii="Arial" w:hAnsi="Arial" w:cs="Arial"/>
        </w:rPr>
        <w:t xml:space="preserve">  </w:t>
      </w:r>
      <w:r w:rsidRPr="00FE6B5C">
        <w:rPr>
          <w:rFonts w:ascii="Arial" w:hAnsi="Arial" w:cs="Arial"/>
        </w:rPr>
        <w:t>Nearly £370m over four years will fund the rollout of school-based nurseries.</w:t>
      </w:r>
      <w:r w:rsidR="009C6BEE">
        <w:rPr>
          <w:rFonts w:ascii="Arial" w:hAnsi="Arial" w:cs="Arial"/>
        </w:rPr>
        <w:t xml:space="preserve">  </w:t>
      </w:r>
      <w:r w:rsidRPr="00FE6B5C">
        <w:rPr>
          <w:rFonts w:ascii="Arial" w:hAnsi="Arial" w:cs="Arial"/>
        </w:rPr>
        <w:t xml:space="preserve">The Government will confirm plans for a national rollout of primary school breakfast clubs, building on Early Adopter </w:t>
      </w:r>
      <w:proofErr w:type="gramStart"/>
      <w:r w:rsidRPr="00FE6B5C">
        <w:rPr>
          <w:rFonts w:ascii="Arial" w:hAnsi="Arial" w:cs="Arial"/>
        </w:rPr>
        <w:t>learning</w:t>
      </w:r>
      <w:proofErr w:type="gramEnd"/>
      <w:r w:rsidRPr="00FE6B5C">
        <w:rPr>
          <w:rFonts w:ascii="Arial" w:hAnsi="Arial" w:cs="Arial"/>
        </w:rPr>
        <w:t>.</w:t>
      </w:r>
    </w:p>
    <w:p w:rsidRPr="00FE6B5C" w:rsidR="00FE6B5C" w:rsidP="00D95B45" w:rsidRDefault="00FE6B5C" w14:paraId="0866BD25" w14:textId="2CC67BC8">
      <w:pPr>
        <w:pStyle w:val="Heading2"/>
        <w:keepNext w:val="0"/>
        <w:numPr>
          <w:ilvl w:val="0"/>
          <w:numId w:val="0"/>
        </w:numPr>
        <w:ind w:left="426"/>
        <w:jc w:val="left"/>
        <w:rPr>
          <w:rFonts w:ascii="Arial" w:hAnsi="Arial" w:cs="Arial"/>
          <w:b/>
          <w:bCs/>
        </w:rPr>
      </w:pPr>
      <w:r w:rsidRPr="00FE6B5C">
        <w:rPr>
          <w:rFonts w:ascii="Arial" w:hAnsi="Arial" w:cs="Arial"/>
          <w:b/>
          <w:bCs/>
        </w:rPr>
        <w:t>Mental Health and Wellbeing</w:t>
      </w:r>
    </w:p>
    <w:p w:rsidRPr="00FE6B5C" w:rsidR="00FE6B5C" w:rsidP="00D95B45" w:rsidRDefault="00FE6B5C" w14:paraId="6872F8B3" w14:textId="77777777">
      <w:pPr>
        <w:pStyle w:val="Heading2"/>
        <w:keepNext w:val="0"/>
        <w:numPr>
          <w:ilvl w:val="0"/>
          <w:numId w:val="0"/>
        </w:numPr>
        <w:ind w:left="426"/>
        <w:jc w:val="left"/>
        <w:rPr>
          <w:rFonts w:ascii="Arial" w:hAnsi="Arial" w:cs="Arial"/>
        </w:rPr>
      </w:pPr>
      <w:r w:rsidRPr="00FE6B5C">
        <w:rPr>
          <w:rFonts w:ascii="Arial" w:hAnsi="Arial" w:cs="Arial"/>
        </w:rPr>
        <w:t>Mental health support teams will be expanded to cover 100% of schools in England by 2029/30.</w:t>
      </w:r>
    </w:p>
    <w:p w:rsidR="00896381" w:rsidRDefault="00896381" w14:paraId="0133C5B6" w14:textId="77777777">
      <w:pPr>
        <w:spacing w:after="0"/>
        <w:jc w:val="left"/>
        <w:rPr>
          <w:rFonts w:ascii="Arial" w:hAnsi="Arial" w:cs="Arial"/>
          <w:b/>
          <w:bCs/>
        </w:rPr>
      </w:pPr>
      <w:r>
        <w:rPr>
          <w:rFonts w:ascii="Arial" w:hAnsi="Arial" w:cs="Arial"/>
          <w:b/>
          <w:bCs/>
        </w:rPr>
        <w:br w:type="page"/>
      </w:r>
    </w:p>
    <w:p w:rsidRPr="00FE6B5C" w:rsidR="00FE6B5C" w:rsidP="00D95B45" w:rsidRDefault="00FE6B5C" w14:paraId="1DBBD714" w14:textId="605C3932">
      <w:pPr>
        <w:pStyle w:val="Heading2"/>
        <w:keepNext w:val="0"/>
        <w:numPr>
          <w:ilvl w:val="0"/>
          <w:numId w:val="0"/>
        </w:numPr>
        <w:ind w:left="426"/>
        <w:jc w:val="left"/>
        <w:rPr>
          <w:rFonts w:ascii="Arial" w:hAnsi="Arial" w:cs="Arial"/>
          <w:b/>
          <w:bCs/>
        </w:rPr>
      </w:pPr>
      <w:r w:rsidRPr="00FE6B5C">
        <w:rPr>
          <w:rFonts w:ascii="Arial" w:hAnsi="Arial" w:cs="Arial"/>
          <w:b/>
          <w:bCs/>
        </w:rPr>
        <w:t>Teacher Pay</w:t>
      </w:r>
    </w:p>
    <w:p w:rsidRPr="00FE6B5C" w:rsidR="00FE6B5C" w:rsidP="00D95B45" w:rsidRDefault="00FE6B5C" w14:paraId="4A36CAE5" w14:textId="77777777">
      <w:pPr>
        <w:pStyle w:val="Heading2"/>
        <w:keepNext w:val="0"/>
        <w:numPr>
          <w:ilvl w:val="0"/>
          <w:numId w:val="0"/>
        </w:numPr>
        <w:ind w:left="426"/>
        <w:jc w:val="left"/>
        <w:rPr>
          <w:rFonts w:ascii="Arial" w:hAnsi="Arial" w:cs="Arial"/>
        </w:rPr>
      </w:pPr>
      <w:r w:rsidRPr="00FE6B5C">
        <w:rPr>
          <w:rFonts w:ascii="Arial" w:hAnsi="Arial" w:cs="Arial"/>
        </w:rPr>
        <w:t>Future teacher pay awards must be funded from within departmental settlements. If pay review bodies recommend increases beyond budgeted levels, departments must find savings elsewhere.</w:t>
      </w:r>
    </w:p>
    <w:p w:rsidRPr="003A67E4" w:rsidR="003A67E4" w:rsidP="003A67E4" w:rsidRDefault="00D05438" w14:paraId="7594CA1D" w14:textId="10753FB0">
      <w:pPr>
        <w:pStyle w:val="Heading1"/>
        <w:keepNext w:val="0"/>
        <w:tabs>
          <w:tab w:val="clear" w:pos="2843"/>
        </w:tabs>
        <w:ind w:left="431" w:hanging="431"/>
        <w:jc w:val="left"/>
        <w:rPr>
          <w:rFonts w:ascii="Arial" w:hAnsi="Arial" w:cs="Arial"/>
          <w:bCs/>
          <w:szCs w:val="24"/>
        </w:rPr>
      </w:pPr>
      <w:r w:rsidRPr="000203E4">
        <w:rPr>
          <w:rFonts w:ascii="Arial" w:hAnsi="Arial" w:cs="Arial"/>
          <w:bCs/>
          <w:szCs w:val="24"/>
        </w:rPr>
        <w:t>Recommendations</w:t>
      </w:r>
    </w:p>
    <w:p w:rsidRPr="000203E4" w:rsidR="00CF60C2" w:rsidP="00CF60C2" w:rsidRDefault="00D05438" w14:paraId="77E7BE8F" w14:textId="2B40C913">
      <w:pPr>
        <w:pStyle w:val="Heading2"/>
        <w:keepNext w:val="0"/>
        <w:tabs>
          <w:tab w:val="clear" w:pos="576"/>
          <w:tab w:val="num" w:pos="426"/>
        </w:tabs>
        <w:ind w:left="426" w:hanging="568"/>
        <w:jc w:val="left"/>
        <w:rPr>
          <w:rFonts w:ascii="Arial" w:hAnsi="Arial" w:cs="Arial"/>
          <w:szCs w:val="24"/>
        </w:rPr>
      </w:pPr>
      <w:r w:rsidRPr="000203E4">
        <w:rPr>
          <w:rFonts w:ascii="Arial" w:hAnsi="Arial" w:cs="Arial"/>
          <w:szCs w:val="24"/>
        </w:rPr>
        <w:t xml:space="preserve">It is recommended that </w:t>
      </w:r>
      <w:proofErr w:type="gramStart"/>
      <w:r w:rsidRPr="000203E4">
        <w:rPr>
          <w:rFonts w:ascii="Arial" w:hAnsi="Arial" w:cs="Arial"/>
          <w:szCs w:val="24"/>
        </w:rPr>
        <w:t>Schools</w:t>
      </w:r>
      <w:proofErr w:type="gramEnd"/>
      <w:r w:rsidRPr="000203E4">
        <w:rPr>
          <w:rFonts w:ascii="Arial" w:hAnsi="Arial" w:cs="Arial"/>
          <w:szCs w:val="24"/>
        </w:rPr>
        <w:t xml:space="preserve"> Forum notes </w:t>
      </w:r>
      <w:r w:rsidRPr="000203E4" w:rsidR="009E2058">
        <w:rPr>
          <w:rFonts w:ascii="Arial" w:hAnsi="Arial" w:cs="Arial"/>
          <w:szCs w:val="24"/>
        </w:rPr>
        <w:t xml:space="preserve">the </w:t>
      </w:r>
      <w:r w:rsidRPr="000203E4" w:rsidR="001A6F62">
        <w:rPr>
          <w:rFonts w:ascii="Arial" w:hAnsi="Arial" w:cs="Arial"/>
          <w:szCs w:val="24"/>
        </w:rPr>
        <w:t>final position</w:t>
      </w:r>
      <w:r w:rsidRPr="000203E4" w:rsidR="00C35927">
        <w:rPr>
          <w:rFonts w:ascii="Arial" w:hAnsi="Arial" w:cs="Arial"/>
          <w:szCs w:val="24"/>
        </w:rPr>
        <w:t xml:space="preserve"> for 20</w:t>
      </w:r>
      <w:r w:rsidRPr="000203E4" w:rsidR="00DE4FB0">
        <w:rPr>
          <w:rFonts w:ascii="Arial" w:hAnsi="Arial" w:cs="Arial"/>
          <w:szCs w:val="24"/>
        </w:rPr>
        <w:t>2</w:t>
      </w:r>
      <w:r w:rsidRPr="000203E4" w:rsidR="000203E4">
        <w:rPr>
          <w:rFonts w:ascii="Arial" w:hAnsi="Arial" w:cs="Arial"/>
          <w:szCs w:val="24"/>
        </w:rPr>
        <w:t>4</w:t>
      </w:r>
      <w:r w:rsidRPr="000203E4" w:rsidR="00C35927">
        <w:rPr>
          <w:rFonts w:ascii="Arial" w:hAnsi="Arial" w:cs="Arial"/>
          <w:szCs w:val="24"/>
        </w:rPr>
        <w:t>/2</w:t>
      </w:r>
      <w:r w:rsidRPr="000203E4" w:rsidR="000203E4">
        <w:rPr>
          <w:rFonts w:ascii="Arial" w:hAnsi="Arial" w:cs="Arial"/>
          <w:szCs w:val="24"/>
        </w:rPr>
        <w:t>5</w:t>
      </w:r>
      <w:r w:rsidR="0075632A">
        <w:rPr>
          <w:rFonts w:ascii="Arial" w:hAnsi="Arial" w:cs="Arial"/>
          <w:szCs w:val="24"/>
        </w:rPr>
        <w:t xml:space="preserve"> and </w:t>
      </w:r>
      <w:r w:rsidR="008A7461">
        <w:rPr>
          <w:rFonts w:ascii="Arial" w:hAnsi="Arial" w:cs="Arial"/>
          <w:szCs w:val="24"/>
        </w:rPr>
        <w:t>updates</w:t>
      </w:r>
      <w:r w:rsidR="0075632A">
        <w:rPr>
          <w:rFonts w:ascii="Arial" w:hAnsi="Arial" w:cs="Arial"/>
          <w:szCs w:val="24"/>
        </w:rPr>
        <w:t xml:space="preserve"> for 2025/26 onwards</w:t>
      </w:r>
      <w:r w:rsidRPr="000203E4">
        <w:rPr>
          <w:rFonts w:ascii="Arial" w:hAnsi="Arial" w:cs="Arial"/>
          <w:szCs w:val="24"/>
        </w:rPr>
        <w:t>.</w:t>
      </w:r>
    </w:p>
    <w:p w:rsidRPr="00C26299" w:rsidR="00AB72F2" w:rsidP="00DC2E1C" w:rsidRDefault="00CD561D" w14:paraId="5D66A2EB" w14:textId="77777777">
      <w:pPr>
        <w:pStyle w:val="EndnoteText"/>
        <w:pageBreakBefore/>
        <w:rPr>
          <w:rFonts w:ascii="Arial" w:hAnsi="Arial" w:cs="Arial"/>
          <w:b/>
          <w:kern w:val="28"/>
          <w:sz w:val="24"/>
          <w:szCs w:val="24"/>
        </w:rPr>
      </w:pPr>
      <w:r w:rsidRPr="00C26299">
        <w:rPr>
          <w:rFonts w:ascii="Arial" w:hAnsi="Arial" w:cs="Arial"/>
          <w:b/>
          <w:kern w:val="28"/>
          <w:sz w:val="24"/>
          <w:szCs w:val="24"/>
        </w:rPr>
        <w:t>A</w:t>
      </w:r>
      <w:r w:rsidRPr="00C26299" w:rsidR="00926356">
        <w:rPr>
          <w:rFonts w:ascii="Arial" w:hAnsi="Arial" w:cs="Arial"/>
          <w:b/>
          <w:kern w:val="28"/>
          <w:sz w:val="24"/>
          <w:szCs w:val="24"/>
        </w:rPr>
        <w:t>ppendi</w:t>
      </w:r>
      <w:r w:rsidRPr="00C26299" w:rsidR="00DC2E1C">
        <w:rPr>
          <w:rFonts w:ascii="Arial" w:hAnsi="Arial" w:cs="Arial"/>
          <w:b/>
          <w:kern w:val="28"/>
          <w:sz w:val="24"/>
          <w:szCs w:val="24"/>
        </w:rPr>
        <w:t xml:space="preserve">x 1 – Schools budget position as </w:t>
      </w:r>
      <w:proofErr w:type="gramStart"/>
      <w:r w:rsidRPr="00C26299" w:rsidR="00DC2E1C">
        <w:rPr>
          <w:rFonts w:ascii="Arial" w:hAnsi="Arial" w:cs="Arial"/>
          <w:b/>
          <w:kern w:val="28"/>
          <w:sz w:val="24"/>
          <w:szCs w:val="24"/>
        </w:rPr>
        <w:t>at</w:t>
      </w:r>
      <w:proofErr w:type="gramEnd"/>
      <w:r w:rsidRPr="00C26299" w:rsidR="00DC2E1C">
        <w:rPr>
          <w:rFonts w:ascii="Arial" w:hAnsi="Arial" w:cs="Arial"/>
          <w:b/>
          <w:kern w:val="28"/>
          <w:sz w:val="24"/>
          <w:szCs w:val="24"/>
        </w:rPr>
        <w:t xml:space="preserve"> 31 March 202</w:t>
      </w:r>
      <w:r w:rsidRPr="00C26299" w:rsidR="00C26299">
        <w:rPr>
          <w:rFonts w:ascii="Arial" w:hAnsi="Arial" w:cs="Arial"/>
          <w:b/>
          <w:kern w:val="28"/>
          <w:sz w:val="24"/>
          <w:szCs w:val="24"/>
        </w:rPr>
        <w:t>5</w:t>
      </w:r>
    </w:p>
    <w:tbl>
      <w:tblPr>
        <w:tblW w:w="7620" w:type="dxa"/>
        <w:tblLook w:val="04A0" w:firstRow="1" w:lastRow="0" w:firstColumn="1" w:lastColumn="0" w:noHBand="0" w:noVBand="1"/>
      </w:tblPr>
      <w:tblGrid>
        <w:gridCol w:w="3176"/>
        <w:gridCol w:w="1240"/>
        <w:gridCol w:w="1106"/>
        <w:gridCol w:w="1079"/>
        <w:gridCol w:w="1019"/>
      </w:tblGrid>
      <w:tr w:rsidRPr="00397676" w:rsidR="00397676" w:rsidTr="00397676" w14:paraId="38E77E73" w14:textId="77777777">
        <w:trPr>
          <w:trHeight w:val="450"/>
        </w:trPr>
        <w:tc>
          <w:tcPr>
            <w:tcW w:w="3180" w:type="dxa"/>
            <w:tcBorders>
              <w:top w:val="single" w:color="AEAEAE" w:sz="8" w:space="0"/>
              <w:left w:val="nil"/>
              <w:bottom w:val="nil"/>
              <w:right w:val="single" w:color="AEAEAE" w:sz="8" w:space="0"/>
            </w:tcBorders>
            <w:shd w:val="clear" w:color="000000" w:fill="B7CFE8"/>
            <w:vAlign w:val="center"/>
            <w:hideMark/>
          </w:tcPr>
          <w:p w:rsidRPr="00397676" w:rsidR="00397676" w:rsidP="00397676" w:rsidRDefault="00397676" w14:paraId="4584FD6B" w14:textId="77777777">
            <w:pPr>
              <w:spacing w:after="0"/>
              <w:jc w:val="left"/>
              <w:rPr>
                <w:rFonts w:ascii="Arial" w:hAnsi="Arial" w:cs="Arial"/>
                <w:b/>
                <w:bCs/>
                <w:sz w:val="20"/>
                <w:lang w:val="en-GB" w:eastAsia="en-GB"/>
              </w:rPr>
            </w:pPr>
            <w:r w:rsidRPr="00397676">
              <w:rPr>
                <w:rFonts w:ascii="Arial" w:hAnsi="Arial" w:cs="Arial"/>
                <w:b/>
                <w:bCs/>
                <w:sz w:val="20"/>
                <w:lang w:val="en-GB" w:eastAsia="en-GB"/>
              </w:rPr>
              <w:t>Budget Heading</w:t>
            </w:r>
          </w:p>
        </w:tc>
        <w:tc>
          <w:tcPr>
            <w:tcW w:w="1240" w:type="dxa"/>
            <w:tcBorders>
              <w:top w:val="single" w:color="AEAEAE" w:sz="8" w:space="0"/>
              <w:left w:val="nil"/>
              <w:bottom w:val="nil"/>
              <w:right w:val="single" w:color="AEAEAE" w:sz="8" w:space="0"/>
            </w:tcBorders>
            <w:shd w:val="clear" w:color="000000" w:fill="B7CFE8"/>
            <w:vAlign w:val="center"/>
            <w:hideMark/>
          </w:tcPr>
          <w:p w:rsidRPr="00397676" w:rsidR="00397676" w:rsidP="00397676" w:rsidRDefault="00397676" w14:paraId="19FAC8DE" w14:textId="77777777">
            <w:pPr>
              <w:spacing w:after="0"/>
              <w:jc w:val="left"/>
              <w:rPr>
                <w:rFonts w:ascii="Arial" w:hAnsi="Arial" w:cs="Arial"/>
                <w:b/>
                <w:bCs/>
                <w:sz w:val="20"/>
                <w:lang w:val="en-GB" w:eastAsia="en-GB"/>
              </w:rPr>
            </w:pPr>
            <w:r w:rsidRPr="00397676">
              <w:rPr>
                <w:rFonts w:ascii="Arial" w:hAnsi="Arial" w:cs="Arial"/>
                <w:b/>
                <w:bCs/>
                <w:sz w:val="20"/>
                <w:lang w:val="en-GB" w:eastAsia="en-GB"/>
              </w:rPr>
              <w:t>Annual Budget</w:t>
            </w:r>
          </w:p>
        </w:tc>
        <w:tc>
          <w:tcPr>
            <w:tcW w:w="1100" w:type="dxa"/>
            <w:tcBorders>
              <w:top w:val="single" w:color="AEAEAE" w:sz="8" w:space="0"/>
              <w:left w:val="nil"/>
              <w:bottom w:val="nil"/>
              <w:right w:val="single" w:color="AEAEAE" w:sz="8" w:space="0"/>
            </w:tcBorders>
            <w:shd w:val="clear" w:color="000000" w:fill="B7CFE8"/>
            <w:vAlign w:val="center"/>
            <w:hideMark/>
          </w:tcPr>
          <w:p w:rsidRPr="00397676" w:rsidR="00397676" w:rsidP="00397676" w:rsidRDefault="00397676" w14:paraId="44F89BB4" w14:textId="77777777">
            <w:pPr>
              <w:spacing w:after="0"/>
              <w:jc w:val="left"/>
              <w:rPr>
                <w:rFonts w:ascii="Arial" w:hAnsi="Arial" w:cs="Arial"/>
                <w:b/>
                <w:bCs/>
                <w:sz w:val="20"/>
                <w:lang w:val="en-GB" w:eastAsia="en-GB"/>
              </w:rPr>
            </w:pPr>
            <w:r w:rsidRPr="00397676">
              <w:rPr>
                <w:rFonts w:ascii="Arial" w:hAnsi="Arial" w:cs="Arial"/>
                <w:b/>
                <w:bCs/>
                <w:sz w:val="20"/>
                <w:lang w:val="en-GB" w:eastAsia="en-GB"/>
              </w:rPr>
              <w:t>Actuals YTD</w:t>
            </w:r>
          </w:p>
        </w:tc>
        <w:tc>
          <w:tcPr>
            <w:tcW w:w="2100" w:type="dxa"/>
            <w:gridSpan w:val="2"/>
            <w:tcBorders>
              <w:top w:val="single" w:color="AEAEAE" w:sz="8" w:space="0"/>
              <w:left w:val="nil"/>
              <w:bottom w:val="nil"/>
              <w:right w:val="single" w:color="AEAEAE" w:sz="8" w:space="0"/>
            </w:tcBorders>
            <w:shd w:val="clear" w:color="000000" w:fill="B7CFE8"/>
            <w:vAlign w:val="center"/>
            <w:hideMark/>
          </w:tcPr>
          <w:p w:rsidRPr="00397676" w:rsidR="00397676" w:rsidP="00397676" w:rsidRDefault="00397676" w14:paraId="107A24EE" w14:textId="77777777">
            <w:pPr>
              <w:spacing w:after="0"/>
              <w:jc w:val="center"/>
              <w:rPr>
                <w:rFonts w:ascii="Arial" w:hAnsi="Arial" w:cs="Arial"/>
                <w:b/>
                <w:bCs/>
                <w:sz w:val="20"/>
                <w:lang w:val="en-GB" w:eastAsia="en-GB"/>
              </w:rPr>
            </w:pPr>
            <w:r w:rsidRPr="00397676">
              <w:rPr>
                <w:rFonts w:ascii="Arial" w:hAnsi="Arial" w:cs="Arial"/>
                <w:b/>
                <w:bCs/>
                <w:sz w:val="20"/>
                <w:lang w:val="en-GB" w:eastAsia="en-GB"/>
              </w:rPr>
              <w:t xml:space="preserve">YE Variance </w:t>
            </w:r>
          </w:p>
        </w:tc>
      </w:tr>
      <w:tr w:rsidRPr="00397676" w:rsidR="00397676" w:rsidTr="00397676" w14:paraId="0339827B" w14:textId="77777777">
        <w:trPr>
          <w:trHeight w:val="260"/>
        </w:trPr>
        <w:tc>
          <w:tcPr>
            <w:tcW w:w="3180" w:type="dxa"/>
            <w:tcBorders>
              <w:top w:val="single" w:color="AEAEAE" w:sz="8" w:space="0"/>
              <w:left w:val="single" w:color="AEAEAE" w:sz="8" w:space="0"/>
              <w:bottom w:val="single" w:color="AEAEAE" w:sz="8" w:space="0"/>
              <w:right w:val="single" w:color="AEAEAE" w:sz="8" w:space="0"/>
            </w:tcBorders>
            <w:shd w:val="clear" w:color="000000" w:fill="C6C4C4"/>
            <w:vAlign w:val="center"/>
            <w:hideMark/>
          </w:tcPr>
          <w:p w:rsidRPr="00397676" w:rsidR="00397676" w:rsidP="00397676" w:rsidRDefault="00397676" w14:paraId="23EAE044" w14:textId="77777777">
            <w:pPr>
              <w:spacing w:after="0"/>
              <w:jc w:val="left"/>
              <w:rPr>
                <w:rFonts w:ascii="Arial" w:hAnsi="Arial" w:cs="Arial"/>
                <w:sz w:val="20"/>
                <w:lang w:val="en-GB" w:eastAsia="en-GB"/>
              </w:rPr>
            </w:pPr>
            <w:r w:rsidRPr="00397676">
              <w:rPr>
                <w:rFonts w:ascii="Arial" w:hAnsi="Arial" w:cs="Arial"/>
                <w:sz w:val="20"/>
                <w:lang w:val="en-GB" w:eastAsia="en-GB"/>
              </w:rPr>
              <w:t> </w:t>
            </w:r>
          </w:p>
        </w:tc>
        <w:tc>
          <w:tcPr>
            <w:tcW w:w="1240" w:type="dxa"/>
            <w:tcBorders>
              <w:top w:val="single" w:color="AEAEAE" w:sz="8" w:space="0"/>
              <w:left w:val="nil"/>
              <w:bottom w:val="single" w:color="AEAEAE" w:sz="8" w:space="0"/>
              <w:right w:val="single" w:color="AEAEAE" w:sz="8" w:space="0"/>
            </w:tcBorders>
            <w:shd w:val="clear" w:color="000000" w:fill="C6C4C4"/>
            <w:vAlign w:val="center"/>
            <w:hideMark/>
          </w:tcPr>
          <w:p w:rsidRPr="00397676" w:rsidR="00397676" w:rsidP="00397676" w:rsidRDefault="00397676" w14:paraId="04AA460E" w14:textId="77777777">
            <w:pPr>
              <w:spacing w:after="0"/>
              <w:jc w:val="left"/>
              <w:rPr>
                <w:rFonts w:ascii="Arial" w:hAnsi="Arial" w:cs="Arial"/>
                <w:sz w:val="20"/>
                <w:lang w:val="en-GB" w:eastAsia="en-GB"/>
              </w:rPr>
            </w:pPr>
            <w:r w:rsidRPr="00397676">
              <w:rPr>
                <w:rFonts w:ascii="Arial" w:hAnsi="Arial" w:cs="Arial"/>
                <w:sz w:val="20"/>
                <w:lang w:val="en-GB" w:eastAsia="en-GB"/>
              </w:rPr>
              <w:t>£'000</w:t>
            </w:r>
          </w:p>
        </w:tc>
        <w:tc>
          <w:tcPr>
            <w:tcW w:w="1100" w:type="dxa"/>
            <w:tcBorders>
              <w:top w:val="single" w:color="AEAEAE" w:sz="8" w:space="0"/>
              <w:left w:val="nil"/>
              <w:bottom w:val="single" w:color="AEAEAE" w:sz="8" w:space="0"/>
              <w:right w:val="single" w:color="AEAEAE" w:sz="8" w:space="0"/>
            </w:tcBorders>
            <w:shd w:val="clear" w:color="000000" w:fill="C6C4C4"/>
            <w:vAlign w:val="center"/>
            <w:hideMark/>
          </w:tcPr>
          <w:p w:rsidRPr="00397676" w:rsidR="00397676" w:rsidP="00397676" w:rsidRDefault="00397676" w14:paraId="134E4727" w14:textId="77777777">
            <w:pPr>
              <w:spacing w:after="0"/>
              <w:jc w:val="left"/>
              <w:rPr>
                <w:rFonts w:ascii="Arial" w:hAnsi="Arial" w:cs="Arial"/>
                <w:sz w:val="20"/>
                <w:lang w:val="en-GB" w:eastAsia="en-GB"/>
              </w:rPr>
            </w:pPr>
            <w:r w:rsidRPr="00397676">
              <w:rPr>
                <w:rFonts w:ascii="Arial" w:hAnsi="Arial" w:cs="Arial"/>
                <w:sz w:val="20"/>
                <w:lang w:val="en-GB" w:eastAsia="en-GB"/>
              </w:rPr>
              <w:t>£'000</w:t>
            </w:r>
          </w:p>
        </w:tc>
        <w:tc>
          <w:tcPr>
            <w:tcW w:w="1080" w:type="dxa"/>
            <w:tcBorders>
              <w:top w:val="single" w:color="AEAEAE" w:sz="8" w:space="0"/>
              <w:left w:val="nil"/>
              <w:bottom w:val="single" w:color="AEAEAE" w:sz="8" w:space="0"/>
              <w:right w:val="single" w:color="AEAEAE" w:sz="8" w:space="0"/>
            </w:tcBorders>
            <w:shd w:val="clear" w:color="000000" w:fill="C6C4C4"/>
            <w:vAlign w:val="center"/>
            <w:hideMark/>
          </w:tcPr>
          <w:p w:rsidRPr="00397676" w:rsidR="00397676" w:rsidP="00397676" w:rsidRDefault="00397676" w14:paraId="3D0C6242" w14:textId="77777777">
            <w:pPr>
              <w:spacing w:after="0"/>
              <w:jc w:val="left"/>
              <w:rPr>
                <w:rFonts w:ascii="Arial" w:hAnsi="Arial" w:cs="Arial"/>
                <w:sz w:val="20"/>
                <w:lang w:val="en-GB" w:eastAsia="en-GB"/>
              </w:rPr>
            </w:pPr>
            <w:r w:rsidRPr="00397676">
              <w:rPr>
                <w:rFonts w:ascii="Arial" w:hAnsi="Arial" w:cs="Arial"/>
                <w:sz w:val="20"/>
                <w:lang w:val="en-GB" w:eastAsia="en-GB"/>
              </w:rPr>
              <w:t>£'000</w:t>
            </w:r>
          </w:p>
        </w:tc>
        <w:tc>
          <w:tcPr>
            <w:tcW w:w="1020" w:type="dxa"/>
            <w:tcBorders>
              <w:top w:val="single" w:color="AEAEAE" w:sz="8" w:space="0"/>
              <w:left w:val="nil"/>
              <w:bottom w:val="single" w:color="AEAEAE" w:sz="8" w:space="0"/>
              <w:right w:val="single" w:color="AEAEAE" w:sz="8" w:space="0"/>
            </w:tcBorders>
            <w:shd w:val="clear" w:color="000000" w:fill="C6C4C4"/>
            <w:vAlign w:val="center"/>
            <w:hideMark/>
          </w:tcPr>
          <w:p w:rsidRPr="00397676" w:rsidR="00397676" w:rsidP="00397676" w:rsidRDefault="00397676" w14:paraId="1F225592" w14:textId="77777777">
            <w:pPr>
              <w:spacing w:after="0"/>
              <w:jc w:val="left"/>
              <w:rPr>
                <w:rFonts w:ascii="Arial" w:hAnsi="Arial" w:cs="Arial"/>
                <w:sz w:val="20"/>
                <w:lang w:val="en-GB" w:eastAsia="en-GB"/>
              </w:rPr>
            </w:pPr>
            <w:r w:rsidRPr="00397676">
              <w:rPr>
                <w:rFonts w:ascii="Arial" w:hAnsi="Arial" w:cs="Arial"/>
                <w:sz w:val="20"/>
                <w:lang w:val="en-GB" w:eastAsia="en-GB"/>
              </w:rPr>
              <w:t>%</w:t>
            </w:r>
          </w:p>
        </w:tc>
      </w:tr>
      <w:tr w:rsidRPr="00397676" w:rsidR="00397676" w:rsidTr="00397676" w14:paraId="0B08CB1C"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504F6440" w14:textId="77777777">
            <w:pPr>
              <w:spacing w:after="0"/>
              <w:jc w:val="left"/>
              <w:rPr>
                <w:rFonts w:ascii="Arial" w:hAnsi="Arial" w:cs="Arial"/>
                <w:sz w:val="20"/>
                <w:lang w:val="en-GB" w:eastAsia="en-GB"/>
              </w:rPr>
            </w:pPr>
            <w:r w:rsidRPr="00397676">
              <w:rPr>
                <w:rFonts w:ascii="Arial" w:hAnsi="Arial" w:cs="Arial"/>
                <w:sz w:val="20"/>
                <w:lang w:val="en-GB" w:eastAsia="en-GB"/>
              </w:rPr>
              <w:t>Early Years ISB</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10C5D49B" w14:textId="77777777">
            <w:pPr>
              <w:spacing w:after="0"/>
              <w:jc w:val="right"/>
              <w:rPr>
                <w:rFonts w:ascii="Arial" w:hAnsi="Arial" w:cs="Arial"/>
                <w:sz w:val="20"/>
                <w:lang w:val="en-GB" w:eastAsia="en-GB"/>
              </w:rPr>
            </w:pPr>
            <w:r w:rsidRPr="00397676">
              <w:rPr>
                <w:rFonts w:ascii="Arial" w:hAnsi="Arial" w:cs="Arial"/>
                <w:sz w:val="20"/>
                <w:lang w:val="en-GB" w:eastAsia="en-GB"/>
              </w:rPr>
              <w:t>604</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1079F143" w14:textId="77777777">
            <w:pPr>
              <w:spacing w:after="0"/>
              <w:jc w:val="right"/>
              <w:rPr>
                <w:rFonts w:ascii="Arial" w:hAnsi="Arial" w:cs="Arial"/>
                <w:sz w:val="20"/>
                <w:lang w:val="en-GB" w:eastAsia="en-GB"/>
              </w:rPr>
            </w:pPr>
            <w:r w:rsidRPr="00397676">
              <w:rPr>
                <w:rFonts w:ascii="Arial" w:hAnsi="Arial" w:cs="Arial"/>
                <w:sz w:val="20"/>
                <w:lang w:val="en-GB" w:eastAsia="en-GB"/>
              </w:rPr>
              <w:t>604</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31295E99" w14:textId="77777777">
            <w:pPr>
              <w:spacing w:after="0"/>
              <w:jc w:val="right"/>
              <w:rPr>
                <w:rFonts w:ascii="Arial" w:hAnsi="Arial" w:cs="Arial"/>
                <w:sz w:val="20"/>
                <w:lang w:val="en-GB" w:eastAsia="en-GB"/>
              </w:rPr>
            </w:pPr>
            <w:r w:rsidRPr="00397676">
              <w:rPr>
                <w:rFonts w:ascii="Arial" w:hAnsi="Arial" w:cs="Arial"/>
                <w:sz w:val="20"/>
                <w:lang w:val="en-GB" w:eastAsia="en-GB"/>
              </w:rPr>
              <w:t>0</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1B1EE375" w14:textId="77777777">
            <w:pPr>
              <w:spacing w:after="0"/>
              <w:jc w:val="right"/>
              <w:rPr>
                <w:rFonts w:ascii="Arial" w:hAnsi="Arial" w:cs="Arial"/>
                <w:sz w:val="20"/>
                <w:lang w:val="en-GB" w:eastAsia="en-GB"/>
              </w:rPr>
            </w:pPr>
            <w:r w:rsidRPr="00397676">
              <w:rPr>
                <w:rFonts w:ascii="Arial" w:hAnsi="Arial" w:cs="Arial"/>
                <w:sz w:val="20"/>
                <w:lang w:val="en-GB" w:eastAsia="en-GB"/>
              </w:rPr>
              <w:t>0.0</w:t>
            </w:r>
          </w:p>
        </w:tc>
      </w:tr>
      <w:tr w:rsidRPr="00397676" w:rsidR="00397676" w:rsidTr="00397676" w14:paraId="24E574B2" w14:textId="77777777">
        <w:trPr>
          <w:trHeight w:val="51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6B64AF36" w14:textId="77777777">
            <w:pPr>
              <w:spacing w:after="0"/>
              <w:jc w:val="left"/>
              <w:rPr>
                <w:rFonts w:ascii="Arial" w:hAnsi="Arial" w:cs="Arial"/>
                <w:sz w:val="20"/>
                <w:lang w:val="en-GB" w:eastAsia="en-GB"/>
              </w:rPr>
            </w:pPr>
            <w:r w:rsidRPr="00397676">
              <w:rPr>
                <w:rFonts w:ascii="Arial" w:hAnsi="Arial" w:cs="Arial"/>
                <w:sz w:val="20"/>
                <w:lang w:val="en-GB" w:eastAsia="en-GB"/>
              </w:rPr>
              <w:t>Two Year Olds Free Entitlement Funding</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10A293BF" w14:textId="77777777">
            <w:pPr>
              <w:spacing w:after="0"/>
              <w:jc w:val="right"/>
              <w:rPr>
                <w:rFonts w:ascii="Arial" w:hAnsi="Arial" w:cs="Arial"/>
                <w:sz w:val="20"/>
                <w:lang w:val="en-GB" w:eastAsia="en-GB"/>
              </w:rPr>
            </w:pPr>
            <w:r w:rsidRPr="00397676">
              <w:rPr>
                <w:rFonts w:ascii="Arial" w:hAnsi="Arial" w:cs="Arial"/>
                <w:sz w:val="20"/>
                <w:lang w:val="en-GB" w:eastAsia="en-GB"/>
              </w:rPr>
              <w:t>36,699</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480AB3DE" w14:textId="77777777">
            <w:pPr>
              <w:spacing w:after="0"/>
              <w:jc w:val="right"/>
              <w:rPr>
                <w:rFonts w:ascii="Arial" w:hAnsi="Arial" w:cs="Arial"/>
                <w:sz w:val="20"/>
                <w:lang w:val="en-GB" w:eastAsia="en-GB"/>
              </w:rPr>
            </w:pPr>
            <w:r w:rsidRPr="00397676">
              <w:rPr>
                <w:rFonts w:ascii="Arial" w:hAnsi="Arial" w:cs="Arial"/>
                <w:sz w:val="20"/>
                <w:lang w:val="en-GB" w:eastAsia="en-GB"/>
              </w:rPr>
              <w:t>37,017</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5DA32F4D" w14:textId="77777777">
            <w:pPr>
              <w:spacing w:after="0"/>
              <w:jc w:val="right"/>
              <w:rPr>
                <w:rFonts w:ascii="Arial" w:hAnsi="Arial" w:cs="Arial"/>
                <w:sz w:val="20"/>
                <w:lang w:val="en-GB" w:eastAsia="en-GB"/>
              </w:rPr>
            </w:pPr>
            <w:r w:rsidRPr="00397676">
              <w:rPr>
                <w:rFonts w:ascii="Arial" w:hAnsi="Arial" w:cs="Arial"/>
                <w:sz w:val="20"/>
                <w:lang w:val="en-GB" w:eastAsia="en-GB"/>
              </w:rPr>
              <w:t>318</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585A8D24" w14:textId="77777777">
            <w:pPr>
              <w:spacing w:after="0"/>
              <w:jc w:val="right"/>
              <w:rPr>
                <w:rFonts w:ascii="Arial" w:hAnsi="Arial" w:cs="Arial"/>
                <w:sz w:val="20"/>
                <w:lang w:val="en-GB" w:eastAsia="en-GB"/>
              </w:rPr>
            </w:pPr>
            <w:r w:rsidRPr="00397676">
              <w:rPr>
                <w:rFonts w:ascii="Arial" w:hAnsi="Arial" w:cs="Arial"/>
                <w:sz w:val="20"/>
                <w:lang w:val="en-GB" w:eastAsia="en-GB"/>
              </w:rPr>
              <w:t>0.9</w:t>
            </w:r>
          </w:p>
        </w:tc>
      </w:tr>
      <w:tr w:rsidRPr="00397676" w:rsidR="00397676" w:rsidTr="00397676" w14:paraId="1C4567A1" w14:textId="77777777">
        <w:trPr>
          <w:trHeight w:val="51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11BAA99B" w14:textId="77777777">
            <w:pPr>
              <w:spacing w:after="0"/>
              <w:jc w:val="left"/>
              <w:rPr>
                <w:rFonts w:ascii="Arial" w:hAnsi="Arial" w:cs="Arial"/>
                <w:sz w:val="20"/>
                <w:lang w:val="en-GB" w:eastAsia="en-GB"/>
              </w:rPr>
            </w:pPr>
            <w:r w:rsidRPr="00397676">
              <w:rPr>
                <w:rFonts w:ascii="Arial" w:hAnsi="Arial" w:cs="Arial"/>
                <w:sz w:val="20"/>
                <w:lang w:val="en-GB" w:eastAsia="en-GB"/>
              </w:rPr>
              <w:t>3&amp;4 Year Olds Universal Entitlement 15h</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41096A16" w14:textId="77777777">
            <w:pPr>
              <w:spacing w:after="0"/>
              <w:jc w:val="right"/>
              <w:rPr>
                <w:rFonts w:ascii="Arial" w:hAnsi="Arial" w:cs="Arial"/>
                <w:sz w:val="20"/>
                <w:lang w:val="en-GB" w:eastAsia="en-GB"/>
              </w:rPr>
            </w:pPr>
            <w:r w:rsidRPr="00397676">
              <w:rPr>
                <w:rFonts w:ascii="Arial" w:hAnsi="Arial" w:cs="Arial"/>
                <w:sz w:val="20"/>
                <w:lang w:val="en-GB" w:eastAsia="en-GB"/>
              </w:rPr>
              <w:t>56,976</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2137B279" w14:textId="77777777">
            <w:pPr>
              <w:spacing w:after="0"/>
              <w:jc w:val="right"/>
              <w:rPr>
                <w:rFonts w:ascii="Arial" w:hAnsi="Arial" w:cs="Arial"/>
                <w:sz w:val="20"/>
                <w:lang w:val="en-GB" w:eastAsia="en-GB"/>
              </w:rPr>
            </w:pPr>
            <w:r w:rsidRPr="00397676">
              <w:rPr>
                <w:rFonts w:ascii="Arial" w:hAnsi="Arial" w:cs="Arial"/>
                <w:sz w:val="20"/>
                <w:lang w:val="en-GB" w:eastAsia="en-GB"/>
              </w:rPr>
              <w:t>55,374</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0C695AF" w14:textId="77777777">
            <w:pPr>
              <w:spacing w:after="0"/>
              <w:jc w:val="right"/>
              <w:rPr>
                <w:rFonts w:ascii="Arial" w:hAnsi="Arial" w:cs="Arial"/>
                <w:sz w:val="20"/>
                <w:lang w:val="en-GB" w:eastAsia="en-GB"/>
              </w:rPr>
            </w:pPr>
            <w:r w:rsidRPr="00397676">
              <w:rPr>
                <w:rFonts w:ascii="Arial" w:hAnsi="Arial" w:cs="Arial"/>
                <w:sz w:val="20"/>
                <w:lang w:val="en-GB" w:eastAsia="en-GB"/>
              </w:rPr>
              <w:t>(1,602)</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D695097" w14:textId="77777777">
            <w:pPr>
              <w:spacing w:after="0"/>
              <w:jc w:val="right"/>
              <w:rPr>
                <w:rFonts w:ascii="Arial" w:hAnsi="Arial" w:cs="Arial"/>
                <w:sz w:val="20"/>
                <w:lang w:val="en-GB" w:eastAsia="en-GB"/>
              </w:rPr>
            </w:pPr>
            <w:r w:rsidRPr="00397676">
              <w:rPr>
                <w:rFonts w:ascii="Arial" w:hAnsi="Arial" w:cs="Arial"/>
                <w:sz w:val="20"/>
                <w:lang w:val="en-GB" w:eastAsia="en-GB"/>
              </w:rPr>
              <w:t>(2.8)</w:t>
            </w:r>
          </w:p>
        </w:tc>
      </w:tr>
      <w:tr w:rsidRPr="00397676" w:rsidR="00397676" w:rsidTr="00397676" w14:paraId="53D8EB7E" w14:textId="77777777">
        <w:trPr>
          <w:trHeight w:val="51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2DA55CDD" w14:textId="77777777">
            <w:pPr>
              <w:spacing w:after="0"/>
              <w:jc w:val="left"/>
              <w:rPr>
                <w:rFonts w:ascii="Arial" w:hAnsi="Arial" w:cs="Arial"/>
                <w:sz w:val="20"/>
                <w:lang w:val="en-GB" w:eastAsia="en-GB"/>
              </w:rPr>
            </w:pPr>
            <w:r w:rsidRPr="00397676">
              <w:rPr>
                <w:rFonts w:ascii="Arial" w:hAnsi="Arial" w:cs="Arial"/>
                <w:sz w:val="20"/>
                <w:lang w:val="en-GB" w:eastAsia="en-GB"/>
              </w:rPr>
              <w:t>3&amp;4 Year Olds Additional Entitlement 30h</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3BE847CD" w14:textId="77777777">
            <w:pPr>
              <w:spacing w:after="0"/>
              <w:jc w:val="right"/>
              <w:rPr>
                <w:rFonts w:ascii="Arial" w:hAnsi="Arial" w:cs="Arial"/>
                <w:sz w:val="20"/>
                <w:lang w:val="en-GB" w:eastAsia="en-GB"/>
              </w:rPr>
            </w:pPr>
            <w:r w:rsidRPr="00397676">
              <w:rPr>
                <w:rFonts w:ascii="Arial" w:hAnsi="Arial" w:cs="Arial"/>
                <w:sz w:val="20"/>
                <w:lang w:val="en-GB" w:eastAsia="en-GB"/>
              </w:rPr>
              <w:t>28,980</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5917622E" w14:textId="77777777">
            <w:pPr>
              <w:spacing w:after="0"/>
              <w:jc w:val="right"/>
              <w:rPr>
                <w:rFonts w:ascii="Arial" w:hAnsi="Arial" w:cs="Arial"/>
                <w:sz w:val="20"/>
                <w:lang w:val="en-GB" w:eastAsia="en-GB"/>
              </w:rPr>
            </w:pPr>
            <w:r w:rsidRPr="00397676">
              <w:rPr>
                <w:rFonts w:ascii="Arial" w:hAnsi="Arial" w:cs="Arial"/>
                <w:sz w:val="20"/>
                <w:lang w:val="en-GB" w:eastAsia="en-GB"/>
              </w:rPr>
              <w:t>28,687</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11E6F53" w14:textId="77777777">
            <w:pPr>
              <w:spacing w:after="0"/>
              <w:jc w:val="right"/>
              <w:rPr>
                <w:rFonts w:ascii="Arial" w:hAnsi="Arial" w:cs="Arial"/>
                <w:sz w:val="20"/>
                <w:lang w:val="en-GB" w:eastAsia="en-GB"/>
              </w:rPr>
            </w:pPr>
            <w:r w:rsidRPr="00397676">
              <w:rPr>
                <w:rFonts w:ascii="Arial" w:hAnsi="Arial" w:cs="Arial"/>
                <w:sz w:val="20"/>
                <w:lang w:val="en-GB" w:eastAsia="en-GB"/>
              </w:rPr>
              <w:t>(293)</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37A1C395" w14:textId="77777777">
            <w:pPr>
              <w:spacing w:after="0"/>
              <w:jc w:val="right"/>
              <w:rPr>
                <w:rFonts w:ascii="Arial" w:hAnsi="Arial" w:cs="Arial"/>
                <w:sz w:val="20"/>
                <w:lang w:val="en-GB" w:eastAsia="en-GB"/>
              </w:rPr>
            </w:pPr>
            <w:r w:rsidRPr="00397676">
              <w:rPr>
                <w:rFonts w:ascii="Arial" w:hAnsi="Arial" w:cs="Arial"/>
                <w:sz w:val="20"/>
                <w:lang w:val="en-GB" w:eastAsia="en-GB"/>
              </w:rPr>
              <w:t>(1.0)</w:t>
            </w:r>
          </w:p>
        </w:tc>
      </w:tr>
      <w:tr w:rsidRPr="00397676" w:rsidR="00397676" w:rsidTr="00397676" w14:paraId="6D56D019"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43CF1BBD" w14:textId="77777777">
            <w:pPr>
              <w:spacing w:after="0"/>
              <w:jc w:val="left"/>
              <w:rPr>
                <w:rFonts w:ascii="Arial" w:hAnsi="Arial" w:cs="Arial"/>
                <w:sz w:val="20"/>
                <w:lang w:val="en-GB" w:eastAsia="en-GB"/>
              </w:rPr>
            </w:pPr>
            <w:r w:rsidRPr="00397676">
              <w:rPr>
                <w:rFonts w:ascii="Arial" w:hAnsi="Arial" w:cs="Arial"/>
                <w:sz w:val="20"/>
                <w:lang w:val="en-GB" w:eastAsia="en-GB"/>
              </w:rPr>
              <w:t>Other 3&amp;4 Year Olds Funding</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B67E8C4" w14:textId="77777777">
            <w:pPr>
              <w:spacing w:after="0"/>
              <w:jc w:val="right"/>
              <w:rPr>
                <w:rFonts w:ascii="Arial" w:hAnsi="Arial" w:cs="Arial"/>
                <w:sz w:val="20"/>
                <w:lang w:val="en-GB" w:eastAsia="en-GB"/>
              </w:rPr>
            </w:pPr>
            <w:r w:rsidRPr="00397676">
              <w:rPr>
                <w:rFonts w:ascii="Arial" w:hAnsi="Arial" w:cs="Arial"/>
                <w:sz w:val="20"/>
                <w:lang w:val="en-GB" w:eastAsia="en-GB"/>
              </w:rPr>
              <w:t>5,171</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5C598F80" w14:textId="77777777">
            <w:pPr>
              <w:spacing w:after="0"/>
              <w:jc w:val="right"/>
              <w:rPr>
                <w:rFonts w:ascii="Arial" w:hAnsi="Arial" w:cs="Arial"/>
                <w:sz w:val="20"/>
                <w:lang w:val="en-GB" w:eastAsia="en-GB"/>
              </w:rPr>
            </w:pPr>
            <w:r w:rsidRPr="00397676">
              <w:rPr>
                <w:rFonts w:ascii="Arial" w:hAnsi="Arial" w:cs="Arial"/>
                <w:sz w:val="20"/>
                <w:lang w:val="en-GB" w:eastAsia="en-GB"/>
              </w:rPr>
              <w:t>4,784</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2E31BB5" w14:textId="77777777">
            <w:pPr>
              <w:spacing w:after="0"/>
              <w:jc w:val="right"/>
              <w:rPr>
                <w:rFonts w:ascii="Arial" w:hAnsi="Arial" w:cs="Arial"/>
                <w:sz w:val="20"/>
                <w:lang w:val="en-GB" w:eastAsia="en-GB"/>
              </w:rPr>
            </w:pPr>
            <w:r w:rsidRPr="00397676">
              <w:rPr>
                <w:rFonts w:ascii="Arial" w:hAnsi="Arial" w:cs="Arial"/>
                <w:sz w:val="20"/>
                <w:lang w:val="en-GB" w:eastAsia="en-GB"/>
              </w:rPr>
              <w:t>(387)</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DAAD269" w14:textId="77777777">
            <w:pPr>
              <w:spacing w:after="0"/>
              <w:jc w:val="right"/>
              <w:rPr>
                <w:rFonts w:ascii="Arial" w:hAnsi="Arial" w:cs="Arial"/>
                <w:sz w:val="20"/>
                <w:lang w:val="en-GB" w:eastAsia="en-GB"/>
              </w:rPr>
            </w:pPr>
            <w:r w:rsidRPr="00397676">
              <w:rPr>
                <w:rFonts w:ascii="Arial" w:hAnsi="Arial" w:cs="Arial"/>
                <w:sz w:val="20"/>
                <w:lang w:val="en-GB" w:eastAsia="en-GB"/>
              </w:rPr>
              <w:t>(7.5)</w:t>
            </w:r>
          </w:p>
        </w:tc>
      </w:tr>
      <w:tr w:rsidRPr="00397676" w:rsidR="00397676" w:rsidTr="00397676" w14:paraId="3D4A35D9" w14:textId="77777777">
        <w:trPr>
          <w:trHeight w:val="51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367A33A3" w14:textId="77777777">
            <w:pPr>
              <w:spacing w:after="0"/>
              <w:jc w:val="left"/>
              <w:rPr>
                <w:rFonts w:ascii="Arial" w:hAnsi="Arial" w:cs="Arial"/>
                <w:sz w:val="20"/>
                <w:lang w:val="en-GB" w:eastAsia="en-GB"/>
              </w:rPr>
            </w:pPr>
            <w:r w:rsidRPr="00397676">
              <w:rPr>
                <w:rFonts w:ascii="Arial" w:hAnsi="Arial" w:cs="Arial"/>
                <w:sz w:val="20"/>
                <w:lang w:val="en-GB" w:eastAsia="en-GB"/>
              </w:rPr>
              <w:t>Three to Four Year Olds Free Entitlement</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91BC511" w14:textId="77777777">
            <w:pPr>
              <w:spacing w:after="0"/>
              <w:jc w:val="right"/>
              <w:rPr>
                <w:rFonts w:ascii="Arial" w:hAnsi="Arial" w:cs="Arial"/>
                <w:sz w:val="20"/>
                <w:lang w:val="en-GB" w:eastAsia="en-GB"/>
              </w:rPr>
            </w:pPr>
            <w:r w:rsidRPr="00397676">
              <w:rPr>
                <w:rFonts w:ascii="Arial" w:hAnsi="Arial" w:cs="Arial"/>
                <w:sz w:val="20"/>
                <w:lang w:val="en-GB" w:eastAsia="en-GB"/>
              </w:rPr>
              <w:t>91,127</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963D048" w14:textId="77777777">
            <w:pPr>
              <w:spacing w:after="0"/>
              <w:jc w:val="right"/>
              <w:rPr>
                <w:rFonts w:ascii="Arial" w:hAnsi="Arial" w:cs="Arial"/>
                <w:sz w:val="20"/>
                <w:lang w:val="en-GB" w:eastAsia="en-GB"/>
              </w:rPr>
            </w:pPr>
            <w:r w:rsidRPr="00397676">
              <w:rPr>
                <w:rFonts w:ascii="Arial" w:hAnsi="Arial" w:cs="Arial"/>
                <w:sz w:val="20"/>
                <w:lang w:val="en-GB" w:eastAsia="en-GB"/>
              </w:rPr>
              <w:t>88,845</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553A08FC" w14:textId="77777777">
            <w:pPr>
              <w:spacing w:after="0"/>
              <w:jc w:val="right"/>
              <w:rPr>
                <w:rFonts w:ascii="Arial" w:hAnsi="Arial" w:cs="Arial"/>
                <w:sz w:val="20"/>
                <w:lang w:val="en-GB" w:eastAsia="en-GB"/>
              </w:rPr>
            </w:pPr>
            <w:r w:rsidRPr="00397676">
              <w:rPr>
                <w:rFonts w:ascii="Arial" w:hAnsi="Arial" w:cs="Arial"/>
                <w:sz w:val="20"/>
                <w:lang w:val="en-GB" w:eastAsia="en-GB"/>
              </w:rPr>
              <w:t>(2,282)</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2E77998B" w14:textId="77777777">
            <w:pPr>
              <w:spacing w:after="0"/>
              <w:jc w:val="right"/>
              <w:rPr>
                <w:rFonts w:ascii="Arial" w:hAnsi="Arial" w:cs="Arial"/>
                <w:sz w:val="20"/>
                <w:lang w:val="en-GB" w:eastAsia="en-GB"/>
              </w:rPr>
            </w:pPr>
            <w:r w:rsidRPr="00397676">
              <w:rPr>
                <w:rFonts w:ascii="Arial" w:hAnsi="Arial" w:cs="Arial"/>
                <w:sz w:val="20"/>
                <w:lang w:val="en-GB" w:eastAsia="en-GB"/>
              </w:rPr>
              <w:t>(2.5)</w:t>
            </w:r>
          </w:p>
        </w:tc>
      </w:tr>
      <w:tr w:rsidRPr="00397676" w:rsidR="00397676" w:rsidTr="00397676" w14:paraId="77E05FD7"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6300A331" w14:textId="77777777">
            <w:pPr>
              <w:spacing w:after="0"/>
              <w:jc w:val="left"/>
              <w:rPr>
                <w:rFonts w:ascii="Arial" w:hAnsi="Arial" w:cs="Arial"/>
                <w:sz w:val="20"/>
                <w:lang w:val="en-GB" w:eastAsia="en-GB"/>
              </w:rPr>
            </w:pPr>
            <w:r w:rsidRPr="00397676">
              <w:rPr>
                <w:rFonts w:ascii="Arial" w:hAnsi="Arial" w:cs="Arial"/>
                <w:sz w:val="20"/>
                <w:lang w:val="en-GB" w:eastAsia="en-GB"/>
              </w:rPr>
              <w:t>Early Years Central Expenditure</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2A817514" w14:textId="77777777">
            <w:pPr>
              <w:spacing w:after="0"/>
              <w:jc w:val="right"/>
              <w:rPr>
                <w:rFonts w:ascii="Arial" w:hAnsi="Arial" w:cs="Arial"/>
                <w:sz w:val="20"/>
                <w:lang w:val="en-GB" w:eastAsia="en-GB"/>
              </w:rPr>
            </w:pPr>
            <w:r w:rsidRPr="00397676">
              <w:rPr>
                <w:rFonts w:ascii="Arial" w:hAnsi="Arial" w:cs="Arial"/>
                <w:sz w:val="20"/>
                <w:lang w:val="en-GB" w:eastAsia="en-GB"/>
              </w:rPr>
              <w:t>5,916</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437557C8" w14:textId="77777777">
            <w:pPr>
              <w:spacing w:after="0"/>
              <w:jc w:val="right"/>
              <w:rPr>
                <w:rFonts w:ascii="Arial" w:hAnsi="Arial" w:cs="Arial"/>
                <w:sz w:val="20"/>
                <w:lang w:val="en-GB" w:eastAsia="en-GB"/>
              </w:rPr>
            </w:pPr>
            <w:r w:rsidRPr="00397676">
              <w:rPr>
                <w:rFonts w:ascii="Arial" w:hAnsi="Arial" w:cs="Arial"/>
                <w:sz w:val="20"/>
                <w:lang w:val="en-GB" w:eastAsia="en-GB"/>
              </w:rPr>
              <w:t>5,269</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7B5737E" w14:textId="77777777">
            <w:pPr>
              <w:spacing w:after="0"/>
              <w:jc w:val="right"/>
              <w:rPr>
                <w:rFonts w:ascii="Arial" w:hAnsi="Arial" w:cs="Arial"/>
                <w:sz w:val="20"/>
                <w:lang w:val="en-GB" w:eastAsia="en-GB"/>
              </w:rPr>
            </w:pPr>
            <w:r w:rsidRPr="00397676">
              <w:rPr>
                <w:rFonts w:ascii="Arial" w:hAnsi="Arial" w:cs="Arial"/>
                <w:sz w:val="20"/>
                <w:lang w:val="en-GB" w:eastAsia="en-GB"/>
              </w:rPr>
              <w:t>(647)</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571C6876" w14:textId="77777777">
            <w:pPr>
              <w:spacing w:after="0"/>
              <w:jc w:val="right"/>
              <w:rPr>
                <w:rFonts w:ascii="Arial" w:hAnsi="Arial" w:cs="Arial"/>
                <w:sz w:val="20"/>
                <w:lang w:val="en-GB" w:eastAsia="en-GB"/>
              </w:rPr>
            </w:pPr>
            <w:r w:rsidRPr="00397676">
              <w:rPr>
                <w:rFonts w:ascii="Arial" w:hAnsi="Arial" w:cs="Arial"/>
                <w:sz w:val="20"/>
                <w:lang w:val="en-GB" w:eastAsia="en-GB"/>
              </w:rPr>
              <w:t>(10.9)</w:t>
            </w:r>
          </w:p>
        </w:tc>
      </w:tr>
      <w:tr w:rsidRPr="00397676" w:rsidR="00397676" w:rsidTr="00397676" w14:paraId="6E02E952" w14:textId="77777777">
        <w:trPr>
          <w:trHeight w:val="51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75C9A74D" w14:textId="77777777">
            <w:pPr>
              <w:spacing w:after="0"/>
              <w:jc w:val="left"/>
              <w:rPr>
                <w:rFonts w:ascii="Arial" w:hAnsi="Arial" w:cs="Arial"/>
                <w:sz w:val="20"/>
                <w:lang w:val="en-GB" w:eastAsia="en-GB"/>
              </w:rPr>
            </w:pPr>
            <w:r w:rsidRPr="00397676">
              <w:rPr>
                <w:rFonts w:ascii="Arial" w:hAnsi="Arial" w:cs="Arial"/>
                <w:sz w:val="20"/>
                <w:lang w:val="en-GB" w:eastAsia="en-GB"/>
              </w:rPr>
              <w:t>Under 2 Yr Olds Free Entitlement Funding</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542419E6" w14:textId="77777777">
            <w:pPr>
              <w:spacing w:after="0"/>
              <w:jc w:val="right"/>
              <w:rPr>
                <w:rFonts w:ascii="Arial" w:hAnsi="Arial" w:cs="Arial"/>
                <w:sz w:val="20"/>
                <w:lang w:val="en-GB" w:eastAsia="en-GB"/>
              </w:rPr>
            </w:pPr>
            <w:r w:rsidRPr="00397676">
              <w:rPr>
                <w:rFonts w:ascii="Arial" w:hAnsi="Arial" w:cs="Arial"/>
                <w:sz w:val="20"/>
                <w:lang w:val="en-GB" w:eastAsia="en-GB"/>
              </w:rPr>
              <w:t>25,283</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802802C" w14:textId="77777777">
            <w:pPr>
              <w:spacing w:after="0"/>
              <w:jc w:val="right"/>
              <w:rPr>
                <w:rFonts w:ascii="Arial" w:hAnsi="Arial" w:cs="Arial"/>
                <w:sz w:val="20"/>
                <w:lang w:val="en-GB" w:eastAsia="en-GB"/>
              </w:rPr>
            </w:pPr>
            <w:r w:rsidRPr="00397676">
              <w:rPr>
                <w:rFonts w:ascii="Arial" w:hAnsi="Arial" w:cs="Arial"/>
                <w:sz w:val="20"/>
                <w:lang w:val="en-GB" w:eastAsia="en-GB"/>
              </w:rPr>
              <w:t>22,791</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62FBD5E0" w14:textId="77777777">
            <w:pPr>
              <w:spacing w:after="0"/>
              <w:jc w:val="right"/>
              <w:rPr>
                <w:rFonts w:ascii="Arial" w:hAnsi="Arial" w:cs="Arial"/>
                <w:sz w:val="20"/>
                <w:lang w:val="en-GB" w:eastAsia="en-GB"/>
              </w:rPr>
            </w:pPr>
            <w:r w:rsidRPr="00397676">
              <w:rPr>
                <w:rFonts w:ascii="Arial" w:hAnsi="Arial" w:cs="Arial"/>
                <w:sz w:val="20"/>
                <w:lang w:val="en-GB" w:eastAsia="en-GB"/>
              </w:rPr>
              <w:t>(2,492)</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7248CD8F" w14:textId="77777777">
            <w:pPr>
              <w:spacing w:after="0"/>
              <w:jc w:val="right"/>
              <w:rPr>
                <w:rFonts w:ascii="Arial" w:hAnsi="Arial" w:cs="Arial"/>
                <w:sz w:val="20"/>
                <w:lang w:val="en-GB" w:eastAsia="en-GB"/>
              </w:rPr>
            </w:pPr>
            <w:r w:rsidRPr="00397676">
              <w:rPr>
                <w:rFonts w:ascii="Arial" w:hAnsi="Arial" w:cs="Arial"/>
                <w:sz w:val="20"/>
                <w:lang w:val="en-GB" w:eastAsia="en-GB"/>
              </w:rPr>
              <w:t>(9.9)</w:t>
            </w:r>
          </w:p>
        </w:tc>
      </w:tr>
      <w:tr w:rsidRPr="00397676" w:rsidR="00397676" w:rsidTr="00397676" w14:paraId="0865B4EE"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A6C9EC"/>
            <w:vAlign w:val="center"/>
            <w:hideMark/>
          </w:tcPr>
          <w:p w:rsidRPr="00397676" w:rsidR="00397676" w:rsidP="00397676" w:rsidRDefault="00397676" w14:paraId="00BDF118" w14:textId="77777777">
            <w:pPr>
              <w:spacing w:after="0"/>
              <w:jc w:val="left"/>
              <w:rPr>
                <w:rFonts w:ascii="Arial" w:hAnsi="Arial" w:cs="Arial"/>
                <w:sz w:val="20"/>
                <w:lang w:val="en-GB" w:eastAsia="en-GB"/>
              </w:rPr>
            </w:pPr>
            <w:r w:rsidRPr="00397676">
              <w:rPr>
                <w:rFonts w:ascii="Arial" w:hAnsi="Arial" w:cs="Arial"/>
                <w:sz w:val="20"/>
                <w:lang w:val="en-GB" w:eastAsia="en-GB"/>
              </w:rPr>
              <w:t>Early Years</w:t>
            </w:r>
          </w:p>
        </w:tc>
        <w:tc>
          <w:tcPr>
            <w:tcW w:w="124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11D6D467" w14:textId="77777777">
            <w:pPr>
              <w:spacing w:after="0"/>
              <w:jc w:val="right"/>
              <w:rPr>
                <w:rFonts w:ascii="Arial" w:hAnsi="Arial" w:cs="Arial"/>
                <w:sz w:val="20"/>
                <w:lang w:val="en-GB" w:eastAsia="en-GB"/>
              </w:rPr>
            </w:pPr>
            <w:r w:rsidRPr="00397676">
              <w:rPr>
                <w:rFonts w:ascii="Arial" w:hAnsi="Arial" w:cs="Arial"/>
                <w:sz w:val="20"/>
                <w:lang w:val="en-GB" w:eastAsia="en-GB"/>
              </w:rPr>
              <w:t>159,629</w:t>
            </w:r>
          </w:p>
        </w:tc>
        <w:tc>
          <w:tcPr>
            <w:tcW w:w="110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799F2D1C" w14:textId="77777777">
            <w:pPr>
              <w:spacing w:after="0"/>
              <w:jc w:val="right"/>
              <w:rPr>
                <w:rFonts w:ascii="Arial" w:hAnsi="Arial" w:cs="Arial"/>
                <w:sz w:val="20"/>
                <w:lang w:val="en-GB" w:eastAsia="en-GB"/>
              </w:rPr>
            </w:pPr>
            <w:r w:rsidRPr="00397676">
              <w:rPr>
                <w:rFonts w:ascii="Arial" w:hAnsi="Arial" w:cs="Arial"/>
                <w:sz w:val="20"/>
                <w:lang w:val="en-GB" w:eastAsia="en-GB"/>
              </w:rPr>
              <w:t>154,527</w:t>
            </w:r>
          </w:p>
        </w:tc>
        <w:tc>
          <w:tcPr>
            <w:tcW w:w="108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6A9291A1" w14:textId="77777777">
            <w:pPr>
              <w:spacing w:after="0"/>
              <w:jc w:val="right"/>
              <w:rPr>
                <w:rFonts w:ascii="Arial" w:hAnsi="Arial" w:cs="Arial"/>
                <w:sz w:val="20"/>
                <w:lang w:val="en-GB" w:eastAsia="en-GB"/>
              </w:rPr>
            </w:pPr>
            <w:r w:rsidRPr="00397676">
              <w:rPr>
                <w:rFonts w:ascii="Arial" w:hAnsi="Arial" w:cs="Arial"/>
                <w:sz w:val="20"/>
                <w:lang w:val="en-GB" w:eastAsia="en-GB"/>
              </w:rPr>
              <w:t>(5,102)</w:t>
            </w:r>
          </w:p>
        </w:tc>
        <w:tc>
          <w:tcPr>
            <w:tcW w:w="102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13E9B8DD" w14:textId="77777777">
            <w:pPr>
              <w:spacing w:after="0"/>
              <w:jc w:val="right"/>
              <w:rPr>
                <w:rFonts w:ascii="Arial" w:hAnsi="Arial" w:cs="Arial"/>
                <w:sz w:val="20"/>
                <w:lang w:val="en-GB" w:eastAsia="en-GB"/>
              </w:rPr>
            </w:pPr>
            <w:r w:rsidRPr="00397676">
              <w:rPr>
                <w:rFonts w:ascii="Arial" w:hAnsi="Arial" w:cs="Arial"/>
                <w:sz w:val="20"/>
                <w:lang w:val="en-GB" w:eastAsia="en-GB"/>
              </w:rPr>
              <w:t>(3.2)</w:t>
            </w:r>
          </w:p>
        </w:tc>
      </w:tr>
      <w:tr w:rsidRPr="00397676" w:rsidR="00397676" w:rsidTr="00397676" w14:paraId="5111E34D" w14:textId="77777777">
        <w:trPr>
          <w:trHeight w:val="10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40DABC3E" w14:textId="77777777">
            <w:pPr>
              <w:spacing w:after="0"/>
              <w:jc w:val="left"/>
              <w:rPr>
                <w:rFonts w:ascii="Arial" w:hAnsi="Arial" w:cs="Arial"/>
                <w:sz w:val="20"/>
                <w:lang w:val="en-GB" w:eastAsia="en-GB"/>
              </w:rPr>
            </w:pPr>
            <w:r w:rsidRPr="00397676">
              <w:rPr>
                <w:rFonts w:ascii="Arial" w:hAnsi="Arial" w:cs="Arial"/>
                <w:sz w:val="20"/>
                <w:lang w:val="en-GB" w:eastAsia="en-GB"/>
              </w:rPr>
              <w:t> </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22746FB1"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7ED929E"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201EB5E1"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55344397"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r>
      <w:tr w:rsidRPr="00397676" w:rsidR="00397676" w:rsidTr="00397676" w14:paraId="567786ED"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3649ECF2" w14:textId="77777777">
            <w:pPr>
              <w:spacing w:after="0"/>
              <w:jc w:val="left"/>
              <w:rPr>
                <w:rFonts w:ascii="Arial" w:hAnsi="Arial" w:cs="Arial"/>
                <w:sz w:val="20"/>
                <w:lang w:val="en-GB" w:eastAsia="en-GB"/>
              </w:rPr>
            </w:pPr>
            <w:r w:rsidRPr="00397676">
              <w:rPr>
                <w:rFonts w:ascii="Arial" w:hAnsi="Arial" w:cs="Arial"/>
                <w:sz w:val="20"/>
                <w:lang w:val="en-GB" w:eastAsia="en-GB"/>
              </w:rPr>
              <w:t>Schools Budget Shares</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4D13CFF0" w14:textId="77777777">
            <w:pPr>
              <w:spacing w:after="0"/>
              <w:jc w:val="right"/>
              <w:rPr>
                <w:rFonts w:ascii="Arial" w:hAnsi="Arial" w:cs="Arial"/>
                <w:sz w:val="20"/>
                <w:lang w:val="en-GB" w:eastAsia="en-GB"/>
              </w:rPr>
            </w:pPr>
            <w:r w:rsidRPr="00397676">
              <w:rPr>
                <w:rFonts w:ascii="Arial" w:hAnsi="Arial" w:cs="Arial"/>
                <w:sz w:val="20"/>
                <w:lang w:val="en-GB" w:eastAsia="en-GB"/>
              </w:rPr>
              <w:t>667,903</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C1D03BB" w14:textId="77777777">
            <w:pPr>
              <w:spacing w:after="0"/>
              <w:jc w:val="right"/>
              <w:rPr>
                <w:rFonts w:ascii="Arial" w:hAnsi="Arial" w:cs="Arial"/>
                <w:sz w:val="20"/>
                <w:lang w:val="en-GB" w:eastAsia="en-GB"/>
              </w:rPr>
            </w:pPr>
            <w:r w:rsidRPr="00397676">
              <w:rPr>
                <w:rFonts w:ascii="Arial" w:hAnsi="Arial" w:cs="Arial"/>
                <w:sz w:val="20"/>
                <w:lang w:val="en-GB" w:eastAsia="en-GB"/>
              </w:rPr>
              <w:t>667,903</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5024D2BB"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2FB539CF"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r>
      <w:tr w:rsidRPr="00397676" w:rsidR="00397676" w:rsidTr="00397676" w14:paraId="03CB4232"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42800BF0" w14:textId="77777777">
            <w:pPr>
              <w:spacing w:after="0"/>
              <w:jc w:val="left"/>
              <w:rPr>
                <w:rFonts w:ascii="Arial" w:hAnsi="Arial" w:cs="Arial"/>
                <w:sz w:val="20"/>
                <w:lang w:val="en-GB" w:eastAsia="en-GB"/>
              </w:rPr>
            </w:pPr>
            <w:r w:rsidRPr="00397676">
              <w:rPr>
                <w:rFonts w:ascii="Arial" w:hAnsi="Arial" w:cs="Arial"/>
                <w:sz w:val="20"/>
                <w:lang w:val="en-GB" w:eastAsia="en-GB"/>
              </w:rPr>
              <w:t>Staff Supply Cover (Not Sickness)</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4556C7DC" w14:textId="77777777">
            <w:pPr>
              <w:spacing w:after="0"/>
              <w:jc w:val="right"/>
              <w:rPr>
                <w:rFonts w:ascii="Arial" w:hAnsi="Arial" w:cs="Arial"/>
                <w:sz w:val="20"/>
                <w:lang w:val="en-GB" w:eastAsia="en-GB"/>
              </w:rPr>
            </w:pPr>
            <w:r w:rsidRPr="00397676">
              <w:rPr>
                <w:rFonts w:ascii="Arial" w:hAnsi="Arial" w:cs="Arial"/>
                <w:sz w:val="20"/>
                <w:lang w:val="en-GB" w:eastAsia="en-GB"/>
              </w:rPr>
              <w:t>644</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2D3E1C50" w14:textId="77777777">
            <w:pPr>
              <w:spacing w:after="0"/>
              <w:jc w:val="right"/>
              <w:rPr>
                <w:rFonts w:ascii="Arial" w:hAnsi="Arial" w:cs="Arial"/>
                <w:sz w:val="20"/>
                <w:lang w:val="en-GB" w:eastAsia="en-GB"/>
              </w:rPr>
            </w:pPr>
            <w:r w:rsidRPr="00397676">
              <w:rPr>
                <w:rFonts w:ascii="Arial" w:hAnsi="Arial" w:cs="Arial"/>
                <w:sz w:val="20"/>
                <w:lang w:val="en-GB" w:eastAsia="en-GB"/>
              </w:rPr>
              <w:t>1,156</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42D0F74A" w14:textId="77777777">
            <w:pPr>
              <w:spacing w:after="0"/>
              <w:jc w:val="right"/>
              <w:rPr>
                <w:rFonts w:ascii="Arial" w:hAnsi="Arial" w:cs="Arial"/>
                <w:sz w:val="20"/>
                <w:lang w:val="en-GB" w:eastAsia="en-GB"/>
              </w:rPr>
            </w:pPr>
            <w:r w:rsidRPr="00397676">
              <w:rPr>
                <w:rFonts w:ascii="Arial" w:hAnsi="Arial" w:cs="Arial"/>
                <w:sz w:val="20"/>
                <w:lang w:val="en-GB" w:eastAsia="en-GB"/>
              </w:rPr>
              <w:t>512</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5AB9DA2" w14:textId="77777777">
            <w:pPr>
              <w:spacing w:after="0"/>
              <w:jc w:val="right"/>
              <w:rPr>
                <w:rFonts w:ascii="Arial" w:hAnsi="Arial" w:cs="Arial"/>
                <w:sz w:val="20"/>
                <w:lang w:val="en-GB" w:eastAsia="en-GB"/>
              </w:rPr>
            </w:pPr>
            <w:r w:rsidRPr="00397676">
              <w:rPr>
                <w:rFonts w:ascii="Arial" w:hAnsi="Arial" w:cs="Arial"/>
                <w:sz w:val="20"/>
                <w:lang w:val="en-GB" w:eastAsia="en-GB"/>
              </w:rPr>
              <w:t>79.5</w:t>
            </w:r>
          </w:p>
        </w:tc>
      </w:tr>
      <w:tr w:rsidRPr="00397676" w:rsidR="00397676" w:rsidTr="00397676" w14:paraId="0900688B" w14:textId="77777777">
        <w:trPr>
          <w:trHeight w:val="51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27B732AF" w14:textId="77777777">
            <w:pPr>
              <w:spacing w:after="0"/>
              <w:jc w:val="left"/>
              <w:rPr>
                <w:rFonts w:ascii="Arial" w:hAnsi="Arial" w:cs="Arial"/>
                <w:sz w:val="20"/>
                <w:lang w:val="en-GB" w:eastAsia="en-GB"/>
              </w:rPr>
            </w:pPr>
            <w:r w:rsidRPr="00397676">
              <w:rPr>
                <w:rFonts w:ascii="Arial" w:hAnsi="Arial" w:cs="Arial"/>
                <w:sz w:val="20"/>
                <w:lang w:val="en-GB" w:eastAsia="en-GB"/>
              </w:rPr>
              <w:t>Ethnic Minority and Traveller Achievement Service</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3A203818" w14:textId="77777777">
            <w:pPr>
              <w:spacing w:after="0"/>
              <w:jc w:val="right"/>
              <w:rPr>
                <w:rFonts w:ascii="Arial" w:hAnsi="Arial" w:cs="Arial"/>
                <w:sz w:val="20"/>
                <w:lang w:val="en-GB" w:eastAsia="en-GB"/>
              </w:rPr>
            </w:pPr>
            <w:r w:rsidRPr="00397676">
              <w:rPr>
                <w:rFonts w:ascii="Arial" w:hAnsi="Arial" w:cs="Arial"/>
                <w:sz w:val="20"/>
                <w:lang w:val="en-GB" w:eastAsia="en-GB"/>
              </w:rPr>
              <w:t>1,414</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114C65E" w14:textId="77777777">
            <w:pPr>
              <w:spacing w:after="0"/>
              <w:jc w:val="right"/>
              <w:rPr>
                <w:rFonts w:ascii="Arial" w:hAnsi="Arial" w:cs="Arial"/>
                <w:sz w:val="20"/>
                <w:lang w:val="en-GB" w:eastAsia="en-GB"/>
              </w:rPr>
            </w:pPr>
            <w:r w:rsidRPr="00397676">
              <w:rPr>
                <w:rFonts w:ascii="Arial" w:hAnsi="Arial" w:cs="Arial"/>
                <w:sz w:val="20"/>
                <w:lang w:val="en-GB" w:eastAsia="en-GB"/>
              </w:rPr>
              <w:t>1,381</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150AA8DE" w14:textId="77777777">
            <w:pPr>
              <w:spacing w:after="0"/>
              <w:jc w:val="right"/>
              <w:rPr>
                <w:rFonts w:ascii="Arial" w:hAnsi="Arial" w:cs="Arial"/>
                <w:sz w:val="20"/>
                <w:lang w:val="en-GB" w:eastAsia="en-GB"/>
              </w:rPr>
            </w:pPr>
            <w:r w:rsidRPr="00397676">
              <w:rPr>
                <w:rFonts w:ascii="Arial" w:hAnsi="Arial" w:cs="Arial"/>
                <w:sz w:val="20"/>
                <w:lang w:val="en-GB" w:eastAsia="en-GB"/>
              </w:rPr>
              <w:t>(33)</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54FD0046" w14:textId="77777777">
            <w:pPr>
              <w:spacing w:after="0"/>
              <w:jc w:val="right"/>
              <w:rPr>
                <w:rFonts w:ascii="Arial" w:hAnsi="Arial" w:cs="Arial"/>
                <w:sz w:val="20"/>
                <w:lang w:val="en-GB" w:eastAsia="en-GB"/>
              </w:rPr>
            </w:pPr>
            <w:r w:rsidRPr="00397676">
              <w:rPr>
                <w:rFonts w:ascii="Arial" w:hAnsi="Arial" w:cs="Arial"/>
                <w:sz w:val="20"/>
                <w:lang w:val="en-GB" w:eastAsia="en-GB"/>
              </w:rPr>
              <w:t>(2.3)</w:t>
            </w:r>
          </w:p>
        </w:tc>
      </w:tr>
      <w:tr w:rsidRPr="00397676" w:rsidR="00397676" w:rsidTr="00397676" w14:paraId="57E4D056"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6FB755E3" w14:textId="77777777">
            <w:pPr>
              <w:spacing w:after="0"/>
              <w:jc w:val="left"/>
              <w:rPr>
                <w:rFonts w:ascii="Arial" w:hAnsi="Arial" w:cs="Arial"/>
                <w:sz w:val="20"/>
                <w:lang w:val="en-GB" w:eastAsia="en-GB"/>
              </w:rPr>
            </w:pPr>
            <w:r w:rsidRPr="00397676">
              <w:rPr>
                <w:rFonts w:ascii="Arial" w:hAnsi="Arial" w:cs="Arial"/>
                <w:sz w:val="20"/>
                <w:lang w:val="en-GB" w:eastAsia="en-GB"/>
              </w:rPr>
              <w:t>Schools Contingency</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766EAE9" w14:textId="77777777">
            <w:pPr>
              <w:spacing w:after="0"/>
              <w:jc w:val="right"/>
              <w:rPr>
                <w:rFonts w:ascii="Arial" w:hAnsi="Arial" w:cs="Arial"/>
                <w:sz w:val="20"/>
                <w:lang w:val="en-GB" w:eastAsia="en-GB"/>
              </w:rPr>
            </w:pPr>
            <w:r w:rsidRPr="00397676">
              <w:rPr>
                <w:rFonts w:ascii="Arial" w:hAnsi="Arial" w:cs="Arial"/>
                <w:sz w:val="20"/>
                <w:lang w:val="en-GB" w:eastAsia="en-GB"/>
              </w:rPr>
              <w:t>296</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24ED9D0" w14:textId="77777777">
            <w:pPr>
              <w:spacing w:after="0"/>
              <w:jc w:val="right"/>
              <w:rPr>
                <w:rFonts w:ascii="Arial" w:hAnsi="Arial" w:cs="Arial"/>
                <w:sz w:val="20"/>
                <w:lang w:val="en-GB" w:eastAsia="en-GB"/>
              </w:rPr>
            </w:pPr>
            <w:r w:rsidRPr="00397676">
              <w:rPr>
                <w:rFonts w:ascii="Arial" w:hAnsi="Arial" w:cs="Arial"/>
                <w:sz w:val="20"/>
                <w:lang w:val="en-GB" w:eastAsia="en-GB"/>
              </w:rPr>
              <w:t>328</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5606F35A" w14:textId="77777777">
            <w:pPr>
              <w:spacing w:after="0"/>
              <w:jc w:val="right"/>
              <w:rPr>
                <w:rFonts w:ascii="Arial" w:hAnsi="Arial" w:cs="Arial"/>
                <w:sz w:val="20"/>
                <w:lang w:val="en-GB" w:eastAsia="en-GB"/>
              </w:rPr>
            </w:pPr>
            <w:r w:rsidRPr="00397676">
              <w:rPr>
                <w:rFonts w:ascii="Arial" w:hAnsi="Arial" w:cs="Arial"/>
                <w:sz w:val="20"/>
                <w:lang w:val="en-GB" w:eastAsia="en-GB"/>
              </w:rPr>
              <w:t>32</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3B2A806" w14:textId="77777777">
            <w:pPr>
              <w:spacing w:after="0"/>
              <w:jc w:val="right"/>
              <w:rPr>
                <w:rFonts w:ascii="Arial" w:hAnsi="Arial" w:cs="Arial"/>
                <w:sz w:val="20"/>
                <w:lang w:val="en-GB" w:eastAsia="en-GB"/>
              </w:rPr>
            </w:pPr>
            <w:r w:rsidRPr="00397676">
              <w:rPr>
                <w:rFonts w:ascii="Arial" w:hAnsi="Arial" w:cs="Arial"/>
                <w:sz w:val="20"/>
                <w:lang w:val="en-GB" w:eastAsia="en-GB"/>
              </w:rPr>
              <w:t>10.8</w:t>
            </w:r>
          </w:p>
        </w:tc>
      </w:tr>
      <w:tr w:rsidRPr="00397676" w:rsidR="00397676" w:rsidTr="00397676" w14:paraId="4E5639FB"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00194B23" w14:textId="77777777">
            <w:pPr>
              <w:spacing w:after="0"/>
              <w:jc w:val="left"/>
              <w:rPr>
                <w:rFonts w:ascii="Arial" w:hAnsi="Arial" w:cs="Arial"/>
                <w:sz w:val="20"/>
                <w:lang w:val="en-GB" w:eastAsia="en-GB"/>
              </w:rPr>
            </w:pPr>
            <w:r w:rsidRPr="00397676">
              <w:rPr>
                <w:rFonts w:ascii="Arial" w:hAnsi="Arial" w:cs="Arial"/>
                <w:sz w:val="20"/>
                <w:lang w:val="en-GB" w:eastAsia="en-GB"/>
              </w:rPr>
              <w:t>Licences and Subscriptions</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56433A9" w14:textId="77777777">
            <w:pPr>
              <w:spacing w:after="0"/>
              <w:jc w:val="right"/>
              <w:rPr>
                <w:rFonts w:ascii="Arial" w:hAnsi="Arial" w:cs="Arial"/>
                <w:sz w:val="20"/>
                <w:lang w:val="en-GB" w:eastAsia="en-GB"/>
              </w:rPr>
            </w:pPr>
            <w:r w:rsidRPr="00397676">
              <w:rPr>
                <w:rFonts w:ascii="Arial" w:hAnsi="Arial" w:cs="Arial"/>
                <w:sz w:val="20"/>
                <w:lang w:val="en-GB" w:eastAsia="en-GB"/>
              </w:rPr>
              <w:t>185</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501ED235" w14:textId="77777777">
            <w:pPr>
              <w:spacing w:after="0"/>
              <w:jc w:val="right"/>
              <w:rPr>
                <w:rFonts w:ascii="Arial" w:hAnsi="Arial" w:cs="Arial"/>
                <w:sz w:val="20"/>
                <w:lang w:val="en-GB" w:eastAsia="en-GB"/>
              </w:rPr>
            </w:pPr>
            <w:r w:rsidRPr="00397676">
              <w:rPr>
                <w:rFonts w:ascii="Arial" w:hAnsi="Arial" w:cs="Arial"/>
                <w:sz w:val="20"/>
                <w:lang w:val="en-GB" w:eastAsia="en-GB"/>
              </w:rPr>
              <w:t>154</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49730D60" w14:textId="77777777">
            <w:pPr>
              <w:spacing w:after="0"/>
              <w:jc w:val="right"/>
              <w:rPr>
                <w:rFonts w:ascii="Arial" w:hAnsi="Arial" w:cs="Arial"/>
                <w:sz w:val="20"/>
                <w:lang w:val="en-GB" w:eastAsia="en-GB"/>
              </w:rPr>
            </w:pPr>
            <w:r w:rsidRPr="00397676">
              <w:rPr>
                <w:rFonts w:ascii="Arial" w:hAnsi="Arial" w:cs="Arial"/>
                <w:sz w:val="20"/>
                <w:lang w:val="en-GB" w:eastAsia="en-GB"/>
              </w:rPr>
              <w:t>(31)</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5DD4F8B6" w14:textId="77777777">
            <w:pPr>
              <w:spacing w:after="0"/>
              <w:jc w:val="right"/>
              <w:rPr>
                <w:rFonts w:ascii="Arial" w:hAnsi="Arial" w:cs="Arial"/>
                <w:sz w:val="20"/>
                <w:lang w:val="en-GB" w:eastAsia="en-GB"/>
              </w:rPr>
            </w:pPr>
            <w:r w:rsidRPr="00397676">
              <w:rPr>
                <w:rFonts w:ascii="Arial" w:hAnsi="Arial" w:cs="Arial"/>
                <w:sz w:val="20"/>
                <w:lang w:val="en-GB" w:eastAsia="en-GB"/>
              </w:rPr>
              <w:t>(16.7)</w:t>
            </w:r>
          </w:p>
        </w:tc>
      </w:tr>
      <w:tr w:rsidRPr="00397676" w:rsidR="00397676" w:rsidTr="00397676" w14:paraId="292ED358"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5CFB202F" w14:textId="77777777">
            <w:pPr>
              <w:spacing w:after="0"/>
              <w:jc w:val="left"/>
              <w:rPr>
                <w:rFonts w:ascii="Arial" w:hAnsi="Arial" w:cs="Arial"/>
                <w:sz w:val="20"/>
                <w:lang w:val="en-GB" w:eastAsia="en-GB"/>
              </w:rPr>
            </w:pPr>
            <w:r w:rsidRPr="00397676">
              <w:rPr>
                <w:rFonts w:ascii="Arial" w:hAnsi="Arial" w:cs="Arial"/>
                <w:sz w:val="20"/>
                <w:lang w:val="en-GB" w:eastAsia="en-GB"/>
              </w:rPr>
              <w:t>Schools Dedelegated</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290E8849" w14:textId="77777777">
            <w:pPr>
              <w:spacing w:after="0"/>
              <w:jc w:val="right"/>
              <w:rPr>
                <w:rFonts w:ascii="Arial" w:hAnsi="Arial" w:cs="Arial"/>
                <w:sz w:val="20"/>
                <w:lang w:val="en-GB" w:eastAsia="en-GB"/>
              </w:rPr>
            </w:pPr>
            <w:r w:rsidRPr="00397676">
              <w:rPr>
                <w:rFonts w:ascii="Arial" w:hAnsi="Arial" w:cs="Arial"/>
                <w:sz w:val="20"/>
                <w:lang w:val="en-GB" w:eastAsia="en-GB"/>
              </w:rPr>
              <w:t>2,539</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2D8F30DD" w14:textId="77777777">
            <w:pPr>
              <w:spacing w:after="0"/>
              <w:jc w:val="right"/>
              <w:rPr>
                <w:rFonts w:ascii="Arial" w:hAnsi="Arial" w:cs="Arial"/>
                <w:sz w:val="20"/>
                <w:lang w:val="en-GB" w:eastAsia="en-GB"/>
              </w:rPr>
            </w:pPr>
            <w:r w:rsidRPr="00397676">
              <w:rPr>
                <w:rFonts w:ascii="Arial" w:hAnsi="Arial" w:cs="Arial"/>
                <w:sz w:val="20"/>
                <w:lang w:val="en-GB" w:eastAsia="en-GB"/>
              </w:rPr>
              <w:t>3,019</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695247AE" w14:textId="77777777">
            <w:pPr>
              <w:spacing w:after="0"/>
              <w:jc w:val="right"/>
              <w:rPr>
                <w:rFonts w:ascii="Arial" w:hAnsi="Arial" w:cs="Arial"/>
                <w:sz w:val="20"/>
                <w:lang w:val="en-GB" w:eastAsia="en-GB"/>
              </w:rPr>
            </w:pPr>
            <w:r w:rsidRPr="00397676">
              <w:rPr>
                <w:rFonts w:ascii="Arial" w:hAnsi="Arial" w:cs="Arial"/>
                <w:sz w:val="20"/>
                <w:lang w:val="en-GB" w:eastAsia="en-GB"/>
              </w:rPr>
              <w:t>480</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1494BD4C" w14:textId="77777777">
            <w:pPr>
              <w:spacing w:after="0"/>
              <w:jc w:val="right"/>
              <w:rPr>
                <w:rFonts w:ascii="Arial" w:hAnsi="Arial" w:cs="Arial"/>
                <w:sz w:val="20"/>
                <w:lang w:val="en-GB" w:eastAsia="en-GB"/>
              </w:rPr>
            </w:pPr>
            <w:r w:rsidRPr="00397676">
              <w:rPr>
                <w:rFonts w:ascii="Arial" w:hAnsi="Arial" w:cs="Arial"/>
                <w:sz w:val="20"/>
                <w:lang w:val="en-GB" w:eastAsia="en-GB"/>
              </w:rPr>
              <w:t>18.9</w:t>
            </w:r>
          </w:p>
        </w:tc>
      </w:tr>
      <w:tr w:rsidRPr="00397676" w:rsidR="00397676" w:rsidTr="00397676" w14:paraId="10B89218"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046E9C6E" w14:textId="77777777">
            <w:pPr>
              <w:spacing w:after="0"/>
              <w:jc w:val="left"/>
              <w:rPr>
                <w:rFonts w:ascii="Arial" w:hAnsi="Arial" w:cs="Arial"/>
                <w:sz w:val="20"/>
                <w:lang w:val="en-GB" w:eastAsia="en-GB"/>
              </w:rPr>
            </w:pPr>
            <w:r w:rsidRPr="00397676">
              <w:rPr>
                <w:rFonts w:ascii="Arial" w:hAnsi="Arial" w:cs="Arial"/>
                <w:sz w:val="20"/>
                <w:lang w:val="en-GB" w:eastAsia="en-GB"/>
              </w:rPr>
              <w:t>Growth Fund</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2273EA0D" w14:textId="77777777">
            <w:pPr>
              <w:spacing w:after="0"/>
              <w:jc w:val="right"/>
              <w:rPr>
                <w:rFonts w:ascii="Arial" w:hAnsi="Arial" w:cs="Arial"/>
                <w:sz w:val="20"/>
                <w:lang w:val="en-GB" w:eastAsia="en-GB"/>
              </w:rPr>
            </w:pPr>
            <w:r w:rsidRPr="00397676">
              <w:rPr>
                <w:rFonts w:ascii="Arial" w:hAnsi="Arial" w:cs="Arial"/>
                <w:sz w:val="20"/>
                <w:lang w:val="en-GB" w:eastAsia="en-GB"/>
              </w:rPr>
              <w:t>3,524</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53E6B024" w14:textId="77777777">
            <w:pPr>
              <w:spacing w:after="0"/>
              <w:jc w:val="right"/>
              <w:rPr>
                <w:rFonts w:ascii="Arial" w:hAnsi="Arial" w:cs="Arial"/>
                <w:sz w:val="20"/>
                <w:lang w:val="en-GB" w:eastAsia="en-GB"/>
              </w:rPr>
            </w:pPr>
            <w:r w:rsidRPr="00397676">
              <w:rPr>
                <w:rFonts w:ascii="Arial" w:hAnsi="Arial" w:cs="Arial"/>
                <w:sz w:val="20"/>
                <w:lang w:val="en-GB" w:eastAsia="en-GB"/>
              </w:rPr>
              <w:t>3,130</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5400307D" w14:textId="77777777">
            <w:pPr>
              <w:spacing w:after="0"/>
              <w:jc w:val="right"/>
              <w:rPr>
                <w:rFonts w:ascii="Arial" w:hAnsi="Arial" w:cs="Arial"/>
                <w:sz w:val="20"/>
                <w:lang w:val="en-GB" w:eastAsia="en-GB"/>
              </w:rPr>
            </w:pPr>
            <w:r w:rsidRPr="00397676">
              <w:rPr>
                <w:rFonts w:ascii="Arial" w:hAnsi="Arial" w:cs="Arial"/>
                <w:sz w:val="20"/>
                <w:lang w:val="en-GB" w:eastAsia="en-GB"/>
              </w:rPr>
              <w:t>(394)</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26511C54" w14:textId="77777777">
            <w:pPr>
              <w:spacing w:after="0"/>
              <w:jc w:val="right"/>
              <w:rPr>
                <w:rFonts w:ascii="Arial" w:hAnsi="Arial" w:cs="Arial"/>
                <w:sz w:val="20"/>
                <w:lang w:val="en-GB" w:eastAsia="en-GB"/>
              </w:rPr>
            </w:pPr>
            <w:r w:rsidRPr="00397676">
              <w:rPr>
                <w:rFonts w:ascii="Arial" w:hAnsi="Arial" w:cs="Arial"/>
                <w:sz w:val="20"/>
                <w:lang w:val="en-GB" w:eastAsia="en-GB"/>
              </w:rPr>
              <w:t>(11.2)</w:t>
            </w:r>
          </w:p>
        </w:tc>
      </w:tr>
      <w:tr w:rsidRPr="00397676" w:rsidR="00397676" w:rsidTr="00397676" w14:paraId="2E1067F9" w14:textId="77777777">
        <w:trPr>
          <w:trHeight w:val="51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13C95273" w14:textId="77777777">
            <w:pPr>
              <w:spacing w:after="0"/>
              <w:jc w:val="left"/>
              <w:rPr>
                <w:rFonts w:ascii="Arial" w:hAnsi="Arial" w:cs="Arial"/>
                <w:sz w:val="20"/>
                <w:lang w:val="en-GB" w:eastAsia="en-GB"/>
              </w:rPr>
            </w:pPr>
            <w:r w:rsidRPr="00397676">
              <w:rPr>
                <w:rFonts w:ascii="Arial" w:hAnsi="Arial" w:cs="Arial"/>
                <w:sz w:val="20"/>
                <w:lang w:val="en-GB" w:eastAsia="en-GB"/>
              </w:rPr>
              <w:t>Supply Cover - Sickness &amp; Maternity</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2D6CD44E" w14:textId="77777777">
            <w:pPr>
              <w:spacing w:after="0"/>
              <w:jc w:val="right"/>
              <w:rPr>
                <w:rFonts w:ascii="Arial" w:hAnsi="Arial" w:cs="Arial"/>
                <w:sz w:val="20"/>
                <w:lang w:val="en-GB" w:eastAsia="en-GB"/>
              </w:rPr>
            </w:pPr>
            <w:r w:rsidRPr="00397676">
              <w:rPr>
                <w:rFonts w:ascii="Arial" w:hAnsi="Arial" w:cs="Arial"/>
                <w:sz w:val="20"/>
                <w:lang w:val="en-GB" w:eastAsia="en-GB"/>
              </w:rPr>
              <w:t>630</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43197599" w14:textId="77777777">
            <w:pPr>
              <w:spacing w:after="0"/>
              <w:jc w:val="right"/>
              <w:rPr>
                <w:rFonts w:ascii="Arial" w:hAnsi="Arial" w:cs="Arial"/>
                <w:sz w:val="20"/>
                <w:lang w:val="en-GB" w:eastAsia="en-GB"/>
              </w:rPr>
            </w:pPr>
            <w:r w:rsidRPr="00397676">
              <w:rPr>
                <w:rFonts w:ascii="Arial" w:hAnsi="Arial" w:cs="Arial"/>
                <w:sz w:val="20"/>
                <w:lang w:val="en-GB" w:eastAsia="en-GB"/>
              </w:rPr>
              <w:t>630</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42C15070" w14:textId="77777777">
            <w:pPr>
              <w:spacing w:after="0"/>
              <w:jc w:val="right"/>
              <w:rPr>
                <w:rFonts w:ascii="Arial" w:hAnsi="Arial" w:cs="Arial"/>
                <w:sz w:val="20"/>
                <w:lang w:val="en-GB" w:eastAsia="en-GB"/>
              </w:rPr>
            </w:pPr>
            <w:r w:rsidRPr="00397676">
              <w:rPr>
                <w:rFonts w:ascii="Arial" w:hAnsi="Arial" w:cs="Arial"/>
                <w:sz w:val="20"/>
                <w:lang w:val="en-GB" w:eastAsia="en-GB"/>
              </w:rPr>
              <w:t>(0)</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D37BB12" w14:textId="77777777">
            <w:pPr>
              <w:spacing w:after="0"/>
              <w:jc w:val="right"/>
              <w:rPr>
                <w:rFonts w:ascii="Arial" w:hAnsi="Arial" w:cs="Arial"/>
                <w:sz w:val="20"/>
                <w:lang w:val="en-GB" w:eastAsia="en-GB"/>
              </w:rPr>
            </w:pPr>
            <w:r w:rsidRPr="00397676">
              <w:rPr>
                <w:rFonts w:ascii="Arial" w:hAnsi="Arial" w:cs="Arial"/>
                <w:sz w:val="20"/>
                <w:lang w:val="en-GB" w:eastAsia="en-GB"/>
              </w:rPr>
              <w:t>(0.0)</w:t>
            </w:r>
          </w:p>
        </w:tc>
      </w:tr>
      <w:tr w:rsidRPr="00397676" w:rsidR="00397676" w:rsidTr="00397676" w14:paraId="6F147CB6" w14:textId="77777777">
        <w:trPr>
          <w:trHeight w:val="51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46718B68" w14:textId="77777777">
            <w:pPr>
              <w:spacing w:after="0"/>
              <w:jc w:val="left"/>
              <w:rPr>
                <w:rFonts w:ascii="Arial" w:hAnsi="Arial" w:cs="Arial"/>
                <w:sz w:val="20"/>
                <w:lang w:val="en-GB" w:eastAsia="en-GB"/>
              </w:rPr>
            </w:pPr>
            <w:r w:rsidRPr="00397676">
              <w:rPr>
                <w:rFonts w:ascii="Arial" w:hAnsi="Arial" w:cs="Arial"/>
                <w:sz w:val="20"/>
                <w:lang w:val="en-GB" w:eastAsia="en-GB"/>
              </w:rPr>
              <w:t>Responsibilities for maintained schools</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CFDE75B" w14:textId="77777777">
            <w:pPr>
              <w:spacing w:after="0"/>
              <w:jc w:val="right"/>
              <w:rPr>
                <w:rFonts w:ascii="Arial" w:hAnsi="Arial" w:cs="Arial"/>
                <w:sz w:val="20"/>
                <w:lang w:val="en-GB" w:eastAsia="en-GB"/>
              </w:rPr>
            </w:pPr>
            <w:r w:rsidRPr="00397676">
              <w:rPr>
                <w:rFonts w:ascii="Arial" w:hAnsi="Arial" w:cs="Arial"/>
                <w:sz w:val="20"/>
                <w:lang w:val="en-GB" w:eastAsia="en-GB"/>
              </w:rPr>
              <w:t>6,352</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3A147FB" w14:textId="77777777">
            <w:pPr>
              <w:spacing w:after="0"/>
              <w:jc w:val="right"/>
              <w:rPr>
                <w:rFonts w:ascii="Arial" w:hAnsi="Arial" w:cs="Arial"/>
                <w:sz w:val="20"/>
                <w:lang w:val="en-GB" w:eastAsia="en-GB"/>
              </w:rPr>
            </w:pPr>
            <w:r w:rsidRPr="00397676">
              <w:rPr>
                <w:rFonts w:ascii="Arial" w:hAnsi="Arial" w:cs="Arial"/>
                <w:sz w:val="20"/>
                <w:lang w:val="en-GB" w:eastAsia="en-GB"/>
              </w:rPr>
              <w:t>6,631</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5D532B51" w14:textId="77777777">
            <w:pPr>
              <w:spacing w:after="0"/>
              <w:jc w:val="right"/>
              <w:rPr>
                <w:rFonts w:ascii="Arial" w:hAnsi="Arial" w:cs="Arial"/>
                <w:sz w:val="20"/>
                <w:lang w:val="en-GB" w:eastAsia="en-GB"/>
              </w:rPr>
            </w:pPr>
            <w:r w:rsidRPr="00397676">
              <w:rPr>
                <w:rFonts w:ascii="Arial" w:hAnsi="Arial" w:cs="Arial"/>
                <w:sz w:val="20"/>
                <w:lang w:val="en-GB" w:eastAsia="en-GB"/>
              </w:rPr>
              <w:t>279</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5AB1B909" w14:textId="77777777">
            <w:pPr>
              <w:spacing w:after="0"/>
              <w:jc w:val="right"/>
              <w:rPr>
                <w:rFonts w:ascii="Arial" w:hAnsi="Arial" w:cs="Arial"/>
                <w:sz w:val="20"/>
                <w:lang w:val="en-GB" w:eastAsia="en-GB"/>
              </w:rPr>
            </w:pPr>
            <w:r w:rsidRPr="00397676">
              <w:rPr>
                <w:rFonts w:ascii="Arial" w:hAnsi="Arial" w:cs="Arial"/>
                <w:sz w:val="20"/>
                <w:lang w:val="en-GB" w:eastAsia="en-GB"/>
              </w:rPr>
              <w:t>4.4</w:t>
            </w:r>
          </w:p>
        </w:tc>
      </w:tr>
      <w:tr w:rsidRPr="00397676" w:rsidR="00397676" w:rsidTr="00397676" w14:paraId="6EC1BA98"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A6C9EC"/>
            <w:vAlign w:val="center"/>
            <w:hideMark/>
          </w:tcPr>
          <w:p w:rsidRPr="00397676" w:rsidR="00397676" w:rsidP="00397676" w:rsidRDefault="00397676" w14:paraId="00014849" w14:textId="77777777">
            <w:pPr>
              <w:spacing w:after="0"/>
              <w:jc w:val="left"/>
              <w:rPr>
                <w:rFonts w:ascii="Arial" w:hAnsi="Arial" w:cs="Arial"/>
                <w:sz w:val="20"/>
                <w:lang w:val="en-GB" w:eastAsia="en-GB"/>
              </w:rPr>
            </w:pPr>
            <w:r w:rsidRPr="00397676">
              <w:rPr>
                <w:rFonts w:ascii="Arial" w:hAnsi="Arial" w:cs="Arial"/>
                <w:sz w:val="20"/>
                <w:lang w:val="en-GB" w:eastAsia="en-GB"/>
              </w:rPr>
              <w:t>Schools Block</w:t>
            </w:r>
          </w:p>
        </w:tc>
        <w:tc>
          <w:tcPr>
            <w:tcW w:w="124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4C3EB6DD" w14:textId="77777777">
            <w:pPr>
              <w:spacing w:after="0"/>
              <w:jc w:val="right"/>
              <w:rPr>
                <w:rFonts w:ascii="Arial" w:hAnsi="Arial" w:cs="Arial"/>
                <w:sz w:val="20"/>
                <w:lang w:val="en-GB" w:eastAsia="en-GB"/>
              </w:rPr>
            </w:pPr>
            <w:r w:rsidRPr="00397676">
              <w:rPr>
                <w:rFonts w:ascii="Arial" w:hAnsi="Arial" w:cs="Arial"/>
                <w:sz w:val="20"/>
                <w:lang w:val="en-GB" w:eastAsia="en-GB"/>
              </w:rPr>
              <w:t>680,948</w:t>
            </w:r>
          </w:p>
        </w:tc>
        <w:tc>
          <w:tcPr>
            <w:tcW w:w="110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1CFA2BC8" w14:textId="77777777">
            <w:pPr>
              <w:spacing w:after="0"/>
              <w:jc w:val="right"/>
              <w:rPr>
                <w:rFonts w:ascii="Arial" w:hAnsi="Arial" w:cs="Arial"/>
                <w:sz w:val="20"/>
                <w:lang w:val="en-GB" w:eastAsia="en-GB"/>
              </w:rPr>
            </w:pPr>
            <w:r w:rsidRPr="00397676">
              <w:rPr>
                <w:rFonts w:ascii="Arial" w:hAnsi="Arial" w:cs="Arial"/>
                <w:sz w:val="20"/>
                <w:lang w:val="en-GB" w:eastAsia="en-GB"/>
              </w:rPr>
              <w:t>681,313</w:t>
            </w:r>
          </w:p>
        </w:tc>
        <w:tc>
          <w:tcPr>
            <w:tcW w:w="108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446E63C9" w14:textId="77777777">
            <w:pPr>
              <w:spacing w:after="0"/>
              <w:jc w:val="right"/>
              <w:rPr>
                <w:rFonts w:ascii="Arial" w:hAnsi="Arial" w:cs="Arial"/>
                <w:sz w:val="20"/>
                <w:lang w:val="en-GB" w:eastAsia="en-GB"/>
              </w:rPr>
            </w:pPr>
            <w:r w:rsidRPr="00397676">
              <w:rPr>
                <w:rFonts w:ascii="Arial" w:hAnsi="Arial" w:cs="Arial"/>
                <w:sz w:val="20"/>
                <w:lang w:val="en-GB" w:eastAsia="en-GB"/>
              </w:rPr>
              <w:t>365</w:t>
            </w:r>
          </w:p>
        </w:tc>
        <w:tc>
          <w:tcPr>
            <w:tcW w:w="102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59F6DE79" w14:textId="77777777">
            <w:pPr>
              <w:spacing w:after="0"/>
              <w:jc w:val="right"/>
              <w:rPr>
                <w:rFonts w:ascii="Arial" w:hAnsi="Arial" w:cs="Arial"/>
                <w:sz w:val="20"/>
                <w:lang w:val="en-GB" w:eastAsia="en-GB"/>
              </w:rPr>
            </w:pPr>
            <w:r w:rsidRPr="00397676">
              <w:rPr>
                <w:rFonts w:ascii="Arial" w:hAnsi="Arial" w:cs="Arial"/>
                <w:sz w:val="20"/>
                <w:lang w:val="en-GB" w:eastAsia="en-GB"/>
              </w:rPr>
              <w:t>0.1</w:t>
            </w:r>
          </w:p>
        </w:tc>
      </w:tr>
      <w:tr w:rsidRPr="00397676" w:rsidR="00397676" w:rsidTr="00904D4B" w14:paraId="19A5BF89" w14:textId="77777777">
        <w:trPr>
          <w:trHeight w:val="102"/>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192055FA" w14:textId="77777777">
            <w:pPr>
              <w:spacing w:after="0"/>
              <w:jc w:val="left"/>
              <w:rPr>
                <w:rFonts w:ascii="Arial" w:hAnsi="Arial" w:cs="Arial"/>
                <w:sz w:val="20"/>
                <w:lang w:val="en-GB" w:eastAsia="en-GB"/>
              </w:rPr>
            </w:pPr>
            <w:r w:rsidRPr="00397676">
              <w:rPr>
                <w:rFonts w:ascii="Arial" w:hAnsi="Arial" w:cs="Arial"/>
                <w:sz w:val="20"/>
                <w:lang w:val="en-GB" w:eastAsia="en-GB"/>
              </w:rPr>
              <w:t> </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88F1BEF"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52F5791"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343F5B46"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D9D612C"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r>
      <w:tr w:rsidRPr="00397676" w:rsidR="00397676" w:rsidTr="00397676" w14:paraId="0A8B731D"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06B1A9A3" w14:textId="77777777">
            <w:pPr>
              <w:spacing w:after="0"/>
              <w:jc w:val="left"/>
              <w:rPr>
                <w:rFonts w:ascii="Arial" w:hAnsi="Arial" w:cs="Arial"/>
                <w:sz w:val="20"/>
                <w:lang w:val="en-GB" w:eastAsia="en-GB"/>
              </w:rPr>
            </w:pPr>
            <w:r w:rsidRPr="00397676">
              <w:rPr>
                <w:rFonts w:ascii="Arial" w:hAnsi="Arial" w:cs="Arial"/>
                <w:sz w:val="20"/>
                <w:lang w:val="en-GB" w:eastAsia="en-GB"/>
              </w:rPr>
              <w:t>Special Place Funding</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8C594E6" w14:textId="77777777">
            <w:pPr>
              <w:spacing w:after="0"/>
              <w:jc w:val="right"/>
              <w:rPr>
                <w:rFonts w:ascii="Arial" w:hAnsi="Arial" w:cs="Arial"/>
                <w:sz w:val="20"/>
                <w:lang w:val="en-GB" w:eastAsia="en-GB"/>
              </w:rPr>
            </w:pPr>
            <w:r w:rsidRPr="00397676">
              <w:rPr>
                <w:rFonts w:ascii="Arial" w:hAnsi="Arial" w:cs="Arial"/>
                <w:sz w:val="20"/>
                <w:lang w:val="en-GB" w:eastAsia="en-GB"/>
              </w:rPr>
              <w:t>32,903</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EEE2EB7" w14:textId="77777777">
            <w:pPr>
              <w:spacing w:after="0"/>
              <w:jc w:val="right"/>
              <w:rPr>
                <w:rFonts w:ascii="Arial" w:hAnsi="Arial" w:cs="Arial"/>
                <w:sz w:val="20"/>
                <w:lang w:val="en-GB" w:eastAsia="en-GB"/>
              </w:rPr>
            </w:pPr>
            <w:r w:rsidRPr="00397676">
              <w:rPr>
                <w:rFonts w:ascii="Arial" w:hAnsi="Arial" w:cs="Arial"/>
                <w:sz w:val="20"/>
                <w:lang w:val="en-GB" w:eastAsia="en-GB"/>
              </w:rPr>
              <w:t>32,903</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128329A7" w14:textId="77777777">
            <w:pPr>
              <w:spacing w:after="0"/>
              <w:jc w:val="right"/>
              <w:rPr>
                <w:rFonts w:ascii="Arial" w:hAnsi="Arial" w:cs="Arial"/>
                <w:sz w:val="20"/>
                <w:lang w:val="en-GB" w:eastAsia="en-GB"/>
              </w:rPr>
            </w:pPr>
            <w:r w:rsidRPr="00397676">
              <w:rPr>
                <w:rFonts w:ascii="Arial" w:hAnsi="Arial" w:cs="Arial"/>
                <w:sz w:val="20"/>
                <w:lang w:val="en-GB" w:eastAsia="en-GB"/>
              </w:rPr>
              <w:t>0</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4CE1B938" w14:textId="77777777">
            <w:pPr>
              <w:spacing w:after="0"/>
              <w:jc w:val="right"/>
              <w:rPr>
                <w:rFonts w:ascii="Arial" w:hAnsi="Arial" w:cs="Arial"/>
                <w:sz w:val="20"/>
                <w:lang w:val="en-GB" w:eastAsia="en-GB"/>
              </w:rPr>
            </w:pPr>
            <w:r w:rsidRPr="00397676">
              <w:rPr>
                <w:rFonts w:ascii="Arial" w:hAnsi="Arial" w:cs="Arial"/>
                <w:sz w:val="20"/>
                <w:lang w:val="en-GB" w:eastAsia="en-GB"/>
              </w:rPr>
              <w:t>0.0</w:t>
            </w:r>
          </w:p>
        </w:tc>
      </w:tr>
      <w:tr w:rsidRPr="00397676" w:rsidR="00397676" w:rsidTr="00397676" w14:paraId="3FA42192"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22CBC3E1" w14:textId="77777777">
            <w:pPr>
              <w:spacing w:after="0"/>
              <w:jc w:val="left"/>
              <w:rPr>
                <w:rFonts w:ascii="Arial" w:hAnsi="Arial" w:cs="Arial"/>
                <w:sz w:val="20"/>
                <w:lang w:val="en-GB" w:eastAsia="en-GB"/>
              </w:rPr>
            </w:pPr>
            <w:r w:rsidRPr="00397676">
              <w:rPr>
                <w:rFonts w:ascii="Arial" w:hAnsi="Arial" w:cs="Arial"/>
                <w:sz w:val="20"/>
                <w:lang w:val="en-GB" w:eastAsia="en-GB"/>
              </w:rPr>
              <w:t>Education Centres Place Funding</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E2645E2" w14:textId="77777777">
            <w:pPr>
              <w:spacing w:after="0"/>
              <w:jc w:val="right"/>
              <w:rPr>
                <w:rFonts w:ascii="Arial" w:hAnsi="Arial" w:cs="Arial"/>
                <w:sz w:val="20"/>
                <w:lang w:val="en-GB" w:eastAsia="en-GB"/>
              </w:rPr>
            </w:pPr>
            <w:r w:rsidRPr="00397676">
              <w:rPr>
                <w:rFonts w:ascii="Arial" w:hAnsi="Arial" w:cs="Arial"/>
                <w:sz w:val="20"/>
                <w:lang w:val="en-GB" w:eastAsia="en-GB"/>
              </w:rPr>
              <w:t>5,888</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1D53E351" w14:textId="77777777">
            <w:pPr>
              <w:spacing w:after="0"/>
              <w:jc w:val="right"/>
              <w:rPr>
                <w:rFonts w:ascii="Arial" w:hAnsi="Arial" w:cs="Arial"/>
                <w:sz w:val="20"/>
                <w:lang w:val="en-GB" w:eastAsia="en-GB"/>
              </w:rPr>
            </w:pPr>
            <w:r w:rsidRPr="00397676">
              <w:rPr>
                <w:rFonts w:ascii="Arial" w:hAnsi="Arial" w:cs="Arial"/>
                <w:sz w:val="20"/>
                <w:lang w:val="en-GB" w:eastAsia="en-GB"/>
              </w:rPr>
              <w:t>5,888</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364469C7" w14:textId="77777777">
            <w:pPr>
              <w:spacing w:after="0"/>
              <w:jc w:val="right"/>
              <w:rPr>
                <w:rFonts w:ascii="Arial" w:hAnsi="Arial" w:cs="Arial"/>
                <w:sz w:val="20"/>
                <w:lang w:val="en-GB" w:eastAsia="en-GB"/>
              </w:rPr>
            </w:pPr>
            <w:r w:rsidRPr="00397676">
              <w:rPr>
                <w:rFonts w:ascii="Arial" w:hAnsi="Arial" w:cs="Arial"/>
                <w:sz w:val="20"/>
                <w:lang w:val="en-GB" w:eastAsia="en-GB"/>
              </w:rPr>
              <w:t>0</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99AB87A" w14:textId="77777777">
            <w:pPr>
              <w:spacing w:after="0"/>
              <w:jc w:val="right"/>
              <w:rPr>
                <w:rFonts w:ascii="Arial" w:hAnsi="Arial" w:cs="Arial"/>
                <w:sz w:val="20"/>
                <w:lang w:val="en-GB" w:eastAsia="en-GB"/>
              </w:rPr>
            </w:pPr>
            <w:r w:rsidRPr="00397676">
              <w:rPr>
                <w:rFonts w:ascii="Arial" w:hAnsi="Arial" w:cs="Arial"/>
                <w:sz w:val="20"/>
                <w:lang w:val="en-GB" w:eastAsia="en-GB"/>
              </w:rPr>
              <w:t>0.0</w:t>
            </w:r>
          </w:p>
        </w:tc>
      </w:tr>
      <w:tr w:rsidRPr="00397676" w:rsidR="00397676" w:rsidTr="00397676" w14:paraId="6E6DE5DD" w14:textId="77777777">
        <w:trPr>
          <w:trHeight w:val="51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16A8C49E" w14:textId="77777777">
            <w:pPr>
              <w:spacing w:after="0"/>
              <w:jc w:val="left"/>
              <w:rPr>
                <w:rFonts w:ascii="Arial" w:hAnsi="Arial" w:cs="Arial"/>
                <w:sz w:val="20"/>
                <w:lang w:val="en-GB" w:eastAsia="en-GB"/>
              </w:rPr>
            </w:pPr>
            <w:r w:rsidRPr="00397676">
              <w:rPr>
                <w:rFonts w:ascii="Arial" w:hAnsi="Arial" w:cs="Arial"/>
                <w:sz w:val="20"/>
                <w:lang w:val="en-GB" w:eastAsia="en-GB"/>
              </w:rPr>
              <w:t>Resourced Provision Place Funding</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38BAE6C" w14:textId="77777777">
            <w:pPr>
              <w:spacing w:after="0"/>
              <w:jc w:val="right"/>
              <w:rPr>
                <w:rFonts w:ascii="Arial" w:hAnsi="Arial" w:cs="Arial"/>
                <w:sz w:val="20"/>
                <w:lang w:val="en-GB" w:eastAsia="en-GB"/>
              </w:rPr>
            </w:pPr>
            <w:r w:rsidRPr="00397676">
              <w:rPr>
                <w:rFonts w:ascii="Arial" w:hAnsi="Arial" w:cs="Arial"/>
                <w:sz w:val="20"/>
                <w:lang w:val="en-GB" w:eastAsia="en-GB"/>
              </w:rPr>
              <w:t>3,813</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0AF5AF3" w14:textId="77777777">
            <w:pPr>
              <w:spacing w:after="0"/>
              <w:jc w:val="right"/>
              <w:rPr>
                <w:rFonts w:ascii="Arial" w:hAnsi="Arial" w:cs="Arial"/>
                <w:sz w:val="20"/>
                <w:lang w:val="en-GB" w:eastAsia="en-GB"/>
              </w:rPr>
            </w:pPr>
            <w:r w:rsidRPr="00397676">
              <w:rPr>
                <w:rFonts w:ascii="Arial" w:hAnsi="Arial" w:cs="Arial"/>
                <w:sz w:val="20"/>
                <w:lang w:val="en-GB" w:eastAsia="en-GB"/>
              </w:rPr>
              <w:t>3,813</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240DD77" w14:textId="77777777">
            <w:pPr>
              <w:spacing w:after="0"/>
              <w:jc w:val="right"/>
              <w:rPr>
                <w:rFonts w:ascii="Arial" w:hAnsi="Arial" w:cs="Arial"/>
                <w:sz w:val="20"/>
                <w:lang w:val="en-GB" w:eastAsia="en-GB"/>
              </w:rPr>
            </w:pPr>
            <w:r w:rsidRPr="00397676">
              <w:rPr>
                <w:rFonts w:ascii="Arial" w:hAnsi="Arial" w:cs="Arial"/>
                <w:sz w:val="20"/>
                <w:lang w:val="en-GB" w:eastAsia="en-GB"/>
              </w:rPr>
              <w:t>(0)</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D7CF91E" w14:textId="77777777">
            <w:pPr>
              <w:spacing w:after="0"/>
              <w:jc w:val="right"/>
              <w:rPr>
                <w:rFonts w:ascii="Arial" w:hAnsi="Arial" w:cs="Arial"/>
                <w:sz w:val="20"/>
                <w:lang w:val="en-GB" w:eastAsia="en-GB"/>
              </w:rPr>
            </w:pPr>
            <w:r w:rsidRPr="00397676">
              <w:rPr>
                <w:rFonts w:ascii="Arial" w:hAnsi="Arial" w:cs="Arial"/>
                <w:sz w:val="20"/>
                <w:lang w:val="en-GB" w:eastAsia="en-GB"/>
              </w:rPr>
              <w:t>(0.0)</w:t>
            </w:r>
          </w:p>
        </w:tc>
      </w:tr>
      <w:tr w:rsidRPr="00397676" w:rsidR="00397676" w:rsidTr="00397676" w14:paraId="4BBF47ED"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091833C5" w14:textId="77777777">
            <w:pPr>
              <w:spacing w:after="0"/>
              <w:jc w:val="left"/>
              <w:rPr>
                <w:rFonts w:ascii="Arial" w:hAnsi="Arial" w:cs="Arial"/>
                <w:sz w:val="20"/>
                <w:lang w:val="en-GB" w:eastAsia="en-GB"/>
              </w:rPr>
            </w:pPr>
            <w:r w:rsidRPr="00397676">
              <w:rPr>
                <w:rFonts w:ascii="Arial" w:hAnsi="Arial" w:cs="Arial"/>
                <w:sz w:val="20"/>
                <w:lang w:val="en-GB" w:eastAsia="en-GB"/>
              </w:rPr>
              <w:t>High Needs Block Budget Shares</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086B003" w14:textId="77777777">
            <w:pPr>
              <w:spacing w:after="0"/>
              <w:jc w:val="right"/>
              <w:rPr>
                <w:rFonts w:ascii="Arial" w:hAnsi="Arial" w:cs="Arial"/>
                <w:sz w:val="20"/>
                <w:lang w:val="en-GB" w:eastAsia="en-GB"/>
              </w:rPr>
            </w:pPr>
            <w:r w:rsidRPr="00397676">
              <w:rPr>
                <w:rFonts w:ascii="Arial" w:hAnsi="Arial" w:cs="Arial"/>
                <w:sz w:val="20"/>
                <w:lang w:val="en-GB" w:eastAsia="en-GB"/>
              </w:rPr>
              <w:t>42,604</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4A1B1358" w14:textId="77777777">
            <w:pPr>
              <w:spacing w:after="0"/>
              <w:jc w:val="right"/>
              <w:rPr>
                <w:rFonts w:ascii="Arial" w:hAnsi="Arial" w:cs="Arial"/>
                <w:sz w:val="20"/>
                <w:lang w:val="en-GB" w:eastAsia="en-GB"/>
              </w:rPr>
            </w:pPr>
            <w:r w:rsidRPr="00397676">
              <w:rPr>
                <w:rFonts w:ascii="Arial" w:hAnsi="Arial" w:cs="Arial"/>
                <w:sz w:val="20"/>
                <w:lang w:val="en-GB" w:eastAsia="en-GB"/>
              </w:rPr>
              <w:t>42,605</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BC1EFEA" w14:textId="77777777">
            <w:pPr>
              <w:spacing w:after="0"/>
              <w:jc w:val="right"/>
              <w:rPr>
                <w:rFonts w:ascii="Arial" w:hAnsi="Arial" w:cs="Arial"/>
                <w:sz w:val="20"/>
                <w:lang w:val="en-GB" w:eastAsia="en-GB"/>
              </w:rPr>
            </w:pPr>
            <w:r w:rsidRPr="00397676">
              <w:rPr>
                <w:rFonts w:ascii="Arial" w:hAnsi="Arial" w:cs="Arial"/>
                <w:sz w:val="20"/>
                <w:lang w:val="en-GB" w:eastAsia="en-GB"/>
              </w:rPr>
              <w:t>1</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2A1D93E3" w14:textId="77777777">
            <w:pPr>
              <w:spacing w:after="0"/>
              <w:jc w:val="right"/>
              <w:rPr>
                <w:rFonts w:ascii="Arial" w:hAnsi="Arial" w:cs="Arial"/>
                <w:sz w:val="20"/>
                <w:lang w:val="en-GB" w:eastAsia="en-GB"/>
              </w:rPr>
            </w:pPr>
            <w:r w:rsidRPr="00397676">
              <w:rPr>
                <w:rFonts w:ascii="Arial" w:hAnsi="Arial" w:cs="Arial"/>
                <w:sz w:val="20"/>
                <w:lang w:val="en-GB" w:eastAsia="en-GB"/>
              </w:rPr>
              <w:t>0.0</w:t>
            </w:r>
          </w:p>
        </w:tc>
      </w:tr>
      <w:tr w:rsidRPr="00397676" w:rsidR="00397676" w:rsidTr="00397676" w14:paraId="77323215"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04372E7C" w14:textId="77777777">
            <w:pPr>
              <w:spacing w:after="0"/>
              <w:jc w:val="left"/>
              <w:rPr>
                <w:rFonts w:ascii="Arial" w:hAnsi="Arial" w:cs="Arial"/>
                <w:sz w:val="20"/>
                <w:lang w:val="en-GB" w:eastAsia="en-GB"/>
              </w:rPr>
            </w:pPr>
            <w:r w:rsidRPr="00397676">
              <w:rPr>
                <w:rFonts w:ascii="Arial" w:hAnsi="Arial" w:cs="Arial"/>
                <w:sz w:val="20"/>
                <w:lang w:val="en-GB" w:eastAsia="en-GB"/>
              </w:rPr>
              <w:t>Special School top-up</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53FF074A" w14:textId="77777777">
            <w:pPr>
              <w:spacing w:after="0"/>
              <w:jc w:val="right"/>
              <w:rPr>
                <w:rFonts w:ascii="Arial" w:hAnsi="Arial" w:cs="Arial"/>
                <w:sz w:val="20"/>
                <w:lang w:val="en-GB" w:eastAsia="en-GB"/>
              </w:rPr>
            </w:pPr>
            <w:r w:rsidRPr="00397676">
              <w:rPr>
                <w:rFonts w:ascii="Arial" w:hAnsi="Arial" w:cs="Arial"/>
                <w:sz w:val="20"/>
                <w:lang w:val="en-GB" w:eastAsia="en-GB"/>
              </w:rPr>
              <w:t>29,579</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9C77D38" w14:textId="77777777">
            <w:pPr>
              <w:spacing w:after="0"/>
              <w:jc w:val="right"/>
              <w:rPr>
                <w:rFonts w:ascii="Arial" w:hAnsi="Arial" w:cs="Arial"/>
                <w:sz w:val="20"/>
                <w:lang w:val="en-GB" w:eastAsia="en-GB"/>
              </w:rPr>
            </w:pPr>
            <w:r w:rsidRPr="00397676">
              <w:rPr>
                <w:rFonts w:ascii="Arial" w:hAnsi="Arial" w:cs="Arial"/>
                <w:sz w:val="20"/>
                <w:lang w:val="en-GB" w:eastAsia="en-GB"/>
              </w:rPr>
              <w:t>39,532</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51BB74A" w14:textId="77777777">
            <w:pPr>
              <w:spacing w:after="0"/>
              <w:jc w:val="right"/>
              <w:rPr>
                <w:rFonts w:ascii="Arial" w:hAnsi="Arial" w:cs="Arial"/>
                <w:sz w:val="20"/>
                <w:lang w:val="en-GB" w:eastAsia="en-GB"/>
              </w:rPr>
            </w:pPr>
            <w:r w:rsidRPr="00397676">
              <w:rPr>
                <w:rFonts w:ascii="Arial" w:hAnsi="Arial" w:cs="Arial"/>
                <w:sz w:val="20"/>
                <w:lang w:val="en-GB" w:eastAsia="en-GB"/>
              </w:rPr>
              <w:t>9,953</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43538C17" w14:textId="77777777">
            <w:pPr>
              <w:spacing w:after="0"/>
              <w:jc w:val="right"/>
              <w:rPr>
                <w:rFonts w:ascii="Arial" w:hAnsi="Arial" w:cs="Arial"/>
                <w:sz w:val="20"/>
                <w:lang w:val="en-GB" w:eastAsia="en-GB"/>
              </w:rPr>
            </w:pPr>
            <w:r w:rsidRPr="00397676">
              <w:rPr>
                <w:rFonts w:ascii="Arial" w:hAnsi="Arial" w:cs="Arial"/>
                <w:sz w:val="20"/>
                <w:lang w:val="en-GB" w:eastAsia="en-GB"/>
              </w:rPr>
              <w:t>33.6</w:t>
            </w:r>
          </w:p>
        </w:tc>
      </w:tr>
      <w:tr w:rsidRPr="00397676" w:rsidR="00397676" w:rsidTr="00397676" w14:paraId="4E505841"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5BB846C3" w14:textId="77777777">
            <w:pPr>
              <w:spacing w:after="0"/>
              <w:jc w:val="left"/>
              <w:rPr>
                <w:rFonts w:ascii="Arial" w:hAnsi="Arial" w:cs="Arial"/>
                <w:sz w:val="20"/>
                <w:lang w:val="en-GB" w:eastAsia="en-GB"/>
              </w:rPr>
            </w:pPr>
            <w:r w:rsidRPr="00397676">
              <w:rPr>
                <w:rFonts w:ascii="Arial" w:hAnsi="Arial" w:cs="Arial"/>
                <w:sz w:val="20"/>
                <w:lang w:val="en-GB" w:eastAsia="en-GB"/>
              </w:rPr>
              <w:t>Resourced Provision top-up</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477F9FD9" w14:textId="77777777">
            <w:pPr>
              <w:spacing w:after="0"/>
              <w:jc w:val="right"/>
              <w:rPr>
                <w:rFonts w:ascii="Arial" w:hAnsi="Arial" w:cs="Arial"/>
                <w:sz w:val="20"/>
                <w:lang w:val="en-GB" w:eastAsia="en-GB"/>
              </w:rPr>
            </w:pPr>
            <w:r w:rsidRPr="00397676">
              <w:rPr>
                <w:rFonts w:ascii="Arial" w:hAnsi="Arial" w:cs="Arial"/>
                <w:sz w:val="20"/>
                <w:lang w:val="en-GB" w:eastAsia="en-GB"/>
              </w:rPr>
              <w:t>3,723</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6242F16" w14:textId="77777777">
            <w:pPr>
              <w:spacing w:after="0"/>
              <w:jc w:val="right"/>
              <w:rPr>
                <w:rFonts w:ascii="Arial" w:hAnsi="Arial" w:cs="Arial"/>
                <w:sz w:val="20"/>
                <w:lang w:val="en-GB" w:eastAsia="en-GB"/>
              </w:rPr>
            </w:pPr>
            <w:r w:rsidRPr="00397676">
              <w:rPr>
                <w:rFonts w:ascii="Arial" w:hAnsi="Arial" w:cs="Arial"/>
                <w:sz w:val="20"/>
                <w:lang w:val="en-GB" w:eastAsia="en-GB"/>
              </w:rPr>
              <w:t>4,385</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352F1E02" w14:textId="77777777">
            <w:pPr>
              <w:spacing w:after="0"/>
              <w:jc w:val="right"/>
              <w:rPr>
                <w:rFonts w:ascii="Arial" w:hAnsi="Arial" w:cs="Arial"/>
                <w:sz w:val="20"/>
                <w:lang w:val="en-GB" w:eastAsia="en-GB"/>
              </w:rPr>
            </w:pPr>
            <w:r w:rsidRPr="00397676">
              <w:rPr>
                <w:rFonts w:ascii="Arial" w:hAnsi="Arial" w:cs="Arial"/>
                <w:sz w:val="20"/>
                <w:lang w:val="en-GB" w:eastAsia="en-GB"/>
              </w:rPr>
              <w:t>662</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B9F0359" w14:textId="77777777">
            <w:pPr>
              <w:spacing w:after="0"/>
              <w:jc w:val="right"/>
              <w:rPr>
                <w:rFonts w:ascii="Arial" w:hAnsi="Arial" w:cs="Arial"/>
                <w:sz w:val="20"/>
                <w:lang w:val="en-GB" w:eastAsia="en-GB"/>
              </w:rPr>
            </w:pPr>
            <w:r w:rsidRPr="00397676">
              <w:rPr>
                <w:rFonts w:ascii="Arial" w:hAnsi="Arial" w:cs="Arial"/>
                <w:sz w:val="20"/>
                <w:lang w:val="en-GB" w:eastAsia="en-GB"/>
              </w:rPr>
              <w:t>17.8</w:t>
            </w:r>
          </w:p>
        </w:tc>
      </w:tr>
      <w:tr w:rsidRPr="00397676" w:rsidR="00397676" w:rsidTr="00397676" w14:paraId="02D3C213"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7B56973E" w14:textId="77777777">
            <w:pPr>
              <w:spacing w:after="0"/>
              <w:jc w:val="left"/>
              <w:rPr>
                <w:rFonts w:ascii="Arial" w:hAnsi="Arial" w:cs="Arial"/>
                <w:sz w:val="20"/>
                <w:lang w:val="en-GB" w:eastAsia="en-GB"/>
              </w:rPr>
            </w:pPr>
            <w:r w:rsidRPr="00397676">
              <w:rPr>
                <w:rFonts w:ascii="Arial" w:hAnsi="Arial" w:cs="Arial"/>
                <w:sz w:val="20"/>
                <w:lang w:val="en-GB" w:eastAsia="en-GB"/>
              </w:rPr>
              <w:t>Education Centre top-up</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43F5195D" w14:textId="77777777">
            <w:pPr>
              <w:spacing w:after="0"/>
              <w:jc w:val="right"/>
              <w:rPr>
                <w:rFonts w:ascii="Arial" w:hAnsi="Arial" w:cs="Arial"/>
                <w:sz w:val="20"/>
                <w:lang w:val="en-GB" w:eastAsia="en-GB"/>
              </w:rPr>
            </w:pPr>
            <w:r w:rsidRPr="00397676">
              <w:rPr>
                <w:rFonts w:ascii="Arial" w:hAnsi="Arial" w:cs="Arial"/>
                <w:sz w:val="20"/>
                <w:lang w:val="en-GB" w:eastAsia="en-GB"/>
              </w:rPr>
              <w:t>2,680</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2CDAD7BB" w14:textId="77777777">
            <w:pPr>
              <w:spacing w:after="0"/>
              <w:jc w:val="right"/>
              <w:rPr>
                <w:rFonts w:ascii="Arial" w:hAnsi="Arial" w:cs="Arial"/>
                <w:sz w:val="20"/>
                <w:lang w:val="en-GB" w:eastAsia="en-GB"/>
              </w:rPr>
            </w:pPr>
            <w:r w:rsidRPr="00397676">
              <w:rPr>
                <w:rFonts w:ascii="Arial" w:hAnsi="Arial" w:cs="Arial"/>
                <w:sz w:val="20"/>
                <w:lang w:val="en-GB" w:eastAsia="en-GB"/>
              </w:rPr>
              <w:t>3,618</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292FDB1" w14:textId="77777777">
            <w:pPr>
              <w:spacing w:after="0"/>
              <w:jc w:val="right"/>
              <w:rPr>
                <w:rFonts w:ascii="Arial" w:hAnsi="Arial" w:cs="Arial"/>
                <w:sz w:val="20"/>
                <w:lang w:val="en-GB" w:eastAsia="en-GB"/>
              </w:rPr>
            </w:pPr>
            <w:r w:rsidRPr="00397676">
              <w:rPr>
                <w:rFonts w:ascii="Arial" w:hAnsi="Arial" w:cs="Arial"/>
                <w:sz w:val="20"/>
                <w:lang w:val="en-GB" w:eastAsia="en-GB"/>
              </w:rPr>
              <w:t>938</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3C1B6A8F" w14:textId="77777777">
            <w:pPr>
              <w:spacing w:after="0"/>
              <w:jc w:val="right"/>
              <w:rPr>
                <w:rFonts w:ascii="Arial" w:hAnsi="Arial" w:cs="Arial"/>
                <w:sz w:val="20"/>
                <w:lang w:val="en-GB" w:eastAsia="en-GB"/>
              </w:rPr>
            </w:pPr>
            <w:r w:rsidRPr="00397676">
              <w:rPr>
                <w:rFonts w:ascii="Arial" w:hAnsi="Arial" w:cs="Arial"/>
                <w:sz w:val="20"/>
                <w:lang w:val="en-GB" w:eastAsia="en-GB"/>
              </w:rPr>
              <w:t>35.0</w:t>
            </w:r>
          </w:p>
        </w:tc>
      </w:tr>
      <w:tr w:rsidRPr="00397676" w:rsidR="00397676" w:rsidTr="00397676" w14:paraId="4392BB50"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10C90961" w14:textId="77777777">
            <w:pPr>
              <w:spacing w:after="0"/>
              <w:jc w:val="left"/>
              <w:rPr>
                <w:rFonts w:ascii="Arial" w:hAnsi="Arial" w:cs="Arial"/>
                <w:sz w:val="20"/>
                <w:lang w:val="en-GB" w:eastAsia="en-GB"/>
              </w:rPr>
            </w:pPr>
            <w:r w:rsidRPr="00397676">
              <w:rPr>
                <w:rFonts w:ascii="Arial" w:hAnsi="Arial" w:cs="Arial"/>
                <w:sz w:val="20"/>
                <w:lang w:val="en-GB" w:eastAsia="en-GB"/>
              </w:rPr>
              <w:t>Mainstream School top-up</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B7983BE" w14:textId="77777777">
            <w:pPr>
              <w:spacing w:after="0"/>
              <w:jc w:val="right"/>
              <w:rPr>
                <w:rFonts w:ascii="Arial" w:hAnsi="Arial" w:cs="Arial"/>
                <w:sz w:val="20"/>
                <w:lang w:val="en-GB" w:eastAsia="en-GB"/>
              </w:rPr>
            </w:pPr>
            <w:r w:rsidRPr="00397676">
              <w:rPr>
                <w:rFonts w:ascii="Arial" w:hAnsi="Arial" w:cs="Arial"/>
                <w:sz w:val="20"/>
                <w:lang w:val="en-GB" w:eastAsia="en-GB"/>
              </w:rPr>
              <w:t>24,778</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4FBFCEAA" w14:textId="77777777">
            <w:pPr>
              <w:spacing w:after="0"/>
              <w:jc w:val="right"/>
              <w:rPr>
                <w:rFonts w:ascii="Arial" w:hAnsi="Arial" w:cs="Arial"/>
                <w:sz w:val="20"/>
                <w:lang w:val="en-GB" w:eastAsia="en-GB"/>
              </w:rPr>
            </w:pPr>
            <w:r w:rsidRPr="00397676">
              <w:rPr>
                <w:rFonts w:ascii="Arial" w:hAnsi="Arial" w:cs="Arial"/>
                <w:sz w:val="20"/>
                <w:lang w:val="en-GB" w:eastAsia="en-GB"/>
              </w:rPr>
              <w:t>36,400</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C6823E8" w14:textId="77777777">
            <w:pPr>
              <w:spacing w:after="0"/>
              <w:jc w:val="right"/>
              <w:rPr>
                <w:rFonts w:ascii="Arial" w:hAnsi="Arial" w:cs="Arial"/>
                <w:sz w:val="20"/>
                <w:lang w:val="en-GB" w:eastAsia="en-GB"/>
              </w:rPr>
            </w:pPr>
            <w:r w:rsidRPr="00397676">
              <w:rPr>
                <w:rFonts w:ascii="Arial" w:hAnsi="Arial" w:cs="Arial"/>
                <w:sz w:val="20"/>
                <w:lang w:val="en-GB" w:eastAsia="en-GB"/>
              </w:rPr>
              <w:t>11,622</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12362E16" w14:textId="77777777">
            <w:pPr>
              <w:spacing w:after="0"/>
              <w:jc w:val="right"/>
              <w:rPr>
                <w:rFonts w:ascii="Arial" w:hAnsi="Arial" w:cs="Arial"/>
                <w:sz w:val="20"/>
                <w:lang w:val="en-GB" w:eastAsia="en-GB"/>
              </w:rPr>
            </w:pPr>
            <w:r w:rsidRPr="00397676">
              <w:rPr>
                <w:rFonts w:ascii="Arial" w:hAnsi="Arial" w:cs="Arial"/>
                <w:sz w:val="20"/>
                <w:lang w:val="en-GB" w:eastAsia="en-GB"/>
              </w:rPr>
              <w:t>46.9</w:t>
            </w:r>
          </w:p>
        </w:tc>
      </w:tr>
      <w:tr w:rsidRPr="00397676" w:rsidR="00397676" w:rsidTr="00397676" w14:paraId="6394DCF5"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6F28C42D" w14:textId="77777777">
            <w:pPr>
              <w:spacing w:after="0"/>
              <w:jc w:val="left"/>
              <w:rPr>
                <w:rFonts w:ascii="Arial" w:hAnsi="Arial" w:cs="Arial"/>
                <w:sz w:val="20"/>
                <w:lang w:val="en-GB" w:eastAsia="en-GB"/>
              </w:rPr>
            </w:pPr>
            <w:r w:rsidRPr="00397676">
              <w:rPr>
                <w:rFonts w:ascii="Arial" w:hAnsi="Arial" w:cs="Arial"/>
                <w:sz w:val="20"/>
                <w:lang w:val="en-GB" w:eastAsia="en-GB"/>
              </w:rPr>
              <w:t>Post-16 top-up</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9FAE391" w14:textId="77777777">
            <w:pPr>
              <w:spacing w:after="0"/>
              <w:jc w:val="right"/>
              <w:rPr>
                <w:rFonts w:ascii="Arial" w:hAnsi="Arial" w:cs="Arial"/>
                <w:sz w:val="20"/>
                <w:lang w:val="en-GB" w:eastAsia="en-GB"/>
              </w:rPr>
            </w:pPr>
            <w:r w:rsidRPr="00397676">
              <w:rPr>
                <w:rFonts w:ascii="Arial" w:hAnsi="Arial" w:cs="Arial"/>
                <w:sz w:val="20"/>
                <w:lang w:val="en-GB" w:eastAsia="en-GB"/>
              </w:rPr>
              <w:t>10,077</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8F8F6D5" w14:textId="77777777">
            <w:pPr>
              <w:spacing w:after="0"/>
              <w:jc w:val="right"/>
              <w:rPr>
                <w:rFonts w:ascii="Arial" w:hAnsi="Arial" w:cs="Arial"/>
                <w:sz w:val="20"/>
                <w:lang w:val="en-GB" w:eastAsia="en-GB"/>
              </w:rPr>
            </w:pPr>
            <w:r w:rsidRPr="00397676">
              <w:rPr>
                <w:rFonts w:ascii="Arial" w:hAnsi="Arial" w:cs="Arial"/>
                <w:sz w:val="20"/>
                <w:lang w:val="en-GB" w:eastAsia="en-GB"/>
              </w:rPr>
              <w:t>10,443</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2223C53" w14:textId="77777777">
            <w:pPr>
              <w:spacing w:after="0"/>
              <w:jc w:val="right"/>
              <w:rPr>
                <w:rFonts w:ascii="Arial" w:hAnsi="Arial" w:cs="Arial"/>
                <w:sz w:val="20"/>
                <w:lang w:val="en-GB" w:eastAsia="en-GB"/>
              </w:rPr>
            </w:pPr>
            <w:r w:rsidRPr="00397676">
              <w:rPr>
                <w:rFonts w:ascii="Arial" w:hAnsi="Arial" w:cs="Arial"/>
                <w:sz w:val="20"/>
                <w:lang w:val="en-GB" w:eastAsia="en-GB"/>
              </w:rPr>
              <w:t>366</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670E1D7" w14:textId="77777777">
            <w:pPr>
              <w:spacing w:after="0"/>
              <w:jc w:val="right"/>
              <w:rPr>
                <w:rFonts w:ascii="Arial" w:hAnsi="Arial" w:cs="Arial"/>
                <w:sz w:val="20"/>
                <w:lang w:val="en-GB" w:eastAsia="en-GB"/>
              </w:rPr>
            </w:pPr>
            <w:r w:rsidRPr="00397676">
              <w:rPr>
                <w:rFonts w:ascii="Arial" w:hAnsi="Arial" w:cs="Arial"/>
                <w:sz w:val="20"/>
                <w:lang w:val="en-GB" w:eastAsia="en-GB"/>
              </w:rPr>
              <w:t>3.6</w:t>
            </w:r>
          </w:p>
        </w:tc>
      </w:tr>
      <w:tr w:rsidRPr="00397676" w:rsidR="00397676" w:rsidTr="00397676" w14:paraId="2C6AB9F2"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60ED8A7A" w14:textId="77777777">
            <w:pPr>
              <w:spacing w:after="0"/>
              <w:jc w:val="left"/>
              <w:rPr>
                <w:rFonts w:ascii="Arial" w:hAnsi="Arial" w:cs="Arial"/>
                <w:sz w:val="20"/>
                <w:lang w:val="en-GB" w:eastAsia="en-GB"/>
              </w:rPr>
            </w:pPr>
            <w:r w:rsidRPr="00397676">
              <w:rPr>
                <w:rFonts w:ascii="Arial" w:hAnsi="Arial" w:cs="Arial"/>
                <w:sz w:val="20"/>
                <w:lang w:val="en-GB" w:eastAsia="en-GB"/>
              </w:rPr>
              <w:t>Pupils in OLA Schools top-up</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13E6649B" w14:textId="77777777">
            <w:pPr>
              <w:spacing w:after="0"/>
              <w:jc w:val="right"/>
              <w:rPr>
                <w:rFonts w:ascii="Arial" w:hAnsi="Arial" w:cs="Arial"/>
                <w:sz w:val="20"/>
                <w:lang w:val="en-GB" w:eastAsia="en-GB"/>
              </w:rPr>
            </w:pPr>
            <w:r w:rsidRPr="00397676">
              <w:rPr>
                <w:rFonts w:ascii="Arial" w:hAnsi="Arial" w:cs="Arial"/>
                <w:sz w:val="20"/>
                <w:lang w:val="en-GB" w:eastAsia="en-GB"/>
              </w:rPr>
              <w:t>4,296</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8AE5292" w14:textId="77777777">
            <w:pPr>
              <w:spacing w:after="0"/>
              <w:jc w:val="right"/>
              <w:rPr>
                <w:rFonts w:ascii="Arial" w:hAnsi="Arial" w:cs="Arial"/>
                <w:sz w:val="20"/>
                <w:lang w:val="en-GB" w:eastAsia="en-GB"/>
              </w:rPr>
            </w:pPr>
            <w:r w:rsidRPr="00397676">
              <w:rPr>
                <w:rFonts w:ascii="Arial" w:hAnsi="Arial" w:cs="Arial"/>
                <w:sz w:val="20"/>
                <w:lang w:val="en-GB" w:eastAsia="en-GB"/>
              </w:rPr>
              <w:t>7,518</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22A270B9" w14:textId="77777777">
            <w:pPr>
              <w:spacing w:after="0"/>
              <w:jc w:val="right"/>
              <w:rPr>
                <w:rFonts w:ascii="Arial" w:hAnsi="Arial" w:cs="Arial"/>
                <w:sz w:val="20"/>
                <w:lang w:val="en-GB" w:eastAsia="en-GB"/>
              </w:rPr>
            </w:pPr>
            <w:r w:rsidRPr="00397676">
              <w:rPr>
                <w:rFonts w:ascii="Arial" w:hAnsi="Arial" w:cs="Arial"/>
                <w:sz w:val="20"/>
                <w:lang w:val="en-GB" w:eastAsia="en-GB"/>
              </w:rPr>
              <w:t>3,222</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4CCB4033" w14:textId="77777777">
            <w:pPr>
              <w:spacing w:after="0"/>
              <w:jc w:val="right"/>
              <w:rPr>
                <w:rFonts w:ascii="Arial" w:hAnsi="Arial" w:cs="Arial"/>
                <w:sz w:val="20"/>
                <w:lang w:val="en-GB" w:eastAsia="en-GB"/>
              </w:rPr>
            </w:pPr>
            <w:r w:rsidRPr="00397676">
              <w:rPr>
                <w:rFonts w:ascii="Arial" w:hAnsi="Arial" w:cs="Arial"/>
                <w:sz w:val="20"/>
                <w:lang w:val="en-GB" w:eastAsia="en-GB"/>
              </w:rPr>
              <w:t>75.0</w:t>
            </w:r>
          </w:p>
        </w:tc>
      </w:tr>
      <w:tr w:rsidRPr="00397676" w:rsidR="00397676" w:rsidTr="00397676" w14:paraId="1C402035"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156C5574" w14:textId="77777777">
            <w:pPr>
              <w:spacing w:after="0"/>
              <w:jc w:val="left"/>
              <w:rPr>
                <w:rFonts w:ascii="Arial" w:hAnsi="Arial" w:cs="Arial"/>
                <w:sz w:val="20"/>
                <w:lang w:val="en-GB" w:eastAsia="en-GB"/>
              </w:rPr>
            </w:pPr>
            <w:r w:rsidRPr="00397676">
              <w:rPr>
                <w:rFonts w:ascii="Arial" w:hAnsi="Arial" w:cs="Arial"/>
                <w:sz w:val="20"/>
                <w:lang w:val="en-GB" w:eastAsia="en-GB"/>
              </w:rPr>
              <w:t>Discretionary Payments</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8170320" w14:textId="77777777">
            <w:pPr>
              <w:spacing w:after="0"/>
              <w:jc w:val="right"/>
              <w:rPr>
                <w:rFonts w:ascii="Arial" w:hAnsi="Arial" w:cs="Arial"/>
                <w:sz w:val="20"/>
                <w:lang w:val="en-GB" w:eastAsia="en-GB"/>
              </w:rPr>
            </w:pPr>
            <w:r w:rsidRPr="00397676">
              <w:rPr>
                <w:rFonts w:ascii="Arial" w:hAnsi="Arial" w:cs="Arial"/>
                <w:sz w:val="20"/>
                <w:lang w:val="en-GB" w:eastAsia="en-GB"/>
              </w:rPr>
              <w:t>13,463</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25DFE77A" w14:textId="77777777">
            <w:pPr>
              <w:spacing w:after="0"/>
              <w:jc w:val="right"/>
              <w:rPr>
                <w:rFonts w:ascii="Arial" w:hAnsi="Arial" w:cs="Arial"/>
                <w:sz w:val="20"/>
                <w:lang w:val="en-GB" w:eastAsia="en-GB"/>
              </w:rPr>
            </w:pPr>
            <w:r w:rsidRPr="00397676">
              <w:rPr>
                <w:rFonts w:ascii="Arial" w:hAnsi="Arial" w:cs="Arial"/>
                <w:sz w:val="20"/>
                <w:lang w:val="en-GB" w:eastAsia="en-GB"/>
              </w:rPr>
              <w:t>27,849</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19BFE8BF" w14:textId="77777777">
            <w:pPr>
              <w:spacing w:after="0"/>
              <w:jc w:val="right"/>
              <w:rPr>
                <w:rFonts w:ascii="Arial" w:hAnsi="Arial" w:cs="Arial"/>
                <w:sz w:val="20"/>
                <w:lang w:val="en-GB" w:eastAsia="en-GB"/>
              </w:rPr>
            </w:pPr>
            <w:r w:rsidRPr="00397676">
              <w:rPr>
                <w:rFonts w:ascii="Arial" w:hAnsi="Arial" w:cs="Arial"/>
                <w:sz w:val="20"/>
                <w:lang w:val="en-GB" w:eastAsia="en-GB"/>
              </w:rPr>
              <w:t>14,386</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250AE6A" w14:textId="77777777">
            <w:pPr>
              <w:spacing w:after="0"/>
              <w:jc w:val="right"/>
              <w:rPr>
                <w:rFonts w:ascii="Arial" w:hAnsi="Arial" w:cs="Arial"/>
                <w:sz w:val="20"/>
                <w:lang w:val="en-GB" w:eastAsia="en-GB"/>
              </w:rPr>
            </w:pPr>
            <w:r w:rsidRPr="00397676">
              <w:rPr>
                <w:rFonts w:ascii="Arial" w:hAnsi="Arial" w:cs="Arial"/>
                <w:sz w:val="20"/>
                <w:lang w:val="en-GB" w:eastAsia="en-GB"/>
              </w:rPr>
              <w:t>106.9</w:t>
            </w:r>
          </w:p>
        </w:tc>
      </w:tr>
      <w:tr w:rsidRPr="00397676" w:rsidR="00397676" w:rsidTr="00397676" w14:paraId="3D38A45F"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632042EE" w14:textId="77777777">
            <w:pPr>
              <w:spacing w:after="0"/>
              <w:jc w:val="left"/>
              <w:rPr>
                <w:rFonts w:ascii="Arial" w:hAnsi="Arial" w:cs="Arial"/>
                <w:sz w:val="20"/>
                <w:lang w:val="en-GB" w:eastAsia="en-GB"/>
              </w:rPr>
            </w:pPr>
            <w:r w:rsidRPr="00397676">
              <w:rPr>
                <w:rFonts w:ascii="Arial" w:hAnsi="Arial" w:cs="Arial"/>
                <w:sz w:val="20"/>
                <w:lang w:val="en-GB" w:eastAsia="en-GB"/>
              </w:rPr>
              <w:t>Other SEN (Direct payments etc.)</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7B48EB5" w14:textId="77777777">
            <w:pPr>
              <w:spacing w:after="0"/>
              <w:jc w:val="right"/>
              <w:rPr>
                <w:rFonts w:ascii="Arial" w:hAnsi="Arial" w:cs="Arial"/>
                <w:sz w:val="20"/>
                <w:lang w:val="en-GB" w:eastAsia="en-GB"/>
              </w:rPr>
            </w:pPr>
            <w:r w:rsidRPr="00397676">
              <w:rPr>
                <w:rFonts w:ascii="Arial" w:hAnsi="Arial" w:cs="Arial"/>
                <w:sz w:val="20"/>
                <w:lang w:val="en-GB" w:eastAsia="en-GB"/>
              </w:rPr>
              <w:t>1,936</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14D3A553" w14:textId="77777777">
            <w:pPr>
              <w:spacing w:after="0"/>
              <w:jc w:val="right"/>
              <w:rPr>
                <w:rFonts w:ascii="Arial" w:hAnsi="Arial" w:cs="Arial"/>
                <w:sz w:val="20"/>
                <w:lang w:val="en-GB" w:eastAsia="en-GB"/>
              </w:rPr>
            </w:pPr>
            <w:r w:rsidRPr="00397676">
              <w:rPr>
                <w:rFonts w:ascii="Arial" w:hAnsi="Arial" w:cs="Arial"/>
                <w:sz w:val="20"/>
                <w:lang w:val="en-GB" w:eastAsia="en-GB"/>
              </w:rPr>
              <w:t>3,744</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167A2664" w14:textId="77777777">
            <w:pPr>
              <w:spacing w:after="0"/>
              <w:jc w:val="right"/>
              <w:rPr>
                <w:rFonts w:ascii="Arial" w:hAnsi="Arial" w:cs="Arial"/>
                <w:sz w:val="20"/>
                <w:lang w:val="en-GB" w:eastAsia="en-GB"/>
              </w:rPr>
            </w:pPr>
            <w:r w:rsidRPr="00397676">
              <w:rPr>
                <w:rFonts w:ascii="Arial" w:hAnsi="Arial" w:cs="Arial"/>
                <w:sz w:val="20"/>
                <w:lang w:val="en-GB" w:eastAsia="en-GB"/>
              </w:rPr>
              <w:t>1,808</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71F7782" w14:textId="77777777">
            <w:pPr>
              <w:spacing w:after="0"/>
              <w:jc w:val="right"/>
              <w:rPr>
                <w:rFonts w:ascii="Arial" w:hAnsi="Arial" w:cs="Arial"/>
                <w:sz w:val="20"/>
                <w:lang w:val="en-GB" w:eastAsia="en-GB"/>
              </w:rPr>
            </w:pPr>
            <w:r w:rsidRPr="00397676">
              <w:rPr>
                <w:rFonts w:ascii="Arial" w:hAnsi="Arial" w:cs="Arial"/>
                <w:sz w:val="20"/>
                <w:lang w:val="en-GB" w:eastAsia="en-GB"/>
              </w:rPr>
              <w:t>93.4</w:t>
            </w:r>
          </w:p>
        </w:tc>
      </w:tr>
      <w:tr w:rsidRPr="00397676" w:rsidR="00397676" w:rsidTr="00397676" w14:paraId="4B3353C3"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4106AACD" w14:textId="77777777">
            <w:pPr>
              <w:spacing w:after="0"/>
              <w:jc w:val="left"/>
              <w:rPr>
                <w:rFonts w:ascii="Arial" w:hAnsi="Arial" w:cs="Arial"/>
                <w:sz w:val="20"/>
                <w:lang w:val="en-GB" w:eastAsia="en-GB"/>
              </w:rPr>
            </w:pPr>
            <w:r w:rsidRPr="00397676">
              <w:rPr>
                <w:rFonts w:ascii="Arial" w:hAnsi="Arial" w:cs="Arial"/>
                <w:sz w:val="20"/>
                <w:lang w:val="en-GB" w:eastAsia="en-GB"/>
              </w:rPr>
              <w:t>Maintained</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37D34F98" w14:textId="77777777">
            <w:pPr>
              <w:spacing w:after="0"/>
              <w:jc w:val="right"/>
              <w:rPr>
                <w:rFonts w:ascii="Arial" w:hAnsi="Arial" w:cs="Arial"/>
                <w:sz w:val="20"/>
                <w:lang w:val="en-GB" w:eastAsia="en-GB"/>
              </w:rPr>
            </w:pPr>
            <w:r w:rsidRPr="00397676">
              <w:rPr>
                <w:rFonts w:ascii="Arial" w:hAnsi="Arial" w:cs="Arial"/>
                <w:sz w:val="20"/>
                <w:lang w:val="en-GB" w:eastAsia="en-GB"/>
              </w:rPr>
              <w:t>90,532</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40A13AE2" w14:textId="77777777">
            <w:pPr>
              <w:spacing w:after="0"/>
              <w:jc w:val="right"/>
              <w:rPr>
                <w:rFonts w:ascii="Arial" w:hAnsi="Arial" w:cs="Arial"/>
                <w:sz w:val="20"/>
                <w:lang w:val="en-GB" w:eastAsia="en-GB"/>
              </w:rPr>
            </w:pPr>
            <w:r w:rsidRPr="00397676">
              <w:rPr>
                <w:rFonts w:ascii="Arial" w:hAnsi="Arial" w:cs="Arial"/>
                <w:sz w:val="20"/>
                <w:lang w:val="en-GB" w:eastAsia="en-GB"/>
              </w:rPr>
              <w:t>133,488</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45CC094" w14:textId="77777777">
            <w:pPr>
              <w:spacing w:after="0"/>
              <w:jc w:val="right"/>
              <w:rPr>
                <w:rFonts w:ascii="Arial" w:hAnsi="Arial" w:cs="Arial"/>
                <w:sz w:val="20"/>
                <w:lang w:val="en-GB" w:eastAsia="en-GB"/>
              </w:rPr>
            </w:pPr>
            <w:r w:rsidRPr="00397676">
              <w:rPr>
                <w:rFonts w:ascii="Arial" w:hAnsi="Arial" w:cs="Arial"/>
                <w:sz w:val="20"/>
                <w:lang w:val="en-GB" w:eastAsia="en-GB"/>
              </w:rPr>
              <w:t>42,956</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7554A463" w14:textId="77777777">
            <w:pPr>
              <w:spacing w:after="0"/>
              <w:jc w:val="right"/>
              <w:rPr>
                <w:rFonts w:ascii="Arial" w:hAnsi="Arial" w:cs="Arial"/>
                <w:sz w:val="20"/>
                <w:lang w:val="en-GB" w:eastAsia="en-GB"/>
              </w:rPr>
            </w:pPr>
            <w:r w:rsidRPr="00397676">
              <w:rPr>
                <w:rFonts w:ascii="Arial" w:hAnsi="Arial" w:cs="Arial"/>
                <w:sz w:val="20"/>
                <w:lang w:val="en-GB" w:eastAsia="en-GB"/>
              </w:rPr>
              <w:t>47.4</w:t>
            </w:r>
          </w:p>
        </w:tc>
      </w:tr>
      <w:tr w:rsidRPr="00397676" w:rsidR="00397676" w:rsidTr="00397676" w14:paraId="7535E842"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0B214BF7" w14:textId="77777777">
            <w:pPr>
              <w:spacing w:after="0"/>
              <w:jc w:val="left"/>
              <w:rPr>
                <w:rFonts w:ascii="Arial" w:hAnsi="Arial" w:cs="Arial"/>
                <w:sz w:val="20"/>
                <w:lang w:val="en-GB" w:eastAsia="en-GB"/>
              </w:rPr>
            </w:pPr>
            <w:r w:rsidRPr="00397676">
              <w:rPr>
                <w:rFonts w:ascii="Arial" w:hAnsi="Arial" w:cs="Arial"/>
                <w:sz w:val="20"/>
                <w:lang w:val="en-GB" w:eastAsia="en-GB"/>
              </w:rPr>
              <w:t>Independent Provision</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176BFA54" w14:textId="77777777">
            <w:pPr>
              <w:spacing w:after="0"/>
              <w:jc w:val="right"/>
              <w:rPr>
                <w:rFonts w:ascii="Arial" w:hAnsi="Arial" w:cs="Arial"/>
                <w:sz w:val="20"/>
                <w:lang w:val="en-GB" w:eastAsia="en-GB"/>
              </w:rPr>
            </w:pPr>
            <w:r w:rsidRPr="00397676">
              <w:rPr>
                <w:rFonts w:ascii="Arial" w:hAnsi="Arial" w:cs="Arial"/>
                <w:sz w:val="20"/>
                <w:lang w:val="en-GB" w:eastAsia="en-GB"/>
              </w:rPr>
              <w:t>47,709</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246F39D1" w14:textId="77777777">
            <w:pPr>
              <w:spacing w:after="0"/>
              <w:jc w:val="right"/>
              <w:rPr>
                <w:rFonts w:ascii="Arial" w:hAnsi="Arial" w:cs="Arial"/>
                <w:sz w:val="20"/>
                <w:lang w:val="en-GB" w:eastAsia="en-GB"/>
              </w:rPr>
            </w:pPr>
            <w:r w:rsidRPr="00397676">
              <w:rPr>
                <w:rFonts w:ascii="Arial" w:hAnsi="Arial" w:cs="Arial"/>
                <w:sz w:val="20"/>
                <w:lang w:val="en-GB" w:eastAsia="en-GB"/>
              </w:rPr>
              <w:t>100,601</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5A09BD79" w14:textId="77777777">
            <w:pPr>
              <w:spacing w:after="0"/>
              <w:jc w:val="right"/>
              <w:rPr>
                <w:rFonts w:ascii="Arial" w:hAnsi="Arial" w:cs="Arial"/>
                <w:sz w:val="20"/>
                <w:lang w:val="en-GB" w:eastAsia="en-GB"/>
              </w:rPr>
            </w:pPr>
            <w:r w:rsidRPr="00397676">
              <w:rPr>
                <w:rFonts w:ascii="Arial" w:hAnsi="Arial" w:cs="Arial"/>
                <w:sz w:val="20"/>
                <w:lang w:val="en-GB" w:eastAsia="en-GB"/>
              </w:rPr>
              <w:t>52,892</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42B6ADCA" w14:textId="77777777">
            <w:pPr>
              <w:spacing w:after="0"/>
              <w:jc w:val="right"/>
              <w:rPr>
                <w:rFonts w:ascii="Arial" w:hAnsi="Arial" w:cs="Arial"/>
                <w:sz w:val="20"/>
                <w:lang w:val="en-GB" w:eastAsia="en-GB"/>
              </w:rPr>
            </w:pPr>
            <w:r w:rsidRPr="00397676">
              <w:rPr>
                <w:rFonts w:ascii="Arial" w:hAnsi="Arial" w:cs="Arial"/>
                <w:sz w:val="20"/>
                <w:lang w:val="en-GB" w:eastAsia="en-GB"/>
              </w:rPr>
              <w:t>110.9</w:t>
            </w:r>
          </w:p>
        </w:tc>
      </w:tr>
      <w:tr w:rsidRPr="00397676" w:rsidR="00397676" w:rsidTr="00397676" w14:paraId="77C08C6E"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301C2FED" w14:textId="77777777">
            <w:pPr>
              <w:spacing w:after="0"/>
              <w:jc w:val="left"/>
              <w:rPr>
                <w:rFonts w:ascii="Arial" w:hAnsi="Arial" w:cs="Arial"/>
                <w:sz w:val="20"/>
                <w:lang w:val="en-GB" w:eastAsia="en-GB"/>
              </w:rPr>
            </w:pPr>
            <w:r w:rsidRPr="00397676">
              <w:rPr>
                <w:rFonts w:ascii="Arial" w:hAnsi="Arial" w:cs="Arial"/>
                <w:sz w:val="20"/>
                <w:lang w:val="en-GB" w:eastAsia="en-GB"/>
              </w:rPr>
              <w:t>SEN Support Services</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44676BFE" w14:textId="77777777">
            <w:pPr>
              <w:spacing w:after="0"/>
              <w:jc w:val="right"/>
              <w:rPr>
                <w:rFonts w:ascii="Arial" w:hAnsi="Arial" w:cs="Arial"/>
                <w:sz w:val="20"/>
                <w:lang w:val="en-GB" w:eastAsia="en-GB"/>
              </w:rPr>
            </w:pPr>
            <w:r w:rsidRPr="00397676">
              <w:rPr>
                <w:rFonts w:ascii="Arial" w:hAnsi="Arial" w:cs="Arial"/>
                <w:sz w:val="20"/>
                <w:lang w:val="en-GB" w:eastAsia="en-GB"/>
              </w:rPr>
              <w:t>7,048</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4EA6C165" w14:textId="77777777">
            <w:pPr>
              <w:spacing w:after="0"/>
              <w:jc w:val="right"/>
              <w:rPr>
                <w:rFonts w:ascii="Arial" w:hAnsi="Arial" w:cs="Arial"/>
                <w:sz w:val="20"/>
                <w:lang w:val="en-GB" w:eastAsia="en-GB"/>
              </w:rPr>
            </w:pPr>
            <w:r w:rsidRPr="00397676">
              <w:rPr>
                <w:rFonts w:ascii="Arial" w:hAnsi="Arial" w:cs="Arial"/>
                <w:sz w:val="20"/>
                <w:lang w:val="en-GB" w:eastAsia="en-GB"/>
              </w:rPr>
              <w:t>6,235</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6E561C86" w14:textId="77777777">
            <w:pPr>
              <w:spacing w:after="0"/>
              <w:jc w:val="right"/>
              <w:rPr>
                <w:rFonts w:ascii="Arial" w:hAnsi="Arial" w:cs="Arial"/>
                <w:sz w:val="20"/>
                <w:lang w:val="en-GB" w:eastAsia="en-GB"/>
              </w:rPr>
            </w:pPr>
            <w:r w:rsidRPr="00397676">
              <w:rPr>
                <w:rFonts w:ascii="Arial" w:hAnsi="Arial" w:cs="Arial"/>
                <w:sz w:val="20"/>
                <w:lang w:val="en-GB" w:eastAsia="en-GB"/>
              </w:rPr>
              <w:t>(813)</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789142E7" w14:textId="77777777">
            <w:pPr>
              <w:spacing w:after="0"/>
              <w:jc w:val="right"/>
              <w:rPr>
                <w:rFonts w:ascii="Arial" w:hAnsi="Arial" w:cs="Arial"/>
                <w:sz w:val="20"/>
                <w:lang w:val="en-GB" w:eastAsia="en-GB"/>
              </w:rPr>
            </w:pPr>
            <w:r w:rsidRPr="00397676">
              <w:rPr>
                <w:rFonts w:ascii="Arial" w:hAnsi="Arial" w:cs="Arial"/>
                <w:sz w:val="20"/>
                <w:lang w:val="en-GB" w:eastAsia="en-GB"/>
              </w:rPr>
              <w:t>(11.5)</w:t>
            </w:r>
          </w:p>
        </w:tc>
      </w:tr>
      <w:tr w:rsidRPr="00397676" w:rsidR="00397676" w:rsidTr="00397676" w14:paraId="4044E93C"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30D8432F" w14:textId="77777777">
            <w:pPr>
              <w:spacing w:after="0"/>
              <w:jc w:val="left"/>
              <w:rPr>
                <w:rFonts w:ascii="Arial" w:hAnsi="Arial" w:cs="Arial"/>
                <w:sz w:val="20"/>
                <w:lang w:val="en-GB" w:eastAsia="en-GB"/>
              </w:rPr>
            </w:pPr>
            <w:r w:rsidRPr="00397676">
              <w:rPr>
                <w:rFonts w:ascii="Arial" w:hAnsi="Arial" w:cs="Arial"/>
                <w:sz w:val="20"/>
                <w:lang w:val="en-GB" w:eastAsia="en-GB"/>
              </w:rPr>
              <w:t>High Needs Support for Inclusion</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73963937" w14:textId="77777777">
            <w:pPr>
              <w:spacing w:after="0"/>
              <w:jc w:val="right"/>
              <w:rPr>
                <w:rFonts w:ascii="Arial" w:hAnsi="Arial" w:cs="Arial"/>
                <w:sz w:val="20"/>
                <w:lang w:val="en-GB" w:eastAsia="en-GB"/>
              </w:rPr>
            </w:pPr>
            <w:r w:rsidRPr="00397676">
              <w:rPr>
                <w:rFonts w:ascii="Arial" w:hAnsi="Arial" w:cs="Arial"/>
                <w:sz w:val="20"/>
                <w:lang w:val="en-GB" w:eastAsia="en-GB"/>
              </w:rPr>
              <w:t>4,122</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651DD655" w14:textId="77777777">
            <w:pPr>
              <w:spacing w:after="0"/>
              <w:jc w:val="right"/>
              <w:rPr>
                <w:rFonts w:ascii="Arial" w:hAnsi="Arial" w:cs="Arial"/>
                <w:sz w:val="20"/>
                <w:lang w:val="en-GB" w:eastAsia="en-GB"/>
              </w:rPr>
            </w:pPr>
            <w:r w:rsidRPr="00397676">
              <w:rPr>
                <w:rFonts w:ascii="Arial" w:hAnsi="Arial" w:cs="Arial"/>
                <w:sz w:val="20"/>
                <w:lang w:val="en-GB" w:eastAsia="en-GB"/>
              </w:rPr>
              <w:t>3,475</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44B475B0" w14:textId="77777777">
            <w:pPr>
              <w:spacing w:after="0"/>
              <w:jc w:val="right"/>
              <w:rPr>
                <w:rFonts w:ascii="Arial" w:hAnsi="Arial" w:cs="Arial"/>
                <w:sz w:val="20"/>
                <w:lang w:val="en-GB" w:eastAsia="en-GB"/>
              </w:rPr>
            </w:pPr>
            <w:r w:rsidRPr="00397676">
              <w:rPr>
                <w:rFonts w:ascii="Arial" w:hAnsi="Arial" w:cs="Arial"/>
                <w:sz w:val="20"/>
                <w:lang w:val="en-GB" w:eastAsia="en-GB"/>
              </w:rPr>
              <w:t>(647)</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5A13AF9C" w14:textId="77777777">
            <w:pPr>
              <w:spacing w:after="0"/>
              <w:jc w:val="right"/>
              <w:rPr>
                <w:rFonts w:ascii="Arial" w:hAnsi="Arial" w:cs="Arial"/>
                <w:sz w:val="20"/>
                <w:lang w:val="en-GB" w:eastAsia="en-GB"/>
              </w:rPr>
            </w:pPr>
            <w:r w:rsidRPr="00397676">
              <w:rPr>
                <w:rFonts w:ascii="Arial" w:hAnsi="Arial" w:cs="Arial"/>
                <w:sz w:val="20"/>
                <w:lang w:val="en-GB" w:eastAsia="en-GB"/>
              </w:rPr>
              <w:t>(15.7)</w:t>
            </w:r>
          </w:p>
        </w:tc>
      </w:tr>
      <w:tr w:rsidRPr="00397676" w:rsidR="00397676" w:rsidTr="00397676" w14:paraId="66924330"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2EB47C6A" w14:textId="77777777">
            <w:pPr>
              <w:spacing w:after="0"/>
              <w:jc w:val="left"/>
              <w:rPr>
                <w:rFonts w:ascii="Arial" w:hAnsi="Arial" w:cs="Arial"/>
                <w:sz w:val="20"/>
                <w:lang w:val="en-GB" w:eastAsia="en-GB"/>
              </w:rPr>
            </w:pPr>
            <w:r w:rsidRPr="00397676">
              <w:rPr>
                <w:rFonts w:ascii="Arial" w:hAnsi="Arial" w:cs="Arial"/>
                <w:sz w:val="20"/>
                <w:lang w:val="en-GB" w:eastAsia="en-GB"/>
              </w:rPr>
              <w:t>Hospital Education Service</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5D15AB46" w14:textId="77777777">
            <w:pPr>
              <w:spacing w:after="0"/>
              <w:jc w:val="right"/>
              <w:rPr>
                <w:rFonts w:ascii="Arial" w:hAnsi="Arial" w:cs="Arial"/>
                <w:sz w:val="20"/>
                <w:lang w:val="en-GB" w:eastAsia="en-GB"/>
              </w:rPr>
            </w:pPr>
            <w:r w:rsidRPr="00397676">
              <w:rPr>
                <w:rFonts w:ascii="Arial" w:hAnsi="Arial" w:cs="Arial"/>
                <w:sz w:val="20"/>
                <w:lang w:val="en-GB" w:eastAsia="en-GB"/>
              </w:rPr>
              <w:t>1,740</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2358822F" w14:textId="77777777">
            <w:pPr>
              <w:spacing w:after="0"/>
              <w:jc w:val="right"/>
              <w:rPr>
                <w:rFonts w:ascii="Arial" w:hAnsi="Arial" w:cs="Arial"/>
                <w:sz w:val="20"/>
                <w:lang w:val="en-GB" w:eastAsia="en-GB"/>
              </w:rPr>
            </w:pPr>
            <w:r w:rsidRPr="00397676">
              <w:rPr>
                <w:rFonts w:ascii="Arial" w:hAnsi="Arial" w:cs="Arial"/>
                <w:sz w:val="20"/>
                <w:lang w:val="en-GB" w:eastAsia="en-GB"/>
              </w:rPr>
              <w:t>1,312</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1587122E" w14:textId="77777777">
            <w:pPr>
              <w:spacing w:after="0"/>
              <w:jc w:val="right"/>
              <w:rPr>
                <w:rFonts w:ascii="Arial" w:hAnsi="Arial" w:cs="Arial"/>
                <w:sz w:val="20"/>
                <w:lang w:val="en-GB" w:eastAsia="en-GB"/>
              </w:rPr>
            </w:pPr>
            <w:r w:rsidRPr="00397676">
              <w:rPr>
                <w:rFonts w:ascii="Arial" w:hAnsi="Arial" w:cs="Arial"/>
                <w:sz w:val="20"/>
                <w:lang w:val="en-GB" w:eastAsia="en-GB"/>
              </w:rPr>
              <w:t>(428)</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79D11EA9" w14:textId="77777777">
            <w:pPr>
              <w:spacing w:after="0"/>
              <w:jc w:val="right"/>
              <w:rPr>
                <w:rFonts w:ascii="Arial" w:hAnsi="Arial" w:cs="Arial"/>
                <w:sz w:val="20"/>
                <w:lang w:val="en-GB" w:eastAsia="en-GB"/>
              </w:rPr>
            </w:pPr>
            <w:r w:rsidRPr="00397676">
              <w:rPr>
                <w:rFonts w:ascii="Arial" w:hAnsi="Arial" w:cs="Arial"/>
                <w:sz w:val="20"/>
                <w:lang w:val="en-GB" w:eastAsia="en-GB"/>
              </w:rPr>
              <w:t>(24.6)</w:t>
            </w:r>
          </w:p>
        </w:tc>
      </w:tr>
      <w:tr w:rsidRPr="00397676" w:rsidR="00397676" w:rsidTr="00397676" w14:paraId="1870B8C2" w14:textId="77777777">
        <w:trPr>
          <w:trHeight w:val="51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142863C7" w14:textId="77777777">
            <w:pPr>
              <w:spacing w:after="0"/>
              <w:jc w:val="left"/>
              <w:rPr>
                <w:rFonts w:ascii="Arial" w:hAnsi="Arial" w:cs="Arial"/>
                <w:sz w:val="20"/>
                <w:lang w:val="en-GB" w:eastAsia="en-GB"/>
              </w:rPr>
            </w:pPr>
            <w:r w:rsidRPr="00397676">
              <w:rPr>
                <w:rFonts w:ascii="Arial" w:hAnsi="Arial" w:cs="Arial"/>
                <w:sz w:val="20"/>
                <w:lang w:val="en-GB" w:eastAsia="en-GB"/>
              </w:rPr>
              <w:t>Responsibilities for maintained schools</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6C888CE0" w14:textId="77777777">
            <w:pPr>
              <w:spacing w:after="0"/>
              <w:jc w:val="right"/>
              <w:rPr>
                <w:rFonts w:ascii="Arial" w:hAnsi="Arial" w:cs="Arial"/>
                <w:sz w:val="20"/>
                <w:lang w:val="en-GB" w:eastAsia="en-GB"/>
              </w:rPr>
            </w:pPr>
            <w:r w:rsidRPr="00397676">
              <w:rPr>
                <w:rFonts w:ascii="Arial" w:hAnsi="Arial" w:cs="Arial"/>
                <w:sz w:val="20"/>
                <w:lang w:val="en-GB" w:eastAsia="en-GB"/>
              </w:rPr>
              <w:t>158</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4D91676F" w14:textId="77777777">
            <w:pPr>
              <w:spacing w:after="0"/>
              <w:jc w:val="right"/>
              <w:rPr>
                <w:rFonts w:ascii="Arial" w:hAnsi="Arial" w:cs="Arial"/>
                <w:sz w:val="20"/>
                <w:lang w:val="en-GB" w:eastAsia="en-GB"/>
              </w:rPr>
            </w:pPr>
            <w:r w:rsidRPr="00397676">
              <w:rPr>
                <w:rFonts w:ascii="Arial" w:hAnsi="Arial" w:cs="Arial"/>
                <w:sz w:val="20"/>
                <w:lang w:val="en-GB" w:eastAsia="en-GB"/>
              </w:rPr>
              <w:t>154</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5E39E31E" w14:textId="77777777">
            <w:pPr>
              <w:spacing w:after="0"/>
              <w:jc w:val="right"/>
              <w:rPr>
                <w:rFonts w:ascii="Arial" w:hAnsi="Arial" w:cs="Arial"/>
                <w:sz w:val="20"/>
                <w:lang w:val="en-GB" w:eastAsia="en-GB"/>
              </w:rPr>
            </w:pPr>
            <w:r w:rsidRPr="00397676">
              <w:rPr>
                <w:rFonts w:ascii="Arial" w:hAnsi="Arial" w:cs="Arial"/>
                <w:sz w:val="20"/>
                <w:lang w:val="en-GB" w:eastAsia="en-GB"/>
              </w:rPr>
              <w:t>(4)</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6DCACEE9" w14:textId="77777777">
            <w:pPr>
              <w:spacing w:after="0"/>
              <w:jc w:val="right"/>
              <w:rPr>
                <w:rFonts w:ascii="Arial" w:hAnsi="Arial" w:cs="Arial"/>
                <w:sz w:val="20"/>
                <w:lang w:val="en-GB" w:eastAsia="en-GB"/>
              </w:rPr>
            </w:pPr>
            <w:r w:rsidRPr="00397676">
              <w:rPr>
                <w:rFonts w:ascii="Arial" w:hAnsi="Arial" w:cs="Arial"/>
                <w:sz w:val="20"/>
                <w:lang w:val="en-GB" w:eastAsia="en-GB"/>
              </w:rPr>
              <w:t>(2.6)</w:t>
            </w:r>
          </w:p>
        </w:tc>
      </w:tr>
      <w:tr w:rsidRPr="00397676" w:rsidR="00397676" w:rsidTr="00397676" w14:paraId="23E85FAA"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A6C9EC"/>
            <w:vAlign w:val="center"/>
            <w:hideMark/>
          </w:tcPr>
          <w:p w:rsidRPr="00397676" w:rsidR="00397676" w:rsidP="00397676" w:rsidRDefault="00397676" w14:paraId="376CA48C" w14:textId="77777777">
            <w:pPr>
              <w:spacing w:after="0"/>
              <w:jc w:val="left"/>
              <w:rPr>
                <w:rFonts w:ascii="Arial" w:hAnsi="Arial" w:cs="Arial"/>
                <w:sz w:val="20"/>
                <w:lang w:val="en-GB" w:eastAsia="en-GB"/>
              </w:rPr>
            </w:pPr>
            <w:r w:rsidRPr="00397676">
              <w:rPr>
                <w:rFonts w:ascii="Arial" w:hAnsi="Arial" w:cs="Arial"/>
                <w:sz w:val="20"/>
                <w:lang w:val="en-GB" w:eastAsia="en-GB"/>
              </w:rPr>
              <w:t>High Needs</w:t>
            </w:r>
          </w:p>
        </w:tc>
        <w:tc>
          <w:tcPr>
            <w:tcW w:w="124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5DF15FEE" w14:textId="77777777">
            <w:pPr>
              <w:spacing w:after="0"/>
              <w:jc w:val="right"/>
              <w:rPr>
                <w:rFonts w:ascii="Arial" w:hAnsi="Arial" w:cs="Arial"/>
                <w:sz w:val="20"/>
                <w:lang w:val="en-GB" w:eastAsia="en-GB"/>
              </w:rPr>
            </w:pPr>
            <w:r w:rsidRPr="00397676">
              <w:rPr>
                <w:rFonts w:ascii="Arial" w:hAnsi="Arial" w:cs="Arial"/>
                <w:sz w:val="20"/>
                <w:lang w:val="en-GB" w:eastAsia="en-GB"/>
              </w:rPr>
              <w:t>193,913</w:t>
            </w:r>
          </w:p>
        </w:tc>
        <w:tc>
          <w:tcPr>
            <w:tcW w:w="110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0FFA1BD5" w14:textId="77777777">
            <w:pPr>
              <w:spacing w:after="0"/>
              <w:jc w:val="right"/>
              <w:rPr>
                <w:rFonts w:ascii="Arial" w:hAnsi="Arial" w:cs="Arial"/>
                <w:sz w:val="20"/>
                <w:lang w:val="en-GB" w:eastAsia="en-GB"/>
              </w:rPr>
            </w:pPr>
            <w:r w:rsidRPr="00397676">
              <w:rPr>
                <w:rFonts w:ascii="Arial" w:hAnsi="Arial" w:cs="Arial"/>
                <w:sz w:val="20"/>
                <w:lang w:val="en-GB" w:eastAsia="en-GB"/>
              </w:rPr>
              <w:t>287,869</w:t>
            </w:r>
          </w:p>
        </w:tc>
        <w:tc>
          <w:tcPr>
            <w:tcW w:w="108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090A8336" w14:textId="77777777">
            <w:pPr>
              <w:spacing w:after="0"/>
              <w:jc w:val="right"/>
              <w:rPr>
                <w:rFonts w:ascii="Arial" w:hAnsi="Arial" w:cs="Arial"/>
                <w:sz w:val="20"/>
                <w:lang w:val="en-GB" w:eastAsia="en-GB"/>
              </w:rPr>
            </w:pPr>
            <w:r w:rsidRPr="00397676">
              <w:rPr>
                <w:rFonts w:ascii="Arial" w:hAnsi="Arial" w:cs="Arial"/>
                <w:sz w:val="20"/>
                <w:lang w:val="en-GB" w:eastAsia="en-GB"/>
              </w:rPr>
              <w:t>93,956</w:t>
            </w:r>
          </w:p>
        </w:tc>
        <w:tc>
          <w:tcPr>
            <w:tcW w:w="102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7358775F" w14:textId="77777777">
            <w:pPr>
              <w:spacing w:after="0"/>
              <w:jc w:val="right"/>
              <w:rPr>
                <w:rFonts w:ascii="Arial" w:hAnsi="Arial" w:cs="Arial"/>
                <w:sz w:val="20"/>
                <w:lang w:val="en-GB" w:eastAsia="en-GB"/>
              </w:rPr>
            </w:pPr>
            <w:r w:rsidRPr="00397676">
              <w:rPr>
                <w:rFonts w:ascii="Arial" w:hAnsi="Arial" w:cs="Arial"/>
                <w:sz w:val="20"/>
                <w:lang w:val="en-GB" w:eastAsia="en-GB"/>
              </w:rPr>
              <w:t>48.5</w:t>
            </w:r>
          </w:p>
        </w:tc>
      </w:tr>
      <w:tr w:rsidRPr="00397676" w:rsidR="00397676" w:rsidTr="00397676" w14:paraId="50A5FD59" w14:textId="77777777">
        <w:trPr>
          <w:trHeight w:val="13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24AAC2D1" w14:textId="77777777">
            <w:pPr>
              <w:spacing w:after="0"/>
              <w:jc w:val="left"/>
              <w:rPr>
                <w:rFonts w:ascii="Arial" w:hAnsi="Arial" w:cs="Arial"/>
                <w:sz w:val="20"/>
                <w:lang w:val="en-GB" w:eastAsia="en-GB"/>
              </w:rPr>
            </w:pPr>
            <w:r w:rsidRPr="00397676">
              <w:rPr>
                <w:rFonts w:ascii="Arial" w:hAnsi="Arial" w:cs="Arial"/>
                <w:sz w:val="20"/>
                <w:lang w:val="en-GB" w:eastAsia="en-GB"/>
              </w:rPr>
              <w:t> </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46009F65"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20EFCCDF"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2A933F0F"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DE6F731"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r>
      <w:tr w:rsidRPr="00397676" w:rsidR="00397676" w:rsidTr="00397676" w14:paraId="33A6C1E0" w14:textId="77777777">
        <w:trPr>
          <w:trHeight w:val="51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0AF52490" w14:textId="77777777">
            <w:pPr>
              <w:spacing w:after="0"/>
              <w:jc w:val="left"/>
              <w:rPr>
                <w:rFonts w:ascii="Arial" w:hAnsi="Arial" w:cs="Arial"/>
                <w:sz w:val="20"/>
                <w:lang w:val="en-GB" w:eastAsia="en-GB"/>
              </w:rPr>
            </w:pPr>
            <w:r w:rsidRPr="00397676">
              <w:rPr>
                <w:rFonts w:ascii="Arial" w:hAnsi="Arial" w:cs="Arial"/>
                <w:sz w:val="20"/>
                <w:lang w:val="en-GB" w:eastAsia="en-GB"/>
              </w:rPr>
              <w:t>Fees to Independent Schools without SEN</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9886AFF" w14:textId="77777777">
            <w:pPr>
              <w:spacing w:after="0"/>
              <w:jc w:val="right"/>
              <w:rPr>
                <w:rFonts w:ascii="Arial" w:hAnsi="Arial" w:cs="Arial"/>
                <w:sz w:val="20"/>
                <w:lang w:val="en-GB" w:eastAsia="en-GB"/>
              </w:rPr>
            </w:pPr>
            <w:r w:rsidRPr="00397676">
              <w:rPr>
                <w:rFonts w:ascii="Arial" w:hAnsi="Arial" w:cs="Arial"/>
                <w:sz w:val="20"/>
                <w:lang w:val="en-GB" w:eastAsia="en-GB"/>
              </w:rPr>
              <w:t>140</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17DABCE" w14:textId="77777777">
            <w:pPr>
              <w:spacing w:after="0"/>
              <w:jc w:val="right"/>
              <w:rPr>
                <w:rFonts w:ascii="Arial" w:hAnsi="Arial" w:cs="Arial"/>
                <w:sz w:val="20"/>
                <w:lang w:val="en-GB" w:eastAsia="en-GB"/>
              </w:rPr>
            </w:pPr>
            <w:r w:rsidRPr="00397676">
              <w:rPr>
                <w:rFonts w:ascii="Arial" w:hAnsi="Arial" w:cs="Arial"/>
                <w:sz w:val="20"/>
                <w:lang w:val="en-GB" w:eastAsia="en-GB"/>
              </w:rPr>
              <w:t>223</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4D34B85B" w14:textId="77777777">
            <w:pPr>
              <w:spacing w:after="0"/>
              <w:jc w:val="right"/>
              <w:rPr>
                <w:rFonts w:ascii="Arial" w:hAnsi="Arial" w:cs="Arial"/>
                <w:sz w:val="20"/>
                <w:lang w:val="en-GB" w:eastAsia="en-GB"/>
              </w:rPr>
            </w:pPr>
            <w:r w:rsidRPr="00397676">
              <w:rPr>
                <w:rFonts w:ascii="Arial" w:hAnsi="Arial" w:cs="Arial"/>
                <w:sz w:val="20"/>
                <w:lang w:val="en-GB" w:eastAsia="en-GB"/>
              </w:rPr>
              <w:t>83</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A914F93" w14:textId="77777777">
            <w:pPr>
              <w:spacing w:after="0"/>
              <w:jc w:val="right"/>
              <w:rPr>
                <w:rFonts w:ascii="Arial" w:hAnsi="Arial" w:cs="Arial"/>
                <w:sz w:val="20"/>
                <w:lang w:val="en-GB" w:eastAsia="en-GB"/>
              </w:rPr>
            </w:pPr>
            <w:r w:rsidRPr="00397676">
              <w:rPr>
                <w:rFonts w:ascii="Arial" w:hAnsi="Arial" w:cs="Arial"/>
                <w:sz w:val="20"/>
                <w:lang w:val="en-GB" w:eastAsia="en-GB"/>
              </w:rPr>
              <w:t>59.6</w:t>
            </w:r>
          </w:p>
        </w:tc>
      </w:tr>
      <w:tr w:rsidRPr="00397676" w:rsidR="00397676" w:rsidTr="00397676" w14:paraId="481D005D"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1F687170" w14:textId="77777777">
            <w:pPr>
              <w:spacing w:after="0"/>
              <w:jc w:val="left"/>
              <w:rPr>
                <w:rFonts w:ascii="Arial" w:hAnsi="Arial" w:cs="Arial"/>
                <w:sz w:val="20"/>
                <w:lang w:val="en-GB" w:eastAsia="en-GB"/>
              </w:rPr>
            </w:pPr>
            <w:r w:rsidRPr="00397676">
              <w:rPr>
                <w:rFonts w:ascii="Arial" w:hAnsi="Arial" w:cs="Arial"/>
                <w:sz w:val="20"/>
                <w:lang w:val="en-GB" w:eastAsia="en-GB"/>
              </w:rPr>
              <w:t>Servicing of Schools Forum</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4D49EF9" w14:textId="77777777">
            <w:pPr>
              <w:spacing w:after="0"/>
              <w:jc w:val="right"/>
              <w:rPr>
                <w:rFonts w:ascii="Arial" w:hAnsi="Arial" w:cs="Arial"/>
                <w:sz w:val="20"/>
                <w:lang w:val="en-GB" w:eastAsia="en-GB"/>
              </w:rPr>
            </w:pPr>
            <w:r w:rsidRPr="00397676">
              <w:rPr>
                <w:rFonts w:ascii="Arial" w:hAnsi="Arial" w:cs="Arial"/>
                <w:sz w:val="20"/>
                <w:lang w:val="en-GB" w:eastAsia="en-GB"/>
              </w:rPr>
              <w:t>39</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BE35C4B" w14:textId="77777777">
            <w:pPr>
              <w:spacing w:after="0"/>
              <w:jc w:val="right"/>
              <w:rPr>
                <w:rFonts w:ascii="Arial" w:hAnsi="Arial" w:cs="Arial"/>
                <w:sz w:val="20"/>
                <w:lang w:val="en-GB" w:eastAsia="en-GB"/>
              </w:rPr>
            </w:pPr>
            <w:r w:rsidRPr="00397676">
              <w:rPr>
                <w:rFonts w:ascii="Arial" w:hAnsi="Arial" w:cs="Arial"/>
                <w:sz w:val="20"/>
                <w:lang w:val="en-GB" w:eastAsia="en-GB"/>
              </w:rPr>
              <w:t>37</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C589F09" w14:textId="77777777">
            <w:pPr>
              <w:spacing w:after="0"/>
              <w:jc w:val="right"/>
              <w:rPr>
                <w:rFonts w:ascii="Arial" w:hAnsi="Arial" w:cs="Arial"/>
                <w:sz w:val="20"/>
                <w:lang w:val="en-GB" w:eastAsia="en-GB"/>
              </w:rPr>
            </w:pPr>
            <w:r w:rsidRPr="00397676">
              <w:rPr>
                <w:rFonts w:ascii="Arial" w:hAnsi="Arial" w:cs="Arial"/>
                <w:sz w:val="20"/>
                <w:lang w:val="en-GB" w:eastAsia="en-GB"/>
              </w:rPr>
              <w:t>(2)</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3ED9E46D" w14:textId="77777777">
            <w:pPr>
              <w:spacing w:after="0"/>
              <w:jc w:val="right"/>
              <w:rPr>
                <w:rFonts w:ascii="Arial" w:hAnsi="Arial" w:cs="Arial"/>
                <w:sz w:val="20"/>
                <w:lang w:val="en-GB" w:eastAsia="en-GB"/>
              </w:rPr>
            </w:pPr>
            <w:r w:rsidRPr="00397676">
              <w:rPr>
                <w:rFonts w:ascii="Arial" w:hAnsi="Arial" w:cs="Arial"/>
                <w:sz w:val="20"/>
                <w:lang w:val="en-GB" w:eastAsia="en-GB"/>
              </w:rPr>
              <w:t>(4.1)</w:t>
            </w:r>
          </w:p>
        </w:tc>
      </w:tr>
      <w:tr w:rsidRPr="00397676" w:rsidR="00397676" w:rsidTr="00397676" w14:paraId="0A99E19E"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1BA3D6AA" w14:textId="77777777">
            <w:pPr>
              <w:spacing w:after="0"/>
              <w:jc w:val="left"/>
              <w:rPr>
                <w:rFonts w:ascii="Arial" w:hAnsi="Arial" w:cs="Arial"/>
                <w:sz w:val="20"/>
                <w:lang w:val="en-GB" w:eastAsia="en-GB"/>
              </w:rPr>
            </w:pPr>
            <w:r w:rsidRPr="00397676">
              <w:rPr>
                <w:rFonts w:ascii="Arial" w:hAnsi="Arial" w:cs="Arial"/>
                <w:sz w:val="20"/>
                <w:lang w:val="en-GB" w:eastAsia="en-GB"/>
              </w:rPr>
              <w:t>Admissions</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76EFA4B" w14:textId="77777777">
            <w:pPr>
              <w:spacing w:after="0"/>
              <w:jc w:val="right"/>
              <w:rPr>
                <w:rFonts w:ascii="Arial" w:hAnsi="Arial" w:cs="Arial"/>
                <w:sz w:val="20"/>
                <w:lang w:val="en-GB" w:eastAsia="en-GB"/>
              </w:rPr>
            </w:pPr>
            <w:r w:rsidRPr="00397676">
              <w:rPr>
                <w:rFonts w:ascii="Arial" w:hAnsi="Arial" w:cs="Arial"/>
                <w:sz w:val="20"/>
                <w:lang w:val="en-GB" w:eastAsia="en-GB"/>
              </w:rPr>
              <w:t>1,507</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784F479" w14:textId="77777777">
            <w:pPr>
              <w:spacing w:after="0"/>
              <w:jc w:val="right"/>
              <w:rPr>
                <w:rFonts w:ascii="Arial" w:hAnsi="Arial" w:cs="Arial"/>
                <w:sz w:val="20"/>
                <w:lang w:val="en-GB" w:eastAsia="en-GB"/>
              </w:rPr>
            </w:pPr>
            <w:r w:rsidRPr="00397676">
              <w:rPr>
                <w:rFonts w:ascii="Arial" w:hAnsi="Arial" w:cs="Arial"/>
                <w:sz w:val="20"/>
                <w:lang w:val="en-GB" w:eastAsia="en-GB"/>
              </w:rPr>
              <w:t>1,448</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42A3AF15" w14:textId="77777777">
            <w:pPr>
              <w:spacing w:after="0"/>
              <w:jc w:val="right"/>
              <w:rPr>
                <w:rFonts w:ascii="Arial" w:hAnsi="Arial" w:cs="Arial"/>
                <w:sz w:val="20"/>
                <w:lang w:val="en-GB" w:eastAsia="en-GB"/>
              </w:rPr>
            </w:pPr>
            <w:r w:rsidRPr="00397676">
              <w:rPr>
                <w:rFonts w:ascii="Arial" w:hAnsi="Arial" w:cs="Arial"/>
                <w:sz w:val="20"/>
                <w:lang w:val="en-GB" w:eastAsia="en-GB"/>
              </w:rPr>
              <w:t>(59)</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1C808C7A" w14:textId="77777777">
            <w:pPr>
              <w:spacing w:after="0"/>
              <w:jc w:val="right"/>
              <w:rPr>
                <w:rFonts w:ascii="Arial" w:hAnsi="Arial" w:cs="Arial"/>
                <w:sz w:val="20"/>
                <w:lang w:val="en-GB" w:eastAsia="en-GB"/>
              </w:rPr>
            </w:pPr>
            <w:r w:rsidRPr="00397676">
              <w:rPr>
                <w:rFonts w:ascii="Arial" w:hAnsi="Arial" w:cs="Arial"/>
                <w:sz w:val="20"/>
                <w:lang w:val="en-GB" w:eastAsia="en-GB"/>
              </w:rPr>
              <w:t>(3.9)</w:t>
            </w:r>
          </w:p>
        </w:tc>
      </w:tr>
      <w:tr w:rsidRPr="00397676" w:rsidR="00397676" w:rsidTr="00397676" w14:paraId="5CC92F66"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4C710DD7" w14:textId="77777777">
            <w:pPr>
              <w:spacing w:after="0"/>
              <w:jc w:val="left"/>
              <w:rPr>
                <w:rFonts w:ascii="Arial" w:hAnsi="Arial" w:cs="Arial"/>
                <w:sz w:val="20"/>
                <w:lang w:val="en-GB" w:eastAsia="en-GB"/>
              </w:rPr>
            </w:pPr>
            <w:r w:rsidRPr="00397676">
              <w:rPr>
                <w:rFonts w:ascii="Arial" w:hAnsi="Arial" w:cs="Arial"/>
                <w:sz w:val="20"/>
                <w:lang w:val="en-GB" w:eastAsia="en-GB"/>
              </w:rPr>
              <w:t>Copyright</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282CC7B9" w14:textId="77777777">
            <w:pPr>
              <w:spacing w:after="0"/>
              <w:jc w:val="right"/>
              <w:rPr>
                <w:rFonts w:ascii="Arial" w:hAnsi="Arial" w:cs="Arial"/>
                <w:sz w:val="20"/>
                <w:lang w:val="en-GB" w:eastAsia="en-GB"/>
              </w:rPr>
            </w:pPr>
            <w:r w:rsidRPr="00397676">
              <w:rPr>
                <w:rFonts w:ascii="Arial" w:hAnsi="Arial" w:cs="Arial"/>
                <w:sz w:val="20"/>
                <w:lang w:val="en-GB" w:eastAsia="en-GB"/>
              </w:rPr>
              <w:t>1,223</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58F6DD25" w14:textId="77777777">
            <w:pPr>
              <w:spacing w:after="0"/>
              <w:jc w:val="right"/>
              <w:rPr>
                <w:rFonts w:ascii="Arial" w:hAnsi="Arial" w:cs="Arial"/>
                <w:sz w:val="20"/>
                <w:lang w:val="en-GB" w:eastAsia="en-GB"/>
              </w:rPr>
            </w:pPr>
            <w:r w:rsidRPr="00397676">
              <w:rPr>
                <w:rFonts w:ascii="Arial" w:hAnsi="Arial" w:cs="Arial"/>
                <w:sz w:val="20"/>
                <w:lang w:val="en-GB" w:eastAsia="en-GB"/>
              </w:rPr>
              <w:t>1,258</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118EC596" w14:textId="77777777">
            <w:pPr>
              <w:spacing w:after="0"/>
              <w:jc w:val="right"/>
              <w:rPr>
                <w:rFonts w:ascii="Arial" w:hAnsi="Arial" w:cs="Arial"/>
                <w:sz w:val="20"/>
                <w:lang w:val="en-GB" w:eastAsia="en-GB"/>
              </w:rPr>
            </w:pPr>
            <w:r w:rsidRPr="00397676">
              <w:rPr>
                <w:rFonts w:ascii="Arial" w:hAnsi="Arial" w:cs="Arial"/>
                <w:sz w:val="20"/>
                <w:lang w:val="en-GB" w:eastAsia="en-GB"/>
              </w:rPr>
              <w:t>35</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2D3EC99C" w14:textId="77777777">
            <w:pPr>
              <w:spacing w:after="0"/>
              <w:jc w:val="right"/>
              <w:rPr>
                <w:rFonts w:ascii="Arial" w:hAnsi="Arial" w:cs="Arial"/>
                <w:sz w:val="20"/>
                <w:lang w:val="en-GB" w:eastAsia="en-GB"/>
              </w:rPr>
            </w:pPr>
            <w:r w:rsidRPr="00397676">
              <w:rPr>
                <w:rFonts w:ascii="Arial" w:hAnsi="Arial" w:cs="Arial"/>
                <w:sz w:val="20"/>
                <w:lang w:val="en-GB" w:eastAsia="en-GB"/>
              </w:rPr>
              <w:t>2.9</w:t>
            </w:r>
          </w:p>
        </w:tc>
      </w:tr>
      <w:tr w:rsidRPr="00397676" w:rsidR="00397676" w:rsidTr="00397676" w14:paraId="43B64AD5"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2D2C5211" w14:textId="77777777">
            <w:pPr>
              <w:spacing w:after="0"/>
              <w:jc w:val="left"/>
              <w:rPr>
                <w:rFonts w:ascii="Arial" w:hAnsi="Arial" w:cs="Arial"/>
                <w:sz w:val="20"/>
                <w:lang w:val="en-GB" w:eastAsia="en-GB"/>
              </w:rPr>
            </w:pPr>
            <w:r w:rsidRPr="00397676">
              <w:rPr>
                <w:rFonts w:ascii="Arial" w:hAnsi="Arial" w:cs="Arial"/>
                <w:sz w:val="20"/>
                <w:lang w:val="en-GB" w:eastAsia="en-GB"/>
              </w:rPr>
              <w:t xml:space="preserve">Central </w:t>
            </w:r>
            <w:proofErr w:type="gramStart"/>
            <w:r w:rsidRPr="00397676">
              <w:rPr>
                <w:rFonts w:ascii="Arial" w:hAnsi="Arial" w:cs="Arial"/>
                <w:sz w:val="20"/>
                <w:lang w:val="en-GB" w:eastAsia="en-GB"/>
              </w:rPr>
              <w:t>schools</w:t>
            </w:r>
            <w:proofErr w:type="gramEnd"/>
            <w:r w:rsidRPr="00397676">
              <w:rPr>
                <w:rFonts w:ascii="Arial" w:hAnsi="Arial" w:cs="Arial"/>
                <w:sz w:val="20"/>
                <w:lang w:val="en-GB" w:eastAsia="en-GB"/>
              </w:rPr>
              <w:t xml:space="preserve"> expenditure</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1855333D" w14:textId="77777777">
            <w:pPr>
              <w:spacing w:after="0"/>
              <w:jc w:val="right"/>
              <w:rPr>
                <w:rFonts w:ascii="Arial" w:hAnsi="Arial" w:cs="Arial"/>
                <w:sz w:val="20"/>
                <w:lang w:val="en-GB" w:eastAsia="en-GB"/>
              </w:rPr>
            </w:pPr>
            <w:r w:rsidRPr="00397676">
              <w:rPr>
                <w:rFonts w:ascii="Arial" w:hAnsi="Arial" w:cs="Arial"/>
                <w:sz w:val="20"/>
                <w:lang w:val="en-GB" w:eastAsia="en-GB"/>
              </w:rPr>
              <w:t>2,909</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179B7591" w14:textId="77777777">
            <w:pPr>
              <w:spacing w:after="0"/>
              <w:jc w:val="right"/>
              <w:rPr>
                <w:rFonts w:ascii="Arial" w:hAnsi="Arial" w:cs="Arial"/>
                <w:sz w:val="20"/>
                <w:lang w:val="en-GB" w:eastAsia="en-GB"/>
              </w:rPr>
            </w:pPr>
            <w:r w:rsidRPr="00397676">
              <w:rPr>
                <w:rFonts w:ascii="Arial" w:hAnsi="Arial" w:cs="Arial"/>
                <w:sz w:val="20"/>
                <w:lang w:val="en-GB" w:eastAsia="en-GB"/>
              </w:rPr>
              <w:t>2,967</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41F9FD50" w14:textId="77777777">
            <w:pPr>
              <w:spacing w:after="0"/>
              <w:jc w:val="right"/>
              <w:rPr>
                <w:rFonts w:ascii="Arial" w:hAnsi="Arial" w:cs="Arial"/>
                <w:sz w:val="20"/>
                <w:lang w:val="en-GB" w:eastAsia="en-GB"/>
              </w:rPr>
            </w:pPr>
            <w:r w:rsidRPr="00397676">
              <w:rPr>
                <w:rFonts w:ascii="Arial" w:hAnsi="Arial" w:cs="Arial"/>
                <w:sz w:val="20"/>
                <w:lang w:val="en-GB" w:eastAsia="en-GB"/>
              </w:rPr>
              <w:t>58</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2E77C466" w14:textId="77777777">
            <w:pPr>
              <w:spacing w:after="0"/>
              <w:jc w:val="right"/>
              <w:rPr>
                <w:rFonts w:ascii="Arial" w:hAnsi="Arial" w:cs="Arial"/>
                <w:sz w:val="20"/>
                <w:lang w:val="en-GB" w:eastAsia="en-GB"/>
              </w:rPr>
            </w:pPr>
            <w:r w:rsidRPr="00397676">
              <w:rPr>
                <w:rFonts w:ascii="Arial" w:hAnsi="Arial" w:cs="Arial"/>
                <w:sz w:val="20"/>
                <w:lang w:val="en-GB" w:eastAsia="en-GB"/>
              </w:rPr>
              <w:t>2.0</w:t>
            </w:r>
          </w:p>
        </w:tc>
      </w:tr>
      <w:tr w:rsidRPr="00397676" w:rsidR="00397676" w:rsidTr="00397676" w14:paraId="2827BBBE" w14:textId="77777777">
        <w:trPr>
          <w:trHeight w:val="51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436195AF" w14:textId="77777777">
            <w:pPr>
              <w:spacing w:after="0"/>
              <w:jc w:val="left"/>
              <w:rPr>
                <w:rFonts w:ascii="Arial" w:hAnsi="Arial" w:cs="Arial"/>
                <w:sz w:val="20"/>
                <w:lang w:val="en-GB" w:eastAsia="en-GB"/>
              </w:rPr>
            </w:pPr>
            <w:r w:rsidRPr="00397676">
              <w:rPr>
                <w:rFonts w:ascii="Arial" w:hAnsi="Arial" w:cs="Arial"/>
                <w:sz w:val="20"/>
                <w:lang w:val="en-GB" w:eastAsia="en-GB"/>
              </w:rPr>
              <w:t>Combined budgets - FSS &amp; NEETS</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11B83F48" w14:textId="77777777">
            <w:pPr>
              <w:spacing w:after="0"/>
              <w:jc w:val="right"/>
              <w:rPr>
                <w:rFonts w:ascii="Arial" w:hAnsi="Arial" w:cs="Arial"/>
                <w:sz w:val="20"/>
                <w:lang w:val="en-GB" w:eastAsia="en-GB"/>
              </w:rPr>
            </w:pPr>
            <w:r w:rsidRPr="00397676">
              <w:rPr>
                <w:rFonts w:ascii="Arial" w:hAnsi="Arial" w:cs="Arial"/>
                <w:sz w:val="20"/>
                <w:lang w:val="en-GB" w:eastAsia="en-GB"/>
              </w:rPr>
              <w:t>200</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460656D" w14:textId="77777777">
            <w:pPr>
              <w:spacing w:after="0"/>
              <w:jc w:val="right"/>
              <w:rPr>
                <w:rFonts w:ascii="Arial" w:hAnsi="Arial" w:cs="Arial"/>
                <w:sz w:val="20"/>
                <w:lang w:val="en-GB" w:eastAsia="en-GB"/>
              </w:rPr>
            </w:pPr>
            <w:r w:rsidRPr="00397676">
              <w:rPr>
                <w:rFonts w:ascii="Arial" w:hAnsi="Arial" w:cs="Arial"/>
                <w:sz w:val="20"/>
                <w:lang w:val="en-GB" w:eastAsia="en-GB"/>
              </w:rPr>
              <w:t>200</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11FF03F"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21507F13"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r>
      <w:tr w:rsidRPr="00397676" w:rsidR="00397676" w:rsidTr="00397676" w14:paraId="023D3C19"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175A3893" w14:textId="77777777">
            <w:pPr>
              <w:spacing w:after="0"/>
              <w:jc w:val="left"/>
              <w:rPr>
                <w:rFonts w:ascii="Arial" w:hAnsi="Arial" w:cs="Arial"/>
                <w:sz w:val="20"/>
                <w:lang w:val="en-GB" w:eastAsia="en-GB"/>
              </w:rPr>
            </w:pPr>
            <w:r w:rsidRPr="00397676">
              <w:rPr>
                <w:rFonts w:ascii="Arial" w:hAnsi="Arial" w:cs="Arial"/>
                <w:sz w:val="20"/>
                <w:lang w:val="en-GB" w:eastAsia="en-GB"/>
              </w:rPr>
              <w:t>Termination of Employment Costs</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B391CFD" w14:textId="77777777">
            <w:pPr>
              <w:spacing w:after="0"/>
              <w:jc w:val="right"/>
              <w:rPr>
                <w:rFonts w:ascii="Arial" w:hAnsi="Arial" w:cs="Arial"/>
                <w:sz w:val="20"/>
                <w:lang w:val="en-GB" w:eastAsia="en-GB"/>
              </w:rPr>
            </w:pPr>
            <w:r w:rsidRPr="00397676">
              <w:rPr>
                <w:rFonts w:ascii="Arial" w:hAnsi="Arial" w:cs="Arial"/>
                <w:sz w:val="20"/>
                <w:lang w:val="en-GB" w:eastAsia="en-GB"/>
              </w:rPr>
              <w:t>658</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591A21F3" w14:textId="77777777">
            <w:pPr>
              <w:spacing w:after="0"/>
              <w:jc w:val="right"/>
              <w:rPr>
                <w:rFonts w:ascii="Arial" w:hAnsi="Arial" w:cs="Arial"/>
                <w:sz w:val="20"/>
                <w:lang w:val="en-GB" w:eastAsia="en-GB"/>
              </w:rPr>
            </w:pPr>
            <w:r w:rsidRPr="00397676">
              <w:rPr>
                <w:rFonts w:ascii="Arial" w:hAnsi="Arial" w:cs="Arial"/>
                <w:sz w:val="20"/>
                <w:lang w:val="en-GB" w:eastAsia="en-GB"/>
              </w:rPr>
              <w:t>658</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5A9553D9"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2DBE8D3E"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r>
      <w:tr w:rsidRPr="00397676" w:rsidR="00397676" w:rsidTr="00397676" w14:paraId="5CA2A721"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023743E2" w14:textId="77777777">
            <w:pPr>
              <w:spacing w:after="0"/>
              <w:jc w:val="left"/>
              <w:rPr>
                <w:rFonts w:ascii="Arial" w:hAnsi="Arial" w:cs="Arial"/>
                <w:sz w:val="20"/>
                <w:lang w:val="en-GB" w:eastAsia="en-GB"/>
              </w:rPr>
            </w:pPr>
            <w:r w:rsidRPr="00397676">
              <w:rPr>
                <w:rFonts w:ascii="Arial" w:hAnsi="Arial" w:cs="Arial"/>
                <w:sz w:val="20"/>
                <w:lang w:val="en-GB" w:eastAsia="en-GB"/>
              </w:rPr>
              <w:t>Historic Commitments</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1D33DC72" w14:textId="77777777">
            <w:pPr>
              <w:spacing w:after="0"/>
              <w:jc w:val="right"/>
              <w:rPr>
                <w:rFonts w:ascii="Arial" w:hAnsi="Arial" w:cs="Arial"/>
                <w:sz w:val="20"/>
                <w:lang w:val="en-GB" w:eastAsia="en-GB"/>
              </w:rPr>
            </w:pPr>
            <w:r w:rsidRPr="00397676">
              <w:rPr>
                <w:rFonts w:ascii="Arial" w:hAnsi="Arial" w:cs="Arial"/>
                <w:sz w:val="20"/>
                <w:lang w:val="en-GB" w:eastAsia="en-GB"/>
              </w:rPr>
              <w:t>858</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699CB362" w14:textId="77777777">
            <w:pPr>
              <w:spacing w:after="0"/>
              <w:jc w:val="right"/>
              <w:rPr>
                <w:rFonts w:ascii="Arial" w:hAnsi="Arial" w:cs="Arial"/>
                <w:sz w:val="20"/>
                <w:lang w:val="en-GB" w:eastAsia="en-GB"/>
              </w:rPr>
            </w:pPr>
            <w:r w:rsidRPr="00397676">
              <w:rPr>
                <w:rFonts w:ascii="Arial" w:hAnsi="Arial" w:cs="Arial"/>
                <w:sz w:val="20"/>
                <w:lang w:val="en-GB" w:eastAsia="en-GB"/>
              </w:rPr>
              <w:t>858</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3B9AB515"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3921B17C"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r>
      <w:tr w:rsidRPr="00397676" w:rsidR="00397676" w:rsidTr="00397676" w14:paraId="4592B2D8"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66F288F5" w14:textId="77777777">
            <w:pPr>
              <w:spacing w:after="0"/>
              <w:jc w:val="left"/>
              <w:rPr>
                <w:rFonts w:ascii="Arial" w:hAnsi="Arial" w:cs="Arial"/>
                <w:sz w:val="20"/>
                <w:lang w:val="en-GB" w:eastAsia="en-GB"/>
              </w:rPr>
            </w:pPr>
            <w:r w:rsidRPr="00397676">
              <w:rPr>
                <w:rFonts w:ascii="Arial" w:hAnsi="Arial" w:cs="Arial"/>
                <w:sz w:val="20"/>
                <w:lang w:val="en-GB" w:eastAsia="en-GB"/>
              </w:rPr>
              <w:t>Education welfare service</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17D1565" w14:textId="77777777">
            <w:pPr>
              <w:spacing w:after="0"/>
              <w:jc w:val="right"/>
              <w:rPr>
                <w:rFonts w:ascii="Arial" w:hAnsi="Arial" w:cs="Arial"/>
                <w:sz w:val="20"/>
                <w:lang w:val="en-GB" w:eastAsia="en-GB"/>
              </w:rPr>
            </w:pPr>
            <w:r w:rsidRPr="00397676">
              <w:rPr>
                <w:rFonts w:ascii="Arial" w:hAnsi="Arial" w:cs="Arial"/>
                <w:sz w:val="20"/>
                <w:lang w:val="en-GB" w:eastAsia="en-GB"/>
              </w:rPr>
              <w:t>1,700</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36AA76DE" w14:textId="77777777">
            <w:pPr>
              <w:spacing w:after="0"/>
              <w:jc w:val="right"/>
              <w:rPr>
                <w:rFonts w:ascii="Arial" w:hAnsi="Arial" w:cs="Arial"/>
                <w:sz w:val="20"/>
                <w:lang w:val="en-GB" w:eastAsia="en-GB"/>
              </w:rPr>
            </w:pPr>
            <w:r w:rsidRPr="00397676">
              <w:rPr>
                <w:rFonts w:ascii="Arial" w:hAnsi="Arial" w:cs="Arial"/>
                <w:sz w:val="20"/>
                <w:lang w:val="en-GB" w:eastAsia="en-GB"/>
              </w:rPr>
              <w:t>1,654</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449EFED0" w14:textId="77777777">
            <w:pPr>
              <w:spacing w:after="0"/>
              <w:jc w:val="right"/>
              <w:rPr>
                <w:rFonts w:ascii="Arial" w:hAnsi="Arial" w:cs="Arial"/>
                <w:sz w:val="20"/>
                <w:lang w:val="en-GB" w:eastAsia="en-GB"/>
              </w:rPr>
            </w:pPr>
            <w:r w:rsidRPr="00397676">
              <w:rPr>
                <w:rFonts w:ascii="Arial" w:hAnsi="Arial" w:cs="Arial"/>
                <w:sz w:val="20"/>
                <w:lang w:val="en-GB" w:eastAsia="en-GB"/>
              </w:rPr>
              <w:t>(46)</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22A2408A" w14:textId="77777777">
            <w:pPr>
              <w:spacing w:after="0"/>
              <w:jc w:val="right"/>
              <w:rPr>
                <w:rFonts w:ascii="Arial" w:hAnsi="Arial" w:cs="Arial"/>
                <w:sz w:val="20"/>
                <w:lang w:val="en-GB" w:eastAsia="en-GB"/>
              </w:rPr>
            </w:pPr>
            <w:r w:rsidRPr="00397676">
              <w:rPr>
                <w:rFonts w:ascii="Arial" w:hAnsi="Arial" w:cs="Arial"/>
                <w:sz w:val="20"/>
                <w:lang w:val="en-GB" w:eastAsia="en-GB"/>
              </w:rPr>
              <w:t>(2.7)</w:t>
            </w:r>
          </w:p>
        </w:tc>
      </w:tr>
      <w:tr w:rsidRPr="00397676" w:rsidR="00397676" w:rsidTr="00397676" w14:paraId="75243401"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27E3D19A" w14:textId="77777777">
            <w:pPr>
              <w:spacing w:after="0"/>
              <w:jc w:val="left"/>
              <w:rPr>
                <w:rFonts w:ascii="Arial" w:hAnsi="Arial" w:cs="Arial"/>
                <w:sz w:val="20"/>
                <w:lang w:val="en-GB" w:eastAsia="en-GB"/>
              </w:rPr>
            </w:pPr>
            <w:r w:rsidRPr="00397676">
              <w:rPr>
                <w:rFonts w:ascii="Arial" w:hAnsi="Arial" w:cs="Arial"/>
                <w:sz w:val="20"/>
                <w:lang w:val="en-GB" w:eastAsia="en-GB"/>
              </w:rPr>
              <w:t>Asset management</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9ECBF35" w14:textId="77777777">
            <w:pPr>
              <w:spacing w:after="0"/>
              <w:jc w:val="right"/>
              <w:rPr>
                <w:rFonts w:ascii="Arial" w:hAnsi="Arial" w:cs="Arial"/>
                <w:sz w:val="20"/>
                <w:lang w:val="en-GB" w:eastAsia="en-GB"/>
              </w:rPr>
            </w:pPr>
            <w:r w:rsidRPr="00397676">
              <w:rPr>
                <w:rFonts w:ascii="Arial" w:hAnsi="Arial" w:cs="Arial"/>
                <w:sz w:val="20"/>
                <w:lang w:val="en-GB" w:eastAsia="en-GB"/>
              </w:rPr>
              <w:t>924</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3A705249" w14:textId="77777777">
            <w:pPr>
              <w:spacing w:after="0"/>
              <w:jc w:val="right"/>
              <w:rPr>
                <w:rFonts w:ascii="Arial" w:hAnsi="Arial" w:cs="Arial"/>
                <w:sz w:val="20"/>
                <w:lang w:val="en-GB" w:eastAsia="en-GB"/>
              </w:rPr>
            </w:pPr>
            <w:r w:rsidRPr="00397676">
              <w:rPr>
                <w:rFonts w:ascii="Arial" w:hAnsi="Arial" w:cs="Arial"/>
                <w:sz w:val="20"/>
                <w:lang w:val="en-GB" w:eastAsia="en-GB"/>
              </w:rPr>
              <w:t>924</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21181EE"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74B23EE8"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r>
      <w:tr w:rsidRPr="00397676" w:rsidR="00397676" w:rsidTr="00397676" w14:paraId="3840F3AA" w14:textId="77777777">
        <w:trPr>
          <w:trHeight w:val="26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08EC0686" w14:textId="77777777">
            <w:pPr>
              <w:spacing w:after="0"/>
              <w:jc w:val="left"/>
              <w:rPr>
                <w:rFonts w:ascii="Arial" w:hAnsi="Arial" w:cs="Arial"/>
                <w:sz w:val="20"/>
                <w:lang w:val="en-GB" w:eastAsia="en-GB"/>
              </w:rPr>
            </w:pPr>
            <w:r w:rsidRPr="00397676">
              <w:rPr>
                <w:rFonts w:ascii="Arial" w:hAnsi="Arial" w:cs="Arial"/>
                <w:sz w:val="20"/>
                <w:lang w:val="en-GB" w:eastAsia="en-GB"/>
              </w:rPr>
              <w:t>Strategic Management</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1C2F568" w14:textId="77777777">
            <w:pPr>
              <w:spacing w:after="0"/>
              <w:jc w:val="right"/>
              <w:rPr>
                <w:rFonts w:ascii="Arial" w:hAnsi="Arial" w:cs="Arial"/>
                <w:sz w:val="20"/>
                <w:lang w:val="en-GB" w:eastAsia="en-GB"/>
              </w:rPr>
            </w:pPr>
            <w:r w:rsidRPr="00397676">
              <w:rPr>
                <w:rFonts w:ascii="Arial" w:hAnsi="Arial" w:cs="Arial"/>
                <w:sz w:val="20"/>
                <w:lang w:val="en-GB" w:eastAsia="en-GB"/>
              </w:rPr>
              <w:t>1,157</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0F4D6F80" w14:textId="77777777">
            <w:pPr>
              <w:spacing w:after="0"/>
              <w:jc w:val="right"/>
              <w:rPr>
                <w:rFonts w:ascii="Arial" w:hAnsi="Arial" w:cs="Arial"/>
                <w:sz w:val="20"/>
                <w:lang w:val="en-GB" w:eastAsia="en-GB"/>
              </w:rPr>
            </w:pPr>
            <w:r w:rsidRPr="00397676">
              <w:rPr>
                <w:rFonts w:ascii="Arial" w:hAnsi="Arial" w:cs="Arial"/>
                <w:sz w:val="20"/>
                <w:lang w:val="en-GB" w:eastAsia="en-GB"/>
              </w:rPr>
              <w:t>1,157</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28BB3760"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3148285B"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r>
      <w:tr w:rsidRPr="00397676" w:rsidR="00397676" w:rsidTr="00397676" w14:paraId="3D00BF2F" w14:textId="77777777">
        <w:trPr>
          <w:trHeight w:val="51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2ED09AF9" w14:textId="77777777">
            <w:pPr>
              <w:spacing w:after="0"/>
              <w:jc w:val="left"/>
              <w:rPr>
                <w:rFonts w:ascii="Arial" w:hAnsi="Arial" w:cs="Arial"/>
                <w:sz w:val="20"/>
                <w:lang w:val="en-GB" w:eastAsia="en-GB"/>
              </w:rPr>
            </w:pPr>
            <w:r w:rsidRPr="00397676">
              <w:rPr>
                <w:rFonts w:ascii="Arial" w:hAnsi="Arial" w:cs="Arial"/>
                <w:sz w:val="20"/>
                <w:lang w:val="en-GB" w:eastAsia="en-GB"/>
              </w:rPr>
              <w:t>Centrally Employed Teachers Pensions</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13D6109C" w14:textId="77777777">
            <w:pPr>
              <w:spacing w:after="0"/>
              <w:jc w:val="right"/>
              <w:rPr>
                <w:rFonts w:ascii="Arial" w:hAnsi="Arial" w:cs="Arial"/>
                <w:sz w:val="20"/>
                <w:lang w:val="en-GB" w:eastAsia="en-GB"/>
              </w:rPr>
            </w:pPr>
            <w:r w:rsidRPr="00397676">
              <w:rPr>
                <w:rFonts w:ascii="Arial" w:hAnsi="Arial" w:cs="Arial"/>
                <w:sz w:val="20"/>
                <w:lang w:val="en-GB" w:eastAsia="en-GB"/>
              </w:rPr>
              <w:t>489</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1647F575" w14:textId="77777777">
            <w:pPr>
              <w:spacing w:after="0"/>
              <w:jc w:val="right"/>
              <w:rPr>
                <w:rFonts w:ascii="Arial" w:hAnsi="Arial" w:cs="Arial"/>
                <w:sz w:val="20"/>
                <w:lang w:val="en-GB" w:eastAsia="en-GB"/>
              </w:rPr>
            </w:pPr>
            <w:r w:rsidRPr="00397676">
              <w:rPr>
                <w:rFonts w:ascii="Arial" w:hAnsi="Arial" w:cs="Arial"/>
                <w:sz w:val="20"/>
                <w:lang w:val="en-GB" w:eastAsia="en-GB"/>
              </w:rPr>
              <w:t>486</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1A0599A" w14:textId="77777777">
            <w:pPr>
              <w:spacing w:after="0"/>
              <w:jc w:val="right"/>
              <w:rPr>
                <w:rFonts w:ascii="Arial" w:hAnsi="Arial" w:cs="Arial"/>
                <w:sz w:val="20"/>
                <w:lang w:val="en-GB" w:eastAsia="en-GB"/>
              </w:rPr>
            </w:pPr>
            <w:r w:rsidRPr="00397676">
              <w:rPr>
                <w:rFonts w:ascii="Arial" w:hAnsi="Arial" w:cs="Arial"/>
                <w:sz w:val="20"/>
                <w:lang w:val="en-GB" w:eastAsia="en-GB"/>
              </w:rPr>
              <w:t>(3)</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5F9A4974" w14:textId="77777777">
            <w:pPr>
              <w:spacing w:after="0"/>
              <w:jc w:val="right"/>
              <w:rPr>
                <w:rFonts w:ascii="Arial" w:hAnsi="Arial" w:cs="Arial"/>
                <w:sz w:val="20"/>
                <w:lang w:val="en-GB" w:eastAsia="en-GB"/>
              </w:rPr>
            </w:pPr>
            <w:r w:rsidRPr="00397676">
              <w:rPr>
                <w:rFonts w:ascii="Arial" w:hAnsi="Arial" w:cs="Arial"/>
                <w:sz w:val="20"/>
                <w:lang w:val="en-GB" w:eastAsia="en-GB"/>
              </w:rPr>
              <w:t>(0.6)</w:t>
            </w:r>
          </w:p>
        </w:tc>
      </w:tr>
      <w:tr w:rsidRPr="00397676" w:rsidR="00397676" w:rsidTr="00397676" w14:paraId="7A26CD0C" w14:textId="77777777">
        <w:trPr>
          <w:trHeight w:val="51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60B331F5" w14:textId="77777777">
            <w:pPr>
              <w:spacing w:after="0"/>
              <w:jc w:val="left"/>
              <w:rPr>
                <w:rFonts w:ascii="Arial" w:hAnsi="Arial" w:cs="Arial"/>
                <w:sz w:val="20"/>
                <w:lang w:val="en-GB" w:eastAsia="en-GB"/>
              </w:rPr>
            </w:pPr>
            <w:r w:rsidRPr="00397676">
              <w:rPr>
                <w:rFonts w:ascii="Arial" w:hAnsi="Arial" w:cs="Arial"/>
                <w:sz w:val="20"/>
                <w:lang w:val="en-GB" w:eastAsia="en-GB"/>
              </w:rPr>
              <w:t>Other central education expenditure</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55907392" w14:textId="77777777">
            <w:pPr>
              <w:spacing w:after="0"/>
              <w:jc w:val="right"/>
              <w:rPr>
                <w:rFonts w:ascii="Arial" w:hAnsi="Arial" w:cs="Arial"/>
                <w:sz w:val="20"/>
                <w:lang w:val="en-GB" w:eastAsia="en-GB"/>
              </w:rPr>
            </w:pPr>
            <w:r w:rsidRPr="00397676">
              <w:rPr>
                <w:rFonts w:ascii="Arial" w:hAnsi="Arial" w:cs="Arial"/>
                <w:sz w:val="20"/>
                <w:lang w:val="en-GB" w:eastAsia="en-GB"/>
              </w:rPr>
              <w:t>4,270</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21AE93A3" w14:textId="77777777">
            <w:pPr>
              <w:spacing w:after="0"/>
              <w:jc w:val="right"/>
              <w:rPr>
                <w:rFonts w:ascii="Arial" w:hAnsi="Arial" w:cs="Arial"/>
                <w:sz w:val="20"/>
                <w:lang w:val="en-GB" w:eastAsia="en-GB"/>
              </w:rPr>
            </w:pPr>
            <w:r w:rsidRPr="00397676">
              <w:rPr>
                <w:rFonts w:ascii="Arial" w:hAnsi="Arial" w:cs="Arial"/>
                <w:sz w:val="20"/>
                <w:lang w:val="en-GB" w:eastAsia="en-GB"/>
              </w:rPr>
              <w:t>4,221</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4162A7C3" w14:textId="77777777">
            <w:pPr>
              <w:spacing w:after="0"/>
              <w:jc w:val="right"/>
              <w:rPr>
                <w:rFonts w:ascii="Arial" w:hAnsi="Arial" w:cs="Arial"/>
                <w:sz w:val="20"/>
                <w:lang w:val="en-GB" w:eastAsia="en-GB"/>
              </w:rPr>
            </w:pPr>
            <w:r w:rsidRPr="00397676">
              <w:rPr>
                <w:rFonts w:ascii="Arial" w:hAnsi="Arial" w:cs="Arial"/>
                <w:sz w:val="20"/>
                <w:lang w:val="en-GB" w:eastAsia="en-GB"/>
              </w:rPr>
              <w:t>(49)</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0CAABA0" w14:textId="77777777">
            <w:pPr>
              <w:spacing w:after="0"/>
              <w:jc w:val="right"/>
              <w:rPr>
                <w:rFonts w:ascii="Arial" w:hAnsi="Arial" w:cs="Arial"/>
                <w:sz w:val="20"/>
                <w:lang w:val="en-GB" w:eastAsia="en-GB"/>
              </w:rPr>
            </w:pPr>
            <w:r w:rsidRPr="00397676">
              <w:rPr>
                <w:rFonts w:ascii="Arial" w:hAnsi="Arial" w:cs="Arial"/>
                <w:sz w:val="20"/>
                <w:lang w:val="en-GB" w:eastAsia="en-GB"/>
              </w:rPr>
              <w:t>(1.1)</w:t>
            </w:r>
          </w:p>
        </w:tc>
      </w:tr>
      <w:tr w:rsidRPr="00397676" w:rsidR="00397676" w:rsidTr="00397676" w14:paraId="031D12E9"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A6C9EC"/>
            <w:vAlign w:val="center"/>
            <w:hideMark/>
          </w:tcPr>
          <w:p w:rsidRPr="00397676" w:rsidR="00397676" w:rsidP="00397676" w:rsidRDefault="00397676" w14:paraId="3D9540D8" w14:textId="77777777">
            <w:pPr>
              <w:spacing w:after="0"/>
              <w:jc w:val="left"/>
              <w:rPr>
                <w:rFonts w:ascii="Arial" w:hAnsi="Arial" w:cs="Arial"/>
                <w:sz w:val="20"/>
                <w:lang w:val="en-GB" w:eastAsia="en-GB"/>
              </w:rPr>
            </w:pPr>
            <w:r w:rsidRPr="00397676">
              <w:rPr>
                <w:rFonts w:ascii="Arial" w:hAnsi="Arial" w:cs="Arial"/>
                <w:sz w:val="20"/>
                <w:lang w:val="en-GB" w:eastAsia="en-GB"/>
              </w:rPr>
              <w:t>Central School Services</w:t>
            </w:r>
          </w:p>
        </w:tc>
        <w:tc>
          <w:tcPr>
            <w:tcW w:w="124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21E56AAC" w14:textId="77777777">
            <w:pPr>
              <w:spacing w:after="0"/>
              <w:jc w:val="right"/>
              <w:rPr>
                <w:rFonts w:ascii="Arial" w:hAnsi="Arial" w:cs="Arial"/>
                <w:sz w:val="20"/>
                <w:lang w:val="en-GB" w:eastAsia="en-GB"/>
              </w:rPr>
            </w:pPr>
            <w:r w:rsidRPr="00397676">
              <w:rPr>
                <w:rFonts w:ascii="Arial" w:hAnsi="Arial" w:cs="Arial"/>
                <w:sz w:val="20"/>
                <w:lang w:val="en-GB" w:eastAsia="en-GB"/>
              </w:rPr>
              <w:t>8,037</w:t>
            </w:r>
          </w:p>
        </w:tc>
        <w:tc>
          <w:tcPr>
            <w:tcW w:w="110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793A17E8" w14:textId="77777777">
            <w:pPr>
              <w:spacing w:after="0"/>
              <w:jc w:val="right"/>
              <w:rPr>
                <w:rFonts w:ascii="Arial" w:hAnsi="Arial" w:cs="Arial"/>
                <w:sz w:val="20"/>
                <w:lang w:val="en-GB" w:eastAsia="en-GB"/>
              </w:rPr>
            </w:pPr>
            <w:r w:rsidRPr="00397676">
              <w:rPr>
                <w:rFonts w:ascii="Arial" w:hAnsi="Arial" w:cs="Arial"/>
                <w:sz w:val="20"/>
                <w:lang w:val="en-GB" w:eastAsia="en-GB"/>
              </w:rPr>
              <w:t>8,046</w:t>
            </w:r>
          </w:p>
        </w:tc>
        <w:tc>
          <w:tcPr>
            <w:tcW w:w="108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44B40DCD" w14:textId="77777777">
            <w:pPr>
              <w:spacing w:after="0"/>
              <w:jc w:val="right"/>
              <w:rPr>
                <w:rFonts w:ascii="Arial" w:hAnsi="Arial" w:cs="Arial"/>
                <w:sz w:val="20"/>
                <w:lang w:val="en-GB" w:eastAsia="en-GB"/>
              </w:rPr>
            </w:pPr>
            <w:r w:rsidRPr="00397676">
              <w:rPr>
                <w:rFonts w:ascii="Arial" w:hAnsi="Arial" w:cs="Arial"/>
                <w:sz w:val="20"/>
                <w:lang w:val="en-GB" w:eastAsia="en-GB"/>
              </w:rPr>
              <w:t>9</w:t>
            </w:r>
          </w:p>
        </w:tc>
        <w:tc>
          <w:tcPr>
            <w:tcW w:w="102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4A824850" w14:textId="77777777">
            <w:pPr>
              <w:spacing w:after="0"/>
              <w:jc w:val="right"/>
              <w:rPr>
                <w:rFonts w:ascii="Arial" w:hAnsi="Arial" w:cs="Arial"/>
                <w:sz w:val="20"/>
                <w:lang w:val="en-GB" w:eastAsia="en-GB"/>
              </w:rPr>
            </w:pPr>
            <w:r w:rsidRPr="00397676">
              <w:rPr>
                <w:rFonts w:ascii="Arial" w:hAnsi="Arial" w:cs="Arial"/>
                <w:sz w:val="20"/>
                <w:lang w:val="en-GB" w:eastAsia="en-GB"/>
              </w:rPr>
              <w:t>0.1</w:t>
            </w:r>
          </w:p>
        </w:tc>
      </w:tr>
      <w:tr w:rsidRPr="00397676" w:rsidR="00397676" w:rsidTr="00397676" w14:paraId="5DEF344B" w14:textId="77777777">
        <w:trPr>
          <w:trHeight w:val="150"/>
        </w:trPr>
        <w:tc>
          <w:tcPr>
            <w:tcW w:w="3180" w:type="dxa"/>
            <w:tcBorders>
              <w:top w:val="nil"/>
              <w:left w:val="single" w:color="AEAEAE" w:sz="8" w:space="0"/>
              <w:bottom w:val="single" w:color="AEAEAE" w:sz="8" w:space="0"/>
              <w:right w:val="single" w:color="AEAEAE" w:sz="8" w:space="0"/>
            </w:tcBorders>
            <w:shd w:val="clear" w:color="auto" w:fill="auto"/>
            <w:vAlign w:val="center"/>
            <w:hideMark/>
          </w:tcPr>
          <w:p w:rsidRPr="00397676" w:rsidR="00397676" w:rsidP="00397676" w:rsidRDefault="00397676" w14:paraId="0D6B3310" w14:textId="77777777">
            <w:pPr>
              <w:spacing w:after="0"/>
              <w:jc w:val="left"/>
              <w:rPr>
                <w:rFonts w:ascii="Arial" w:hAnsi="Arial" w:cs="Arial"/>
                <w:sz w:val="20"/>
                <w:lang w:val="en-GB" w:eastAsia="en-GB"/>
              </w:rPr>
            </w:pPr>
            <w:r w:rsidRPr="00397676">
              <w:rPr>
                <w:rFonts w:ascii="Arial" w:hAnsi="Arial" w:cs="Arial"/>
                <w:sz w:val="20"/>
                <w:lang w:val="en-GB" w:eastAsia="en-GB"/>
              </w:rPr>
              <w:t> </w:t>
            </w:r>
          </w:p>
        </w:tc>
        <w:tc>
          <w:tcPr>
            <w:tcW w:w="124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492AC0D"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10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69DF6B40"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08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3B22721B"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c>
          <w:tcPr>
            <w:tcW w:w="1020" w:type="dxa"/>
            <w:tcBorders>
              <w:top w:val="nil"/>
              <w:left w:val="nil"/>
              <w:bottom w:val="single" w:color="AEAEAE" w:sz="8" w:space="0"/>
              <w:right w:val="single" w:color="AEAEAE" w:sz="8" w:space="0"/>
            </w:tcBorders>
            <w:shd w:val="clear" w:color="auto" w:fill="auto"/>
            <w:vAlign w:val="center"/>
            <w:hideMark/>
          </w:tcPr>
          <w:p w:rsidRPr="00397676" w:rsidR="00397676" w:rsidP="00397676" w:rsidRDefault="00397676" w14:paraId="33805950" w14:textId="77777777">
            <w:pPr>
              <w:spacing w:after="0"/>
              <w:jc w:val="right"/>
              <w:rPr>
                <w:rFonts w:ascii="Arial" w:hAnsi="Arial" w:cs="Arial"/>
                <w:sz w:val="20"/>
                <w:lang w:val="en-GB" w:eastAsia="en-GB"/>
              </w:rPr>
            </w:pPr>
            <w:r w:rsidRPr="00397676">
              <w:rPr>
                <w:rFonts w:ascii="Arial" w:hAnsi="Arial" w:cs="Arial"/>
                <w:sz w:val="20"/>
                <w:lang w:val="en-GB" w:eastAsia="en-GB"/>
              </w:rPr>
              <w:t> </w:t>
            </w:r>
          </w:p>
        </w:tc>
      </w:tr>
      <w:tr w:rsidRPr="00397676" w:rsidR="00397676" w:rsidTr="00397676" w14:paraId="67F3F2F9"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3CB6001B" w14:textId="77777777">
            <w:pPr>
              <w:spacing w:after="0"/>
              <w:jc w:val="left"/>
              <w:rPr>
                <w:rFonts w:ascii="Arial" w:hAnsi="Arial" w:cs="Arial"/>
                <w:sz w:val="20"/>
                <w:lang w:val="en-GB" w:eastAsia="en-GB"/>
              </w:rPr>
            </w:pPr>
            <w:r w:rsidRPr="00397676">
              <w:rPr>
                <w:rFonts w:ascii="Arial" w:hAnsi="Arial" w:cs="Arial"/>
                <w:sz w:val="20"/>
                <w:lang w:val="en-GB" w:eastAsia="en-GB"/>
              </w:rPr>
              <w:t>Music Grant</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2D2EE400" w14:textId="77777777">
            <w:pPr>
              <w:spacing w:after="0"/>
              <w:jc w:val="right"/>
              <w:rPr>
                <w:rFonts w:ascii="Arial" w:hAnsi="Arial" w:cs="Arial"/>
                <w:sz w:val="20"/>
                <w:lang w:val="en-GB" w:eastAsia="en-GB"/>
              </w:rPr>
            </w:pPr>
            <w:r w:rsidRPr="00397676">
              <w:rPr>
                <w:rFonts w:ascii="Arial" w:hAnsi="Arial" w:cs="Arial"/>
                <w:sz w:val="20"/>
                <w:lang w:val="en-GB" w:eastAsia="en-GB"/>
              </w:rPr>
              <w:t>1,736</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7AEDA5D2" w14:textId="77777777">
            <w:pPr>
              <w:spacing w:after="0"/>
              <w:jc w:val="right"/>
              <w:rPr>
                <w:rFonts w:ascii="Arial" w:hAnsi="Arial" w:cs="Arial"/>
                <w:sz w:val="20"/>
                <w:lang w:val="en-GB" w:eastAsia="en-GB"/>
              </w:rPr>
            </w:pPr>
            <w:r w:rsidRPr="00397676">
              <w:rPr>
                <w:rFonts w:ascii="Arial" w:hAnsi="Arial" w:cs="Arial"/>
                <w:sz w:val="20"/>
                <w:lang w:val="en-GB" w:eastAsia="en-GB"/>
              </w:rPr>
              <w:t>1,736</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9FF509E" w14:textId="77777777">
            <w:pPr>
              <w:spacing w:after="0"/>
              <w:jc w:val="right"/>
              <w:rPr>
                <w:rFonts w:ascii="Arial" w:hAnsi="Arial" w:cs="Arial"/>
                <w:sz w:val="20"/>
                <w:lang w:val="en-GB" w:eastAsia="en-GB"/>
              </w:rPr>
            </w:pPr>
            <w:r w:rsidRPr="00397676">
              <w:rPr>
                <w:rFonts w:ascii="Arial" w:hAnsi="Arial" w:cs="Arial"/>
                <w:sz w:val="20"/>
                <w:lang w:val="en-GB" w:eastAsia="en-GB"/>
              </w:rPr>
              <w:t>(0)</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22C48375" w14:textId="77777777">
            <w:pPr>
              <w:spacing w:after="0"/>
              <w:jc w:val="right"/>
              <w:rPr>
                <w:rFonts w:ascii="Arial" w:hAnsi="Arial" w:cs="Arial"/>
                <w:sz w:val="20"/>
                <w:lang w:val="en-GB" w:eastAsia="en-GB"/>
              </w:rPr>
            </w:pPr>
            <w:r w:rsidRPr="00397676">
              <w:rPr>
                <w:rFonts w:ascii="Arial" w:hAnsi="Arial" w:cs="Arial"/>
                <w:sz w:val="20"/>
                <w:lang w:val="en-GB" w:eastAsia="en-GB"/>
              </w:rPr>
              <w:t>(0.0)</w:t>
            </w:r>
          </w:p>
        </w:tc>
      </w:tr>
      <w:tr w:rsidRPr="00397676" w:rsidR="00397676" w:rsidTr="00397676" w14:paraId="5A1214B6"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14BD21A3" w14:textId="77777777">
            <w:pPr>
              <w:spacing w:after="0"/>
              <w:jc w:val="left"/>
              <w:rPr>
                <w:rFonts w:ascii="Arial" w:hAnsi="Arial" w:cs="Arial"/>
                <w:sz w:val="20"/>
                <w:lang w:val="en-GB" w:eastAsia="en-GB"/>
              </w:rPr>
            </w:pPr>
            <w:r w:rsidRPr="00397676">
              <w:rPr>
                <w:rFonts w:ascii="Arial" w:hAnsi="Arial" w:cs="Arial"/>
                <w:sz w:val="20"/>
                <w:lang w:val="en-GB" w:eastAsia="en-GB"/>
              </w:rPr>
              <w:t>Pupil Premium</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36C02243" w14:textId="77777777">
            <w:pPr>
              <w:spacing w:after="0"/>
              <w:jc w:val="right"/>
              <w:rPr>
                <w:rFonts w:ascii="Arial" w:hAnsi="Arial" w:cs="Arial"/>
                <w:sz w:val="20"/>
                <w:lang w:val="en-GB" w:eastAsia="en-GB"/>
              </w:rPr>
            </w:pPr>
            <w:r w:rsidRPr="00397676">
              <w:rPr>
                <w:rFonts w:ascii="Arial" w:hAnsi="Arial" w:cs="Arial"/>
                <w:sz w:val="20"/>
                <w:lang w:val="en-GB" w:eastAsia="en-GB"/>
              </w:rPr>
              <w:t>42,936</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3EF3916" w14:textId="77777777">
            <w:pPr>
              <w:spacing w:after="0"/>
              <w:jc w:val="right"/>
              <w:rPr>
                <w:rFonts w:ascii="Arial" w:hAnsi="Arial" w:cs="Arial"/>
                <w:sz w:val="20"/>
                <w:lang w:val="en-GB" w:eastAsia="en-GB"/>
              </w:rPr>
            </w:pPr>
            <w:r w:rsidRPr="00397676">
              <w:rPr>
                <w:rFonts w:ascii="Arial" w:hAnsi="Arial" w:cs="Arial"/>
                <w:sz w:val="20"/>
                <w:lang w:val="en-GB" w:eastAsia="en-GB"/>
              </w:rPr>
              <w:t>42,936</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B6DC52E" w14:textId="77777777">
            <w:pPr>
              <w:spacing w:after="0"/>
              <w:jc w:val="right"/>
              <w:rPr>
                <w:rFonts w:ascii="Arial" w:hAnsi="Arial" w:cs="Arial"/>
                <w:sz w:val="20"/>
                <w:lang w:val="en-GB" w:eastAsia="en-GB"/>
              </w:rPr>
            </w:pPr>
            <w:r w:rsidRPr="00397676">
              <w:rPr>
                <w:rFonts w:ascii="Arial" w:hAnsi="Arial" w:cs="Arial"/>
                <w:sz w:val="20"/>
                <w:lang w:val="en-GB" w:eastAsia="en-GB"/>
              </w:rPr>
              <w:t>(0)</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D32346E" w14:textId="77777777">
            <w:pPr>
              <w:spacing w:after="0"/>
              <w:jc w:val="right"/>
              <w:rPr>
                <w:rFonts w:ascii="Arial" w:hAnsi="Arial" w:cs="Arial"/>
                <w:sz w:val="20"/>
                <w:lang w:val="en-GB" w:eastAsia="en-GB"/>
              </w:rPr>
            </w:pPr>
            <w:r w:rsidRPr="00397676">
              <w:rPr>
                <w:rFonts w:ascii="Arial" w:hAnsi="Arial" w:cs="Arial"/>
                <w:sz w:val="20"/>
                <w:lang w:val="en-GB" w:eastAsia="en-GB"/>
              </w:rPr>
              <w:t>(0.0)</w:t>
            </w:r>
          </w:p>
        </w:tc>
      </w:tr>
      <w:tr w:rsidRPr="00397676" w:rsidR="00397676" w:rsidTr="00397676" w14:paraId="6B63AD3D"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DAE9F8"/>
            <w:vAlign w:val="center"/>
            <w:hideMark/>
          </w:tcPr>
          <w:p w:rsidRPr="00397676" w:rsidR="00397676" w:rsidP="00397676" w:rsidRDefault="00397676" w14:paraId="02B15F2A" w14:textId="77777777">
            <w:pPr>
              <w:spacing w:after="0"/>
              <w:jc w:val="left"/>
              <w:rPr>
                <w:rFonts w:ascii="Arial" w:hAnsi="Arial" w:cs="Arial"/>
                <w:sz w:val="20"/>
                <w:lang w:val="en-GB" w:eastAsia="en-GB"/>
              </w:rPr>
            </w:pPr>
            <w:r w:rsidRPr="00397676">
              <w:rPr>
                <w:rFonts w:ascii="Arial" w:hAnsi="Arial" w:cs="Arial"/>
                <w:sz w:val="20"/>
                <w:lang w:val="en-GB" w:eastAsia="en-GB"/>
              </w:rPr>
              <w:t>Other Schools Grants</w:t>
            </w:r>
          </w:p>
        </w:tc>
        <w:tc>
          <w:tcPr>
            <w:tcW w:w="124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699C87F3" w14:textId="77777777">
            <w:pPr>
              <w:spacing w:after="0"/>
              <w:jc w:val="right"/>
              <w:rPr>
                <w:rFonts w:ascii="Arial" w:hAnsi="Arial" w:cs="Arial"/>
                <w:sz w:val="20"/>
                <w:lang w:val="en-GB" w:eastAsia="en-GB"/>
              </w:rPr>
            </w:pPr>
            <w:r w:rsidRPr="00397676">
              <w:rPr>
                <w:rFonts w:ascii="Arial" w:hAnsi="Arial" w:cs="Arial"/>
                <w:sz w:val="20"/>
                <w:lang w:val="en-GB" w:eastAsia="en-GB"/>
              </w:rPr>
              <w:t>77,844</w:t>
            </w:r>
          </w:p>
        </w:tc>
        <w:tc>
          <w:tcPr>
            <w:tcW w:w="110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3518703D" w14:textId="77777777">
            <w:pPr>
              <w:spacing w:after="0"/>
              <w:jc w:val="right"/>
              <w:rPr>
                <w:rFonts w:ascii="Arial" w:hAnsi="Arial" w:cs="Arial"/>
                <w:sz w:val="20"/>
                <w:lang w:val="en-GB" w:eastAsia="en-GB"/>
              </w:rPr>
            </w:pPr>
            <w:r w:rsidRPr="00397676">
              <w:rPr>
                <w:rFonts w:ascii="Arial" w:hAnsi="Arial" w:cs="Arial"/>
                <w:sz w:val="20"/>
                <w:lang w:val="en-GB" w:eastAsia="en-GB"/>
              </w:rPr>
              <w:t>77,844</w:t>
            </w:r>
          </w:p>
        </w:tc>
        <w:tc>
          <w:tcPr>
            <w:tcW w:w="108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0596A16A" w14:textId="77777777">
            <w:pPr>
              <w:spacing w:after="0"/>
              <w:jc w:val="right"/>
              <w:rPr>
                <w:rFonts w:ascii="Arial" w:hAnsi="Arial" w:cs="Arial"/>
                <w:sz w:val="20"/>
                <w:lang w:val="en-GB" w:eastAsia="en-GB"/>
              </w:rPr>
            </w:pPr>
            <w:r w:rsidRPr="00397676">
              <w:rPr>
                <w:rFonts w:ascii="Arial" w:hAnsi="Arial" w:cs="Arial"/>
                <w:sz w:val="20"/>
                <w:lang w:val="en-GB" w:eastAsia="en-GB"/>
              </w:rPr>
              <w:t>0</w:t>
            </w:r>
          </w:p>
        </w:tc>
        <w:tc>
          <w:tcPr>
            <w:tcW w:w="1020" w:type="dxa"/>
            <w:tcBorders>
              <w:top w:val="nil"/>
              <w:left w:val="nil"/>
              <w:bottom w:val="single" w:color="AEAEAE" w:sz="8" w:space="0"/>
              <w:right w:val="single" w:color="AEAEAE" w:sz="8" w:space="0"/>
            </w:tcBorders>
            <w:shd w:val="clear" w:color="000000" w:fill="DAE9F8"/>
            <w:vAlign w:val="center"/>
            <w:hideMark/>
          </w:tcPr>
          <w:p w:rsidRPr="00397676" w:rsidR="00397676" w:rsidP="00397676" w:rsidRDefault="00397676" w14:paraId="7EBB1D65" w14:textId="77777777">
            <w:pPr>
              <w:spacing w:after="0"/>
              <w:jc w:val="right"/>
              <w:rPr>
                <w:rFonts w:ascii="Arial" w:hAnsi="Arial" w:cs="Arial"/>
                <w:sz w:val="20"/>
                <w:lang w:val="en-GB" w:eastAsia="en-GB"/>
              </w:rPr>
            </w:pPr>
            <w:r w:rsidRPr="00397676">
              <w:rPr>
                <w:rFonts w:ascii="Arial" w:hAnsi="Arial" w:cs="Arial"/>
                <w:sz w:val="20"/>
                <w:lang w:val="en-GB" w:eastAsia="en-GB"/>
              </w:rPr>
              <w:t>0.0</w:t>
            </w:r>
          </w:p>
        </w:tc>
      </w:tr>
      <w:tr w:rsidRPr="00397676" w:rsidR="00397676" w:rsidTr="00397676" w14:paraId="64AE7EAA"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A6C9EC"/>
            <w:vAlign w:val="center"/>
            <w:hideMark/>
          </w:tcPr>
          <w:p w:rsidRPr="00397676" w:rsidR="00397676" w:rsidP="00397676" w:rsidRDefault="00397676" w14:paraId="69F9FF9C" w14:textId="77777777">
            <w:pPr>
              <w:spacing w:after="0"/>
              <w:jc w:val="left"/>
              <w:rPr>
                <w:rFonts w:ascii="Arial" w:hAnsi="Arial" w:cs="Arial"/>
                <w:sz w:val="20"/>
                <w:lang w:val="en-GB" w:eastAsia="en-GB"/>
              </w:rPr>
            </w:pPr>
            <w:r w:rsidRPr="00397676">
              <w:rPr>
                <w:rFonts w:ascii="Arial" w:hAnsi="Arial" w:cs="Arial"/>
                <w:sz w:val="20"/>
                <w:lang w:val="en-GB" w:eastAsia="en-GB"/>
              </w:rPr>
              <w:t>Schools Grants</w:t>
            </w:r>
          </w:p>
        </w:tc>
        <w:tc>
          <w:tcPr>
            <w:tcW w:w="124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36CFE6A7" w14:textId="77777777">
            <w:pPr>
              <w:spacing w:after="0"/>
              <w:jc w:val="right"/>
              <w:rPr>
                <w:rFonts w:ascii="Arial" w:hAnsi="Arial" w:cs="Arial"/>
                <w:sz w:val="20"/>
                <w:lang w:val="en-GB" w:eastAsia="en-GB"/>
              </w:rPr>
            </w:pPr>
            <w:r w:rsidRPr="00397676">
              <w:rPr>
                <w:rFonts w:ascii="Arial" w:hAnsi="Arial" w:cs="Arial"/>
                <w:sz w:val="20"/>
                <w:lang w:val="en-GB" w:eastAsia="en-GB"/>
              </w:rPr>
              <w:t>122,516</w:t>
            </w:r>
          </w:p>
        </w:tc>
        <w:tc>
          <w:tcPr>
            <w:tcW w:w="110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60D06C7B" w14:textId="77777777">
            <w:pPr>
              <w:spacing w:after="0"/>
              <w:jc w:val="right"/>
              <w:rPr>
                <w:rFonts w:ascii="Arial" w:hAnsi="Arial" w:cs="Arial"/>
                <w:sz w:val="20"/>
                <w:lang w:val="en-GB" w:eastAsia="en-GB"/>
              </w:rPr>
            </w:pPr>
            <w:r w:rsidRPr="00397676">
              <w:rPr>
                <w:rFonts w:ascii="Arial" w:hAnsi="Arial" w:cs="Arial"/>
                <w:sz w:val="20"/>
                <w:lang w:val="en-GB" w:eastAsia="en-GB"/>
              </w:rPr>
              <w:t>122,515</w:t>
            </w:r>
          </w:p>
        </w:tc>
        <w:tc>
          <w:tcPr>
            <w:tcW w:w="108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36DEA664" w14:textId="77777777">
            <w:pPr>
              <w:spacing w:after="0"/>
              <w:jc w:val="right"/>
              <w:rPr>
                <w:rFonts w:ascii="Arial" w:hAnsi="Arial" w:cs="Arial"/>
                <w:sz w:val="20"/>
                <w:lang w:val="en-GB" w:eastAsia="en-GB"/>
              </w:rPr>
            </w:pPr>
            <w:r w:rsidRPr="00397676">
              <w:rPr>
                <w:rFonts w:ascii="Arial" w:hAnsi="Arial" w:cs="Arial"/>
                <w:sz w:val="20"/>
                <w:lang w:val="en-GB" w:eastAsia="en-GB"/>
              </w:rPr>
              <w:t>(1)</w:t>
            </w:r>
          </w:p>
        </w:tc>
        <w:tc>
          <w:tcPr>
            <w:tcW w:w="1020" w:type="dxa"/>
            <w:tcBorders>
              <w:top w:val="nil"/>
              <w:left w:val="nil"/>
              <w:bottom w:val="single" w:color="AEAEAE" w:sz="8" w:space="0"/>
              <w:right w:val="single" w:color="AEAEAE" w:sz="8" w:space="0"/>
            </w:tcBorders>
            <w:shd w:val="clear" w:color="000000" w:fill="A6C9EC"/>
            <w:vAlign w:val="center"/>
            <w:hideMark/>
          </w:tcPr>
          <w:p w:rsidRPr="00397676" w:rsidR="00397676" w:rsidP="00397676" w:rsidRDefault="00397676" w14:paraId="16A21FE6" w14:textId="77777777">
            <w:pPr>
              <w:spacing w:after="0"/>
              <w:jc w:val="right"/>
              <w:rPr>
                <w:rFonts w:ascii="Arial" w:hAnsi="Arial" w:cs="Arial"/>
                <w:sz w:val="20"/>
                <w:lang w:val="en-GB" w:eastAsia="en-GB"/>
              </w:rPr>
            </w:pPr>
            <w:r w:rsidRPr="00397676">
              <w:rPr>
                <w:rFonts w:ascii="Arial" w:hAnsi="Arial" w:cs="Arial"/>
                <w:sz w:val="20"/>
                <w:lang w:val="en-GB" w:eastAsia="en-GB"/>
              </w:rPr>
              <w:t>(0.0)</w:t>
            </w:r>
          </w:p>
        </w:tc>
      </w:tr>
      <w:tr w:rsidRPr="00397676" w:rsidR="00397676" w:rsidTr="00397676" w14:paraId="0068F7B5" w14:textId="77777777">
        <w:trPr>
          <w:trHeight w:val="260"/>
        </w:trPr>
        <w:tc>
          <w:tcPr>
            <w:tcW w:w="3180" w:type="dxa"/>
            <w:tcBorders>
              <w:top w:val="nil"/>
              <w:left w:val="single" w:color="AEAEAE" w:sz="8" w:space="0"/>
              <w:bottom w:val="single" w:color="AEAEAE" w:sz="8" w:space="0"/>
              <w:right w:val="single" w:color="AEAEAE" w:sz="8" w:space="0"/>
            </w:tcBorders>
            <w:shd w:val="clear" w:color="000000" w:fill="4D93D9"/>
            <w:vAlign w:val="center"/>
            <w:hideMark/>
          </w:tcPr>
          <w:p w:rsidRPr="00397676" w:rsidR="00397676" w:rsidP="00397676" w:rsidRDefault="00397676" w14:paraId="153E1DDF" w14:textId="77777777">
            <w:pPr>
              <w:spacing w:after="0"/>
              <w:jc w:val="left"/>
              <w:rPr>
                <w:rFonts w:ascii="Arial" w:hAnsi="Arial" w:cs="Arial"/>
                <w:sz w:val="20"/>
                <w:lang w:val="en-GB" w:eastAsia="en-GB"/>
              </w:rPr>
            </w:pPr>
            <w:r w:rsidRPr="00397676">
              <w:rPr>
                <w:rFonts w:ascii="Arial" w:hAnsi="Arial" w:cs="Arial"/>
                <w:sz w:val="20"/>
                <w:lang w:val="en-GB" w:eastAsia="en-GB"/>
              </w:rPr>
              <w:t>Overall Result</w:t>
            </w:r>
          </w:p>
        </w:tc>
        <w:tc>
          <w:tcPr>
            <w:tcW w:w="1240" w:type="dxa"/>
            <w:tcBorders>
              <w:top w:val="nil"/>
              <w:left w:val="nil"/>
              <w:bottom w:val="single" w:color="AEAEAE" w:sz="8" w:space="0"/>
              <w:right w:val="single" w:color="AEAEAE" w:sz="8" w:space="0"/>
            </w:tcBorders>
            <w:shd w:val="clear" w:color="000000" w:fill="4D93D9"/>
            <w:vAlign w:val="center"/>
            <w:hideMark/>
          </w:tcPr>
          <w:p w:rsidRPr="00397676" w:rsidR="00397676" w:rsidP="00397676" w:rsidRDefault="00397676" w14:paraId="0B0CACE3" w14:textId="77777777">
            <w:pPr>
              <w:spacing w:after="0"/>
              <w:jc w:val="right"/>
              <w:rPr>
                <w:rFonts w:ascii="Arial" w:hAnsi="Arial" w:cs="Arial"/>
                <w:sz w:val="20"/>
                <w:lang w:val="en-GB" w:eastAsia="en-GB"/>
              </w:rPr>
            </w:pPr>
            <w:r w:rsidRPr="00397676">
              <w:rPr>
                <w:rFonts w:ascii="Arial" w:hAnsi="Arial" w:cs="Arial"/>
                <w:sz w:val="20"/>
                <w:lang w:val="en-GB" w:eastAsia="en-GB"/>
              </w:rPr>
              <w:t>1,165,043</w:t>
            </w:r>
          </w:p>
        </w:tc>
        <w:tc>
          <w:tcPr>
            <w:tcW w:w="1100" w:type="dxa"/>
            <w:tcBorders>
              <w:top w:val="nil"/>
              <w:left w:val="nil"/>
              <w:bottom w:val="single" w:color="AEAEAE" w:sz="8" w:space="0"/>
              <w:right w:val="single" w:color="AEAEAE" w:sz="8" w:space="0"/>
            </w:tcBorders>
            <w:shd w:val="clear" w:color="000000" w:fill="4D93D9"/>
            <w:vAlign w:val="center"/>
            <w:hideMark/>
          </w:tcPr>
          <w:p w:rsidRPr="00397676" w:rsidR="00397676" w:rsidP="00397676" w:rsidRDefault="00397676" w14:paraId="00512EC6" w14:textId="77777777">
            <w:pPr>
              <w:spacing w:after="0"/>
              <w:jc w:val="right"/>
              <w:rPr>
                <w:rFonts w:ascii="Arial" w:hAnsi="Arial" w:cs="Arial"/>
                <w:sz w:val="20"/>
                <w:lang w:val="en-GB" w:eastAsia="en-GB"/>
              </w:rPr>
            </w:pPr>
            <w:r w:rsidRPr="00397676">
              <w:rPr>
                <w:rFonts w:ascii="Arial" w:hAnsi="Arial" w:cs="Arial"/>
                <w:sz w:val="20"/>
                <w:lang w:val="en-GB" w:eastAsia="en-GB"/>
              </w:rPr>
              <w:t>1,254,271</w:t>
            </w:r>
          </w:p>
        </w:tc>
        <w:tc>
          <w:tcPr>
            <w:tcW w:w="1080" w:type="dxa"/>
            <w:tcBorders>
              <w:top w:val="nil"/>
              <w:left w:val="nil"/>
              <w:bottom w:val="single" w:color="AEAEAE" w:sz="8" w:space="0"/>
              <w:right w:val="single" w:color="AEAEAE" w:sz="8" w:space="0"/>
            </w:tcBorders>
            <w:shd w:val="clear" w:color="000000" w:fill="4D93D9"/>
            <w:vAlign w:val="center"/>
            <w:hideMark/>
          </w:tcPr>
          <w:p w:rsidRPr="00397676" w:rsidR="00397676" w:rsidP="00397676" w:rsidRDefault="00397676" w14:paraId="457C1F25" w14:textId="77777777">
            <w:pPr>
              <w:spacing w:after="0"/>
              <w:jc w:val="right"/>
              <w:rPr>
                <w:rFonts w:ascii="Arial" w:hAnsi="Arial" w:cs="Arial"/>
                <w:sz w:val="20"/>
                <w:lang w:val="en-GB" w:eastAsia="en-GB"/>
              </w:rPr>
            </w:pPr>
            <w:r w:rsidRPr="00397676">
              <w:rPr>
                <w:rFonts w:ascii="Arial" w:hAnsi="Arial" w:cs="Arial"/>
                <w:sz w:val="20"/>
                <w:lang w:val="en-GB" w:eastAsia="en-GB"/>
              </w:rPr>
              <w:t>89,228</w:t>
            </w:r>
          </w:p>
        </w:tc>
        <w:tc>
          <w:tcPr>
            <w:tcW w:w="1020" w:type="dxa"/>
            <w:tcBorders>
              <w:top w:val="nil"/>
              <w:left w:val="nil"/>
              <w:bottom w:val="single" w:color="AEAEAE" w:sz="8" w:space="0"/>
              <w:right w:val="single" w:color="AEAEAE" w:sz="8" w:space="0"/>
            </w:tcBorders>
            <w:shd w:val="clear" w:color="000000" w:fill="4D93D9"/>
            <w:vAlign w:val="center"/>
            <w:hideMark/>
          </w:tcPr>
          <w:p w:rsidRPr="00397676" w:rsidR="00397676" w:rsidP="00397676" w:rsidRDefault="00397676" w14:paraId="45C3B7A4" w14:textId="77777777">
            <w:pPr>
              <w:spacing w:after="0"/>
              <w:jc w:val="right"/>
              <w:rPr>
                <w:rFonts w:ascii="Arial" w:hAnsi="Arial" w:cs="Arial"/>
                <w:sz w:val="20"/>
                <w:lang w:val="en-GB" w:eastAsia="en-GB"/>
              </w:rPr>
            </w:pPr>
            <w:r w:rsidRPr="00397676">
              <w:rPr>
                <w:rFonts w:ascii="Arial" w:hAnsi="Arial" w:cs="Arial"/>
                <w:sz w:val="20"/>
                <w:lang w:val="en-GB" w:eastAsia="en-GB"/>
              </w:rPr>
              <w:t>7.7</w:t>
            </w:r>
          </w:p>
        </w:tc>
      </w:tr>
    </w:tbl>
    <w:p w:rsidR="006461DA" w:rsidRDefault="006461DA" w14:paraId="501F8FA4" w14:textId="77777777"/>
    <w:sectPr w:rsidR="006461DA" w:rsidSect="007475ED">
      <w:footerReference w:type="default" r:id="rId21"/>
      <w:pgSz w:w="11906" w:h="16838" w:orient="portrait" w:code="9"/>
      <w:pgMar w:top="1276" w:right="1797" w:bottom="1440" w:left="1797" w:header="283"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1A4" w:rsidRDefault="00EB31A4" w14:paraId="1920100A" w14:textId="77777777">
      <w:r>
        <w:separator/>
      </w:r>
    </w:p>
  </w:endnote>
  <w:endnote w:type="continuationSeparator" w:id="0">
    <w:p w:rsidR="00EB31A4" w:rsidRDefault="00EB31A4" w14:paraId="643A9324" w14:textId="77777777">
      <w:r>
        <w:continuationSeparator/>
      </w:r>
    </w:p>
  </w:endnote>
  <w:endnote w:type="continuationNotice" w:id="1">
    <w:p w:rsidR="00EB31A4" w:rsidRDefault="00EB31A4" w14:paraId="439A394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B0C13" w:rsidR="00127451" w:rsidP="00DB0C13" w:rsidRDefault="00127451" w14:paraId="605DC806" w14:textId="20C30920">
    <w:pPr>
      <w:pStyle w:val="Footer"/>
      <w:jc w:val="center"/>
      <w:rPr>
        <w:sz w:val="2"/>
        <w:szCs w:val="2"/>
      </w:rPr>
    </w:pPr>
    <w:r w:rsidRPr="004179D6">
      <w:rPr>
        <w:rFonts w:ascii="Arial" w:hAnsi="Arial" w:cs="Arial"/>
      </w:rPr>
      <w:fldChar w:fldCharType="begin"/>
    </w:r>
    <w:r w:rsidRPr="004179D6">
      <w:rPr>
        <w:rFonts w:ascii="Arial" w:hAnsi="Arial" w:cs="Arial"/>
      </w:rPr>
      <w:instrText xml:space="preserve"> PAGE   \* MERGEFORMAT </w:instrText>
    </w:r>
    <w:r w:rsidRPr="004179D6">
      <w:rPr>
        <w:rFonts w:ascii="Arial" w:hAnsi="Arial" w:cs="Arial"/>
      </w:rPr>
      <w:fldChar w:fldCharType="separate"/>
    </w:r>
    <w:r w:rsidRPr="004179D6">
      <w:rPr>
        <w:rFonts w:ascii="Arial" w:hAnsi="Arial" w:cs="Arial"/>
        <w:noProof/>
      </w:rPr>
      <w:t>2</w:t>
    </w:r>
    <w:r w:rsidRPr="004179D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1A4" w:rsidRDefault="00EB31A4" w14:paraId="147F378D" w14:textId="77777777">
      <w:r>
        <w:separator/>
      </w:r>
    </w:p>
  </w:footnote>
  <w:footnote w:type="continuationSeparator" w:id="0">
    <w:p w:rsidR="00EB31A4" w:rsidRDefault="00EB31A4" w14:paraId="09722BAD" w14:textId="77777777">
      <w:r>
        <w:continuationSeparator/>
      </w:r>
    </w:p>
  </w:footnote>
  <w:footnote w:type="continuationNotice" w:id="1">
    <w:p w:rsidR="00EB31A4" w:rsidRDefault="00EB31A4" w14:paraId="7D4424D2"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D5F"/>
    <w:multiLevelType w:val="multilevel"/>
    <w:tmpl w:val="A754EE48"/>
    <w:lvl w:ilvl="0">
      <w:start w:val="1"/>
      <w:numFmt w:val="decimal"/>
      <w:lvlRestart w:val="0"/>
      <w:pStyle w:val="DfESOutNumbered1"/>
      <w:lvlText w:val="%1."/>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8951CB5"/>
    <w:multiLevelType w:val="multilevel"/>
    <w:tmpl w:val="0D8AECD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0B67CC1"/>
    <w:multiLevelType w:val="multilevel"/>
    <w:tmpl w:val="9EB638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3156964"/>
    <w:multiLevelType w:val="multilevel"/>
    <w:tmpl w:val="D5663B6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4B377C8"/>
    <w:multiLevelType w:val="hybridMultilevel"/>
    <w:tmpl w:val="259880EE"/>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5" w15:restartNumberingAfterBreak="0">
    <w:nsid w:val="3B322532"/>
    <w:multiLevelType w:val="multilevel"/>
    <w:tmpl w:val="6646F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14D5B78"/>
    <w:multiLevelType w:val="multilevel"/>
    <w:tmpl w:val="9D7E945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hint="default" w:ascii="Symbol" w:hAnsi="Symbol"/>
        <w:sz w:val="24"/>
      </w:rPr>
    </w:lvl>
    <w:lvl w:ilvl="1" w:tplc="04090003">
      <w:start w:val="1"/>
      <w:numFmt w:val="bullet"/>
      <w:lvlText w:val="o"/>
      <w:lvlJc w:val="left"/>
      <w:pPr>
        <w:tabs>
          <w:tab w:val="num" w:pos="2258"/>
        </w:tabs>
        <w:ind w:left="2258" w:hanging="360"/>
      </w:pPr>
      <w:rPr>
        <w:rFonts w:hint="default" w:ascii="Courier New" w:hAnsi="Courier New"/>
      </w:rPr>
    </w:lvl>
    <w:lvl w:ilvl="2" w:tplc="08090001">
      <w:start w:val="1"/>
      <w:numFmt w:val="bullet"/>
      <w:lvlText w:val=""/>
      <w:lvlJc w:val="left"/>
      <w:pPr>
        <w:tabs>
          <w:tab w:val="num" w:pos="2978"/>
        </w:tabs>
        <w:ind w:left="2978" w:hanging="360"/>
      </w:pPr>
      <w:rPr>
        <w:rFonts w:hint="default" w:ascii="Symbol" w:hAnsi="Symbol"/>
        <w:sz w:val="24"/>
      </w:rPr>
    </w:lvl>
    <w:lvl w:ilvl="3" w:tplc="04090001" w:tentative="1">
      <w:start w:val="1"/>
      <w:numFmt w:val="bullet"/>
      <w:lvlText w:val=""/>
      <w:lvlJc w:val="left"/>
      <w:pPr>
        <w:tabs>
          <w:tab w:val="num" w:pos="3698"/>
        </w:tabs>
        <w:ind w:left="3698" w:hanging="360"/>
      </w:pPr>
      <w:rPr>
        <w:rFonts w:hint="default" w:ascii="Symbol" w:hAnsi="Symbol"/>
      </w:rPr>
    </w:lvl>
    <w:lvl w:ilvl="4" w:tplc="04090003" w:tentative="1">
      <w:start w:val="1"/>
      <w:numFmt w:val="bullet"/>
      <w:lvlText w:val="o"/>
      <w:lvlJc w:val="left"/>
      <w:pPr>
        <w:tabs>
          <w:tab w:val="num" w:pos="4418"/>
        </w:tabs>
        <w:ind w:left="4418" w:hanging="360"/>
      </w:pPr>
      <w:rPr>
        <w:rFonts w:hint="default" w:ascii="Courier New" w:hAnsi="Courier New"/>
      </w:rPr>
    </w:lvl>
    <w:lvl w:ilvl="5" w:tplc="04090005" w:tentative="1">
      <w:start w:val="1"/>
      <w:numFmt w:val="bullet"/>
      <w:lvlText w:val=""/>
      <w:lvlJc w:val="left"/>
      <w:pPr>
        <w:tabs>
          <w:tab w:val="num" w:pos="5138"/>
        </w:tabs>
        <w:ind w:left="5138" w:hanging="360"/>
      </w:pPr>
      <w:rPr>
        <w:rFonts w:hint="default" w:ascii="Wingdings" w:hAnsi="Wingdings"/>
      </w:rPr>
    </w:lvl>
    <w:lvl w:ilvl="6" w:tplc="04090001" w:tentative="1">
      <w:start w:val="1"/>
      <w:numFmt w:val="bullet"/>
      <w:lvlText w:val=""/>
      <w:lvlJc w:val="left"/>
      <w:pPr>
        <w:tabs>
          <w:tab w:val="num" w:pos="5858"/>
        </w:tabs>
        <w:ind w:left="5858" w:hanging="360"/>
      </w:pPr>
      <w:rPr>
        <w:rFonts w:hint="default" w:ascii="Symbol" w:hAnsi="Symbol"/>
      </w:rPr>
    </w:lvl>
    <w:lvl w:ilvl="7" w:tplc="04090003" w:tentative="1">
      <w:start w:val="1"/>
      <w:numFmt w:val="bullet"/>
      <w:lvlText w:val="o"/>
      <w:lvlJc w:val="left"/>
      <w:pPr>
        <w:tabs>
          <w:tab w:val="num" w:pos="6578"/>
        </w:tabs>
        <w:ind w:left="6578" w:hanging="360"/>
      </w:pPr>
      <w:rPr>
        <w:rFonts w:hint="default" w:ascii="Courier New" w:hAnsi="Courier New"/>
      </w:rPr>
    </w:lvl>
    <w:lvl w:ilvl="8" w:tplc="04090005" w:tentative="1">
      <w:start w:val="1"/>
      <w:numFmt w:val="bullet"/>
      <w:lvlText w:val=""/>
      <w:lvlJc w:val="left"/>
      <w:pPr>
        <w:tabs>
          <w:tab w:val="num" w:pos="7298"/>
        </w:tabs>
        <w:ind w:left="7298" w:hanging="360"/>
      </w:pPr>
      <w:rPr>
        <w:rFonts w:hint="default" w:ascii="Wingdings" w:hAnsi="Wingdings"/>
      </w:rPr>
    </w:lvl>
  </w:abstractNum>
  <w:abstractNum w:abstractNumId="8" w15:restartNumberingAfterBreak="0">
    <w:nsid w:val="4BCF19CD"/>
    <w:multiLevelType w:val="hybridMultilevel"/>
    <w:tmpl w:val="0388B110"/>
    <w:styleLink w:val="LFO25"/>
    <w:lvl w:ilvl="0" w:tplc="4CF2754A">
      <w:numFmt w:val="bullet"/>
      <w:lvlText w:val=""/>
      <w:lvlJc w:val="left"/>
      <w:pPr>
        <w:ind w:left="720" w:hanging="360"/>
      </w:pPr>
      <w:rPr>
        <w:rFonts w:ascii="Symbol" w:hAnsi="Symbol"/>
      </w:rPr>
    </w:lvl>
    <w:lvl w:ilvl="1" w:tplc="117E8E3C">
      <w:numFmt w:val="bullet"/>
      <w:lvlText w:val=""/>
      <w:lvlJc w:val="left"/>
      <w:pPr>
        <w:ind w:left="1440" w:hanging="360"/>
      </w:pPr>
      <w:rPr>
        <w:rFonts w:ascii="Symbol" w:hAnsi="Symbol"/>
      </w:rPr>
    </w:lvl>
    <w:lvl w:ilvl="2" w:tplc="212032DC">
      <w:numFmt w:val="bullet"/>
      <w:lvlText w:val=""/>
      <w:lvlJc w:val="left"/>
      <w:pPr>
        <w:ind w:left="2160" w:hanging="360"/>
      </w:pPr>
      <w:rPr>
        <w:rFonts w:ascii="Wingdings" w:hAnsi="Wingdings"/>
      </w:rPr>
    </w:lvl>
    <w:lvl w:ilvl="3" w:tplc="A1141462">
      <w:numFmt w:val="bullet"/>
      <w:lvlText w:val=""/>
      <w:lvlJc w:val="left"/>
      <w:pPr>
        <w:ind w:left="2880" w:hanging="360"/>
      </w:pPr>
      <w:rPr>
        <w:rFonts w:ascii="Symbol" w:hAnsi="Symbol"/>
      </w:rPr>
    </w:lvl>
    <w:lvl w:ilvl="4" w:tplc="59B4C374">
      <w:numFmt w:val="bullet"/>
      <w:lvlText w:val="o"/>
      <w:lvlJc w:val="left"/>
      <w:pPr>
        <w:ind w:left="3600" w:hanging="360"/>
      </w:pPr>
      <w:rPr>
        <w:rFonts w:ascii="Courier New" w:hAnsi="Courier New" w:cs="Courier New"/>
      </w:rPr>
    </w:lvl>
    <w:lvl w:ilvl="5" w:tplc="DD083618">
      <w:numFmt w:val="bullet"/>
      <w:lvlText w:val=""/>
      <w:lvlJc w:val="left"/>
      <w:pPr>
        <w:ind w:left="4320" w:hanging="360"/>
      </w:pPr>
      <w:rPr>
        <w:rFonts w:ascii="Wingdings" w:hAnsi="Wingdings"/>
      </w:rPr>
    </w:lvl>
    <w:lvl w:ilvl="6" w:tplc="A4C47BEE">
      <w:numFmt w:val="bullet"/>
      <w:lvlText w:val=""/>
      <w:lvlJc w:val="left"/>
      <w:pPr>
        <w:ind w:left="5040" w:hanging="360"/>
      </w:pPr>
      <w:rPr>
        <w:rFonts w:ascii="Symbol" w:hAnsi="Symbol"/>
      </w:rPr>
    </w:lvl>
    <w:lvl w:ilvl="7" w:tplc="D4BA90FE">
      <w:numFmt w:val="bullet"/>
      <w:lvlText w:val="o"/>
      <w:lvlJc w:val="left"/>
      <w:pPr>
        <w:ind w:left="5760" w:hanging="360"/>
      </w:pPr>
      <w:rPr>
        <w:rFonts w:ascii="Courier New" w:hAnsi="Courier New" w:cs="Courier New"/>
      </w:rPr>
    </w:lvl>
    <w:lvl w:ilvl="8" w:tplc="0502706A">
      <w:numFmt w:val="bullet"/>
      <w:lvlText w:val=""/>
      <w:lvlJc w:val="left"/>
      <w:pPr>
        <w:ind w:left="6480" w:hanging="360"/>
      </w:pPr>
      <w:rPr>
        <w:rFonts w:ascii="Wingdings" w:hAnsi="Wingdings"/>
      </w:rPr>
    </w:lvl>
  </w:abstractNum>
  <w:abstractNum w:abstractNumId="9" w15:restartNumberingAfterBreak="0">
    <w:nsid w:val="4E9156A1"/>
    <w:multiLevelType w:val="hybridMultilevel"/>
    <w:tmpl w:val="54F6E858"/>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0" w15:restartNumberingAfterBreak="0">
    <w:nsid w:val="53B03C38"/>
    <w:multiLevelType w:val="hybridMultilevel"/>
    <w:tmpl w:val="89E22C56"/>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1" w15:restartNumberingAfterBreak="0">
    <w:nsid w:val="5571137F"/>
    <w:multiLevelType w:val="hybridMultilevel"/>
    <w:tmpl w:val="62E4275A"/>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2" w15:restartNumberingAfterBreak="0">
    <w:nsid w:val="59B77FE7"/>
    <w:multiLevelType w:val="multilevel"/>
    <w:tmpl w:val="3D8A4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hint="default" w:ascii="Gill Sans MT" w:hAnsi="Gill Sans MT"/>
        <w:b/>
        <w:i w:val="0"/>
        <w:sz w:val="24"/>
      </w:rPr>
    </w:lvl>
    <w:lvl w:ilvl="1">
      <w:start w:val="1"/>
      <w:numFmt w:val="decimal"/>
      <w:lvlText w:val="%1.%2"/>
      <w:lvlJc w:val="left"/>
      <w:pPr>
        <w:tabs>
          <w:tab w:val="num" w:pos="720"/>
        </w:tabs>
        <w:ind w:left="720" w:hanging="720"/>
      </w:pPr>
      <w:rPr>
        <w:rFonts w:hint="default" w:ascii="Garamond" w:hAnsi="Garamond"/>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5CBB355A"/>
    <w:multiLevelType w:val="multilevel"/>
    <w:tmpl w:val="FA58C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1BC29ED"/>
    <w:multiLevelType w:val="multilevel"/>
    <w:tmpl w:val="5678B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7EB694F"/>
    <w:multiLevelType w:val="hybridMultilevel"/>
    <w:tmpl w:val="A82C098E"/>
    <w:lvl w:ilvl="0" w:tplc="EC446F2E">
      <w:start w:val="1"/>
      <w:numFmt w:val="decimal"/>
      <w:pStyle w:val="ListNumber"/>
      <w:lvlText w:val="%1."/>
      <w:lvlJc w:val="left"/>
      <w:pPr>
        <w:tabs>
          <w:tab w:val="num" w:pos="720"/>
        </w:tabs>
        <w:ind w:left="720" w:hanging="360"/>
      </w:pPr>
      <w:rPr>
        <w:b w:val="0"/>
      </w:rPr>
    </w:lvl>
    <w:lvl w:ilvl="1" w:tplc="A06A906A" w:tentative="1">
      <w:start w:val="1"/>
      <w:numFmt w:val="lowerLetter"/>
      <w:lvlText w:val="%2."/>
      <w:lvlJc w:val="left"/>
      <w:pPr>
        <w:tabs>
          <w:tab w:val="num" w:pos="1800"/>
        </w:tabs>
        <w:ind w:left="1800" w:hanging="360"/>
      </w:pPr>
    </w:lvl>
    <w:lvl w:ilvl="2" w:tplc="AB0A10BC" w:tentative="1">
      <w:start w:val="1"/>
      <w:numFmt w:val="lowerRoman"/>
      <w:lvlText w:val="%3."/>
      <w:lvlJc w:val="right"/>
      <w:pPr>
        <w:tabs>
          <w:tab w:val="num" w:pos="2520"/>
        </w:tabs>
        <w:ind w:left="2520" w:hanging="180"/>
      </w:pPr>
    </w:lvl>
    <w:lvl w:ilvl="3" w:tplc="4F284372" w:tentative="1">
      <w:start w:val="1"/>
      <w:numFmt w:val="decimal"/>
      <w:lvlText w:val="%4."/>
      <w:lvlJc w:val="left"/>
      <w:pPr>
        <w:tabs>
          <w:tab w:val="num" w:pos="3240"/>
        </w:tabs>
        <w:ind w:left="3240" w:hanging="360"/>
      </w:pPr>
    </w:lvl>
    <w:lvl w:ilvl="4" w:tplc="FB661510" w:tentative="1">
      <w:start w:val="1"/>
      <w:numFmt w:val="lowerLetter"/>
      <w:lvlText w:val="%5."/>
      <w:lvlJc w:val="left"/>
      <w:pPr>
        <w:tabs>
          <w:tab w:val="num" w:pos="3960"/>
        </w:tabs>
        <w:ind w:left="3960" w:hanging="360"/>
      </w:pPr>
    </w:lvl>
    <w:lvl w:ilvl="5" w:tplc="5B8A18B8" w:tentative="1">
      <w:start w:val="1"/>
      <w:numFmt w:val="lowerRoman"/>
      <w:lvlText w:val="%6."/>
      <w:lvlJc w:val="right"/>
      <w:pPr>
        <w:tabs>
          <w:tab w:val="num" w:pos="4680"/>
        </w:tabs>
        <w:ind w:left="4680" w:hanging="180"/>
      </w:pPr>
    </w:lvl>
    <w:lvl w:ilvl="6" w:tplc="9D2C12B8" w:tentative="1">
      <w:start w:val="1"/>
      <w:numFmt w:val="decimal"/>
      <w:lvlText w:val="%7."/>
      <w:lvlJc w:val="left"/>
      <w:pPr>
        <w:tabs>
          <w:tab w:val="num" w:pos="5400"/>
        </w:tabs>
        <w:ind w:left="5400" w:hanging="360"/>
      </w:pPr>
    </w:lvl>
    <w:lvl w:ilvl="7" w:tplc="7952C972" w:tentative="1">
      <w:start w:val="1"/>
      <w:numFmt w:val="lowerLetter"/>
      <w:lvlText w:val="%8."/>
      <w:lvlJc w:val="left"/>
      <w:pPr>
        <w:tabs>
          <w:tab w:val="num" w:pos="6120"/>
        </w:tabs>
        <w:ind w:left="6120" w:hanging="360"/>
      </w:pPr>
    </w:lvl>
    <w:lvl w:ilvl="8" w:tplc="CCECFBEC" w:tentative="1">
      <w:start w:val="1"/>
      <w:numFmt w:val="lowerRoman"/>
      <w:lvlText w:val="%9."/>
      <w:lvlJc w:val="right"/>
      <w:pPr>
        <w:tabs>
          <w:tab w:val="num" w:pos="6840"/>
        </w:tabs>
        <w:ind w:left="6840" w:hanging="180"/>
      </w:pPr>
    </w:lvl>
  </w:abstractNum>
  <w:abstractNum w:abstractNumId="17" w15:restartNumberingAfterBreak="0">
    <w:nsid w:val="686950D9"/>
    <w:multiLevelType w:val="multilevel"/>
    <w:tmpl w:val="0D6685C2"/>
    <w:lvl w:ilvl="0">
      <w:start w:val="1"/>
      <w:numFmt w:val="decimal"/>
      <w:pStyle w:val="Heading1"/>
      <w:lvlText w:val="%1"/>
      <w:lvlJc w:val="left"/>
      <w:pPr>
        <w:tabs>
          <w:tab w:val="num" w:pos="2843"/>
        </w:tabs>
        <w:ind w:left="2843" w:hanging="432"/>
      </w:pPr>
    </w:lvl>
    <w:lvl w:ilvl="1">
      <w:start w:val="1"/>
      <w:numFmt w:val="decimal"/>
      <w:pStyle w:val="Heading2"/>
      <w:lvlText w:val="%1.%2"/>
      <w:lvlJc w:val="left"/>
      <w:pPr>
        <w:tabs>
          <w:tab w:val="num" w:pos="576"/>
        </w:tabs>
        <w:ind w:left="576" w:hanging="576"/>
      </w:pPr>
      <w:rPr>
        <w:rFonts w:hint="default" w:ascii="Arial" w:hAnsi="Arial" w:cs="Arial"/>
        <w:b w:val="0"/>
        <w:i w:val="0"/>
        <w:sz w:val="24"/>
        <w:szCs w:val="24"/>
      </w:rPr>
    </w:lvl>
    <w:lvl w:ilvl="2">
      <w:start w:val="1"/>
      <w:numFmt w:val="bullet"/>
      <w:pStyle w:val="Heading3"/>
      <w:lvlText w:val=""/>
      <w:lvlJc w:val="left"/>
      <w:pPr>
        <w:tabs>
          <w:tab w:val="num" w:pos="720"/>
        </w:tabs>
        <w:ind w:left="720" w:hanging="720"/>
      </w:pPr>
      <w:rPr>
        <w:rFonts w:hint="default" w:ascii="Symbol" w:hAnsi="Symbol"/>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722F4DE6"/>
    <w:multiLevelType w:val="multilevel"/>
    <w:tmpl w:val="8EDE8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31C4C38"/>
    <w:multiLevelType w:val="hybridMultilevel"/>
    <w:tmpl w:val="901CF860"/>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20" w15:restartNumberingAfterBreak="0">
    <w:nsid w:val="741A6791"/>
    <w:multiLevelType w:val="multilevel"/>
    <w:tmpl w:val="D6E23894"/>
    <w:lvl w:ilvl="0">
      <w:start w:val="1"/>
      <w:numFmt w:val="bullet"/>
      <w:pStyle w:val="Bullets"/>
      <w:lvlText w:val=""/>
      <w:lvlJc w:val="left"/>
      <w:pPr>
        <w:tabs>
          <w:tab w:val="num" w:pos="1440"/>
        </w:tabs>
        <w:ind w:left="1440" w:hanging="720"/>
      </w:pPr>
      <w:rPr>
        <w:rFonts w:hint="default" w:ascii="Symbol" w:hAnsi="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BB141E"/>
    <w:multiLevelType w:val="hybridMultilevel"/>
    <w:tmpl w:val="E6528D44"/>
    <w:lvl w:ilvl="0" w:tplc="037604F0">
      <w:start w:val="1"/>
      <w:numFmt w:val="lowerRoman"/>
      <w:pStyle w:val="ListRoman"/>
      <w:lvlText w:val="%1)"/>
      <w:lvlJc w:val="left"/>
      <w:pPr>
        <w:tabs>
          <w:tab w:val="num" w:pos="1440"/>
        </w:tabs>
        <w:ind w:left="1440" w:hanging="720"/>
      </w:pPr>
    </w:lvl>
    <w:lvl w:ilvl="1" w:tplc="CBBC750C">
      <w:numFmt w:val="decimal"/>
      <w:lvlText w:val=""/>
      <w:lvlJc w:val="left"/>
    </w:lvl>
    <w:lvl w:ilvl="2" w:tplc="A8EC173C">
      <w:numFmt w:val="decimal"/>
      <w:lvlText w:val=""/>
      <w:lvlJc w:val="left"/>
    </w:lvl>
    <w:lvl w:ilvl="3" w:tplc="A704B21C">
      <w:numFmt w:val="decimal"/>
      <w:lvlText w:val=""/>
      <w:lvlJc w:val="left"/>
    </w:lvl>
    <w:lvl w:ilvl="4" w:tplc="8C4A6788">
      <w:numFmt w:val="decimal"/>
      <w:lvlText w:val=""/>
      <w:lvlJc w:val="left"/>
    </w:lvl>
    <w:lvl w:ilvl="5" w:tplc="3AF8873A">
      <w:numFmt w:val="decimal"/>
      <w:lvlText w:val=""/>
      <w:lvlJc w:val="left"/>
    </w:lvl>
    <w:lvl w:ilvl="6" w:tplc="51CC883C">
      <w:numFmt w:val="decimal"/>
      <w:lvlText w:val=""/>
      <w:lvlJc w:val="left"/>
    </w:lvl>
    <w:lvl w:ilvl="7" w:tplc="F6FEFD76">
      <w:numFmt w:val="decimal"/>
      <w:lvlText w:val=""/>
      <w:lvlJc w:val="left"/>
    </w:lvl>
    <w:lvl w:ilvl="8" w:tplc="5E102940">
      <w:numFmt w:val="decimal"/>
      <w:lvlText w:val=""/>
      <w:lvlJc w:val="left"/>
    </w:lvl>
  </w:abstractNum>
  <w:num w:numId="1" w16cid:durableId="1066030222">
    <w:abstractNumId w:val="13"/>
  </w:num>
  <w:num w:numId="2" w16cid:durableId="1341589358">
    <w:abstractNumId w:val="20"/>
  </w:num>
  <w:num w:numId="3" w16cid:durableId="2008942374">
    <w:abstractNumId w:val="21"/>
  </w:num>
  <w:num w:numId="4" w16cid:durableId="622228952">
    <w:abstractNumId w:val="16"/>
  </w:num>
  <w:num w:numId="5" w16cid:durableId="1873688771">
    <w:abstractNumId w:val="7"/>
  </w:num>
  <w:num w:numId="6" w16cid:durableId="1180584418">
    <w:abstractNumId w:val="17"/>
  </w:num>
  <w:num w:numId="7" w16cid:durableId="1634216883">
    <w:abstractNumId w:val="8"/>
  </w:num>
  <w:num w:numId="8" w16cid:durableId="457266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6763729">
    <w:abstractNumId w:val="19"/>
  </w:num>
  <w:num w:numId="10" w16cid:durableId="1727951439">
    <w:abstractNumId w:val="9"/>
  </w:num>
  <w:num w:numId="11" w16cid:durableId="195847656">
    <w:abstractNumId w:val="4"/>
  </w:num>
  <w:num w:numId="12" w16cid:durableId="1052116033">
    <w:abstractNumId w:val="11"/>
  </w:num>
  <w:num w:numId="13" w16cid:durableId="1488328403">
    <w:abstractNumId w:val="10"/>
  </w:num>
  <w:num w:numId="14" w16cid:durableId="3652588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0533884">
    <w:abstractNumId w:val="3"/>
  </w:num>
  <w:num w:numId="16" w16cid:durableId="603268090">
    <w:abstractNumId w:val="6"/>
  </w:num>
  <w:num w:numId="17" w16cid:durableId="301690546">
    <w:abstractNumId w:val="1"/>
  </w:num>
  <w:num w:numId="18" w16cid:durableId="807167835">
    <w:abstractNumId w:val="5"/>
  </w:num>
  <w:num w:numId="19" w16cid:durableId="1784380383">
    <w:abstractNumId w:val="15"/>
  </w:num>
  <w:num w:numId="20" w16cid:durableId="150144485">
    <w:abstractNumId w:val="18"/>
  </w:num>
  <w:num w:numId="21" w16cid:durableId="844519298">
    <w:abstractNumId w:val="12"/>
  </w:num>
  <w:num w:numId="22" w16cid:durableId="1424305122">
    <w:abstractNumId w:val="14"/>
  </w:num>
  <w:num w:numId="23" w16cid:durableId="1893954076">
    <w:abstractNumId w:val="2"/>
  </w:num>
  <w:num w:numId="24" w16cid:durableId="328366582">
    <w:abstractNumId w:val="17"/>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6"/>
    <w:rsid w:val="0000015F"/>
    <w:rsid w:val="0000063D"/>
    <w:rsid w:val="000006B6"/>
    <w:rsid w:val="00000986"/>
    <w:rsid w:val="00000D09"/>
    <w:rsid w:val="00000E29"/>
    <w:rsid w:val="00001137"/>
    <w:rsid w:val="00001CB0"/>
    <w:rsid w:val="00001FF1"/>
    <w:rsid w:val="00002713"/>
    <w:rsid w:val="000038C3"/>
    <w:rsid w:val="00003BE7"/>
    <w:rsid w:val="00003CD2"/>
    <w:rsid w:val="00003D4F"/>
    <w:rsid w:val="00004760"/>
    <w:rsid w:val="00004FAA"/>
    <w:rsid w:val="00005116"/>
    <w:rsid w:val="000051D3"/>
    <w:rsid w:val="00005283"/>
    <w:rsid w:val="00005287"/>
    <w:rsid w:val="00005426"/>
    <w:rsid w:val="00005B68"/>
    <w:rsid w:val="00006305"/>
    <w:rsid w:val="00006802"/>
    <w:rsid w:val="00006A0B"/>
    <w:rsid w:val="0000709F"/>
    <w:rsid w:val="0000717F"/>
    <w:rsid w:val="00007181"/>
    <w:rsid w:val="00007507"/>
    <w:rsid w:val="00007578"/>
    <w:rsid w:val="000076C4"/>
    <w:rsid w:val="00007AEF"/>
    <w:rsid w:val="00010779"/>
    <w:rsid w:val="0001081C"/>
    <w:rsid w:val="00010D4A"/>
    <w:rsid w:val="00011852"/>
    <w:rsid w:val="0001282F"/>
    <w:rsid w:val="0001308E"/>
    <w:rsid w:val="0001313E"/>
    <w:rsid w:val="000131F4"/>
    <w:rsid w:val="0001367A"/>
    <w:rsid w:val="00013873"/>
    <w:rsid w:val="0001419E"/>
    <w:rsid w:val="000147C3"/>
    <w:rsid w:val="000148BB"/>
    <w:rsid w:val="00014DC8"/>
    <w:rsid w:val="000150FA"/>
    <w:rsid w:val="00015147"/>
    <w:rsid w:val="00015AC5"/>
    <w:rsid w:val="00015B79"/>
    <w:rsid w:val="00016C62"/>
    <w:rsid w:val="00016E4E"/>
    <w:rsid w:val="00017527"/>
    <w:rsid w:val="00017B33"/>
    <w:rsid w:val="00017D33"/>
    <w:rsid w:val="000203E4"/>
    <w:rsid w:val="0002153D"/>
    <w:rsid w:val="00021889"/>
    <w:rsid w:val="00022364"/>
    <w:rsid w:val="000227B5"/>
    <w:rsid w:val="000227DE"/>
    <w:rsid w:val="0002328D"/>
    <w:rsid w:val="00023315"/>
    <w:rsid w:val="00023ABF"/>
    <w:rsid w:val="00023FAC"/>
    <w:rsid w:val="00024561"/>
    <w:rsid w:val="000246D0"/>
    <w:rsid w:val="00024A1C"/>
    <w:rsid w:val="00024BE8"/>
    <w:rsid w:val="00024CC8"/>
    <w:rsid w:val="0002502E"/>
    <w:rsid w:val="0002541A"/>
    <w:rsid w:val="000262D8"/>
    <w:rsid w:val="00026580"/>
    <w:rsid w:val="0002687A"/>
    <w:rsid w:val="00026E9B"/>
    <w:rsid w:val="000272E2"/>
    <w:rsid w:val="000272FD"/>
    <w:rsid w:val="000279E3"/>
    <w:rsid w:val="00027AC8"/>
    <w:rsid w:val="00027E8D"/>
    <w:rsid w:val="0003000D"/>
    <w:rsid w:val="0003094E"/>
    <w:rsid w:val="00030B89"/>
    <w:rsid w:val="00030DDE"/>
    <w:rsid w:val="00030F42"/>
    <w:rsid w:val="0003101C"/>
    <w:rsid w:val="00031589"/>
    <w:rsid w:val="00031DC0"/>
    <w:rsid w:val="00031DE1"/>
    <w:rsid w:val="00032AE0"/>
    <w:rsid w:val="00032B1D"/>
    <w:rsid w:val="00032EE6"/>
    <w:rsid w:val="0003322B"/>
    <w:rsid w:val="000332C4"/>
    <w:rsid w:val="00033619"/>
    <w:rsid w:val="00033CF2"/>
    <w:rsid w:val="0003405F"/>
    <w:rsid w:val="000340B1"/>
    <w:rsid w:val="000341CF"/>
    <w:rsid w:val="00034227"/>
    <w:rsid w:val="000348E2"/>
    <w:rsid w:val="00034BB0"/>
    <w:rsid w:val="00034CB1"/>
    <w:rsid w:val="00034E36"/>
    <w:rsid w:val="00034F66"/>
    <w:rsid w:val="00035A9E"/>
    <w:rsid w:val="00035AE2"/>
    <w:rsid w:val="00035D55"/>
    <w:rsid w:val="00035D7D"/>
    <w:rsid w:val="00035DEA"/>
    <w:rsid w:val="00036262"/>
    <w:rsid w:val="00036692"/>
    <w:rsid w:val="00036AB1"/>
    <w:rsid w:val="00036EA6"/>
    <w:rsid w:val="0003781D"/>
    <w:rsid w:val="00037885"/>
    <w:rsid w:val="00037A03"/>
    <w:rsid w:val="00040368"/>
    <w:rsid w:val="000403AE"/>
    <w:rsid w:val="0004051B"/>
    <w:rsid w:val="00040759"/>
    <w:rsid w:val="000408BA"/>
    <w:rsid w:val="00040E71"/>
    <w:rsid w:val="000419DC"/>
    <w:rsid w:val="0004231B"/>
    <w:rsid w:val="00042615"/>
    <w:rsid w:val="00042639"/>
    <w:rsid w:val="000426E1"/>
    <w:rsid w:val="000430C4"/>
    <w:rsid w:val="0004330E"/>
    <w:rsid w:val="00043681"/>
    <w:rsid w:val="00043B05"/>
    <w:rsid w:val="00043C1F"/>
    <w:rsid w:val="00043DF5"/>
    <w:rsid w:val="00044107"/>
    <w:rsid w:val="00044377"/>
    <w:rsid w:val="0004471E"/>
    <w:rsid w:val="00044E68"/>
    <w:rsid w:val="00044F6B"/>
    <w:rsid w:val="000451DD"/>
    <w:rsid w:val="00045277"/>
    <w:rsid w:val="000455B3"/>
    <w:rsid w:val="00045833"/>
    <w:rsid w:val="000459EB"/>
    <w:rsid w:val="00045CB0"/>
    <w:rsid w:val="00045CCD"/>
    <w:rsid w:val="00045DA3"/>
    <w:rsid w:val="000466E5"/>
    <w:rsid w:val="00046B4F"/>
    <w:rsid w:val="0004709F"/>
    <w:rsid w:val="000473A5"/>
    <w:rsid w:val="000477CE"/>
    <w:rsid w:val="00047CE1"/>
    <w:rsid w:val="00050009"/>
    <w:rsid w:val="0005010C"/>
    <w:rsid w:val="00050219"/>
    <w:rsid w:val="00050698"/>
    <w:rsid w:val="00050943"/>
    <w:rsid w:val="00051A78"/>
    <w:rsid w:val="00052A57"/>
    <w:rsid w:val="00053793"/>
    <w:rsid w:val="00053A2A"/>
    <w:rsid w:val="00053A2B"/>
    <w:rsid w:val="0005416B"/>
    <w:rsid w:val="0005570D"/>
    <w:rsid w:val="00055ACA"/>
    <w:rsid w:val="00055F9B"/>
    <w:rsid w:val="00056465"/>
    <w:rsid w:val="00056AAA"/>
    <w:rsid w:val="000570C5"/>
    <w:rsid w:val="0006071D"/>
    <w:rsid w:val="00061429"/>
    <w:rsid w:val="00061D40"/>
    <w:rsid w:val="0006218B"/>
    <w:rsid w:val="00062201"/>
    <w:rsid w:val="000625DA"/>
    <w:rsid w:val="000629F0"/>
    <w:rsid w:val="00062DA2"/>
    <w:rsid w:val="00062DFD"/>
    <w:rsid w:val="000635EC"/>
    <w:rsid w:val="0006362B"/>
    <w:rsid w:val="0006362F"/>
    <w:rsid w:val="00063ACE"/>
    <w:rsid w:val="00064805"/>
    <w:rsid w:val="00064A67"/>
    <w:rsid w:val="00064AEA"/>
    <w:rsid w:val="00064D62"/>
    <w:rsid w:val="00064EA8"/>
    <w:rsid w:val="000661CF"/>
    <w:rsid w:val="000664B1"/>
    <w:rsid w:val="000667A7"/>
    <w:rsid w:val="00066A49"/>
    <w:rsid w:val="00066DEA"/>
    <w:rsid w:val="00067086"/>
    <w:rsid w:val="00070167"/>
    <w:rsid w:val="00070271"/>
    <w:rsid w:val="0007067E"/>
    <w:rsid w:val="00070A69"/>
    <w:rsid w:val="00070B48"/>
    <w:rsid w:val="00070EF1"/>
    <w:rsid w:val="00071084"/>
    <w:rsid w:val="0007127C"/>
    <w:rsid w:val="000715D2"/>
    <w:rsid w:val="00071790"/>
    <w:rsid w:val="00071905"/>
    <w:rsid w:val="000721AF"/>
    <w:rsid w:val="00072407"/>
    <w:rsid w:val="00072725"/>
    <w:rsid w:val="00072A0D"/>
    <w:rsid w:val="00072B0E"/>
    <w:rsid w:val="0007323A"/>
    <w:rsid w:val="0007394D"/>
    <w:rsid w:val="00073BB3"/>
    <w:rsid w:val="00073E0C"/>
    <w:rsid w:val="00073F16"/>
    <w:rsid w:val="0007413A"/>
    <w:rsid w:val="00074542"/>
    <w:rsid w:val="0007477B"/>
    <w:rsid w:val="000748BE"/>
    <w:rsid w:val="00074EB6"/>
    <w:rsid w:val="00074FA6"/>
    <w:rsid w:val="000752BE"/>
    <w:rsid w:val="00075390"/>
    <w:rsid w:val="000754B5"/>
    <w:rsid w:val="000767B2"/>
    <w:rsid w:val="00076FA4"/>
    <w:rsid w:val="000772A0"/>
    <w:rsid w:val="00077D3B"/>
    <w:rsid w:val="00077EC2"/>
    <w:rsid w:val="00077EE9"/>
    <w:rsid w:val="00077F25"/>
    <w:rsid w:val="00080840"/>
    <w:rsid w:val="00080CCD"/>
    <w:rsid w:val="00080DEC"/>
    <w:rsid w:val="00080E04"/>
    <w:rsid w:val="00080FE5"/>
    <w:rsid w:val="0008154B"/>
    <w:rsid w:val="00081772"/>
    <w:rsid w:val="00081866"/>
    <w:rsid w:val="000819CB"/>
    <w:rsid w:val="00081A0A"/>
    <w:rsid w:val="00081C3D"/>
    <w:rsid w:val="000832AF"/>
    <w:rsid w:val="00083699"/>
    <w:rsid w:val="00084815"/>
    <w:rsid w:val="00084875"/>
    <w:rsid w:val="00084DB3"/>
    <w:rsid w:val="00085306"/>
    <w:rsid w:val="00085983"/>
    <w:rsid w:val="0008642F"/>
    <w:rsid w:val="00087177"/>
    <w:rsid w:val="000878A8"/>
    <w:rsid w:val="00090212"/>
    <w:rsid w:val="00090C58"/>
    <w:rsid w:val="00090DCD"/>
    <w:rsid w:val="00091394"/>
    <w:rsid w:val="000913FE"/>
    <w:rsid w:val="00092343"/>
    <w:rsid w:val="000928B7"/>
    <w:rsid w:val="00092995"/>
    <w:rsid w:val="00092A85"/>
    <w:rsid w:val="00093217"/>
    <w:rsid w:val="0009379B"/>
    <w:rsid w:val="000938C6"/>
    <w:rsid w:val="00093A24"/>
    <w:rsid w:val="00093A75"/>
    <w:rsid w:val="0009404B"/>
    <w:rsid w:val="0009404C"/>
    <w:rsid w:val="000940D1"/>
    <w:rsid w:val="000947C7"/>
    <w:rsid w:val="00094B12"/>
    <w:rsid w:val="00094BA9"/>
    <w:rsid w:val="000963FF"/>
    <w:rsid w:val="00096A22"/>
    <w:rsid w:val="00096CA2"/>
    <w:rsid w:val="00097583"/>
    <w:rsid w:val="00097F85"/>
    <w:rsid w:val="000A045A"/>
    <w:rsid w:val="000A0EFF"/>
    <w:rsid w:val="000A1CCC"/>
    <w:rsid w:val="000A2082"/>
    <w:rsid w:val="000A268D"/>
    <w:rsid w:val="000A27AC"/>
    <w:rsid w:val="000A2BB4"/>
    <w:rsid w:val="000A2C91"/>
    <w:rsid w:val="000A4596"/>
    <w:rsid w:val="000A4BF9"/>
    <w:rsid w:val="000A524F"/>
    <w:rsid w:val="000A53D4"/>
    <w:rsid w:val="000A5797"/>
    <w:rsid w:val="000A5AAB"/>
    <w:rsid w:val="000A5ADB"/>
    <w:rsid w:val="000A5D39"/>
    <w:rsid w:val="000A721B"/>
    <w:rsid w:val="000A7251"/>
    <w:rsid w:val="000A774B"/>
    <w:rsid w:val="000A785E"/>
    <w:rsid w:val="000A7A45"/>
    <w:rsid w:val="000B022B"/>
    <w:rsid w:val="000B023E"/>
    <w:rsid w:val="000B07F1"/>
    <w:rsid w:val="000B0BD7"/>
    <w:rsid w:val="000B1051"/>
    <w:rsid w:val="000B177C"/>
    <w:rsid w:val="000B1C16"/>
    <w:rsid w:val="000B1D75"/>
    <w:rsid w:val="000B1E6B"/>
    <w:rsid w:val="000B1FDE"/>
    <w:rsid w:val="000B2300"/>
    <w:rsid w:val="000B2359"/>
    <w:rsid w:val="000B28C3"/>
    <w:rsid w:val="000B2A1A"/>
    <w:rsid w:val="000B2A64"/>
    <w:rsid w:val="000B2DBC"/>
    <w:rsid w:val="000B2F18"/>
    <w:rsid w:val="000B39D8"/>
    <w:rsid w:val="000B40DE"/>
    <w:rsid w:val="000B41F1"/>
    <w:rsid w:val="000B4405"/>
    <w:rsid w:val="000B46EC"/>
    <w:rsid w:val="000B4761"/>
    <w:rsid w:val="000B486B"/>
    <w:rsid w:val="000B4936"/>
    <w:rsid w:val="000B4B63"/>
    <w:rsid w:val="000B5763"/>
    <w:rsid w:val="000B5BC6"/>
    <w:rsid w:val="000B60B0"/>
    <w:rsid w:val="000B60B4"/>
    <w:rsid w:val="000B662A"/>
    <w:rsid w:val="000B6F21"/>
    <w:rsid w:val="000B7107"/>
    <w:rsid w:val="000B7111"/>
    <w:rsid w:val="000B72CD"/>
    <w:rsid w:val="000B7364"/>
    <w:rsid w:val="000C0294"/>
    <w:rsid w:val="000C06AB"/>
    <w:rsid w:val="000C0AD8"/>
    <w:rsid w:val="000C0BC0"/>
    <w:rsid w:val="000C0C4D"/>
    <w:rsid w:val="000C15CC"/>
    <w:rsid w:val="000C290D"/>
    <w:rsid w:val="000C2AA5"/>
    <w:rsid w:val="000C2AAF"/>
    <w:rsid w:val="000C2CCC"/>
    <w:rsid w:val="000C315C"/>
    <w:rsid w:val="000C3863"/>
    <w:rsid w:val="000C3B63"/>
    <w:rsid w:val="000C3F5E"/>
    <w:rsid w:val="000C400E"/>
    <w:rsid w:val="000C4289"/>
    <w:rsid w:val="000C42C3"/>
    <w:rsid w:val="000C45D7"/>
    <w:rsid w:val="000C4777"/>
    <w:rsid w:val="000C48E4"/>
    <w:rsid w:val="000C527F"/>
    <w:rsid w:val="000C55DC"/>
    <w:rsid w:val="000C5E08"/>
    <w:rsid w:val="000C5F33"/>
    <w:rsid w:val="000C636F"/>
    <w:rsid w:val="000C6822"/>
    <w:rsid w:val="000C6C46"/>
    <w:rsid w:val="000C6F30"/>
    <w:rsid w:val="000C7632"/>
    <w:rsid w:val="000C7E1D"/>
    <w:rsid w:val="000D03E9"/>
    <w:rsid w:val="000D07ED"/>
    <w:rsid w:val="000D1249"/>
    <w:rsid w:val="000D1298"/>
    <w:rsid w:val="000D13CF"/>
    <w:rsid w:val="000D1B3C"/>
    <w:rsid w:val="000D1CBB"/>
    <w:rsid w:val="000D1D25"/>
    <w:rsid w:val="000D25BB"/>
    <w:rsid w:val="000D28ED"/>
    <w:rsid w:val="000D2A31"/>
    <w:rsid w:val="000D3A0D"/>
    <w:rsid w:val="000D3D78"/>
    <w:rsid w:val="000D40D4"/>
    <w:rsid w:val="000D46CA"/>
    <w:rsid w:val="000D4725"/>
    <w:rsid w:val="000D4C45"/>
    <w:rsid w:val="000D4D28"/>
    <w:rsid w:val="000D51B9"/>
    <w:rsid w:val="000D567A"/>
    <w:rsid w:val="000D5852"/>
    <w:rsid w:val="000D5B9E"/>
    <w:rsid w:val="000D610C"/>
    <w:rsid w:val="000D6412"/>
    <w:rsid w:val="000D681E"/>
    <w:rsid w:val="000D6BBD"/>
    <w:rsid w:val="000D6FE4"/>
    <w:rsid w:val="000D7886"/>
    <w:rsid w:val="000D799B"/>
    <w:rsid w:val="000D79C6"/>
    <w:rsid w:val="000E00D7"/>
    <w:rsid w:val="000E02A2"/>
    <w:rsid w:val="000E03AB"/>
    <w:rsid w:val="000E143E"/>
    <w:rsid w:val="000E1483"/>
    <w:rsid w:val="000E1557"/>
    <w:rsid w:val="000E1849"/>
    <w:rsid w:val="000E1F95"/>
    <w:rsid w:val="000E2196"/>
    <w:rsid w:val="000E28C2"/>
    <w:rsid w:val="000E29DE"/>
    <w:rsid w:val="000E2D8F"/>
    <w:rsid w:val="000E30EE"/>
    <w:rsid w:val="000E339A"/>
    <w:rsid w:val="000E3828"/>
    <w:rsid w:val="000E3832"/>
    <w:rsid w:val="000E39EA"/>
    <w:rsid w:val="000E3BC3"/>
    <w:rsid w:val="000E4793"/>
    <w:rsid w:val="000E52B3"/>
    <w:rsid w:val="000E601C"/>
    <w:rsid w:val="000E64B5"/>
    <w:rsid w:val="000E650E"/>
    <w:rsid w:val="000E65E5"/>
    <w:rsid w:val="000E671A"/>
    <w:rsid w:val="000E6892"/>
    <w:rsid w:val="000E6ABC"/>
    <w:rsid w:val="000E6C84"/>
    <w:rsid w:val="000E7284"/>
    <w:rsid w:val="000E7C7B"/>
    <w:rsid w:val="000F037B"/>
    <w:rsid w:val="000F0387"/>
    <w:rsid w:val="000F06B7"/>
    <w:rsid w:val="000F0779"/>
    <w:rsid w:val="000F0E84"/>
    <w:rsid w:val="000F136A"/>
    <w:rsid w:val="000F1421"/>
    <w:rsid w:val="000F1A7D"/>
    <w:rsid w:val="000F1D1C"/>
    <w:rsid w:val="000F1DD2"/>
    <w:rsid w:val="000F243C"/>
    <w:rsid w:val="000F2D5C"/>
    <w:rsid w:val="000F30D9"/>
    <w:rsid w:val="000F3218"/>
    <w:rsid w:val="000F3303"/>
    <w:rsid w:val="000F436D"/>
    <w:rsid w:val="000F43BC"/>
    <w:rsid w:val="000F4D62"/>
    <w:rsid w:val="000F503D"/>
    <w:rsid w:val="000F525E"/>
    <w:rsid w:val="000F5DB5"/>
    <w:rsid w:val="000F6539"/>
    <w:rsid w:val="000F68BF"/>
    <w:rsid w:val="000F7305"/>
    <w:rsid w:val="00100697"/>
    <w:rsid w:val="001006E7"/>
    <w:rsid w:val="00100A7F"/>
    <w:rsid w:val="001010EA"/>
    <w:rsid w:val="00101301"/>
    <w:rsid w:val="0010141B"/>
    <w:rsid w:val="00101E5F"/>
    <w:rsid w:val="001021E3"/>
    <w:rsid w:val="00102631"/>
    <w:rsid w:val="00102DE4"/>
    <w:rsid w:val="00102F0C"/>
    <w:rsid w:val="00103126"/>
    <w:rsid w:val="00103282"/>
    <w:rsid w:val="001034C6"/>
    <w:rsid w:val="00103760"/>
    <w:rsid w:val="00103807"/>
    <w:rsid w:val="00103B18"/>
    <w:rsid w:val="00105941"/>
    <w:rsid w:val="00105C17"/>
    <w:rsid w:val="00106493"/>
    <w:rsid w:val="0010665A"/>
    <w:rsid w:val="00107944"/>
    <w:rsid w:val="00107C12"/>
    <w:rsid w:val="00110311"/>
    <w:rsid w:val="001106C2"/>
    <w:rsid w:val="00110841"/>
    <w:rsid w:val="00110A46"/>
    <w:rsid w:val="00110A68"/>
    <w:rsid w:val="00110E01"/>
    <w:rsid w:val="00110FDC"/>
    <w:rsid w:val="00111758"/>
    <w:rsid w:val="00111E42"/>
    <w:rsid w:val="00111EB9"/>
    <w:rsid w:val="00112067"/>
    <w:rsid w:val="00112077"/>
    <w:rsid w:val="001123E0"/>
    <w:rsid w:val="00113026"/>
    <w:rsid w:val="0011397B"/>
    <w:rsid w:val="00114D55"/>
    <w:rsid w:val="00115112"/>
    <w:rsid w:val="001153CB"/>
    <w:rsid w:val="00115684"/>
    <w:rsid w:val="00115711"/>
    <w:rsid w:val="001164BC"/>
    <w:rsid w:val="001168EA"/>
    <w:rsid w:val="00116A8E"/>
    <w:rsid w:val="00116BFC"/>
    <w:rsid w:val="001170C1"/>
    <w:rsid w:val="001176D1"/>
    <w:rsid w:val="00117A28"/>
    <w:rsid w:val="00117D9E"/>
    <w:rsid w:val="00117EE0"/>
    <w:rsid w:val="00120BA8"/>
    <w:rsid w:val="00120C65"/>
    <w:rsid w:val="00120DB6"/>
    <w:rsid w:val="0012133A"/>
    <w:rsid w:val="00121854"/>
    <w:rsid w:val="00121BF1"/>
    <w:rsid w:val="00122239"/>
    <w:rsid w:val="00122776"/>
    <w:rsid w:val="001227D3"/>
    <w:rsid w:val="00122A03"/>
    <w:rsid w:val="001231B5"/>
    <w:rsid w:val="0012322B"/>
    <w:rsid w:val="00123C3F"/>
    <w:rsid w:val="00124F02"/>
    <w:rsid w:val="001252C7"/>
    <w:rsid w:val="00125717"/>
    <w:rsid w:val="00125776"/>
    <w:rsid w:val="00125A3F"/>
    <w:rsid w:val="00125CB4"/>
    <w:rsid w:val="00125F27"/>
    <w:rsid w:val="0012661C"/>
    <w:rsid w:val="00126B89"/>
    <w:rsid w:val="00126EBE"/>
    <w:rsid w:val="00127052"/>
    <w:rsid w:val="00127255"/>
    <w:rsid w:val="00127451"/>
    <w:rsid w:val="00127647"/>
    <w:rsid w:val="00127726"/>
    <w:rsid w:val="00127DBB"/>
    <w:rsid w:val="00130018"/>
    <w:rsid w:val="0013037F"/>
    <w:rsid w:val="00130A74"/>
    <w:rsid w:val="00130F2F"/>
    <w:rsid w:val="0013227E"/>
    <w:rsid w:val="001339F7"/>
    <w:rsid w:val="00134189"/>
    <w:rsid w:val="001341C6"/>
    <w:rsid w:val="001342AB"/>
    <w:rsid w:val="00134D55"/>
    <w:rsid w:val="00135348"/>
    <w:rsid w:val="001356FD"/>
    <w:rsid w:val="001357E8"/>
    <w:rsid w:val="00135A53"/>
    <w:rsid w:val="00135B87"/>
    <w:rsid w:val="00135D73"/>
    <w:rsid w:val="00135E9A"/>
    <w:rsid w:val="001361CE"/>
    <w:rsid w:val="00136471"/>
    <w:rsid w:val="0013714B"/>
    <w:rsid w:val="00137511"/>
    <w:rsid w:val="0013754C"/>
    <w:rsid w:val="0013771C"/>
    <w:rsid w:val="00137B69"/>
    <w:rsid w:val="0014014E"/>
    <w:rsid w:val="001407FE"/>
    <w:rsid w:val="00140D2C"/>
    <w:rsid w:val="00141055"/>
    <w:rsid w:val="001411F1"/>
    <w:rsid w:val="00141632"/>
    <w:rsid w:val="00141BDA"/>
    <w:rsid w:val="00141C59"/>
    <w:rsid w:val="00141DFF"/>
    <w:rsid w:val="00142B74"/>
    <w:rsid w:val="00142D31"/>
    <w:rsid w:val="00142DC7"/>
    <w:rsid w:val="00144226"/>
    <w:rsid w:val="00145388"/>
    <w:rsid w:val="00146200"/>
    <w:rsid w:val="0014621E"/>
    <w:rsid w:val="001469E0"/>
    <w:rsid w:val="00146B85"/>
    <w:rsid w:val="00147DB1"/>
    <w:rsid w:val="00147E1B"/>
    <w:rsid w:val="00150372"/>
    <w:rsid w:val="001509EB"/>
    <w:rsid w:val="0015165F"/>
    <w:rsid w:val="001516B4"/>
    <w:rsid w:val="001518B5"/>
    <w:rsid w:val="00151A7E"/>
    <w:rsid w:val="00151E13"/>
    <w:rsid w:val="00152281"/>
    <w:rsid w:val="0015281F"/>
    <w:rsid w:val="00152C4A"/>
    <w:rsid w:val="00152F11"/>
    <w:rsid w:val="00153114"/>
    <w:rsid w:val="001540BC"/>
    <w:rsid w:val="0015450B"/>
    <w:rsid w:val="001549C6"/>
    <w:rsid w:val="00154DC3"/>
    <w:rsid w:val="0015543F"/>
    <w:rsid w:val="0015603A"/>
    <w:rsid w:val="00156C88"/>
    <w:rsid w:val="00157065"/>
    <w:rsid w:val="001570ED"/>
    <w:rsid w:val="00157BFF"/>
    <w:rsid w:val="00157C32"/>
    <w:rsid w:val="0016050D"/>
    <w:rsid w:val="00160645"/>
    <w:rsid w:val="00161A0B"/>
    <w:rsid w:val="00161A9E"/>
    <w:rsid w:val="00161AE6"/>
    <w:rsid w:val="00161CE7"/>
    <w:rsid w:val="00161F41"/>
    <w:rsid w:val="001630EB"/>
    <w:rsid w:val="0016329B"/>
    <w:rsid w:val="001632A8"/>
    <w:rsid w:val="00163430"/>
    <w:rsid w:val="001638DC"/>
    <w:rsid w:val="00163A17"/>
    <w:rsid w:val="00163EFF"/>
    <w:rsid w:val="00164533"/>
    <w:rsid w:val="00165142"/>
    <w:rsid w:val="00165676"/>
    <w:rsid w:val="00165985"/>
    <w:rsid w:val="00166341"/>
    <w:rsid w:val="001663E9"/>
    <w:rsid w:val="001665B7"/>
    <w:rsid w:val="0016698F"/>
    <w:rsid w:val="0016726A"/>
    <w:rsid w:val="00167635"/>
    <w:rsid w:val="00167886"/>
    <w:rsid w:val="00167B47"/>
    <w:rsid w:val="00167B76"/>
    <w:rsid w:val="00167EB8"/>
    <w:rsid w:val="0017037F"/>
    <w:rsid w:val="00170901"/>
    <w:rsid w:val="00170F4E"/>
    <w:rsid w:val="001710BE"/>
    <w:rsid w:val="0017112F"/>
    <w:rsid w:val="00171A37"/>
    <w:rsid w:val="00171AEC"/>
    <w:rsid w:val="00171BE9"/>
    <w:rsid w:val="00171D13"/>
    <w:rsid w:val="00171D25"/>
    <w:rsid w:val="00171D93"/>
    <w:rsid w:val="00171E7A"/>
    <w:rsid w:val="0017223C"/>
    <w:rsid w:val="001723B2"/>
    <w:rsid w:val="001723BE"/>
    <w:rsid w:val="00172474"/>
    <w:rsid w:val="00172539"/>
    <w:rsid w:val="001728DE"/>
    <w:rsid w:val="00173088"/>
    <w:rsid w:val="001732F9"/>
    <w:rsid w:val="0017342D"/>
    <w:rsid w:val="001734A2"/>
    <w:rsid w:val="00174326"/>
    <w:rsid w:val="001743B9"/>
    <w:rsid w:val="00174C03"/>
    <w:rsid w:val="00175028"/>
    <w:rsid w:val="001756DE"/>
    <w:rsid w:val="0017580F"/>
    <w:rsid w:val="0017583D"/>
    <w:rsid w:val="001758EA"/>
    <w:rsid w:val="00175CD6"/>
    <w:rsid w:val="001763B2"/>
    <w:rsid w:val="00176443"/>
    <w:rsid w:val="001769B7"/>
    <w:rsid w:val="00176C1B"/>
    <w:rsid w:val="00176C68"/>
    <w:rsid w:val="001776E0"/>
    <w:rsid w:val="001778C8"/>
    <w:rsid w:val="00177CCF"/>
    <w:rsid w:val="00180870"/>
    <w:rsid w:val="00180FF6"/>
    <w:rsid w:val="001812B1"/>
    <w:rsid w:val="001815EB"/>
    <w:rsid w:val="00181762"/>
    <w:rsid w:val="0018248A"/>
    <w:rsid w:val="00182D8A"/>
    <w:rsid w:val="00183659"/>
    <w:rsid w:val="00183BE0"/>
    <w:rsid w:val="00183C7D"/>
    <w:rsid w:val="00183E15"/>
    <w:rsid w:val="0018435D"/>
    <w:rsid w:val="00184E36"/>
    <w:rsid w:val="001852B2"/>
    <w:rsid w:val="001852E1"/>
    <w:rsid w:val="00185C30"/>
    <w:rsid w:val="00185DB3"/>
    <w:rsid w:val="00185EB0"/>
    <w:rsid w:val="00185F4E"/>
    <w:rsid w:val="00186E92"/>
    <w:rsid w:val="00186F13"/>
    <w:rsid w:val="00186F47"/>
    <w:rsid w:val="001875A6"/>
    <w:rsid w:val="00187D93"/>
    <w:rsid w:val="0019072F"/>
    <w:rsid w:val="001923ED"/>
    <w:rsid w:val="00192C19"/>
    <w:rsid w:val="00193E2F"/>
    <w:rsid w:val="001941E7"/>
    <w:rsid w:val="001949B5"/>
    <w:rsid w:val="00194DE4"/>
    <w:rsid w:val="00195FDC"/>
    <w:rsid w:val="00196286"/>
    <w:rsid w:val="00197003"/>
    <w:rsid w:val="0019701E"/>
    <w:rsid w:val="001971E1"/>
    <w:rsid w:val="00197638"/>
    <w:rsid w:val="0019780F"/>
    <w:rsid w:val="001A031A"/>
    <w:rsid w:val="001A095C"/>
    <w:rsid w:val="001A0CA7"/>
    <w:rsid w:val="001A13F1"/>
    <w:rsid w:val="001A1EA1"/>
    <w:rsid w:val="001A2779"/>
    <w:rsid w:val="001A2C7F"/>
    <w:rsid w:val="001A2D07"/>
    <w:rsid w:val="001A2E1D"/>
    <w:rsid w:val="001A47D7"/>
    <w:rsid w:val="001A4F50"/>
    <w:rsid w:val="001A53D8"/>
    <w:rsid w:val="001A5480"/>
    <w:rsid w:val="001A5508"/>
    <w:rsid w:val="001A6052"/>
    <w:rsid w:val="001A67E5"/>
    <w:rsid w:val="001A6A5E"/>
    <w:rsid w:val="001A6CF2"/>
    <w:rsid w:val="001A6F62"/>
    <w:rsid w:val="001A742A"/>
    <w:rsid w:val="001A76EF"/>
    <w:rsid w:val="001A775A"/>
    <w:rsid w:val="001A77A5"/>
    <w:rsid w:val="001A788A"/>
    <w:rsid w:val="001B0DE9"/>
    <w:rsid w:val="001B0ED6"/>
    <w:rsid w:val="001B137E"/>
    <w:rsid w:val="001B1386"/>
    <w:rsid w:val="001B1C9C"/>
    <w:rsid w:val="001B1F65"/>
    <w:rsid w:val="001B2104"/>
    <w:rsid w:val="001B21E8"/>
    <w:rsid w:val="001B25E6"/>
    <w:rsid w:val="001B2D2D"/>
    <w:rsid w:val="001B2F46"/>
    <w:rsid w:val="001B360E"/>
    <w:rsid w:val="001B3E43"/>
    <w:rsid w:val="001B4037"/>
    <w:rsid w:val="001B486C"/>
    <w:rsid w:val="001B49A8"/>
    <w:rsid w:val="001B4BD7"/>
    <w:rsid w:val="001B4BE5"/>
    <w:rsid w:val="001B4F65"/>
    <w:rsid w:val="001B4F96"/>
    <w:rsid w:val="001B5044"/>
    <w:rsid w:val="001B56A4"/>
    <w:rsid w:val="001B5928"/>
    <w:rsid w:val="001B59E7"/>
    <w:rsid w:val="001B6B7E"/>
    <w:rsid w:val="001B6E06"/>
    <w:rsid w:val="001B71BA"/>
    <w:rsid w:val="001B72CF"/>
    <w:rsid w:val="001B74E3"/>
    <w:rsid w:val="001B7912"/>
    <w:rsid w:val="001B7A89"/>
    <w:rsid w:val="001C008D"/>
    <w:rsid w:val="001C03F2"/>
    <w:rsid w:val="001C0A76"/>
    <w:rsid w:val="001C0EE0"/>
    <w:rsid w:val="001C1098"/>
    <w:rsid w:val="001C115A"/>
    <w:rsid w:val="001C123C"/>
    <w:rsid w:val="001C123F"/>
    <w:rsid w:val="001C183D"/>
    <w:rsid w:val="001C1951"/>
    <w:rsid w:val="001C19EE"/>
    <w:rsid w:val="001C1CDF"/>
    <w:rsid w:val="001C1F10"/>
    <w:rsid w:val="001C2466"/>
    <w:rsid w:val="001C269D"/>
    <w:rsid w:val="001C2B07"/>
    <w:rsid w:val="001C2CC3"/>
    <w:rsid w:val="001C37B1"/>
    <w:rsid w:val="001C37C0"/>
    <w:rsid w:val="001C3BD9"/>
    <w:rsid w:val="001C420F"/>
    <w:rsid w:val="001C434C"/>
    <w:rsid w:val="001C434D"/>
    <w:rsid w:val="001C49AC"/>
    <w:rsid w:val="001C5371"/>
    <w:rsid w:val="001C5411"/>
    <w:rsid w:val="001C5B3C"/>
    <w:rsid w:val="001C6219"/>
    <w:rsid w:val="001C69CA"/>
    <w:rsid w:val="001C6BFE"/>
    <w:rsid w:val="001C72AC"/>
    <w:rsid w:val="001C7411"/>
    <w:rsid w:val="001C7B4F"/>
    <w:rsid w:val="001D02A7"/>
    <w:rsid w:val="001D04C0"/>
    <w:rsid w:val="001D0673"/>
    <w:rsid w:val="001D0905"/>
    <w:rsid w:val="001D0BC9"/>
    <w:rsid w:val="001D1482"/>
    <w:rsid w:val="001D1598"/>
    <w:rsid w:val="001D1628"/>
    <w:rsid w:val="001D1BE8"/>
    <w:rsid w:val="001D1FF5"/>
    <w:rsid w:val="001D2750"/>
    <w:rsid w:val="001D2C30"/>
    <w:rsid w:val="001D2F33"/>
    <w:rsid w:val="001D370C"/>
    <w:rsid w:val="001D39DF"/>
    <w:rsid w:val="001D3D25"/>
    <w:rsid w:val="001D3D45"/>
    <w:rsid w:val="001D3E10"/>
    <w:rsid w:val="001D41CD"/>
    <w:rsid w:val="001D4EE4"/>
    <w:rsid w:val="001D53FC"/>
    <w:rsid w:val="001D57C1"/>
    <w:rsid w:val="001D5BF1"/>
    <w:rsid w:val="001D61F9"/>
    <w:rsid w:val="001D62E0"/>
    <w:rsid w:val="001D6486"/>
    <w:rsid w:val="001D674F"/>
    <w:rsid w:val="001D687C"/>
    <w:rsid w:val="001D6909"/>
    <w:rsid w:val="001D6F56"/>
    <w:rsid w:val="001D6FC9"/>
    <w:rsid w:val="001D7034"/>
    <w:rsid w:val="001D7750"/>
    <w:rsid w:val="001D77D6"/>
    <w:rsid w:val="001E00C1"/>
    <w:rsid w:val="001E024A"/>
    <w:rsid w:val="001E046C"/>
    <w:rsid w:val="001E0C0D"/>
    <w:rsid w:val="001E18AC"/>
    <w:rsid w:val="001E1A08"/>
    <w:rsid w:val="001E1A2E"/>
    <w:rsid w:val="001E1BB2"/>
    <w:rsid w:val="001E1BED"/>
    <w:rsid w:val="001E23F1"/>
    <w:rsid w:val="001E243C"/>
    <w:rsid w:val="001E2453"/>
    <w:rsid w:val="001E2489"/>
    <w:rsid w:val="001E25AE"/>
    <w:rsid w:val="001E26A9"/>
    <w:rsid w:val="001E2C17"/>
    <w:rsid w:val="001E2D43"/>
    <w:rsid w:val="001E2D55"/>
    <w:rsid w:val="001E2F6E"/>
    <w:rsid w:val="001E2F76"/>
    <w:rsid w:val="001E307E"/>
    <w:rsid w:val="001E34C8"/>
    <w:rsid w:val="001E35D2"/>
    <w:rsid w:val="001E3CCA"/>
    <w:rsid w:val="001E3FD2"/>
    <w:rsid w:val="001E3FEB"/>
    <w:rsid w:val="001E3FF2"/>
    <w:rsid w:val="001E4303"/>
    <w:rsid w:val="001E4B6A"/>
    <w:rsid w:val="001E53FB"/>
    <w:rsid w:val="001E5B63"/>
    <w:rsid w:val="001E6A1F"/>
    <w:rsid w:val="001E6BDE"/>
    <w:rsid w:val="001E6C32"/>
    <w:rsid w:val="001E6D85"/>
    <w:rsid w:val="001E6EA2"/>
    <w:rsid w:val="001E72FB"/>
    <w:rsid w:val="001E7A17"/>
    <w:rsid w:val="001F0402"/>
    <w:rsid w:val="001F04DE"/>
    <w:rsid w:val="001F0E56"/>
    <w:rsid w:val="001F0FC5"/>
    <w:rsid w:val="001F11AE"/>
    <w:rsid w:val="001F1277"/>
    <w:rsid w:val="001F133E"/>
    <w:rsid w:val="001F1518"/>
    <w:rsid w:val="001F2B5C"/>
    <w:rsid w:val="001F2CC2"/>
    <w:rsid w:val="001F3E32"/>
    <w:rsid w:val="001F451E"/>
    <w:rsid w:val="001F4AF8"/>
    <w:rsid w:val="001F4DE3"/>
    <w:rsid w:val="001F544E"/>
    <w:rsid w:val="001F5E04"/>
    <w:rsid w:val="001F6066"/>
    <w:rsid w:val="001F6FA0"/>
    <w:rsid w:val="0020144B"/>
    <w:rsid w:val="00201474"/>
    <w:rsid w:val="0020150C"/>
    <w:rsid w:val="00201D2A"/>
    <w:rsid w:val="00202051"/>
    <w:rsid w:val="00202126"/>
    <w:rsid w:val="00202577"/>
    <w:rsid w:val="0020301A"/>
    <w:rsid w:val="0020311B"/>
    <w:rsid w:val="002039B1"/>
    <w:rsid w:val="00203E19"/>
    <w:rsid w:val="0020437A"/>
    <w:rsid w:val="00204831"/>
    <w:rsid w:val="00204C0F"/>
    <w:rsid w:val="00204E25"/>
    <w:rsid w:val="0020546C"/>
    <w:rsid w:val="0020546D"/>
    <w:rsid w:val="00205C05"/>
    <w:rsid w:val="00206715"/>
    <w:rsid w:val="00206CC0"/>
    <w:rsid w:val="0020786A"/>
    <w:rsid w:val="00207AC1"/>
    <w:rsid w:val="00210B49"/>
    <w:rsid w:val="00210C28"/>
    <w:rsid w:val="00210E00"/>
    <w:rsid w:val="00211DCC"/>
    <w:rsid w:val="002120A8"/>
    <w:rsid w:val="00212ACA"/>
    <w:rsid w:val="00212C85"/>
    <w:rsid w:val="00212CF3"/>
    <w:rsid w:val="002133D3"/>
    <w:rsid w:val="002136C2"/>
    <w:rsid w:val="0021408E"/>
    <w:rsid w:val="002140DB"/>
    <w:rsid w:val="0021436B"/>
    <w:rsid w:val="00214C5C"/>
    <w:rsid w:val="00214DE1"/>
    <w:rsid w:val="0021591B"/>
    <w:rsid w:val="002165D1"/>
    <w:rsid w:val="0021682D"/>
    <w:rsid w:val="00216F03"/>
    <w:rsid w:val="002173BA"/>
    <w:rsid w:val="00217D1E"/>
    <w:rsid w:val="00217D42"/>
    <w:rsid w:val="00217F44"/>
    <w:rsid w:val="002204FF"/>
    <w:rsid w:val="00220ECB"/>
    <w:rsid w:val="00221983"/>
    <w:rsid w:val="00221D96"/>
    <w:rsid w:val="00221F0F"/>
    <w:rsid w:val="00222780"/>
    <w:rsid w:val="00222856"/>
    <w:rsid w:val="00222B5C"/>
    <w:rsid w:val="00223374"/>
    <w:rsid w:val="002233D6"/>
    <w:rsid w:val="002235E4"/>
    <w:rsid w:val="00223A64"/>
    <w:rsid w:val="00223F82"/>
    <w:rsid w:val="002241A4"/>
    <w:rsid w:val="002243C6"/>
    <w:rsid w:val="002247D6"/>
    <w:rsid w:val="0022496B"/>
    <w:rsid w:val="00224F9E"/>
    <w:rsid w:val="00225086"/>
    <w:rsid w:val="002253CB"/>
    <w:rsid w:val="00225641"/>
    <w:rsid w:val="00225E57"/>
    <w:rsid w:val="00225FBC"/>
    <w:rsid w:val="00226067"/>
    <w:rsid w:val="00226396"/>
    <w:rsid w:val="00226A58"/>
    <w:rsid w:val="00226F74"/>
    <w:rsid w:val="00227129"/>
    <w:rsid w:val="002273B5"/>
    <w:rsid w:val="0022791E"/>
    <w:rsid w:val="00227B02"/>
    <w:rsid w:val="00227D46"/>
    <w:rsid w:val="00230258"/>
    <w:rsid w:val="002307FF"/>
    <w:rsid w:val="00230EB9"/>
    <w:rsid w:val="00230EED"/>
    <w:rsid w:val="00231101"/>
    <w:rsid w:val="0023124C"/>
    <w:rsid w:val="002313EC"/>
    <w:rsid w:val="0023173D"/>
    <w:rsid w:val="002318C7"/>
    <w:rsid w:val="00231952"/>
    <w:rsid w:val="00231A1E"/>
    <w:rsid w:val="00231C1C"/>
    <w:rsid w:val="00231CAD"/>
    <w:rsid w:val="00231CE6"/>
    <w:rsid w:val="00232AC7"/>
    <w:rsid w:val="00232D04"/>
    <w:rsid w:val="00232F74"/>
    <w:rsid w:val="00232F8D"/>
    <w:rsid w:val="0023386F"/>
    <w:rsid w:val="00234284"/>
    <w:rsid w:val="00234392"/>
    <w:rsid w:val="002345C4"/>
    <w:rsid w:val="0023542A"/>
    <w:rsid w:val="00235F2D"/>
    <w:rsid w:val="00236736"/>
    <w:rsid w:val="00236F09"/>
    <w:rsid w:val="00237121"/>
    <w:rsid w:val="00237134"/>
    <w:rsid w:val="0023751B"/>
    <w:rsid w:val="00237598"/>
    <w:rsid w:val="0023769C"/>
    <w:rsid w:val="00237761"/>
    <w:rsid w:val="0024019C"/>
    <w:rsid w:val="0024026E"/>
    <w:rsid w:val="0024112D"/>
    <w:rsid w:val="002411C8"/>
    <w:rsid w:val="00241237"/>
    <w:rsid w:val="00241564"/>
    <w:rsid w:val="002416F4"/>
    <w:rsid w:val="00241779"/>
    <w:rsid w:val="002419C2"/>
    <w:rsid w:val="002430D3"/>
    <w:rsid w:val="0024396B"/>
    <w:rsid w:val="00243D3E"/>
    <w:rsid w:val="00244013"/>
    <w:rsid w:val="0024446E"/>
    <w:rsid w:val="0024590D"/>
    <w:rsid w:val="00246104"/>
    <w:rsid w:val="00246598"/>
    <w:rsid w:val="0024676F"/>
    <w:rsid w:val="0024697D"/>
    <w:rsid w:val="00246A47"/>
    <w:rsid w:val="00250629"/>
    <w:rsid w:val="0025113A"/>
    <w:rsid w:val="00251A0A"/>
    <w:rsid w:val="00252467"/>
    <w:rsid w:val="0025250A"/>
    <w:rsid w:val="00252AE0"/>
    <w:rsid w:val="00252DB0"/>
    <w:rsid w:val="00252E2C"/>
    <w:rsid w:val="00252E77"/>
    <w:rsid w:val="00253022"/>
    <w:rsid w:val="00253683"/>
    <w:rsid w:val="00253B57"/>
    <w:rsid w:val="00254255"/>
    <w:rsid w:val="00254797"/>
    <w:rsid w:val="00254B69"/>
    <w:rsid w:val="00255677"/>
    <w:rsid w:val="00255FFE"/>
    <w:rsid w:val="0025651A"/>
    <w:rsid w:val="002568B8"/>
    <w:rsid w:val="00256B6A"/>
    <w:rsid w:val="00256D4E"/>
    <w:rsid w:val="00257050"/>
    <w:rsid w:val="00257223"/>
    <w:rsid w:val="00257760"/>
    <w:rsid w:val="00257C81"/>
    <w:rsid w:val="00260121"/>
    <w:rsid w:val="00260598"/>
    <w:rsid w:val="002605A6"/>
    <w:rsid w:val="0026107E"/>
    <w:rsid w:val="00261262"/>
    <w:rsid w:val="002616FA"/>
    <w:rsid w:val="00261A1F"/>
    <w:rsid w:val="002622D3"/>
    <w:rsid w:val="002623EE"/>
    <w:rsid w:val="002624E6"/>
    <w:rsid w:val="002626FF"/>
    <w:rsid w:val="00262DDA"/>
    <w:rsid w:val="00263639"/>
    <w:rsid w:val="00263732"/>
    <w:rsid w:val="002638B1"/>
    <w:rsid w:val="00263A94"/>
    <w:rsid w:val="002645F7"/>
    <w:rsid w:val="00266182"/>
    <w:rsid w:val="00266216"/>
    <w:rsid w:val="00266EF1"/>
    <w:rsid w:val="00266F0B"/>
    <w:rsid w:val="00267015"/>
    <w:rsid w:val="002673EF"/>
    <w:rsid w:val="00267646"/>
    <w:rsid w:val="002676C3"/>
    <w:rsid w:val="00267983"/>
    <w:rsid w:val="00267A18"/>
    <w:rsid w:val="00267EBA"/>
    <w:rsid w:val="002703E1"/>
    <w:rsid w:val="0027056F"/>
    <w:rsid w:val="002719A7"/>
    <w:rsid w:val="00271A2E"/>
    <w:rsid w:val="00271B27"/>
    <w:rsid w:val="002720DF"/>
    <w:rsid w:val="00272185"/>
    <w:rsid w:val="00272348"/>
    <w:rsid w:val="0027274E"/>
    <w:rsid w:val="00272D8C"/>
    <w:rsid w:val="00273024"/>
    <w:rsid w:val="00273053"/>
    <w:rsid w:val="00273202"/>
    <w:rsid w:val="0027324D"/>
    <w:rsid w:val="00273D6D"/>
    <w:rsid w:val="002745B6"/>
    <w:rsid w:val="002756CA"/>
    <w:rsid w:val="00275CD2"/>
    <w:rsid w:val="00276038"/>
    <w:rsid w:val="00276AE1"/>
    <w:rsid w:val="00277000"/>
    <w:rsid w:val="0027717D"/>
    <w:rsid w:val="00277913"/>
    <w:rsid w:val="00277B9D"/>
    <w:rsid w:val="00277CBE"/>
    <w:rsid w:val="00277DA4"/>
    <w:rsid w:val="00280131"/>
    <w:rsid w:val="0028026B"/>
    <w:rsid w:val="00280342"/>
    <w:rsid w:val="002807E7"/>
    <w:rsid w:val="00280E11"/>
    <w:rsid w:val="0028163E"/>
    <w:rsid w:val="0028208C"/>
    <w:rsid w:val="002822AC"/>
    <w:rsid w:val="00282880"/>
    <w:rsid w:val="00282FF8"/>
    <w:rsid w:val="0028303C"/>
    <w:rsid w:val="0028318D"/>
    <w:rsid w:val="002831C6"/>
    <w:rsid w:val="002833BC"/>
    <w:rsid w:val="002833F7"/>
    <w:rsid w:val="00283EA2"/>
    <w:rsid w:val="00284644"/>
    <w:rsid w:val="002868D4"/>
    <w:rsid w:val="00286960"/>
    <w:rsid w:val="00286C02"/>
    <w:rsid w:val="0028702B"/>
    <w:rsid w:val="002870FD"/>
    <w:rsid w:val="002871CD"/>
    <w:rsid w:val="002876B3"/>
    <w:rsid w:val="00287CCA"/>
    <w:rsid w:val="00287E2F"/>
    <w:rsid w:val="00287E57"/>
    <w:rsid w:val="002900E0"/>
    <w:rsid w:val="00290360"/>
    <w:rsid w:val="00290D1B"/>
    <w:rsid w:val="00290E7F"/>
    <w:rsid w:val="00290E87"/>
    <w:rsid w:val="002911A0"/>
    <w:rsid w:val="0029169B"/>
    <w:rsid w:val="00291788"/>
    <w:rsid w:val="00291A2C"/>
    <w:rsid w:val="00291ACB"/>
    <w:rsid w:val="00291CC7"/>
    <w:rsid w:val="00291FE0"/>
    <w:rsid w:val="002926A0"/>
    <w:rsid w:val="00292A62"/>
    <w:rsid w:val="00292EAC"/>
    <w:rsid w:val="00293143"/>
    <w:rsid w:val="00293756"/>
    <w:rsid w:val="00293F20"/>
    <w:rsid w:val="00294AD1"/>
    <w:rsid w:val="002952D2"/>
    <w:rsid w:val="0029545B"/>
    <w:rsid w:val="002958C9"/>
    <w:rsid w:val="002958E7"/>
    <w:rsid w:val="00295E87"/>
    <w:rsid w:val="00296209"/>
    <w:rsid w:val="00296E8D"/>
    <w:rsid w:val="00296FB2"/>
    <w:rsid w:val="002970AE"/>
    <w:rsid w:val="0029760C"/>
    <w:rsid w:val="00297646"/>
    <w:rsid w:val="00297931"/>
    <w:rsid w:val="00297D8F"/>
    <w:rsid w:val="00297FD1"/>
    <w:rsid w:val="002A004D"/>
    <w:rsid w:val="002A013B"/>
    <w:rsid w:val="002A04D4"/>
    <w:rsid w:val="002A0655"/>
    <w:rsid w:val="002A1739"/>
    <w:rsid w:val="002A1B3E"/>
    <w:rsid w:val="002A1C4F"/>
    <w:rsid w:val="002A1E87"/>
    <w:rsid w:val="002A2419"/>
    <w:rsid w:val="002A2653"/>
    <w:rsid w:val="002A2B59"/>
    <w:rsid w:val="002A3441"/>
    <w:rsid w:val="002A3721"/>
    <w:rsid w:val="002A40F3"/>
    <w:rsid w:val="002A4B97"/>
    <w:rsid w:val="002A4EDB"/>
    <w:rsid w:val="002A4FD9"/>
    <w:rsid w:val="002A533B"/>
    <w:rsid w:val="002A5429"/>
    <w:rsid w:val="002A5AC7"/>
    <w:rsid w:val="002A5DB5"/>
    <w:rsid w:val="002A5E0F"/>
    <w:rsid w:val="002A62C7"/>
    <w:rsid w:val="002A655F"/>
    <w:rsid w:val="002A6616"/>
    <w:rsid w:val="002A667E"/>
    <w:rsid w:val="002A6958"/>
    <w:rsid w:val="002A69F5"/>
    <w:rsid w:val="002A6EF3"/>
    <w:rsid w:val="002A747F"/>
    <w:rsid w:val="002A7DA8"/>
    <w:rsid w:val="002B0372"/>
    <w:rsid w:val="002B08FB"/>
    <w:rsid w:val="002B0968"/>
    <w:rsid w:val="002B0AC6"/>
    <w:rsid w:val="002B0BE7"/>
    <w:rsid w:val="002B1B4B"/>
    <w:rsid w:val="002B1B82"/>
    <w:rsid w:val="002B1F01"/>
    <w:rsid w:val="002B224C"/>
    <w:rsid w:val="002B2251"/>
    <w:rsid w:val="002B263D"/>
    <w:rsid w:val="002B28CC"/>
    <w:rsid w:val="002B2F7F"/>
    <w:rsid w:val="002B302E"/>
    <w:rsid w:val="002B30E7"/>
    <w:rsid w:val="002B313A"/>
    <w:rsid w:val="002B322A"/>
    <w:rsid w:val="002B327E"/>
    <w:rsid w:val="002B37F4"/>
    <w:rsid w:val="002B40C6"/>
    <w:rsid w:val="002B4454"/>
    <w:rsid w:val="002B4480"/>
    <w:rsid w:val="002B4484"/>
    <w:rsid w:val="002B45C5"/>
    <w:rsid w:val="002B4BCA"/>
    <w:rsid w:val="002B4F9F"/>
    <w:rsid w:val="002B56DC"/>
    <w:rsid w:val="002B5A57"/>
    <w:rsid w:val="002B5A5D"/>
    <w:rsid w:val="002B68E0"/>
    <w:rsid w:val="002B6FAE"/>
    <w:rsid w:val="002B717C"/>
    <w:rsid w:val="002B725D"/>
    <w:rsid w:val="002B7A0F"/>
    <w:rsid w:val="002B7F4C"/>
    <w:rsid w:val="002C06D3"/>
    <w:rsid w:val="002C078C"/>
    <w:rsid w:val="002C08DE"/>
    <w:rsid w:val="002C0DC5"/>
    <w:rsid w:val="002C11F5"/>
    <w:rsid w:val="002C14ED"/>
    <w:rsid w:val="002C1A3F"/>
    <w:rsid w:val="002C2CD4"/>
    <w:rsid w:val="002C2F82"/>
    <w:rsid w:val="002C2FAE"/>
    <w:rsid w:val="002C389A"/>
    <w:rsid w:val="002C430E"/>
    <w:rsid w:val="002C434E"/>
    <w:rsid w:val="002C4423"/>
    <w:rsid w:val="002C45ED"/>
    <w:rsid w:val="002C495C"/>
    <w:rsid w:val="002C4BD9"/>
    <w:rsid w:val="002C56CB"/>
    <w:rsid w:val="002C575D"/>
    <w:rsid w:val="002C5813"/>
    <w:rsid w:val="002C5D6F"/>
    <w:rsid w:val="002C6252"/>
    <w:rsid w:val="002C63EE"/>
    <w:rsid w:val="002C67EF"/>
    <w:rsid w:val="002C69F4"/>
    <w:rsid w:val="002C7651"/>
    <w:rsid w:val="002C785E"/>
    <w:rsid w:val="002C7ABD"/>
    <w:rsid w:val="002D0118"/>
    <w:rsid w:val="002D0424"/>
    <w:rsid w:val="002D069F"/>
    <w:rsid w:val="002D07A9"/>
    <w:rsid w:val="002D0989"/>
    <w:rsid w:val="002D0B49"/>
    <w:rsid w:val="002D0E2F"/>
    <w:rsid w:val="002D0F7A"/>
    <w:rsid w:val="002D1155"/>
    <w:rsid w:val="002D1780"/>
    <w:rsid w:val="002D19A5"/>
    <w:rsid w:val="002D1D98"/>
    <w:rsid w:val="002D2036"/>
    <w:rsid w:val="002D26A6"/>
    <w:rsid w:val="002D2B1E"/>
    <w:rsid w:val="002D2B2E"/>
    <w:rsid w:val="002D2BD7"/>
    <w:rsid w:val="002D34C0"/>
    <w:rsid w:val="002D3E7E"/>
    <w:rsid w:val="002D404D"/>
    <w:rsid w:val="002D4352"/>
    <w:rsid w:val="002D43B9"/>
    <w:rsid w:val="002D4687"/>
    <w:rsid w:val="002D4BC9"/>
    <w:rsid w:val="002D4D57"/>
    <w:rsid w:val="002D5C53"/>
    <w:rsid w:val="002D5F04"/>
    <w:rsid w:val="002D607C"/>
    <w:rsid w:val="002D6CA6"/>
    <w:rsid w:val="002D6F61"/>
    <w:rsid w:val="002D7507"/>
    <w:rsid w:val="002D76F4"/>
    <w:rsid w:val="002D7CB1"/>
    <w:rsid w:val="002E0B78"/>
    <w:rsid w:val="002E0DD1"/>
    <w:rsid w:val="002E1236"/>
    <w:rsid w:val="002E147B"/>
    <w:rsid w:val="002E1503"/>
    <w:rsid w:val="002E159E"/>
    <w:rsid w:val="002E1D34"/>
    <w:rsid w:val="002E1E83"/>
    <w:rsid w:val="002E2D08"/>
    <w:rsid w:val="002E2FE3"/>
    <w:rsid w:val="002E404F"/>
    <w:rsid w:val="002E4CCA"/>
    <w:rsid w:val="002E4DB3"/>
    <w:rsid w:val="002E4ECA"/>
    <w:rsid w:val="002E4F4F"/>
    <w:rsid w:val="002E5D35"/>
    <w:rsid w:val="002E606D"/>
    <w:rsid w:val="002E6813"/>
    <w:rsid w:val="002E6A3A"/>
    <w:rsid w:val="002E6C6C"/>
    <w:rsid w:val="002E7481"/>
    <w:rsid w:val="002E7C1D"/>
    <w:rsid w:val="002F034C"/>
    <w:rsid w:val="002F0578"/>
    <w:rsid w:val="002F07A3"/>
    <w:rsid w:val="002F0AA5"/>
    <w:rsid w:val="002F1492"/>
    <w:rsid w:val="002F16F1"/>
    <w:rsid w:val="002F18EF"/>
    <w:rsid w:val="002F19AE"/>
    <w:rsid w:val="002F247E"/>
    <w:rsid w:val="002F2688"/>
    <w:rsid w:val="002F2AF5"/>
    <w:rsid w:val="002F3C34"/>
    <w:rsid w:val="002F427B"/>
    <w:rsid w:val="002F46DB"/>
    <w:rsid w:val="002F4859"/>
    <w:rsid w:val="002F48AE"/>
    <w:rsid w:val="002F4CE1"/>
    <w:rsid w:val="002F560B"/>
    <w:rsid w:val="002F5DC5"/>
    <w:rsid w:val="002F69C7"/>
    <w:rsid w:val="002F6D14"/>
    <w:rsid w:val="002F6D3E"/>
    <w:rsid w:val="002F7380"/>
    <w:rsid w:val="002F7EC3"/>
    <w:rsid w:val="003000D6"/>
    <w:rsid w:val="00300246"/>
    <w:rsid w:val="003003B5"/>
    <w:rsid w:val="0030082B"/>
    <w:rsid w:val="00300DFF"/>
    <w:rsid w:val="00300E09"/>
    <w:rsid w:val="003019CC"/>
    <w:rsid w:val="0030202A"/>
    <w:rsid w:val="003022B3"/>
    <w:rsid w:val="00302A29"/>
    <w:rsid w:val="00302CB7"/>
    <w:rsid w:val="00302F43"/>
    <w:rsid w:val="0030361C"/>
    <w:rsid w:val="003036B3"/>
    <w:rsid w:val="00303871"/>
    <w:rsid w:val="00303B13"/>
    <w:rsid w:val="0030400A"/>
    <w:rsid w:val="00304320"/>
    <w:rsid w:val="00304897"/>
    <w:rsid w:val="00304C2F"/>
    <w:rsid w:val="00304C39"/>
    <w:rsid w:val="0030522B"/>
    <w:rsid w:val="00305453"/>
    <w:rsid w:val="00305AC3"/>
    <w:rsid w:val="00305BAB"/>
    <w:rsid w:val="00305D63"/>
    <w:rsid w:val="003061B5"/>
    <w:rsid w:val="00306493"/>
    <w:rsid w:val="00306FC0"/>
    <w:rsid w:val="00306FF7"/>
    <w:rsid w:val="0030720C"/>
    <w:rsid w:val="003077EB"/>
    <w:rsid w:val="003105AB"/>
    <w:rsid w:val="00310787"/>
    <w:rsid w:val="003108A4"/>
    <w:rsid w:val="00310A23"/>
    <w:rsid w:val="00310B66"/>
    <w:rsid w:val="00310DFD"/>
    <w:rsid w:val="00310E1C"/>
    <w:rsid w:val="00310F3D"/>
    <w:rsid w:val="00311260"/>
    <w:rsid w:val="003114FE"/>
    <w:rsid w:val="00311BCD"/>
    <w:rsid w:val="003122FB"/>
    <w:rsid w:val="00312490"/>
    <w:rsid w:val="00312B53"/>
    <w:rsid w:val="003130E1"/>
    <w:rsid w:val="00313340"/>
    <w:rsid w:val="003134BF"/>
    <w:rsid w:val="0031354B"/>
    <w:rsid w:val="00313D65"/>
    <w:rsid w:val="00313DB2"/>
    <w:rsid w:val="0031449F"/>
    <w:rsid w:val="00314B14"/>
    <w:rsid w:val="00314CD5"/>
    <w:rsid w:val="0031551E"/>
    <w:rsid w:val="00315594"/>
    <w:rsid w:val="00315D42"/>
    <w:rsid w:val="00316055"/>
    <w:rsid w:val="003160AB"/>
    <w:rsid w:val="003166BA"/>
    <w:rsid w:val="00316812"/>
    <w:rsid w:val="0031694B"/>
    <w:rsid w:val="00316AF2"/>
    <w:rsid w:val="00316B8C"/>
    <w:rsid w:val="00316C09"/>
    <w:rsid w:val="003170F6"/>
    <w:rsid w:val="00320CCD"/>
    <w:rsid w:val="00321349"/>
    <w:rsid w:val="0032142B"/>
    <w:rsid w:val="0032165C"/>
    <w:rsid w:val="00321937"/>
    <w:rsid w:val="00321B3E"/>
    <w:rsid w:val="003220BB"/>
    <w:rsid w:val="00323281"/>
    <w:rsid w:val="003233EB"/>
    <w:rsid w:val="00323BE9"/>
    <w:rsid w:val="00324300"/>
    <w:rsid w:val="003247A1"/>
    <w:rsid w:val="003248E1"/>
    <w:rsid w:val="00324B05"/>
    <w:rsid w:val="00324BD3"/>
    <w:rsid w:val="00324FC3"/>
    <w:rsid w:val="0032599F"/>
    <w:rsid w:val="003263B0"/>
    <w:rsid w:val="00326894"/>
    <w:rsid w:val="00326A65"/>
    <w:rsid w:val="003273A7"/>
    <w:rsid w:val="003279FE"/>
    <w:rsid w:val="00327EDB"/>
    <w:rsid w:val="00330231"/>
    <w:rsid w:val="003306AE"/>
    <w:rsid w:val="00330E0E"/>
    <w:rsid w:val="0033113D"/>
    <w:rsid w:val="003313AD"/>
    <w:rsid w:val="00331AC6"/>
    <w:rsid w:val="00331AEB"/>
    <w:rsid w:val="00332423"/>
    <w:rsid w:val="00332BC7"/>
    <w:rsid w:val="00332DA3"/>
    <w:rsid w:val="00332F61"/>
    <w:rsid w:val="003333A7"/>
    <w:rsid w:val="0033351D"/>
    <w:rsid w:val="00333781"/>
    <w:rsid w:val="0033418F"/>
    <w:rsid w:val="00334717"/>
    <w:rsid w:val="00334C03"/>
    <w:rsid w:val="00334C58"/>
    <w:rsid w:val="00334FAE"/>
    <w:rsid w:val="00335682"/>
    <w:rsid w:val="00335B5E"/>
    <w:rsid w:val="00335D4F"/>
    <w:rsid w:val="00335DA0"/>
    <w:rsid w:val="00335E9B"/>
    <w:rsid w:val="00336CF1"/>
    <w:rsid w:val="00337C30"/>
    <w:rsid w:val="00337D20"/>
    <w:rsid w:val="00337F40"/>
    <w:rsid w:val="00337F83"/>
    <w:rsid w:val="003403BD"/>
    <w:rsid w:val="00340545"/>
    <w:rsid w:val="00340B9F"/>
    <w:rsid w:val="00340D4B"/>
    <w:rsid w:val="00340DAD"/>
    <w:rsid w:val="003411A5"/>
    <w:rsid w:val="003418FD"/>
    <w:rsid w:val="00341FEA"/>
    <w:rsid w:val="00342411"/>
    <w:rsid w:val="003429D7"/>
    <w:rsid w:val="00342B4D"/>
    <w:rsid w:val="00342D84"/>
    <w:rsid w:val="00343394"/>
    <w:rsid w:val="003433CB"/>
    <w:rsid w:val="00343E86"/>
    <w:rsid w:val="00345187"/>
    <w:rsid w:val="0034567A"/>
    <w:rsid w:val="00345978"/>
    <w:rsid w:val="003461B9"/>
    <w:rsid w:val="00346359"/>
    <w:rsid w:val="00347781"/>
    <w:rsid w:val="00347C97"/>
    <w:rsid w:val="00347D2A"/>
    <w:rsid w:val="00347E18"/>
    <w:rsid w:val="00347EE2"/>
    <w:rsid w:val="0035024C"/>
    <w:rsid w:val="0035051B"/>
    <w:rsid w:val="00350871"/>
    <w:rsid w:val="00350B20"/>
    <w:rsid w:val="00350B29"/>
    <w:rsid w:val="00350F90"/>
    <w:rsid w:val="00351914"/>
    <w:rsid w:val="00351930"/>
    <w:rsid w:val="00351E77"/>
    <w:rsid w:val="003521E2"/>
    <w:rsid w:val="003524AB"/>
    <w:rsid w:val="00353AE7"/>
    <w:rsid w:val="003548B8"/>
    <w:rsid w:val="00354CF1"/>
    <w:rsid w:val="003560FB"/>
    <w:rsid w:val="003568BB"/>
    <w:rsid w:val="00356C92"/>
    <w:rsid w:val="0035776C"/>
    <w:rsid w:val="00357DFB"/>
    <w:rsid w:val="0036031D"/>
    <w:rsid w:val="0036055B"/>
    <w:rsid w:val="00360887"/>
    <w:rsid w:val="00360BDB"/>
    <w:rsid w:val="00360CF5"/>
    <w:rsid w:val="003614F4"/>
    <w:rsid w:val="00361AFB"/>
    <w:rsid w:val="00361BB9"/>
    <w:rsid w:val="00362385"/>
    <w:rsid w:val="003624F5"/>
    <w:rsid w:val="00362D59"/>
    <w:rsid w:val="0036313F"/>
    <w:rsid w:val="003633E3"/>
    <w:rsid w:val="003634B3"/>
    <w:rsid w:val="00363965"/>
    <w:rsid w:val="00363A9B"/>
    <w:rsid w:val="00363AFA"/>
    <w:rsid w:val="00363FB0"/>
    <w:rsid w:val="00364497"/>
    <w:rsid w:val="003645DE"/>
    <w:rsid w:val="00364B08"/>
    <w:rsid w:val="00364CC4"/>
    <w:rsid w:val="00364FF9"/>
    <w:rsid w:val="00366AED"/>
    <w:rsid w:val="00366B07"/>
    <w:rsid w:val="00366DF8"/>
    <w:rsid w:val="00367603"/>
    <w:rsid w:val="00367F86"/>
    <w:rsid w:val="00370511"/>
    <w:rsid w:val="00370739"/>
    <w:rsid w:val="0037074A"/>
    <w:rsid w:val="00370D49"/>
    <w:rsid w:val="003711D0"/>
    <w:rsid w:val="003714C9"/>
    <w:rsid w:val="003718AC"/>
    <w:rsid w:val="00371938"/>
    <w:rsid w:val="00371A1F"/>
    <w:rsid w:val="00371A26"/>
    <w:rsid w:val="00371B1B"/>
    <w:rsid w:val="00371CF5"/>
    <w:rsid w:val="00371FB8"/>
    <w:rsid w:val="00372014"/>
    <w:rsid w:val="00372378"/>
    <w:rsid w:val="0037237B"/>
    <w:rsid w:val="0037275B"/>
    <w:rsid w:val="00373865"/>
    <w:rsid w:val="00373A32"/>
    <w:rsid w:val="00373A88"/>
    <w:rsid w:val="00373D4F"/>
    <w:rsid w:val="00374376"/>
    <w:rsid w:val="00374BE6"/>
    <w:rsid w:val="00374ECF"/>
    <w:rsid w:val="0037517C"/>
    <w:rsid w:val="00375725"/>
    <w:rsid w:val="0037572A"/>
    <w:rsid w:val="0037587E"/>
    <w:rsid w:val="00375929"/>
    <w:rsid w:val="00375966"/>
    <w:rsid w:val="00375B21"/>
    <w:rsid w:val="00375C9E"/>
    <w:rsid w:val="00375CE0"/>
    <w:rsid w:val="0037602C"/>
    <w:rsid w:val="00376C1C"/>
    <w:rsid w:val="00377173"/>
    <w:rsid w:val="00377770"/>
    <w:rsid w:val="00377ADE"/>
    <w:rsid w:val="00377DF8"/>
    <w:rsid w:val="00377E66"/>
    <w:rsid w:val="00377EA4"/>
    <w:rsid w:val="00377FB2"/>
    <w:rsid w:val="00380051"/>
    <w:rsid w:val="00380619"/>
    <w:rsid w:val="00380E45"/>
    <w:rsid w:val="00381362"/>
    <w:rsid w:val="003815F5"/>
    <w:rsid w:val="00381923"/>
    <w:rsid w:val="00381B25"/>
    <w:rsid w:val="0038251D"/>
    <w:rsid w:val="003827BE"/>
    <w:rsid w:val="00382860"/>
    <w:rsid w:val="00382D03"/>
    <w:rsid w:val="00382F5A"/>
    <w:rsid w:val="00383302"/>
    <w:rsid w:val="00383363"/>
    <w:rsid w:val="00383B89"/>
    <w:rsid w:val="00383DD2"/>
    <w:rsid w:val="00384583"/>
    <w:rsid w:val="00385452"/>
    <w:rsid w:val="00385909"/>
    <w:rsid w:val="00386BE9"/>
    <w:rsid w:val="00386C3A"/>
    <w:rsid w:val="00386D8E"/>
    <w:rsid w:val="00386DF0"/>
    <w:rsid w:val="0038711A"/>
    <w:rsid w:val="00390276"/>
    <w:rsid w:val="003906C0"/>
    <w:rsid w:val="003910C3"/>
    <w:rsid w:val="003913A0"/>
    <w:rsid w:val="00391601"/>
    <w:rsid w:val="00391D80"/>
    <w:rsid w:val="00392628"/>
    <w:rsid w:val="003926B6"/>
    <w:rsid w:val="00392C12"/>
    <w:rsid w:val="00393988"/>
    <w:rsid w:val="003939A8"/>
    <w:rsid w:val="00394EBC"/>
    <w:rsid w:val="00394EE7"/>
    <w:rsid w:val="00395B62"/>
    <w:rsid w:val="00395DAE"/>
    <w:rsid w:val="00395DDC"/>
    <w:rsid w:val="00395DE9"/>
    <w:rsid w:val="0039637B"/>
    <w:rsid w:val="003963C2"/>
    <w:rsid w:val="00396E4B"/>
    <w:rsid w:val="003970FA"/>
    <w:rsid w:val="003971C3"/>
    <w:rsid w:val="00397676"/>
    <w:rsid w:val="00397BA8"/>
    <w:rsid w:val="003A0019"/>
    <w:rsid w:val="003A0052"/>
    <w:rsid w:val="003A05F3"/>
    <w:rsid w:val="003A0E5D"/>
    <w:rsid w:val="003A1699"/>
    <w:rsid w:val="003A1C06"/>
    <w:rsid w:val="003A1F25"/>
    <w:rsid w:val="003A2523"/>
    <w:rsid w:val="003A29DF"/>
    <w:rsid w:val="003A2F6D"/>
    <w:rsid w:val="003A3422"/>
    <w:rsid w:val="003A40A0"/>
    <w:rsid w:val="003A4662"/>
    <w:rsid w:val="003A4A48"/>
    <w:rsid w:val="003A4AC4"/>
    <w:rsid w:val="003A501C"/>
    <w:rsid w:val="003A5123"/>
    <w:rsid w:val="003A52FC"/>
    <w:rsid w:val="003A54DD"/>
    <w:rsid w:val="003A58A2"/>
    <w:rsid w:val="003A5EB8"/>
    <w:rsid w:val="003A5F14"/>
    <w:rsid w:val="003A67E4"/>
    <w:rsid w:val="003A6C42"/>
    <w:rsid w:val="003A75B0"/>
    <w:rsid w:val="003A7773"/>
    <w:rsid w:val="003A7AAB"/>
    <w:rsid w:val="003B0516"/>
    <w:rsid w:val="003B091A"/>
    <w:rsid w:val="003B1193"/>
    <w:rsid w:val="003B1280"/>
    <w:rsid w:val="003B17C7"/>
    <w:rsid w:val="003B226E"/>
    <w:rsid w:val="003B26EB"/>
    <w:rsid w:val="003B2E0F"/>
    <w:rsid w:val="003B3314"/>
    <w:rsid w:val="003B349C"/>
    <w:rsid w:val="003B3630"/>
    <w:rsid w:val="003B4233"/>
    <w:rsid w:val="003B4B75"/>
    <w:rsid w:val="003B4FA7"/>
    <w:rsid w:val="003B59B7"/>
    <w:rsid w:val="003B605D"/>
    <w:rsid w:val="003B64A4"/>
    <w:rsid w:val="003B6A32"/>
    <w:rsid w:val="003B7826"/>
    <w:rsid w:val="003C032F"/>
    <w:rsid w:val="003C0C45"/>
    <w:rsid w:val="003C36E6"/>
    <w:rsid w:val="003C37E9"/>
    <w:rsid w:val="003C396B"/>
    <w:rsid w:val="003C46C7"/>
    <w:rsid w:val="003C474D"/>
    <w:rsid w:val="003C47A6"/>
    <w:rsid w:val="003C4AC7"/>
    <w:rsid w:val="003C56D6"/>
    <w:rsid w:val="003C5C35"/>
    <w:rsid w:val="003C5E66"/>
    <w:rsid w:val="003C5F64"/>
    <w:rsid w:val="003C62A6"/>
    <w:rsid w:val="003C65C9"/>
    <w:rsid w:val="003C67FF"/>
    <w:rsid w:val="003C6BCB"/>
    <w:rsid w:val="003C6F7A"/>
    <w:rsid w:val="003C7D6A"/>
    <w:rsid w:val="003C7FF1"/>
    <w:rsid w:val="003D01E7"/>
    <w:rsid w:val="003D05F4"/>
    <w:rsid w:val="003D0999"/>
    <w:rsid w:val="003D0CB8"/>
    <w:rsid w:val="003D10EB"/>
    <w:rsid w:val="003D18D1"/>
    <w:rsid w:val="003D1F35"/>
    <w:rsid w:val="003D1F96"/>
    <w:rsid w:val="003D3149"/>
    <w:rsid w:val="003D3652"/>
    <w:rsid w:val="003D36F6"/>
    <w:rsid w:val="003D3B5C"/>
    <w:rsid w:val="003D40B6"/>
    <w:rsid w:val="003D40BE"/>
    <w:rsid w:val="003D43E9"/>
    <w:rsid w:val="003D4528"/>
    <w:rsid w:val="003D49E8"/>
    <w:rsid w:val="003D4C50"/>
    <w:rsid w:val="003D540B"/>
    <w:rsid w:val="003D5B7D"/>
    <w:rsid w:val="003D5EB0"/>
    <w:rsid w:val="003D6B33"/>
    <w:rsid w:val="003D6E66"/>
    <w:rsid w:val="003D711C"/>
    <w:rsid w:val="003D754C"/>
    <w:rsid w:val="003D7604"/>
    <w:rsid w:val="003E040D"/>
    <w:rsid w:val="003E07CF"/>
    <w:rsid w:val="003E0B2D"/>
    <w:rsid w:val="003E0E5B"/>
    <w:rsid w:val="003E0FAA"/>
    <w:rsid w:val="003E1134"/>
    <w:rsid w:val="003E11B0"/>
    <w:rsid w:val="003E143F"/>
    <w:rsid w:val="003E14F4"/>
    <w:rsid w:val="003E19C8"/>
    <w:rsid w:val="003E1B3C"/>
    <w:rsid w:val="003E1D36"/>
    <w:rsid w:val="003E1F50"/>
    <w:rsid w:val="003E2526"/>
    <w:rsid w:val="003E2662"/>
    <w:rsid w:val="003E2996"/>
    <w:rsid w:val="003E2C3A"/>
    <w:rsid w:val="003E3154"/>
    <w:rsid w:val="003E3239"/>
    <w:rsid w:val="003E36B2"/>
    <w:rsid w:val="003E3853"/>
    <w:rsid w:val="003E421B"/>
    <w:rsid w:val="003E42BE"/>
    <w:rsid w:val="003E438B"/>
    <w:rsid w:val="003E4414"/>
    <w:rsid w:val="003E44C9"/>
    <w:rsid w:val="003E4628"/>
    <w:rsid w:val="003E53C7"/>
    <w:rsid w:val="003E5723"/>
    <w:rsid w:val="003E5CEA"/>
    <w:rsid w:val="003E5CEF"/>
    <w:rsid w:val="003E5DD8"/>
    <w:rsid w:val="003E6120"/>
    <w:rsid w:val="003E6231"/>
    <w:rsid w:val="003E624E"/>
    <w:rsid w:val="003E6C9B"/>
    <w:rsid w:val="003E71FD"/>
    <w:rsid w:val="003E7289"/>
    <w:rsid w:val="003E76DC"/>
    <w:rsid w:val="003E7E61"/>
    <w:rsid w:val="003F00B7"/>
    <w:rsid w:val="003F0461"/>
    <w:rsid w:val="003F04E6"/>
    <w:rsid w:val="003F05FD"/>
    <w:rsid w:val="003F08F8"/>
    <w:rsid w:val="003F1376"/>
    <w:rsid w:val="003F18BA"/>
    <w:rsid w:val="003F22D3"/>
    <w:rsid w:val="003F234F"/>
    <w:rsid w:val="003F2797"/>
    <w:rsid w:val="003F2A5A"/>
    <w:rsid w:val="003F2A97"/>
    <w:rsid w:val="003F310A"/>
    <w:rsid w:val="003F4381"/>
    <w:rsid w:val="003F4672"/>
    <w:rsid w:val="003F4BB8"/>
    <w:rsid w:val="003F52B6"/>
    <w:rsid w:val="003F55CC"/>
    <w:rsid w:val="003F55D3"/>
    <w:rsid w:val="003F5853"/>
    <w:rsid w:val="003F5BA5"/>
    <w:rsid w:val="003F5DB0"/>
    <w:rsid w:val="003F5F4D"/>
    <w:rsid w:val="003F60AF"/>
    <w:rsid w:val="003F65A3"/>
    <w:rsid w:val="003F6950"/>
    <w:rsid w:val="003F69C5"/>
    <w:rsid w:val="003F6B21"/>
    <w:rsid w:val="003F6B87"/>
    <w:rsid w:val="003F6D59"/>
    <w:rsid w:val="003F71E6"/>
    <w:rsid w:val="003F7A5E"/>
    <w:rsid w:val="003F7C22"/>
    <w:rsid w:val="0040032E"/>
    <w:rsid w:val="00400975"/>
    <w:rsid w:val="00400F1A"/>
    <w:rsid w:val="00401245"/>
    <w:rsid w:val="0040132B"/>
    <w:rsid w:val="00401528"/>
    <w:rsid w:val="00401597"/>
    <w:rsid w:val="0040178C"/>
    <w:rsid w:val="004018B3"/>
    <w:rsid w:val="00401920"/>
    <w:rsid w:val="00401B3B"/>
    <w:rsid w:val="00401E88"/>
    <w:rsid w:val="00402016"/>
    <w:rsid w:val="004027A4"/>
    <w:rsid w:val="004031CB"/>
    <w:rsid w:val="0040377A"/>
    <w:rsid w:val="00403892"/>
    <w:rsid w:val="00404124"/>
    <w:rsid w:val="00404319"/>
    <w:rsid w:val="004049BD"/>
    <w:rsid w:val="00404CF6"/>
    <w:rsid w:val="004055BB"/>
    <w:rsid w:val="004055E0"/>
    <w:rsid w:val="00405D5E"/>
    <w:rsid w:val="00405ED6"/>
    <w:rsid w:val="00406037"/>
    <w:rsid w:val="004062F5"/>
    <w:rsid w:val="004064DF"/>
    <w:rsid w:val="00407130"/>
    <w:rsid w:val="004075AC"/>
    <w:rsid w:val="004076FD"/>
    <w:rsid w:val="0040771F"/>
    <w:rsid w:val="00407A8C"/>
    <w:rsid w:val="00407B16"/>
    <w:rsid w:val="004102AF"/>
    <w:rsid w:val="00411162"/>
    <w:rsid w:val="004118FF"/>
    <w:rsid w:val="00411C13"/>
    <w:rsid w:val="00411FE1"/>
    <w:rsid w:val="00412395"/>
    <w:rsid w:val="00412417"/>
    <w:rsid w:val="00412C31"/>
    <w:rsid w:val="00413741"/>
    <w:rsid w:val="00413834"/>
    <w:rsid w:val="00413C46"/>
    <w:rsid w:val="00414188"/>
    <w:rsid w:val="004146FD"/>
    <w:rsid w:val="0041516C"/>
    <w:rsid w:val="00415D90"/>
    <w:rsid w:val="00415DF8"/>
    <w:rsid w:val="00415F8F"/>
    <w:rsid w:val="00416034"/>
    <w:rsid w:val="00416536"/>
    <w:rsid w:val="00416788"/>
    <w:rsid w:val="004168EA"/>
    <w:rsid w:val="004172B1"/>
    <w:rsid w:val="004179D6"/>
    <w:rsid w:val="004209B9"/>
    <w:rsid w:val="004209DC"/>
    <w:rsid w:val="00420F9F"/>
    <w:rsid w:val="00421017"/>
    <w:rsid w:val="004211E4"/>
    <w:rsid w:val="00421505"/>
    <w:rsid w:val="00421558"/>
    <w:rsid w:val="00421D25"/>
    <w:rsid w:val="00421EFC"/>
    <w:rsid w:val="0042250F"/>
    <w:rsid w:val="00422A30"/>
    <w:rsid w:val="00422FB7"/>
    <w:rsid w:val="004234BE"/>
    <w:rsid w:val="00423A2E"/>
    <w:rsid w:val="00423C75"/>
    <w:rsid w:val="00423FEA"/>
    <w:rsid w:val="00424093"/>
    <w:rsid w:val="004244A1"/>
    <w:rsid w:val="00424A33"/>
    <w:rsid w:val="00424CB4"/>
    <w:rsid w:val="00424F4C"/>
    <w:rsid w:val="00425957"/>
    <w:rsid w:val="00425A03"/>
    <w:rsid w:val="00425D89"/>
    <w:rsid w:val="00426189"/>
    <w:rsid w:val="00426752"/>
    <w:rsid w:val="004269EE"/>
    <w:rsid w:val="00426B16"/>
    <w:rsid w:val="00426B5D"/>
    <w:rsid w:val="00427223"/>
    <w:rsid w:val="0042784B"/>
    <w:rsid w:val="00427A59"/>
    <w:rsid w:val="0043016F"/>
    <w:rsid w:val="00430195"/>
    <w:rsid w:val="0043049C"/>
    <w:rsid w:val="00430B28"/>
    <w:rsid w:val="00430C4F"/>
    <w:rsid w:val="004311BA"/>
    <w:rsid w:val="00431394"/>
    <w:rsid w:val="00431727"/>
    <w:rsid w:val="00431B84"/>
    <w:rsid w:val="00431CD0"/>
    <w:rsid w:val="00432BF1"/>
    <w:rsid w:val="00433475"/>
    <w:rsid w:val="00433A5E"/>
    <w:rsid w:val="00433EDF"/>
    <w:rsid w:val="00433F57"/>
    <w:rsid w:val="0043421E"/>
    <w:rsid w:val="00434FBA"/>
    <w:rsid w:val="00435BF7"/>
    <w:rsid w:val="00436065"/>
    <w:rsid w:val="00436304"/>
    <w:rsid w:val="00436EEB"/>
    <w:rsid w:val="0043708A"/>
    <w:rsid w:val="00437093"/>
    <w:rsid w:val="00437AB3"/>
    <w:rsid w:val="00437D76"/>
    <w:rsid w:val="004406C0"/>
    <w:rsid w:val="00440975"/>
    <w:rsid w:val="0044123E"/>
    <w:rsid w:val="00441600"/>
    <w:rsid w:val="0044178C"/>
    <w:rsid w:val="00442515"/>
    <w:rsid w:val="0044264F"/>
    <w:rsid w:val="004427D8"/>
    <w:rsid w:val="00442ED6"/>
    <w:rsid w:val="00443291"/>
    <w:rsid w:val="00443B4C"/>
    <w:rsid w:val="0044411D"/>
    <w:rsid w:val="0044503A"/>
    <w:rsid w:val="0044545E"/>
    <w:rsid w:val="004459E6"/>
    <w:rsid w:val="004469D2"/>
    <w:rsid w:val="0044730D"/>
    <w:rsid w:val="00447407"/>
    <w:rsid w:val="00447556"/>
    <w:rsid w:val="00447645"/>
    <w:rsid w:val="00447B96"/>
    <w:rsid w:val="00447E59"/>
    <w:rsid w:val="0045013B"/>
    <w:rsid w:val="004504A8"/>
    <w:rsid w:val="00451025"/>
    <w:rsid w:val="004510F1"/>
    <w:rsid w:val="004517DB"/>
    <w:rsid w:val="00451DA3"/>
    <w:rsid w:val="004522E1"/>
    <w:rsid w:val="0045296B"/>
    <w:rsid w:val="00452B89"/>
    <w:rsid w:val="00452D33"/>
    <w:rsid w:val="00452FFA"/>
    <w:rsid w:val="0045334E"/>
    <w:rsid w:val="004539FD"/>
    <w:rsid w:val="004541CA"/>
    <w:rsid w:val="00454240"/>
    <w:rsid w:val="0045450D"/>
    <w:rsid w:val="004545CF"/>
    <w:rsid w:val="00454600"/>
    <w:rsid w:val="004546E9"/>
    <w:rsid w:val="004553A0"/>
    <w:rsid w:val="0045569F"/>
    <w:rsid w:val="004556E8"/>
    <w:rsid w:val="00455775"/>
    <w:rsid w:val="004557B3"/>
    <w:rsid w:val="004557C3"/>
    <w:rsid w:val="00455FBD"/>
    <w:rsid w:val="0045661B"/>
    <w:rsid w:val="00456B43"/>
    <w:rsid w:val="00456B7B"/>
    <w:rsid w:val="00456F4C"/>
    <w:rsid w:val="00457367"/>
    <w:rsid w:val="0045748A"/>
    <w:rsid w:val="00457B7F"/>
    <w:rsid w:val="00460295"/>
    <w:rsid w:val="00460B89"/>
    <w:rsid w:val="00460BEF"/>
    <w:rsid w:val="00461690"/>
    <w:rsid w:val="00461A07"/>
    <w:rsid w:val="004623D4"/>
    <w:rsid w:val="0046248B"/>
    <w:rsid w:val="00462ABC"/>
    <w:rsid w:val="0046354E"/>
    <w:rsid w:val="0046450C"/>
    <w:rsid w:val="0046467A"/>
    <w:rsid w:val="00465057"/>
    <w:rsid w:val="0046524E"/>
    <w:rsid w:val="00465686"/>
    <w:rsid w:val="004661AE"/>
    <w:rsid w:val="00466567"/>
    <w:rsid w:val="0046662A"/>
    <w:rsid w:val="0046672D"/>
    <w:rsid w:val="00466CA8"/>
    <w:rsid w:val="004670D0"/>
    <w:rsid w:val="0046716E"/>
    <w:rsid w:val="004672C8"/>
    <w:rsid w:val="004676CE"/>
    <w:rsid w:val="00467FBB"/>
    <w:rsid w:val="004704DD"/>
    <w:rsid w:val="004707BF"/>
    <w:rsid w:val="0047085D"/>
    <w:rsid w:val="00470890"/>
    <w:rsid w:val="00470F82"/>
    <w:rsid w:val="0047145F"/>
    <w:rsid w:val="0047154E"/>
    <w:rsid w:val="00472234"/>
    <w:rsid w:val="0047292E"/>
    <w:rsid w:val="00472997"/>
    <w:rsid w:val="00472C82"/>
    <w:rsid w:val="0047333B"/>
    <w:rsid w:val="00473382"/>
    <w:rsid w:val="004733D2"/>
    <w:rsid w:val="00473B84"/>
    <w:rsid w:val="00473F19"/>
    <w:rsid w:val="00474B1D"/>
    <w:rsid w:val="00474C9C"/>
    <w:rsid w:val="004750A6"/>
    <w:rsid w:val="004755FC"/>
    <w:rsid w:val="00475878"/>
    <w:rsid w:val="00475A6C"/>
    <w:rsid w:val="00475D46"/>
    <w:rsid w:val="00476068"/>
    <w:rsid w:val="004761AB"/>
    <w:rsid w:val="004762A2"/>
    <w:rsid w:val="0047679C"/>
    <w:rsid w:val="0047693C"/>
    <w:rsid w:val="00476A9A"/>
    <w:rsid w:val="00476CE4"/>
    <w:rsid w:val="00476D2B"/>
    <w:rsid w:val="00477C29"/>
    <w:rsid w:val="00477ED5"/>
    <w:rsid w:val="0048031A"/>
    <w:rsid w:val="0048100A"/>
    <w:rsid w:val="004815C7"/>
    <w:rsid w:val="004816B8"/>
    <w:rsid w:val="0048173E"/>
    <w:rsid w:val="00481D04"/>
    <w:rsid w:val="00482A82"/>
    <w:rsid w:val="004831DC"/>
    <w:rsid w:val="00483627"/>
    <w:rsid w:val="00483704"/>
    <w:rsid w:val="0048372E"/>
    <w:rsid w:val="004839A0"/>
    <w:rsid w:val="004840B5"/>
    <w:rsid w:val="00484AF4"/>
    <w:rsid w:val="00484CB2"/>
    <w:rsid w:val="00485374"/>
    <w:rsid w:val="00485B59"/>
    <w:rsid w:val="00485E30"/>
    <w:rsid w:val="004869D0"/>
    <w:rsid w:val="00486A5D"/>
    <w:rsid w:val="0048725E"/>
    <w:rsid w:val="004879E0"/>
    <w:rsid w:val="00487B51"/>
    <w:rsid w:val="00487B84"/>
    <w:rsid w:val="00487E8F"/>
    <w:rsid w:val="00487FED"/>
    <w:rsid w:val="004902D1"/>
    <w:rsid w:val="0049060A"/>
    <w:rsid w:val="004906AD"/>
    <w:rsid w:val="004915A4"/>
    <w:rsid w:val="004917ED"/>
    <w:rsid w:val="004917F4"/>
    <w:rsid w:val="00491815"/>
    <w:rsid w:val="00491BE0"/>
    <w:rsid w:val="004924B5"/>
    <w:rsid w:val="00492656"/>
    <w:rsid w:val="00492A70"/>
    <w:rsid w:val="00492F66"/>
    <w:rsid w:val="00493260"/>
    <w:rsid w:val="00493396"/>
    <w:rsid w:val="0049387A"/>
    <w:rsid w:val="00493C91"/>
    <w:rsid w:val="00493E47"/>
    <w:rsid w:val="00494583"/>
    <w:rsid w:val="00494919"/>
    <w:rsid w:val="0049499D"/>
    <w:rsid w:val="004952EA"/>
    <w:rsid w:val="00495431"/>
    <w:rsid w:val="00495BA4"/>
    <w:rsid w:val="00495CD2"/>
    <w:rsid w:val="00496554"/>
    <w:rsid w:val="00496DE9"/>
    <w:rsid w:val="00496F8C"/>
    <w:rsid w:val="004971D9"/>
    <w:rsid w:val="0049736F"/>
    <w:rsid w:val="004976FB"/>
    <w:rsid w:val="004A05D0"/>
    <w:rsid w:val="004A0A90"/>
    <w:rsid w:val="004A1F5E"/>
    <w:rsid w:val="004A27B3"/>
    <w:rsid w:val="004A2835"/>
    <w:rsid w:val="004A2C36"/>
    <w:rsid w:val="004A2F96"/>
    <w:rsid w:val="004A32F1"/>
    <w:rsid w:val="004A336D"/>
    <w:rsid w:val="004A3627"/>
    <w:rsid w:val="004A3A84"/>
    <w:rsid w:val="004A3C44"/>
    <w:rsid w:val="004A3D2B"/>
    <w:rsid w:val="004A456F"/>
    <w:rsid w:val="004A4B68"/>
    <w:rsid w:val="004A4D65"/>
    <w:rsid w:val="004A51B9"/>
    <w:rsid w:val="004A5457"/>
    <w:rsid w:val="004A605D"/>
    <w:rsid w:val="004A61FC"/>
    <w:rsid w:val="004A62E6"/>
    <w:rsid w:val="004A670B"/>
    <w:rsid w:val="004A6DDF"/>
    <w:rsid w:val="004A73FB"/>
    <w:rsid w:val="004A7D53"/>
    <w:rsid w:val="004B0333"/>
    <w:rsid w:val="004B048D"/>
    <w:rsid w:val="004B0513"/>
    <w:rsid w:val="004B0690"/>
    <w:rsid w:val="004B0B06"/>
    <w:rsid w:val="004B0BF6"/>
    <w:rsid w:val="004B12EF"/>
    <w:rsid w:val="004B1465"/>
    <w:rsid w:val="004B1706"/>
    <w:rsid w:val="004B18AE"/>
    <w:rsid w:val="004B1D22"/>
    <w:rsid w:val="004B25B5"/>
    <w:rsid w:val="004B30EB"/>
    <w:rsid w:val="004B386E"/>
    <w:rsid w:val="004B38A6"/>
    <w:rsid w:val="004B3A7A"/>
    <w:rsid w:val="004B403C"/>
    <w:rsid w:val="004B41B8"/>
    <w:rsid w:val="004B4B98"/>
    <w:rsid w:val="004B5074"/>
    <w:rsid w:val="004B5669"/>
    <w:rsid w:val="004B5AEA"/>
    <w:rsid w:val="004B5D9F"/>
    <w:rsid w:val="004B65F3"/>
    <w:rsid w:val="004B6E90"/>
    <w:rsid w:val="004B6F6E"/>
    <w:rsid w:val="004B77B2"/>
    <w:rsid w:val="004B7B0E"/>
    <w:rsid w:val="004C0F7D"/>
    <w:rsid w:val="004C0FF0"/>
    <w:rsid w:val="004C177A"/>
    <w:rsid w:val="004C1DA2"/>
    <w:rsid w:val="004C1FF3"/>
    <w:rsid w:val="004C2181"/>
    <w:rsid w:val="004C219F"/>
    <w:rsid w:val="004C2308"/>
    <w:rsid w:val="004C28DD"/>
    <w:rsid w:val="004C2A3D"/>
    <w:rsid w:val="004C2CEC"/>
    <w:rsid w:val="004C2F1B"/>
    <w:rsid w:val="004C3A40"/>
    <w:rsid w:val="004C3AC5"/>
    <w:rsid w:val="004C3AFE"/>
    <w:rsid w:val="004C433E"/>
    <w:rsid w:val="004C43E9"/>
    <w:rsid w:val="004C4947"/>
    <w:rsid w:val="004C4D95"/>
    <w:rsid w:val="004C4E55"/>
    <w:rsid w:val="004C50D0"/>
    <w:rsid w:val="004C512E"/>
    <w:rsid w:val="004C5B6F"/>
    <w:rsid w:val="004C5B7B"/>
    <w:rsid w:val="004C5C72"/>
    <w:rsid w:val="004C600C"/>
    <w:rsid w:val="004C78FD"/>
    <w:rsid w:val="004C794B"/>
    <w:rsid w:val="004C7FDA"/>
    <w:rsid w:val="004D0752"/>
    <w:rsid w:val="004D0780"/>
    <w:rsid w:val="004D0A4E"/>
    <w:rsid w:val="004D0E10"/>
    <w:rsid w:val="004D129A"/>
    <w:rsid w:val="004D16FB"/>
    <w:rsid w:val="004D178A"/>
    <w:rsid w:val="004D19EB"/>
    <w:rsid w:val="004D1ACD"/>
    <w:rsid w:val="004D1E6F"/>
    <w:rsid w:val="004D20C8"/>
    <w:rsid w:val="004D3323"/>
    <w:rsid w:val="004D353F"/>
    <w:rsid w:val="004D3D62"/>
    <w:rsid w:val="004D430F"/>
    <w:rsid w:val="004D45C6"/>
    <w:rsid w:val="004D472D"/>
    <w:rsid w:val="004D4A38"/>
    <w:rsid w:val="004D565E"/>
    <w:rsid w:val="004D56D9"/>
    <w:rsid w:val="004D59A4"/>
    <w:rsid w:val="004D5CDA"/>
    <w:rsid w:val="004D6255"/>
    <w:rsid w:val="004D6373"/>
    <w:rsid w:val="004D6AB1"/>
    <w:rsid w:val="004D6C89"/>
    <w:rsid w:val="004D70D7"/>
    <w:rsid w:val="004D7119"/>
    <w:rsid w:val="004D73D5"/>
    <w:rsid w:val="004E0386"/>
    <w:rsid w:val="004E0779"/>
    <w:rsid w:val="004E104D"/>
    <w:rsid w:val="004E14E4"/>
    <w:rsid w:val="004E1521"/>
    <w:rsid w:val="004E192E"/>
    <w:rsid w:val="004E1EC0"/>
    <w:rsid w:val="004E2034"/>
    <w:rsid w:val="004E2891"/>
    <w:rsid w:val="004E2AD6"/>
    <w:rsid w:val="004E2DDB"/>
    <w:rsid w:val="004E31AC"/>
    <w:rsid w:val="004E372D"/>
    <w:rsid w:val="004E3FD4"/>
    <w:rsid w:val="004E4214"/>
    <w:rsid w:val="004E44A8"/>
    <w:rsid w:val="004E46F2"/>
    <w:rsid w:val="004E4773"/>
    <w:rsid w:val="004E47B3"/>
    <w:rsid w:val="004E4F44"/>
    <w:rsid w:val="004E512F"/>
    <w:rsid w:val="004E58B8"/>
    <w:rsid w:val="004E5CE9"/>
    <w:rsid w:val="004E605B"/>
    <w:rsid w:val="004E60F9"/>
    <w:rsid w:val="004E6708"/>
    <w:rsid w:val="004E6F9D"/>
    <w:rsid w:val="004E73A7"/>
    <w:rsid w:val="004E7486"/>
    <w:rsid w:val="004E79B0"/>
    <w:rsid w:val="004E7DF2"/>
    <w:rsid w:val="004F053A"/>
    <w:rsid w:val="004F095B"/>
    <w:rsid w:val="004F0A1C"/>
    <w:rsid w:val="004F10DE"/>
    <w:rsid w:val="004F143B"/>
    <w:rsid w:val="004F14AC"/>
    <w:rsid w:val="004F16B9"/>
    <w:rsid w:val="004F17D0"/>
    <w:rsid w:val="004F1F1F"/>
    <w:rsid w:val="004F2411"/>
    <w:rsid w:val="004F34D5"/>
    <w:rsid w:val="004F395E"/>
    <w:rsid w:val="004F3AE4"/>
    <w:rsid w:val="004F4251"/>
    <w:rsid w:val="004F4437"/>
    <w:rsid w:val="004F4E54"/>
    <w:rsid w:val="004F514A"/>
    <w:rsid w:val="004F57ED"/>
    <w:rsid w:val="004F58B3"/>
    <w:rsid w:val="004F5D1E"/>
    <w:rsid w:val="004F5E6C"/>
    <w:rsid w:val="004F607E"/>
    <w:rsid w:val="004F65FA"/>
    <w:rsid w:val="004F6A2A"/>
    <w:rsid w:val="004F6A73"/>
    <w:rsid w:val="004F6E6A"/>
    <w:rsid w:val="004F757A"/>
    <w:rsid w:val="004F7A7E"/>
    <w:rsid w:val="004F7BEC"/>
    <w:rsid w:val="005005E8"/>
    <w:rsid w:val="005005EF"/>
    <w:rsid w:val="00500728"/>
    <w:rsid w:val="00500B21"/>
    <w:rsid w:val="00500C70"/>
    <w:rsid w:val="00501130"/>
    <w:rsid w:val="00501C58"/>
    <w:rsid w:val="00501E15"/>
    <w:rsid w:val="005023C9"/>
    <w:rsid w:val="00502A0E"/>
    <w:rsid w:val="00502CF4"/>
    <w:rsid w:val="005030A5"/>
    <w:rsid w:val="005033A9"/>
    <w:rsid w:val="00504222"/>
    <w:rsid w:val="00504594"/>
    <w:rsid w:val="00504779"/>
    <w:rsid w:val="00504A10"/>
    <w:rsid w:val="00504F2D"/>
    <w:rsid w:val="005050AE"/>
    <w:rsid w:val="005050C3"/>
    <w:rsid w:val="0050580A"/>
    <w:rsid w:val="0050668A"/>
    <w:rsid w:val="00506858"/>
    <w:rsid w:val="00506A97"/>
    <w:rsid w:val="005070FD"/>
    <w:rsid w:val="0050716D"/>
    <w:rsid w:val="00507604"/>
    <w:rsid w:val="005109D7"/>
    <w:rsid w:val="005113B1"/>
    <w:rsid w:val="00511A03"/>
    <w:rsid w:val="00512748"/>
    <w:rsid w:val="00512873"/>
    <w:rsid w:val="00512A3B"/>
    <w:rsid w:val="00512B45"/>
    <w:rsid w:val="00513368"/>
    <w:rsid w:val="00513479"/>
    <w:rsid w:val="00513E3B"/>
    <w:rsid w:val="005149F6"/>
    <w:rsid w:val="00514E97"/>
    <w:rsid w:val="00514F9D"/>
    <w:rsid w:val="005168D5"/>
    <w:rsid w:val="00516B65"/>
    <w:rsid w:val="00517384"/>
    <w:rsid w:val="005173B6"/>
    <w:rsid w:val="005173DF"/>
    <w:rsid w:val="005176EA"/>
    <w:rsid w:val="0051781A"/>
    <w:rsid w:val="00520062"/>
    <w:rsid w:val="00520106"/>
    <w:rsid w:val="0052071A"/>
    <w:rsid w:val="00520C74"/>
    <w:rsid w:val="00521321"/>
    <w:rsid w:val="0052149E"/>
    <w:rsid w:val="00521F17"/>
    <w:rsid w:val="00522D12"/>
    <w:rsid w:val="00523849"/>
    <w:rsid w:val="00523FBA"/>
    <w:rsid w:val="005242E0"/>
    <w:rsid w:val="00524E4A"/>
    <w:rsid w:val="005250A1"/>
    <w:rsid w:val="005252B0"/>
    <w:rsid w:val="005259DD"/>
    <w:rsid w:val="00525FCA"/>
    <w:rsid w:val="00526DF5"/>
    <w:rsid w:val="0052799E"/>
    <w:rsid w:val="005308FF"/>
    <w:rsid w:val="00530B40"/>
    <w:rsid w:val="00530E19"/>
    <w:rsid w:val="00530E22"/>
    <w:rsid w:val="00530E2D"/>
    <w:rsid w:val="00530F10"/>
    <w:rsid w:val="005310D9"/>
    <w:rsid w:val="0053127E"/>
    <w:rsid w:val="00531354"/>
    <w:rsid w:val="00531424"/>
    <w:rsid w:val="00531712"/>
    <w:rsid w:val="0053237B"/>
    <w:rsid w:val="00532F3C"/>
    <w:rsid w:val="00533098"/>
    <w:rsid w:val="005330C4"/>
    <w:rsid w:val="0053322A"/>
    <w:rsid w:val="0053339A"/>
    <w:rsid w:val="005334D2"/>
    <w:rsid w:val="00533511"/>
    <w:rsid w:val="005339B0"/>
    <w:rsid w:val="00533A8A"/>
    <w:rsid w:val="00533BCC"/>
    <w:rsid w:val="00533DAC"/>
    <w:rsid w:val="00533E66"/>
    <w:rsid w:val="00533EDB"/>
    <w:rsid w:val="005343B4"/>
    <w:rsid w:val="00534C84"/>
    <w:rsid w:val="0053510B"/>
    <w:rsid w:val="005351B9"/>
    <w:rsid w:val="005352CF"/>
    <w:rsid w:val="00535618"/>
    <w:rsid w:val="00535842"/>
    <w:rsid w:val="00535BAF"/>
    <w:rsid w:val="0053657B"/>
    <w:rsid w:val="00536593"/>
    <w:rsid w:val="005365A6"/>
    <w:rsid w:val="005368F0"/>
    <w:rsid w:val="005369B6"/>
    <w:rsid w:val="005369CF"/>
    <w:rsid w:val="005374D3"/>
    <w:rsid w:val="005376ED"/>
    <w:rsid w:val="005377AC"/>
    <w:rsid w:val="00537C4F"/>
    <w:rsid w:val="00537D1A"/>
    <w:rsid w:val="0054017B"/>
    <w:rsid w:val="00540243"/>
    <w:rsid w:val="00540477"/>
    <w:rsid w:val="00540716"/>
    <w:rsid w:val="00541161"/>
    <w:rsid w:val="00541746"/>
    <w:rsid w:val="00541EB1"/>
    <w:rsid w:val="0054237C"/>
    <w:rsid w:val="00542868"/>
    <w:rsid w:val="00542AC6"/>
    <w:rsid w:val="00542B26"/>
    <w:rsid w:val="0054354B"/>
    <w:rsid w:val="0054367E"/>
    <w:rsid w:val="0054370D"/>
    <w:rsid w:val="00543891"/>
    <w:rsid w:val="005439DF"/>
    <w:rsid w:val="00543BE1"/>
    <w:rsid w:val="00543D50"/>
    <w:rsid w:val="005447DB"/>
    <w:rsid w:val="0054525A"/>
    <w:rsid w:val="00545405"/>
    <w:rsid w:val="005462FA"/>
    <w:rsid w:val="00546501"/>
    <w:rsid w:val="00546B47"/>
    <w:rsid w:val="00546C4C"/>
    <w:rsid w:val="00546D96"/>
    <w:rsid w:val="0054753B"/>
    <w:rsid w:val="00547757"/>
    <w:rsid w:val="00551045"/>
    <w:rsid w:val="005511B5"/>
    <w:rsid w:val="005511EC"/>
    <w:rsid w:val="005514D0"/>
    <w:rsid w:val="0055155A"/>
    <w:rsid w:val="00552776"/>
    <w:rsid w:val="00552A29"/>
    <w:rsid w:val="00552A5D"/>
    <w:rsid w:val="0055326F"/>
    <w:rsid w:val="00553304"/>
    <w:rsid w:val="00553605"/>
    <w:rsid w:val="005537B2"/>
    <w:rsid w:val="00553B44"/>
    <w:rsid w:val="005544A7"/>
    <w:rsid w:val="005545CF"/>
    <w:rsid w:val="00554DCE"/>
    <w:rsid w:val="00555240"/>
    <w:rsid w:val="00555647"/>
    <w:rsid w:val="0055574D"/>
    <w:rsid w:val="005559E5"/>
    <w:rsid w:val="00555E90"/>
    <w:rsid w:val="00556285"/>
    <w:rsid w:val="005568E9"/>
    <w:rsid w:val="00556CF2"/>
    <w:rsid w:val="00556D74"/>
    <w:rsid w:val="00560617"/>
    <w:rsid w:val="00560A23"/>
    <w:rsid w:val="00560AC8"/>
    <w:rsid w:val="00561023"/>
    <w:rsid w:val="0056140A"/>
    <w:rsid w:val="00561588"/>
    <w:rsid w:val="00561A10"/>
    <w:rsid w:val="0056298A"/>
    <w:rsid w:val="00562C9D"/>
    <w:rsid w:val="00562FD7"/>
    <w:rsid w:val="0056365E"/>
    <w:rsid w:val="00563E69"/>
    <w:rsid w:val="005643F7"/>
    <w:rsid w:val="0056480D"/>
    <w:rsid w:val="005656BA"/>
    <w:rsid w:val="00565845"/>
    <w:rsid w:val="00565FAE"/>
    <w:rsid w:val="005667C6"/>
    <w:rsid w:val="00566A5C"/>
    <w:rsid w:val="005671E4"/>
    <w:rsid w:val="00567692"/>
    <w:rsid w:val="0056794D"/>
    <w:rsid w:val="00567AA6"/>
    <w:rsid w:val="00567B43"/>
    <w:rsid w:val="00567D5D"/>
    <w:rsid w:val="00570813"/>
    <w:rsid w:val="0057135A"/>
    <w:rsid w:val="00571590"/>
    <w:rsid w:val="0057197E"/>
    <w:rsid w:val="00571FAF"/>
    <w:rsid w:val="0057264F"/>
    <w:rsid w:val="0057286A"/>
    <w:rsid w:val="0057299B"/>
    <w:rsid w:val="00572CBC"/>
    <w:rsid w:val="00573229"/>
    <w:rsid w:val="00573E51"/>
    <w:rsid w:val="00573FAA"/>
    <w:rsid w:val="0057416A"/>
    <w:rsid w:val="005746AB"/>
    <w:rsid w:val="00574C27"/>
    <w:rsid w:val="005752AE"/>
    <w:rsid w:val="00575408"/>
    <w:rsid w:val="00575C32"/>
    <w:rsid w:val="00575E79"/>
    <w:rsid w:val="005762E1"/>
    <w:rsid w:val="0057648A"/>
    <w:rsid w:val="005768CA"/>
    <w:rsid w:val="0057690A"/>
    <w:rsid w:val="00576CE5"/>
    <w:rsid w:val="00577689"/>
    <w:rsid w:val="00577B1A"/>
    <w:rsid w:val="00577D82"/>
    <w:rsid w:val="00577E2C"/>
    <w:rsid w:val="0058007F"/>
    <w:rsid w:val="005804C6"/>
    <w:rsid w:val="0058063F"/>
    <w:rsid w:val="00580BD3"/>
    <w:rsid w:val="0058140B"/>
    <w:rsid w:val="005817F2"/>
    <w:rsid w:val="00581A24"/>
    <w:rsid w:val="00581BAE"/>
    <w:rsid w:val="00582345"/>
    <w:rsid w:val="00582443"/>
    <w:rsid w:val="00583268"/>
    <w:rsid w:val="00583D20"/>
    <w:rsid w:val="00584CCC"/>
    <w:rsid w:val="00585835"/>
    <w:rsid w:val="00585C92"/>
    <w:rsid w:val="00585F27"/>
    <w:rsid w:val="00586282"/>
    <w:rsid w:val="00586356"/>
    <w:rsid w:val="00586591"/>
    <w:rsid w:val="00586F82"/>
    <w:rsid w:val="0058710E"/>
    <w:rsid w:val="005878E3"/>
    <w:rsid w:val="00587B1B"/>
    <w:rsid w:val="00587C0E"/>
    <w:rsid w:val="00587C93"/>
    <w:rsid w:val="00590024"/>
    <w:rsid w:val="005902CF"/>
    <w:rsid w:val="005903BF"/>
    <w:rsid w:val="005908A6"/>
    <w:rsid w:val="00591191"/>
    <w:rsid w:val="00591821"/>
    <w:rsid w:val="00591BAD"/>
    <w:rsid w:val="00591C98"/>
    <w:rsid w:val="00591D7E"/>
    <w:rsid w:val="00591D9E"/>
    <w:rsid w:val="00591FED"/>
    <w:rsid w:val="00592783"/>
    <w:rsid w:val="00592A9E"/>
    <w:rsid w:val="00593338"/>
    <w:rsid w:val="00593BED"/>
    <w:rsid w:val="00593C82"/>
    <w:rsid w:val="005940C7"/>
    <w:rsid w:val="005945B1"/>
    <w:rsid w:val="00594762"/>
    <w:rsid w:val="00594819"/>
    <w:rsid w:val="00594E17"/>
    <w:rsid w:val="0059550C"/>
    <w:rsid w:val="00595A4D"/>
    <w:rsid w:val="00595A9E"/>
    <w:rsid w:val="00595F7B"/>
    <w:rsid w:val="00595FB2"/>
    <w:rsid w:val="00596482"/>
    <w:rsid w:val="00596524"/>
    <w:rsid w:val="0059673B"/>
    <w:rsid w:val="00596819"/>
    <w:rsid w:val="00596EC8"/>
    <w:rsid w:val="005970BE"/>
    <w:rsid w:val="005A0208"/>
    <w:rsid w:val="005A0310"/>
    <w:rsid w:val="005A0682"/>
    <w:rsid w:val="005A07FA"/>
    <w:rsid w:val="005A1439"/>
    <w:rsid w:val="005A17A2"/>
    <w:rsid w:val="005A1BD7"/>
    <w:rsid w:val="005A1C2E"/>
    <w:rsid w:val="005A1CF9"/>
    <w:rsid w:val="005A1E9E"/>
    <w:rsid w:val="005A205F"/>
    <w:rsid w:val="005A20ED"/>
    <w:rsid w:val="005A290F"/>
    <w:rsid w:val="005A2CA5"/>
    <w:rsid w:val="005A3CC5"/>
    <w:rsid w:val="005A442B"/>
    <w:rsid w:val="005A4952"/>
    <w:rsid w:val="005A4AB9"/>
    <w:rsid w:val="005A5169"/>
    <w:rsid w:val="005A5445"/>
    <w:rsid w:val="005A6353"/>
    <w:rsid w:val="005A6959"/>
    <w:rsid w:val="005A69D4"/>
    <w:rsid w:val="005A6E4B"/>
    <w:rsid w:val="005A6FA3"/>
    <w:rsid w:val="005A71BB"/>
    <w:rsid w:val="005A7A82"/>
    <w:rsid w:val="005A7BBE"/>
    <w:rsid w:val="005A7C38"/>
    <w:rsid w:val="005B0778"/>
    <w:rsid w:val="005B0AAD"/>
    <w:rsid w:val="005B1339"/>
    <w:rsid w:val="005B13B7"/>
    <w:rsid w:val="005B1546"/>
    <w:rsid w:val="005B1916"/>
    <w:rsid w:val="005B2545"/>
    <w:rsid w:val="005B2603"/>
    <w:rsid w:val="005B2799"/>
    <w:rsid w:val="005B2BF5"/>
    <w:rsid w:val="005B2E84"/>
    <w:rsid w:val="005B2EF2"/>
    <w:rsid w:val="005B308F"/>
    <w:rsid w:val="005B3549"/>
    <w:rsid w:val="005B3D34"/>
    <w:rsid w:val="005B3E79"/>
    <w:rsid w:val="005B42CB"/>
    <w:rsid w:val="005B4527"/>
    <w:rsid w:val="005B46CB"/>
    <w:rsid w:val="005B5537"/>
    <w:rsid w:val="005B5538"/>
    <w:rsid w:val="005B5EBD"/>
    <w:rsid w:val="005B5F82"/>
    <w:rsid w:val="005B6E58"/>
    <w:rsid w:val="005B773B"/>
    <w:rsid w:val="005C0097"/>
    <w:rsid w:val="005C024F"/>
    <w:rsid w:val="005C07FE"/>
    <w:rsid w:val="005C0CDA"/>
    <w:rsid w:val="005C0EA1"/>
    <w:rsid w:val="005C1054"/>
    <w:rsid w:val="005C1A44"/>
    <w:rsid w:val="005C1A8B"/>
    <w:rsid w:val="005C2A3F"/>
    <w:rsid w:val="005C2F55"/>
    <w:rsid w:val="005C3C7A"/>
    <w:rsid w:val="005C411C"/>
    <w:rsid w:val="005C4218"/>
    <w:rsid w:val="005C4252"/>
    <w:rsid w:val="005C4822"/>
    <w:rsid w:val="005C544A"/>
    <w:rsid w:val="005C550E"/>
    <w:rsid w:val="005C5521"/>
    <w:rsid w:val="005C5731"/>
    <w:rsid w:val="005C6401"/>
    <w:rsid w:val="005C644B"/>
    <w:rsid w:val="005C6BEC"/>
    <w:rsid w:val="005D07B1"/>
    <w:rsid w:val="005D08E6"/>
    <w:rsid w:val="005D0F59"/>
    <w:rsid w:val="005D16B8"/>
    <w:rsid w:val="005D19C5"/>
    <w:rsid w:val="005D1CCE"/>
    <w:rsid w:val="005D1F2F"/>
    <w:rsid w:val="005D1F95"/>
    <w:rsid w:val="005D21A5"/>
    <w:rsid w:val="005D2A01"/>
    <w:rsid w:val="005D2BF5"/>
    <w:rsid w:val="005D2DB0"/>
    <w:rsid w:val="005D343F"/>
    <w:rsid w:val="005D3791"/>
    <w:rsid w:val="005D3BDB"/>
    <w:rsid w:val="005D3CE8"/>
    <w:rsid w:val="005D3E0F"/>
    <w:rsid w:val="005D3F0D"/>
    <w:rsid w:val="005D3FBB"/>
    <w:rsid w:val="005D48B4"/>
    <w:rsid w:val="005D4C62"/>
    <w:rsid w:val="005D5356"/>
    <w:rsid w:val="005D55A4"/>
    <w:rsid w:val="005D5BF7"/>
    <w:rsid w:val="005D5C95"/>
    <w:rsid w:val="005D5D19"/>
    <w:rsid w:val="005D6224"/>
    <w:rsid w:val="005D6A3A"/>
    <w:rsid w:val="005D7213"/>
    <w:rsid w:val="005D7376"/>
    <w:rsid w:val="005D74C5"/>
    <w:rsid w:val="005D765B"/>
    <w:rsid w:val="005D7D45"/>
    <w:rsid w:val="005E029A"/>
    <w:rsid w:val="005E03AD"/>
    <w:rsid w:val="005E1653"/>
    <w:rsid w:val="005E215E"/>
    <w:rsid w:val="005E26C7"/>
    <w:rsid w:val="005E29E0"/>
    <w:rsid w:val="005E2B13"/>
    <w:rsid w:val="005E2E00"/>
    <w:rsid w:val="005E2F73"/>
    <w:rsid w:val="005E3002"/>
    <w:rsid w:val="005E3916"/>
    <w:rsid w:val="005E3CE6"/>
    <w:rsid w:val="005E40D1"/>
    <w:rsid w:val="005E4668"/>
    <w:rsid w:val="005E47F8"/>
    <w:rsid w:val="005E4AE5"/>
    <w:rsid w:val="005E50D5"/>
    <w:rsid w:val="005E530B"/>
    <w:rsid w:val="005E536A"/>
    <w:rsid w:val="005E5747"/>
    <w:rsid w:val="005E5ABF"/>
    <w:rsid w:val="005E5B26"/>
    <w:rsid w:val="005E5FF2"/>
    <w:rsid w:val="005E603D"/>
    <w:rsid w:val="005E63C2"/>
    <w:rsid w:val="005E68A0"/>
    <w:rsid w:val="005E6ADB"/>
    <w:rsid w:val="005E6DF3"/>
    <w:rsid w:val="005E761F"/>
    <w:rsid w:val="005E7C54"/>
    <w:rsid w:val="005E7F68"/>
    <w:rsid w:val="005F11C7"/>
    <w:rsid w:val="005F12A5"/>
    <w:rsid w:val="005F12AF"/>
    <w:rsid w:val="005F2034"/>
    <w:rsid w:val="005F23CB"/>
    <w:rsid w:val="005F2495"/>
    <w:rsid w:val="005F2C1A"/>
    <w:rsid w:val="005F2FA5"/>
    <w:rsid w:val="005F33AA"/>
    <w:rsid w:val="005F3803"/>
    <w:rsid w:val="005F403B"/>
    <w:rsid w:val="005F43CF"/>
    <w:rsid w:val="005F44E4"/>
    <w:rsid w:val="005F46E8"/>
    <w:rsid w:val="005F497C"/>
    <w:rsid w:val="005F4AAA"/>
    <w:rsid w:val="005F4D65"/>
    <w:rsid w:val="005F4E1E"/>
    <w:rsid w:val="005F5124"/>
    <w:rsid w:val="005F577B"/>
    <w:rsid w:val="005F5EE5"/>
    <w:rsid w:val="005F5F0A"/>
    <w:rsid w:val="005F6399"/>
    <w:rsid w:val="005F6CB1"/>
    <w:rsid w:val="005F6D46"/>
    <w:rsid w:val="005F70B4"/>
    <w:rsid w:val="005F7B3F"/>
    <w:rsid w:val="0060083F"/>
    <w:rsid w:val="006009C5"/>
    <w:rsid w:val="00600AE1"/>
    <w:rsid w:val="00600BEF"/>
    <w:rsid w:val="00600CD1"/>
    <w:rsid w:val="00600ED1"/>
    <w:rsid w:val="006018E2"/>
    <w:rsid w:val="00601BE1"/>
    <w:rsid w:val="00602301"/>
    <w:rsid w:val="0060312C"/>
    <w:rsid w:val="00603436"/>
    <w:rsid w:val="00604295"/>
    <w:rsid w:val="00604373"/>
    <w:rsid w:val="00604BD5"/>
    <w:rsid w:val="00604F99"/>
    <w:rsid w:val="0060504F"/>
    <w:rsid w:val="00605114"/>
    <w:rsid w:val="00605125"/>
    <w:rsid w:val="0060550A"/>
    <w:rsid w:val="006055F5"/>
    <w:rsid w:val="00605B4A"/>
    <w:rsid w:val="00605CA1"/>
    <w:rsid w:val="006065D6"/>
    <w:rsid w:val="0060677D"/>
    <w:rsid w:val="00606D2B"/>
    <w:rsid w:val="0060731A"/>
    <w:rsid w:val="0060751B"/>
    <w:rsid w:val="006077E5"/>
    <w:rsid w:val="006079F6"/>
    <w:rsid w:val="00610142"/>
    <w:rsid w:val="006102A4"/>
    <w:rsid w:val="00610DF0"/>
    <w:rsid w:val="00610EE7"/>
    <w:rsid w:val="006123C7"/>
    <w:rsid w:val="006125FE"/>
    <w:rsid w:val="00612AF4"/>
    <w:rsid w:val="00612D61"/>
    <w:rsid w:val="00612DDD"/>
    <w:rsid w:val="00614175"/>
    <w:rsid w:val="00614CD2"/>
    <w:rsid w:val="00615791"/>
    <w:rsid w:val="00616926"/>
    <w:rsid w:val="00616FA0"/>
    <w:rsid w:val="0061739F"/>
    <w:rsid w:val="00617AC4"/>
    <w:rsid w:val="00617B89"/>
    <w:rsid w:val="00617FA5"/>
    <w:rsid w:val="00620466"/>
    <w:rsid w:val="0062047D"/>
    <w:rsid w:val="00620E0F"/>
    <w:rsid w:val="00620FC5"/>
    <w:rsid w:val="00621D36"/>
    <w:rsid w:val="00621D4A"/>
    <w:rsid w:val="00622039"/>
    <w:rsid w:val="006226AC"/>
    <w:rsid w:val="00622B33"/>
    <w:rsid w:val="00622D21"/>
    <w:rsid w:val="00622E8F"/>
    <w:rsid w:val="0062320E"/>
    <w:rsid w:val="006236A2"/>
    <w:rsid w:val="006239E5"/>
    <w:rsid w:val="006246CA"/>
    <w:rsid w:val="00624A03"/>
    <w:rsid w:val="00624CA5"/>
    <w:rsid w:val="00625348"/>
    <w:rsid w:val="00625780"/>
    <w:rsid w:val="00625A63"/>
    <w:rsid w:val="00625FAD"/>
    <w:rsid w:val="0062673A"/>
    <w:rsid w:val="0062680E"/>
    <w:rsid w:val="00626ADC"/>
    <w:rsid w:val="00626C71"/>
    <w:rsid w:val="00627201"/>
    <w:rsid w:val="00627E03"/>
    <w:rsid w:val="00630873"/>
    <w:rsid w:val="00631558"/>
    <w:rsid w:val="00631E5F"/>
    <w:rsid w:val="00632C48"/>
    <w:rsid w:val="00632DBE"/>
    <w:rsid w:val="00632F4C"/>
    <w:rsid w:val="00633AB3"/>
    <w:rsid w:val="00633EE4"/>
    <w:rsid w:val="00633F4F"/>
    <w:rsid w:val="00634664"/>
    <w:rsid w:val="0063472F"/>
    <w:rsid w:val="0063473E"/>
    <w:rsid w:val="00634B16"/>
    <w:rsid w:val="00634C26"/>
    <w:rsid w:val="00634D83"/>
    <w:rsid w:val="0063578A"/>
    <w:rsid w:val="00636826"/>
    <w:rsid w:val="00636A18"/>
    <w:rsid w:val="00636C2A"/>
    <w:rsid w:val="00637340"/>
    <w:rsid w:val="00637533"/>
    <w:rsid w:val="006376BB"/>
    <w:rsid w:val="00637CCD"/>
    <w:rsid w:val="00637E22"/>
    <w:rsid w:val="00637F0B"/>
    <w:rsid w:val="0064003B"/>
    <w:rsid w:val="006402F0"/>
    <w:rsid w:val="006407CF"/>
    <w:rsid w:val="00640CB8"/>
    <w:rsid w:val="00641C13"/>
    <w:rsid w:val="00641DBC"/>
    <w:rsid w:val="00641E8E"/>
    <w:rsid w:val="006420C1"/>
    <w:rsid w:val="00642668"/>
    <w:rsid w:val="00642A5B"/>
    <w:rsid w:val="00642EC3"/>
    <w:rsid w:val="0064380E"/>
    <w:rsid w:val="00643855"/>
    <w:rsid w:val="006455D7"/>
    <w:rsid w:val="00645C1D"/>
    <w:rsid w:val="0064607C"/>
    <w:rsid w:val="006461DA"/>
    <w:rsid w:val="00646378"/>
    <w:rsid w:val="006467AA"/>
    <w:rsid w:val="00646F93"/>
    <w:rsid w:val="006472FC"/>
    <w:rsid w:val="00647C23"/>
    <w:rsid w:val="00647D2D"/>
    <w:rsid w:val="00650058"/>
    <w:rsid w:val="006501FA"/>
    <w:rsid w:val="006504AB"/>
    <w:rsid w:val="006506C8"/>
    <w:rsid w:val="006508A5"/>
    <w:rsid w:val="00650981"/>
    <w:rsid w:val="00650984"/>
    <w:rsid w:val="00650BB2"/>
    <w:rsid w:val="00650E56"/>
    <w:rsid w:val="00651350"/>
    <w:rsid w:val="00651879"/>
    <w:rsid w:val="00651EBE"/>
    <w:rsid w:val="00652228"/>
    <w:rsid w:val="006526CA"/>
    <w:rsid w:val="00652AD8"/>
    <w:rsid w:val="00652B61"/>
    <w:rsid w:val="00652FA5"/>
    <w:rsid w:val="00653290"/>
    <w:rsid w:val="006536EB"/>
    <w:rsid w:val="00653E4F"/>
    <w:rsid w:val="0065412B"/>
    <w:rsid w:val="0065417E"/>
    <w:rsid w:val="00654A25"/>
    <w:rsid w:val="00654EC7"/>
    <w:rsid w:val="00655D4E"/>
    <w:rsid w:val="0065610D"/>
    <w:rsid w:val="006564DF"/>
    <w:rsid w:val="00656DB8"/>
    <w:rsid w:val="00656DDE"/>
    <w:rsid w:val="00657217"/>
    <w:rsid w:val="00657386"/>
    <w:rsid w:val="006576A3"/>
    <w:rsid w:val="00657A97"/>
    <w:rsid w:val="00657DF5"/>
    <w:rsid w:val="00657DF7"/>
    <w:rsid w:val="006607E5"/>
    <w:rsid w:val="006608AB"/>
    <w:rsid w:val="0066121B"/>
    <w:rsid w:val="006613DC"/>
    <w:rsid w:val="006618BF"/>
    <w:rsid w:val="00661CF5"/>
    <w:rsid w:val="00661E75"/>
    <w:rsid w:val="00661EF1"/>
    <w:rsid w:val="00661F31"/>
    <w:rsid w:val="00662381"/>
    <w:rsid w:val="006623AC"/>
    <w:rsid w:val="00662FF5"/>
    <w:rsid w:val="00663188"/>
    <w:rsid w:val="0066387A"/>
    <w:rsid w:val="00663C0E"/>
    <w:rsid w:val="00663EA7"/>
    <w:rsid w:val="006643B0"/>
    <w:rsid w:val="006657AE"/>
    <w:rsid w:val="00665885"/>
    <w:rsid w:val="00665906"/>
    <w:rsid w:val="006659F3"/>
    <w:rsid w:val="00665AA4"/>
    <w:rsid w:val="00665AB7"/>
    <w:rsid w:val="00665E90"/>
    <w:rsid w:val="006664CC"/>
    <w:rsid w:val="00666B30"/>
    <w:rsid w:val="00666FDA"/>
    <w:rsid w:val="006672F2"/>
    <w:rsid w:val="006673C4"/>
    <w:rsid w:val="006675C5"/>
    <w:rsid w:val="0066760D"/>
    <w:rsid w:val="00667EB9"/>
    <w:rsid w:val="006703F3"/>
    <w:rsid w:val="00670DC2"/>
    <w:rsid w:val="006711B0"/>
    <w:rsid w:val="00671222"/>
    <w:rsid w:val="00671622"/>
    <w:rsid w:val="006717AA"/>
    <w:rsid w:val="006717B5"/>
    <w:rsid w:val="00671AE6"/>
    <w:rsid w:val="00671B13"/>
    <w:rsid w:val="0067229F"/>
    <w:rsid w:val="006722CF"/>
    <w:rsid w:val="00672808"/>
    <w:rsid w:val="00672DFB"/>
    <w:rsid w:val="0067388B"/>
    <w:rsid w:val="00673E85"/>
    <w:rsid w:val="00673F14"/>
    <w:rsid w:val="00673FAD"/>
    <w:rsid w:val="0067414D"/>
    <w:rsid w:val="00674425"/>
    <w:rsid w:val="00674540"/>
    <w:rsid w:val="0067463B"/>
    <w:rsid w:val="006747AD"/>
    <w:rsid w:val="00674B5B"/>
    <w:rsid w:val="006751BE"/>
    <w:rsid w:val="0067535B"/>
    <w:rsid w:val="00675430"/>
    <w:rsid w:val="006757FC"/>
    <w:rsid w:val="00675C87"/>
    <w:rsid w:val="00675F24"/>
    <w:rsid w:val="0067616C"/>
    <w:rsid w:val="0067658D"/>
    <w:rsid w:val="00676C30"/>
    <w:rsid w:val="00676D08"/>
    <w:rsid w:val="00676D23"/>
    <w:rsid w:val="0067717D"/>
    <w:rsid w:val="006779DF"/>
    <w:rsid w:val="00677A31"/>
    <w:rsid w:val="006805AB"/>
    <w:rsid w:val="006807EF"/>
    <w:rsid w:val="006808DD"/>
    <w:rsid w:val="0068095F"/>
    <w:rsid w:val="00680F2F"/>
    <w:rsid w:val="006812B9"/>
    <w:rsid w:val="0068212A"/>
    <w:rsid w:val="006825CF"/>
    <w:rsid w:val="006832FA"/>
    <w:rsid w:val="006837A0"/>
    <w:rsid w:val="00683B33"/>
    <w:rsid w:val="00684101"/>
    <w:rsid w:val="0068498B"/>
    <w:rsid w:val="006849D3"/>
    <w:rsid w:val="00685124"/>
    <w:rsid w:val="00685815"/>
    <w:rsid w:val="00685C3B"/>
    <w:rsid w:val="00686817"/>
    <w:rsid w:val="00686EED"/>
    <w:rsid w:val="00686F49"/>
    <w:rsid w:val="0068767C"/>
    <w:rsid w:val="006901E6"/>
    <w:rsid w:val="006903A8"/>
    <w:rsid w:val="00690BED"/>
    <w:rsid w:val="00690F89"/>
    <w:rsid w:val="00691408"/>
    <w:rsid w:val="0069148C"/>
    <w:rsid w:val="006915BA"/>
    <w:rsid w:val="00691A2B"/>
    <w:rsid w:val="00692051"/>
    <w:rsid w:val="00692418"/>
    <w:rsid w:val="0069268D"/>
    <w:rsid w:val="00692B3E"/>
    <w:rsid w:val="00692CA0"/>
    <w:rsid w:val="0069319A"/>
    <w:rsid w:val="006934DB"/>
    <w:rsid w:val="00693693"/>
    <w:rsid w:val="00693BAD"/>
    <w:rsid w:val="00693DAC"/>
    <w:rsid w:val="006941C7"/>
    <w:rsid w:val="00694AB8"/>
    <w:rsid w:val="00694B75"/>
    <w:rsid w:val="00694BC0"/>
    <w:rsid w:val="006953B6"/>
    <w:rsid w:val="006957B0"/>
    <w:rsid w:val="0069599B"/>
    <w:rsid w:val="0069601B"/>
    <w:rsid w:val="006960E4"/>
    <w:rsid w:val="00696D72"/>
    <w:rsid w:val="006976AE"/>
    <w:rsid w:val="006978AE"/>
    <w:rsid w:val="00697CD3"/>
    <w:rsid w:val="00697FE9"/>
    <w:rsid w:val="006A086E"/>
    <w:rsid w:val="006A08F7"/>
    <w:rsid w:val="006A0D21"/>
    <w:rsid w:val="006A12E5"/>
    <w:rsid w:val="006A1569"/>
    <w:rsid w:val="006A2023"/>
    <w:rsid w:val="006A22DB"/>
    <w:rsid w:val="006A2476"/>
    <w:rsid w:val="006A2708"/>
    <w:rsid w:val="006A2B8B"/>
    <w:rsid w:val="006A2BB8"/>
    <w:rsid w:val="006A38E4"/>
    <w:rsid w:val="006A47D8"/>
    <w:rsid w:val="006A489C"/>
    <w:rsid w:val="006A5C16"/>
    <w:rsid w:val="006A64D3"/>
    <w:rsid w:val="006A66D5"/>
    <w:rsid w:val="006A67A0"/>
    <w:rsid w:val="006A7093"/>
    <w:rsid w:val="006A7296"/>
    <w:rsid w:val="006A7328"/>
    <w:rsid w:val="006A77AE"/>
    <w:rsid w:val="006A7812"/>
    <w:rsid w:val="006A7C45"/>
    <w:rsid w:val="006A7EA4"/>
    <w:rsid w:val="006A7F02"/>
    <w:rsid w:val="006B0184"/>
    <w:rsid w:val="006B0376"/>
    <w:rsid w:val="006B1143"/>
    <w:rsid w:val="006B12CB"/>
    <w:rsid w:val="006B1AE1"/>
    <w:rsid w:val="006B1B04"/>
    <w:rsid w:val="006B1DA6"/>
    <w:rsid w:val="006B240C"/>
    <w:rsid w:val="006B2842"/>
    <w:rsid w:val="006B2AC7"/>
    <w:rsid w:val="006B2E6B"/>
    <w:rsid w:val="006B306B"/>
    <w:rsid w:val="006B33C6"/>
    <w:rsid w:val="006B3504"/>
    <w:rsid w:val="006B3703"/>
    <w:rsid w:val="006B3BB7"/>
    <w:rsid w:val="006B4401"/>
    <w:rsid w:val="006B4831"/>
    <w:rsid w:val="006B4D2A"/>
    <w:rsid w:val="006B57D3"/>
    <w:rsid w:val="006B590D"/>
    <w:rsid w:val="006B5DF4"/>
    <w:rsid w:val="006B66C4"/>
    <w:rsid w:val="006B705B"/>
    <w:rsid w:val="006B744F"/>
    <w:rsid w:val="006C0089"/>
    <w:rsid w:val="006C0885"/>
    <w:rsid w:val="006C0916"/>
    <w:rsid w:val="006C0AB2"/>
    <w:rsid w:val="006C0ED3"/>
    <w:rsid w:val="006C185E"/>
    <w:rsid w:val="006C1A47"/>
    <w:rsid w:val="006C1ABC"/>
    <w:rsid w:val="006C1AF3"/>
    <w:rsid w:val="006C1B9A"/>
    <w:rsid w:val="006C20D6"/>
    <w:rsid w:val="006C2241"/>
    <w:rsid w:val="006C266D"/>
    <w:rsid w:val="006C276D"/>
    <w:rsid w:val="006C316C"/>
    <w:rsid w:val="006C3495"/>
    <w:rsid w:val="006C392A"/>
    <w:rsid w:val="006C4088"/>
    <w:rsid w:val="006C41BB"/>
    <w:rsid w:val="006C421E"/>
    <w:rsid w:val="006C469B"/>
    <w:rsid w:val="006C471C"/>
    <w:rsid w:val="006C4EB5"/>
    <w:rsid w:val="006C523A"/>
    <w:rsid w:val="006C5250"/>
    <w:rsid w:val="006C55AB"/>
    <w:rsid w:val="006C55DB"/>
    <w:rsid w:val="006C5BFF"/>
    <w:rsid w:val="006C5D2E"/>
    <w:rsid w:val="006C6274"/>
    <w:rsid w:val="006C6341"/>
    <w:rsid w:val="006C6591"/>
    <w:rsid w:val="006C7D1F"/>
    <w:rsid w:val="006C7F85"/>
    <w:rsid w:val="006D000E"/>
    <w:rsid w:val="006D0AFF"/>
    <w:rsid w:val="006D1075"/>
    <w:rsid w:val="006D1296"/>
    <w:rsid w:val="006D152E"/>
    <w:rsid w:val="006D156C"/>
    <w:rsid w:val="006D163C"/>
    <w:rsid w:val="006D1D0A"/>
    <w:rsid w:val="006D1F41"/>
    <w:rsid w:val="006D25FD"/>
    <w:rsid w:val="006D2720"/>
    <w:rsid w:val="006D2A34"/>
    <w:rsid w:val="006D2DC7"/>
    <w:rsid w:val="006D312E"/>
    <w:rsid w:val="006D3265"/>
    <w:rsid w:val="006D3760"/>
    <w:rsid w:val="006D4BD4"/>
    <w:rsid w:val="006D4C17"/>
    <w:rsid w:val="006D4D76"/>
    <w:rsid w:val="006D4DF9"/>
    <w:rsid w:val="006D4FFE"/>
    <w:rsid w:val="006D5A44"/>
    <w:rsid w:val="006D60E2"/>
    <w:rsid w:val="006D636D"/>
    <w:rsid w:val="006D6553"/>
    <w:rsid w:val="006D65FA"/>
    <w:rsid w:val="006D6A8A"/>
    <w:rsid w:val="006D73CF"/>
    <w:rsid w:val="006D7E2E"/>
    <w:rsid w:val="006D7F16"/>
    <w:rsid w:val="006E0758"/>
    <w:rsid w:val="006E0DD5"/>
    <w:rsid w:val="006E0E73"/>
    <w:rsid w:val="006E0FBD"/>
    <w:rsid w:val="006E0FCF"/>
    <w:rsid w:val="006E1D8A"/>
    <w:rsid w:val="006E2312"/>
    <w:rsid w:val="006E28A2"/>
    <w:rsid w:val="006E2935"/>
    <w:rsid w:val="006E2DB2"/>
    <w:rsid w:val="006E2E21"/>
    <w:rsid w:val="006E3829"/>
    <w:rsid w:val="006E3DE0"/>
    <w:rsid w:val="006E4511"/>
    <w:rsid w:val="006E48E7"/>
    <w:rsid w:val="006E4B4C"/>
    <w:rsid w:val="006E4C15"/>
    <w:rsid w:val="006E4FF1"/>
    <w:rsid w:val="006E4FFD"/>
    <w:rsid w:val="006E54B2"/>
    <w:rsid w:val="006E5500"/>
    <w:rsid w:val="006E57DD"/>
    <w:rsid w:val="006E6A59"/>
    <w:rsid w:val="006E6DCA"/>
    <w:rsid w:val="006E72DD"/>
    <w:rsid w:val="006E7443"/>
    <w:rsid w:val="006E747E"/>
    <w:rsid w:val="006E7623"/>
    <w:rsid w:val="006E799C"/>
    <w:rsid w:val="006F0193"/>
    <w:rsid w:val="006F14AE"/>
    <w:rsid w:val="006F1826"/>
    <w:rsid w:val="006F1D0B"/>
    <w:rsid w:val="006F1E12"/>
    <w:rsid w:val="006F36A0"/>
    <w:rsid w:val="006F39AC"/>
    <w:rsid w:val="006F3A34"/>
    <w:rsid w:val="006F3AC0"/>
    <w:rsid w:val="006F3AE3"/>
    <w:rsid w:val="006F3DAC"/>
    <w:rsid w:val="006F4102"/>
    <w:rsid w:val="006F49F7"/>
    <w:rsid w:val="006F4B58"/>
    <w:rsid w:val="006F4B5A"/>
    <w:rsid w:val="006F520A"/>
    <w:rsid w:val="006F53C0"/>
    <w:rsid w:val="006F571C"/>
    <w:rsid w:val="006F5D43"/>
    <w:rsid w:val="006F68EF"/>
    <w:rsid w:val="006F6B37"/>
    <w:rsid w:val="006F6EB9"/>
    <w:rsid w:val="006F6F3B"/>
    <w:rsid w:val="006F715B"/>
    <w:rsid w:val="006F755F"/>
    <w:rsid w:val="006F7914"/>
    <w:rsid w:val="006F7D11"/>
    <w:rsid w:val="0070045D"/>
    <w:rsid w:val="007012D1"/>
    <w:rsid w:val="007013E2"/>
    <w:rsid w:val="00701DCC"/>
    <w:rsid w:val="0070220F"/>
    <w:rsid w:val="007024B6"/>
    <w:rsid w:val="0070287F"/>
    <w:rsid w:val="00702974"/>
    <w:rsid w:val="00702FBB"/>
    <w:rsid w:val="007030C4"/>
    <w:rsid w:val="00703201"/>
    <w:rsid w:val="00704055"/>
    <w:rsid w:val="00704242"/>
    <w:rsid w:val="00704C42"/>
    <w:rsid w:val="007058AC"/>
    <w:rsid w:val="0070681C"/>
    <w:rsid w:val="00706A05"/>
    <w:rsid w:val="00706F62"/>
    <w:rsid w:val="0070719F"/>
    <w:rsid w:val="007105B4"/>
    <w:rsid w:val="0071087E"/>
    <w:rsid w:val="00710C22"/>
    <w:rsid w:val="00710CF9"/>
    <w:rsid w:val="00710E66"/>
    <w:rsid w:val="00711E63"/>
    <w:rsid w:val="00711F15"/>
    <w:rsid w:val="00712006"/>
    <w:rsid w:val="00712418"/>
    <w:rsid w:val="00712839"/>
    <w:rsid w:val="00712E0E"/>
    <w:rsid w:val="00712F09"/>
    <w:rsid w:val="00713125"/>
    <w:rsid w:val="00713200"/>
    <w:rsid w:val="007135E5"/>
    <w:rsid w:val="00713660"/>
    <w:rsid w:val="00714CAE"/>
    <w:rsid w:val="007151B9"/>
    <w:rsid w:val="007155AC"/>
    <w:rsid w:val="00715938"/>
    <w:rsid w:val="0071611D"/>
    <w:rsid w:val="00720D14"/>
    <w:rsid w:val="0072135B"/>
    <w:rsid w:val="0072178A"/>
    <w:rsid w:val="007217F5"/>
    <w:rsid w:val="00722029"/>
    <w:rsid w:val="0072278C"/>
    <w:rsid w:val="00722830"/>
    <w:rsid w:val="00722E24"/>
    <w:rsid w:val="00722FBF"/>
    <w:rsid w:val="0072303B"/>
    <w:rsid w:val="007233AE"/>
    <w:rsid w:val="00723A41"/>
    <w:rsid w:val="00723B85"/>
    <w:rsid w:val="007240C8"/>
    <w:rsid w:val="00724167"/>
    <w:rsid w:val="0072443B"/>
    <w:rsid w:val="00724507"/>
    <w:rsid w:val="00724932"/>
    <w:rsid w:val="00724A0D"/>
    <w:rsid w:val="0072532B"/>
    <w:rsid w:val="00725A41"/>
    <w:rsid w:val="00726949"/>
    <w:rsid w:val="0072699D"/>
    <w:rsid w:val="00726ABB"/>
    <w:rsid w:val="00726F80"/>
    <w:rsid w:val="00727500"/>
    <w:rsid w:val="00727A2C"/>
    <w:rsid w:val="00727F3A"/>
    <w:rsid w:val="007301EA"/>
    <w:rsid w:val="0073064D"/>
    <w:rsid w:val="00730821"/>
    <w:rsid w:val="00730B68"/>
    <w:rsid w:val="00730B9E"/>
    <w:rsid w:val="00730C4F"/>
    <w:rsid w:val="00731C81"/>
    <w:rsid w:val="007333AE"/>
    <w:rsid w:val="00733806"/>
    <w:rsid w:val="00733A03"/>
    <w:rsid w:val="00733DFB"/>
    <w:rsid w:val="00734908"/>
    <w:rsid w:val="00734BA2"/>
    <w:rsid w:val="00734F9A"/>
    <w:rsid w:val="007350D7"/>
    <w:rsid w:val="00735122"/>
    <w:rsid w:val="00735A5F"/>
    <w:rsid w:val="00735E55"/>
    <w:rsid w:val="00736627"/>
    <w:rsid w:val="00736B20"/>
    <w:rsid w:val="007371D8"/>
    <w:rsid w:val="00737839"/>
    <w:rsid w:val="0074056A"/>
    <w:rsid w:val="00740582"/>
    <w:rsid w:val="007410FB"/>
    <w:rsid w:val="0074152D"/>
    <w:rsid w:val="007416A5"/>
    <w:rsid w:val="00741D2E"/>
    <w:rsid w:val="00742384"/>
    <w:rsid w:val="0074247D"/>
    <w:rsid w:val="0074279B"/>
    <w:rsid w:val="00742944"/>
    <w:rsid w:val="00742F9D"/>
    <w:rsid w:val="00743981"/>
    <w:rsid w:val="00743B09"/>
    <w:rsid w:val="007450EF"/>
    <w:rsid w:val="007459F1"/>
    <w:rsid w:val="00745AEC"/>
    <w:rsid w:val="00745EB6"/>
    <w:rsid w:val="007461E2"/>
    <w:rsid w:val="00746274"/>
    <w:rsid w:val="00746ABA"/>
    <w:rsid w:val="007475ED"/>
    <w:rsid w:val="00747741"/>
    <w:rsid w:val="00747B57"/>
    <w:rsid w:val="00747D49"/>
    <w:rsid w:val="00750179"/>
    <w:rsid w:val="00750400"/>
    <w:rsid w:val="00750ED3"/>
    <w:rsid w:val="0075101C"/>
    <w:rsid w:val="0075124F"/>
    <w:rsid w:val="00751D1B"/>
    <w:rsid w:val="00752607"/>
    <w:rsid w:val="00752727"/>
    <w:rsid w:val="0075286A"/>
    <w:rsid w:val="00752984"/>
    <w:rsid w:val="00752AA9"/>
    <w:rsid w:val="00752C1F"/>
    <w:rsid w:val="00752CD8"/>
    <w:rsid w:val="00752D1C"/>
    <w:rsid w:val="00753099"/>
    <w:rsid w:val="00753755"/>
    <w:rsid w:val="00753F42"/>
    <w:rsid w:val="00754288"/>
    <w:rsid w:val="00754378"/>
    <w:rsid w:val="007549C0"/>
    <w:rsid w:val="007558CD"/>
    <w:rsid w:val="0075598B"/>
    <w:rsid w:val="00755B92"/>
    <w:rsid w:val="00755C06"/>
    <w:rsid w:val="00755DDD"/>
    <w:rsid w:val="00755E53"/>
    <w:rsid w:val="0075632A"/>
    <w:rsid w:val="00756B7D"/>
    <w:rsid w:val="00757663"/>
    <w:rsid w:val="0076015B"/>
    <w:rsid w:val="0076041D"/>
    <w:rsid w:val="007604CB"/>
    <w:rsid w:val="00760739"/>
    <w:rsid w:val="00760957"/>
    <w:rsid w:val="007610B2"/>
    <w:rsid w:val="007612E2"/>
    <w:rsid w:val="00761B06"/>
    <w:rsid w:val="00761FFF"/>
    <w:rsid w:val="00762033"/>
    <w:rsid w:val="007626EF"/>
    <w:rsid w:val="007628F2"/>
    <w:rsid w:val="00762973"/>
    <w:rsid w:val="00762CAC"/>
    <w:rsid w:val="00762EB7"/>
    <w:rsid w:val="00763167"/>
    <w:rsid w:val="0076363A"/>
    <w:rsid w:val="007636BE"/>
    <w:rsid w:val="00763CE1"/>
    <w:rsid w:val="007640DF"/>
    <w:rsid w:val="007641C4"/>
    <w:rsid w:val="00764377"/>
    <w:rsid w:val="0076437B"/>
    <w:rsid w:val="00764717"/>
    <w:rsid w:val="00764C3A"/>
    <w:rsid w:val="00764DF8"/>
    <w:rsid w:val="0076500A"/>
    <w:rsid w:val="0076512C"/>
    <w:rsid w:val="0076539D"/>
    <w:rsid w:val="00765BD6"/>
    <w:rsid w:val="00765E51"/>
    <w:rsid w:val="0076625D"/>
    <w:rsid w:val="00766315"/>
    <w:rsid w:val="00766C92"/>
    <w:rsid w:val="007673D1"/>
    <w:rsid w:val="0076747F"/>
    <w:rsid w:val="007677B1"/>
    <w:rsid w:val="007677F8"/>
    <w:rsid w:val="00767ADD"/>
    <w:rsid w:val="00767BEC"/>
    <w:rsid w:val="00767C2A"/>
    <w:rsid w:val="00767C41"/>
    <w:rsid w:val="007705FA"/>
    <w:rsid w:val="00770B7C"/>
    <w:rsid w:val="00770C10"/>
    <w:rsid w:val="00770D62"/>
    <w:rsid w:val="00770DE8"/>
    <w:rsid w:val="0077112C"/>
    <w:rsid w:val="007719D1"/>
    <w:rsid w:val="00771D47"/>
    <w:rsid w:val="00771F3C"/>
    <w:rsid w:val="007724B1"/>
    <w:rsid w:val="00773DE2"/>
    <w:rsid w:val="007741EB"/>
    <w:rsid w:val="007745D6"/>
    <w:rsid w:val="0077492E"/>
    <w:rsid w:val="00774A25"/>
    <w:rsid w:val="00774F92"/>
    <w:rsid w:val="00775162"/>
    <w:rsid w:val="0077532C"/>
    <w:rsid w:val="00775465"/>
    <w:rsid w:val="00775677"/>
    <w:rsid w:val="00775C02"/>
    <w:rsid w:val="00775D44"/>
    <w:rsid w:val="00776A92"/>
    <w:rsid w:val="00776E98"/>
    <w:rsid w:val="007773C7"/>
    <w:rsid w:val="00777788"/>
    <w:rsid w:val="00777B70"/>
    <w:rsid w:val="00777CB4"/>
    <w:rsid w:val="00777FAA"/>
    <w:rsid w:val="007802FF"/>
    <w:rsid w:val="00780367"/>
    <w:rsid w:val="007803E6"/>
    <w:rsid w:val="00780566"/>
    <w:rsid w:val="0078094B"/>
    <w:rsid w:val="00780CC2"/>
    <w:rsid w:val="00781472"/>
    <w:rsid w:val="0078169B"/>
    <w:rsid w:val="007819AC"/>
    <w:rsid w:val="00781F3E"/>
    <w:rsid w:val="00782165"/>
    <w:rsid w:val="00782766"/>
    <w:rsid w:val="007827E0"/>
    <w:rsid w:val="00782BEC"/>
    <w:rsid w:val="00782CA2"/>
    <w:rsid w:val="0078397C"/>
    <w:rsid w:val="00783C9C"/>
    <w:rsid w:val="00783EE2"/>
    <w:rsid w:val="007843D5"/>
    <w:rsid w:val="00784884"/>
    <w:rsid w:val="00784D58"/>
    <w:rsid w:val="00784DE0"/>
    <w:rsid w:val="0078512B"/>
    <w:rsid w:val="007853D0"/>
    <w:rsid w:val="00785465"/>
    <w:rsid w:val="00785BDF"/>
    <w:rsid w:val="00785E96"/>
    <w:rsid w:val="007864C7"/>
    <w:rsid w:val="00786988"/>
    <w:rsid w:val="00786F7E"/>
    <w:rsid w:val="0078724A"/>
    <w:rsid w:val="007905D5"/>
    <w:rsid w:val="00790AD6"/>
    <w:rsid w:val="00791217"/>
    <w:rsid w:val="007915AF"/>
    <w:rsid w:val="0079234B"/>
    <w:rsid w:val="00792855"/>
    <w:rsid w:val="00792A4E"/>
    <w:rsid w:val="00792FD9"/>
    <w:rsid w:val="0079368C"/>
    <w:rsid w:val="007949E0"/>
    <w:rsid w:val="0079598A"/>
    <w:rsid w:val="00796B30"/>
    <w:rsid w:val="00796D77"/>
    <w:rsid w:val="00797206"/>
    <w:rsid w:val="0079735D"/>
    <w:rsid w:val="0079776F"/>
    <w:rsid w:val="00797A42"/>
    <w:rsid w:val="007A004E"/>
    <w:rsid w:val="007A0206"/>
    <w:rsid w:val="007A051E"/>
    <w:rsid w:val="007A08D7"/>
    <w:rsid w:val="007A0A90"/>
    <w:rsid w:val="007A0E8F"/>
    <w:rsid w:val="007A1164"/>
    <w:rsid w:val="007A122E"/>
    <w:rsid w:val="007A15B4"/>
    <w:rsid w:val="007A15E1"/>
    <w:rsid w:val="007A17E8"/>
    <w:rsid w:val="007A1C06"/>
    <w:rsid w:val="007A1E0E"/>
    <w:rsid w:val="007A2B0F"/>
    <w:rsid w:val="007A2B9C"/>
    <w:rsid w:val="007A3158"/>
    <w:rsid w:val="007A3235"/>
    <w:rsid w:val="007A35C8"/>
    <w:rsid w:val="007A3A1F"/>
    <w:rsid w:val="007A3A87"/>
    <w:rsid w:val="007A3B09"/>
    <w:rsid w:val="007A4247"/>
    <w:rsid w:val="007A42C8"/>
    <w:rsid w:val="007A4586"/>
    <w:rsid w:val="007A4F74"/>
    <w:rsid w:val="007A55D1"/>
    <w:rsid w:val="007A588E"/>
    <w:rsid w:val="007A6818"/>
    <w:rsid w:val="007A682B"/>
    <w:rsid w:val="007A6F0D"/>
    <w:rsid w:val="007A7348"/>
    <w:rsid w:val="007B04E7"/>
    <w:rsid w:val="007B0824"/>
    <w:rsid w:val="007B0AB3"/>
    <w:rsid w:val="007B3604"/>
    <w:rsid w:val="007B3CD1"/>
    <w:rsid w:val="007B3F24"/>
    <w:rsid w:val="007B442B"/>
    <w:rsid w:val="007B4789"/>
    <w:rsid w:val="007B47DE"/>
    <w:rsid w:val="007B4813"/>
    <w:rsid w:val="007B4C42"/>
    <w:rsid w:val="007B4C7C"/>
    <w:rsid w:val="007B4F73"/>
    <w:rsid w:val="007B5234"/>
    <w:rsid w:val="007B590F"/>
    <w:rsid w:val="007B5AD1"/>
    <w:rsid w:val="007B5B62"/>
    <w:rsid w:val="007B5CFA"/>
    <w:rsid w:val="007B6022"/>
    <w:rsid w:val="007B6179"/>
    <w:rsid w:val="007B6521"/>
    <w:rsid w:val="007B65EB"/>
    <w:rsid w:val="007B68B6"/>
    <w:rsid w:val="007B7CDF"/>
    <w:rsid w:val="007C0208"/>
    <w:rsid w:val="007C031F"/>
    <w:rsid w:val="007C119D"/>
    <w:rsid w:val="007C1481"/>
    <w:rsid w:val="007C1706"/>
    <w:rsid w:val="007C1CE2"/>
    <w:rsid w:val="007C2864"/>
    <w:rsid w:val="007C2873"/>
    <w:rsid w:val="007C32B5"/>
    <w:rsid w:val="007C36A9"/>
    <w:rsid w:val="007C37E7"/>
    <w:rsid w:val="007C3A95"/>
    <w:rsid w:val="007C3BB8"/>
    <w:rsid w:val="007C3D9F"/>
    <w:rsid w:val="007C427C"/>
    <w:rsid w:val="007C4CA9"/>
    <w:rsid w:val="007C50D4"/>
    <w:rsid w:val="007C5782"/>
    <w:rsid w:val="007C5E4D"/>
    <w:rsid w:val="007C60DF"/>
    <w:rsid w:val="007C6140"/>
    <w:rsid w:val="007C65AF"/>
    <w:rsid w:val="007C71B6"/>
    <w:rsid w:val="007C79D0"/>
    <w:rsid w:val="007C7F12"/>
    <w:rsid w:val="007D0312"/>
    <w:rsid w:val="007D0C63"/>
    <w:rsid w:val="007D0DB1"/>
    <w:rsid w:val="007D133B"/>
    <w:rsid w:val="007D138A"/>
    <w:rsid w:val="007D1973"/>
    <w:rsid w:val="007D1DD0"/>
    <w:rsid w:val="007D2044"/>
    <w:rsid w:val="007D2DCC"/>
    <w:rsid w:val="007D356E"/>
    <w:rsid w:val="007D42CE"/>
    <w:rsid w:val="007D447C"/>
    <w:rsid w:val="007D44C7"/>
    <w:rsid w:val="007D466B"/>
    <w:rsid w:val="007D47AF"/>
    <w:rsid w:val="007D48A5"/>
    <w:rsid w:val="007D4DDB"/>
    <w:rsid w:val="007D51FC"/>
    <w:rsid w:val="007D53D8"/>
    <w:rsid w:val="007D5461"/>
    <w:rsid w:val="007D5F96"/>
    <w:rsid w:val="007D6D0D"/>
    <w:rsid w:val="007D70CA"/>
    <w:rsid w:val="007D70F5"/>
    <w:rsid w:val="007D7E56"/>
    <w:rsid w:val="007E0ED3"/>
    <w:rsid w:val="007E0ED7"/>
    <w:rsid w:val="007E11D4"/>
    <w:rsid w:val="007E1EC3"/>
    <w:rsid w:val="007E214D"/>
    <w:rsid w:val="007E238A"/>
    <w:rsid w:val="007E2734"/>
    <w:rsid w:val="007E2F7E"/>
    <w:rsid w:val="007E3056"/>
    <w:rsid w:val="007E3486"/>
    <w:rsid w:val="007E3663"/>
    <w:rsid w:val="007E38A1"/>
    <w:rsid w:val="007E442C"/>
    <w:rsid w:val="007E4722"/>
    <w:rsid w:val="007E4A0C"/>
    <w:rsid w:val="007E4F03"/>
    <w:rsid w:val="007E529B"/>
    <w:rsid w:val="007E57EF"/>
    <w:rsid w:val="007E64DB"/>
    <w:rsid w:val="007E7A1D"/>
    <w:rsid w:val="007E7DEB"/>
    <w:rsid w:val="007F034F"/>
    <w:rsid w:val="007F055E"/>
    <w:rsid w:val="007F069C"/>
    <w:rsid w:val="007F0ADD"/>
    <w:rsid w:val="007F0B41"/>
    <w:rsid w:val="007F0CD2"/>
    <w:rsid w:val="007F12A7"/>
    <w:rsid w:val="007F12D0"/>
    <w:rsid w:val="007F16E2"/>
    <w:rsid w:val="007F1BD9"/>
    <w:rsid w:val="007F1CBD"/>
    <w:rsid w:val="007F2745"/>
    <w:rsid w:val="007F2A76"/>
    <w:rsid w:val="007F31A2"/>
    <w:rsid w:val="007F33E0"/>
    <w:rsid w:val="007F357F"/>
    <w:rsid w:val="007F376B"/>
    <w:rsid w:val="007F3BAC"/>
    <w:rsid w:val="007F3F2E"/>
    <w:rsid w:val="007F47E7"/>
    <w:rsid w:val="007F4B19"/>
    <w:rsid w:val="007F4BD7"/>
    <w:rsid w:val="007F4C24"/>
    <w:rsid w:val="007F53D3"/>
    <w:rsid w:val="007F5662"/>
    <w:rsid w:val="007F5D9E"/>
    <w:rsid w:val="007F5F6B"/>
    <w:rsid w:val="007F61F0"/>
    <w:rsid w:val="007F714F"/>
    <w:rsid w:val="007F71BC"/>
    <w:rsid w:val="007F76E2"/>
    <w:rsid w:val="00800122"/>
    <w:rsid w:val="00800B1A"/>
    <w:rsid w:val="00800DE7"/>
    <w:rsid w:val="008021AE"/>
    <w:rsid w:val="008021F2"/>
    <w:rsid w:val="00802352"/>
    <w:rsid w:val="00802476"/>
    <w:rsid w:val="0080255C"/>
    <w:rsid w:val="00802F49"/>
    <w:rsid w:val="00803BB4"/>
    <w:rsid w:val="00803C33"/>
    <w:rsid w:val="00803DF9"/>
    <w:rsid w:val="00804029"/>
    <w:rsid w:val="00804C36"/>
    <w:rsid w:val="00804F09"/>
    <w:rsid w:val="00805030"/>
    <w:rsid w:val="0080569D"/>
    <w:rsid w:val="00805D21"/>
    <w:rsid w:val="00805F29"/>
    <w:rsid w:val="008064D2"/>
    <w:rsid w:val="00807274"/>
    <w:rsid w:val="00807581"/>
    <w:rsid w:val="008075D8"/>
    <w:rsid w:val="008078E9"/>
    <w:rsid w:val="00807B1F"/>
    <w:rsid w:val="00810742"/>
    <w:rsid w:val="008109F3"/>
    <w:rsid w:val="00810AC1"/>
    <w:rsid w:val="00811276"/>
    <w:rsid w:val="008114AE"/>
    <w:rsid w:val="008115EA"/>
    <w:rsid w:val="00811B98"/>
    <w:rsid w:val="00811C5D"/>
    <w:rsid w:val="00811EC4"/>
    <w:rsid w:val="00813045"/>
    <w:rsid w:val="008132D5"/>
    <w:rsid w:val="00813575"/>
    <w:rsid w:val="0081393D"/>
    <w:rsid w:val="00813C72"/>
    <w:rsid w:val="00813F20"/>
    <w:rsid w:val="00814697"/>
    <w:rsid w:val="00814990"/>
    <w:rsid w:val="00814F74"/>
    <w:rsid w:val="0081530A"/>
    <w:rsid w:val="00815391"/>
    <w:rsid w:val="00815A0D"/>
    <w:rsid w:val="00815E67"/>
    <w:rsid w:val="00816077"/>
    <w:rsid w:val="008161AB"/>
    <w:rsid w:val="008164D7"/>
    <w:rsid w:val="00816645"/>
    <w:rsid w:val="008167C6"/>
    <w:rsid w:val="00816C5F"/>
    <w:rsid w:val="0081729B"/>
    <w:rsid w:val="00817495"/>
    <w:rsid w:val="008174B9"/>
    <w:rsid w:val="00817B42"/>
    <w:rsid w:val="00817CB7"/>
    <w:rsid w:val="008201C9"/>
    <w:rsid w:val="0082026F"/>
    <w:rsid w:val="0082036F"/>
    <w:rsid w:val="00820844"/>
    <w:rsid w:val="00820F97"/>
    <w:rsid w:val="00821076"/>
    <w:rsid w:val="00821E0A"/>
    <w:rsid w:val="00821FF1"/>
    <w:rsid w:val="008226AB"/>
    <w:rsid w:val="00822A06"/>
    <w:rsid w:val="00822A2B"/>
    <w:rsid w:val="00822BF1"/>
    <w:rsid w:val="00822EA9"/>
    <w:rsid w:val="008233BD"/>
    <w:rsid w:val="00823581"/>
    <w:rsid w:val="00823DAD"/>
    <w:rsid w:val="00823F23"/>
    <w:rsid w:val="00825341"/>
    <w:rsid w:val="008256C1"/>
    <w:rsid w:val="00825AA3"/>
    <w:rsid w:val="00825BC8"/>
    <w:rsid w:val="00825F10"/>
    <w:rsid w:val="008267EB"/>
    <w:rsid w:val="008271FC"/>
    <w:rsid w:val="0082734C"/>
    <w:rsid w:val="008273AD"/>
    <w:rsid w:val="0082777D"/>
    <w:rsid w:val="00827BD8"/>
    <w:rsid w:val="0083030F"/>
    <w:rsid w:val="00830591"/>
    <w:rsid w:val="00830DC3"/>
    <w:rsid w:val="00831589"/>
    <w:rsid w:val="00832CE5"/>
    <w:rsid w:val="008333D8"/>
    <w:rsid w:val="00833746"/>
    <w:rsid w:val="00833AB5"/>
    <w:rsid w:val="00833C54"/>
    <w:rsid w:val="00835DA4"/>
    <w:rsid w:val="008361F9"/>
    <w:rsid w:val="008362AF"/>
    <w:rsid w:val="008363D1"/>
    <w:rsid w:val="008363FE"/>
    <w:rsid w:val="00836A86"/>
    <w:rsid w:val="00836C49"/>
    <w:rsid w:val="00837694"/>
    <w:rsid w:val="0083770F"/>
    <w:rsid w:val="0083779C"/>
    <w:rsid w:val="00840023"/>
    <w:rsid w:val="008400A6"/>
    <w:rsid w:val="008400CA"/>
    <w:rsid w:val="008405AF"/>
    <w:rsid w:val="00840EF6"/>
    <w:rsid w:val="00840F33"/>
    <w:rsid w:val="0084101C"/>
    <w:rsid w:val="00841161"/>
    <w:rsid w:val="00841601"/>
    <w:rsid w:val="00841789"/>
    <w:rsid w:val="0084179C"/>
    <w:rsid w:val="008417B9"/>
    <w:rsid w:val="00842481"/>
    <w:rsid w:val="00842913"/>
    <w:rsid w:val="00842A0E"/>
    <w:rsid w:val="00842C71"/>
    <w:rsid w:val="00842CA4"/>
    <w:rsid w:val="00842D8B"/>
    <w:rsid w:val="00843B34"/>
    <w:rsid w:val="00843E13"/>
    <w:rsid w:val="008443ED"/>
    <w:rsid w:val="00844B35"/>
    <w:rsid w:val="00844DDE"/>
    <w:rsid w:val="00844FE5"/>
    <w:rsid w:val="0084514C"/>
    <w:rsid w:val="00845192"/>
    <w:rsid w:val="00845C63"/>
    <w:rsid w:val="00846AA7"/>
    <w:rsid w:val="00846BBA"/>
    <w:rsid w:val="008476A6"/>
    <w:rsid w:val="0085030A"/>
    <w:rsid w:val="0085079A"/>
    <w:rsid w:val="00850AD4"/>
    <w:rsid w:val="00850EAA"/>
    <w:rsid w:val="00851E35"/>
    <w:rsid w:val="008520B7"/>
    <w:rsid w:val="0085267E"/>
    <w:rsid w:val="008528D7"/>
    <w:rsid w:val="00852DA5"/>
    <w:rsid w:val="00852DCB"/>
    <w:rsid w:val="008532E8"/>
    <w:rsid w:val="00853733"/>
    <w:rsid w:val="00853814"/>
    <w:rsid w:val="0085391F"/>
    <w:rsid w:val="00853CF3"/>
    <w:rsid w:val="00853DD5"/>
    <w:rsid w:val="008543D9"/>
    <w:rsid w:val="00854481"/>
    <w:rsid w:val="00854ED1"/>
    <w:rsid w:val="0085547C"/>
    <w:rsid w:val="008554AF"/>
    <w:rsid w:val="00855501"/>
    <w:rsid w:val="008559B4"/>
    <w:rsid w:val="008559E9"/>
    <w:rsid w:val="008564B0"/>
    <w:rsid w:val="00856626"/>
    <w:rsid w:val="008568FF"/>
    <w:rsid w:val="00856CD3"/>
    <w:rsid w:val="008571DA"/>
    <w:rsid w:val="00857CC9"/>
    <w:rsid w:val="00857FAC"/>
    <w:rsid w:val="00857FDD"/>
    <w:rsid w:val="00860308"/>
    <w:rsid w:val="00860A73"/>
    <w:rsid w:val="00860BA7"/>
    <w:rsid w:val="00860BCA"/>
    <w:rsid w:val="008613B3"/>
    <w:rsid w:val="00861A4B"/>
    <w:rsid w:val="008621BB"/>
    <w:rsid w:val="00862435"/>
    <w:rsid w:val="00862D43"/>
    <w:rsid w:val="0086328B"/>
    <w:rsid w:val="008634FC"/>
    <w:rsid w:val="00863513"/>
    <w:rsid w:val="008637F6"/>
    <w:rsid w:val="00863D42"/>
    <w:rsid w:val="00863E5E"/>
    <w:rsid w:val="00864F4A"/>
    <w:rsid w:val="00864FC9"/>
    <w:rsid w:val="0086535E"/>
    <w:rsid w:val="008653F0"/>
    <w:rsid w:val="008655A8"/>
    <w:rsid w:val="008655C1"/>
    <w:rsid w:val="008657E9"/>
    <w:rsid w:val="00865835"/>
    <w:rsid w:val="008658DF"/>
    <w:rsid w:val="00865C53"/>
    <w:rsid w:val="0086613F"/>
    <w:rsid w:val="008664DB"/>
    <w:rsid w:val="00866AA6"/>
    <w:rsid w:val="008670F4"/>
    <w:rsid w:val="008670FC"/>
    <w:rsid w:val="00867201"/>
    <w:rsid w:val="0086732B"/>
    <w:rsid w:val="008677E6"/>
    <w:rsid w:val="00867D8D"/>
    <w:rsid w:val="00870189"/>
    <w:rsid w:val="0087031F"/>
    <w:rsid w:val="00871909"/>
    <w:rsid w:val="00871BF8"/>
    <w:rsid w:val="00871C83"/>
    <w:rsid w:val="00871F89"/>
    <w:rsid w:val="008722B9"/>
    <w:rsid w:val="00873332"/>
    <w:rsid w:val="0087353F"/>
    <w:rsid w:val="0087385B"/>
    <w:rsid w:val="00873A04"/>
    <w:rsid w:val="008740E1"/>
    <w:rsid w:val="008744EE"/>
    <w:rsid w:val="008746E8"/>
    <w:rsid w:val="008749AD"/>
    <w:rsid w:val="00874BD3"/>
    <w:rsid w:val="00874C5C"/>
    <w:rsid w:val="00874FA5"/>
    <w:rsid w:val="008755DB"/>
    <w:rsid w:val="00875DB3"/>
    <w:rsid w:val="00875FB7"/>
    <w:rsid w:val="008760B6"/>
    <w:rsid w:val="00876663"/>
    <w:rsid w:val="0087694B"/>
    <w:rsid w:val="00876DC7"/>
    <w:rsid w:val="00877260"/>
    <w:rsid w:val="008777C4"/>
    <w:rsid w:val="00877E76"/>
    <w:rsid w:val="0088005C"/>
    <w:rsid w:val="008803EC"/>
    <w:rsid w:val="0088059B"/>
    <w:rsid w:val="008806A5"/>
    <w:rsid w:val="0088098A"/>
    <w:rsid w:val="008809A3"/>
    <w:rsid w:val="00880FE4"/>
    <w:rsid w:val="00881464"/>
    <w:rsid w:val="0088163F"/>
    <w:rsid w:val="00881885"/>
    <w:rsid w:val="008818EC"/>
    <w:rsid w:val="00881C35"/>
    <w:rsid w:val="00882210"/>
    <w:rsid w:val="0088285E"/>
    <w:rsid w:val="00882932"/>
    <w:rsid w:val="008829C6"/>
    <w:rsid w:val="00882A0E"/>
    <w:rsid w:val="00882A23"/>
    <w:rsid w:val="00882B4C"/>
    <w:rsid w:val="00882C94"/>
    <w:rsid w:val="00882D51"/>
    <w:rsid w:val="008830F8"/>
    <w:rsid w:val="008835A5"/>
    <w:rsid w:val="00883883"/>
    <w:rsid w:val="00883B13"/>
    <w:rsid w:val="00883D8B"/>
    <w:rsid w:val="008846A5"/>
    <w:rsid w:val="00884AD2"/>
    <w:rsid w:val="00885232"/>
    <w:rsid w:val="00885260"/>
    <w:rsid w:val="0088580F"/>
    <w:rsid w:val="00885896"/>
    <w:rsid w:val="00885D7C"/>
    <w:rsid w:val="00885E38"/>
    <w:rsid w:val="00885F44"/>
    <w:rsid w:val="0088642A"/>
    <w:rsid w:val="00886F0A"/>
    <w:rsid w:val="0088707D"/>
    <w:rsid w:val="008871CE"/>
    <w:rsid w:val="008876A4"/>
    <w:rsid w:val="00887918"/>
    <w:rsid w:val="008879B5"/>
    <w:rsid w:val="00887EAF"/>
    <w:rsid w:val="008902B8"/>
    <w:rsid w:val="00890659"/>
    <w:rsid w:val="0089078B"/>
    <w:rsid w:val="00890D20"/>
    <w:rsid w:val="00890D50"/>
    <w:rsid w:val="0089175B"/>
    <w:rsid w:val="00891EBC"/>
    <w:rsid w:val="0089262F"/>
    <w:rsid w:val="00892694"/>
    <w:rsid w:val="00892DC3"/>
    <w:rsid w:val="00892F1C"/>
    <w:rsid w:val="00893BDF"/>
    <w:rsid w:val="008944E9"/>
    <w:rsid w:val="008952DE"/>
    <w:rsid w:val="008957D9"/>
    <w:rsid w:val="00895A0C"/>
    <w:rsid w:val="00895A13"/>
    <w:rsid w:val="00895A3A"/>
    <w:rsid w:val="00895B52"/>
    <w:rsid w:val="00895E58"/>
    <w:rsid w:val="00895EDC"/>
    <w:rsid w:val="00896381"/>
    <w:rsid w:val="00896800"/>
    <w:rsid w:val="00896CF4"/>
    <w:rsid w:val="00897856"/>
    <w:rsid w:val="0089793A"/>
    <w:rsid w:val="00897B12"/>
    <w:rsid w:val="00897C08"/>
    <w:rsid w:val="00897CA6"/>
    <w:rsid w:val="008A028F"/>
    <w:rsid w:val="008A0F0A"/>
    <w:rsid w:val="008A1012"/>
    <w:rsid w:val="008A10E0"/>
    <w:rsid w:val="008A12F2"/>
    <w:rsid w:val="008A148C"/>
    <w:rsid w:val="008A1DF4"/>
    <w:rsid w:val="008A21F3"/>
    <w:rsid w:val="008A2999"/>
    <w:rsid w:val="008A2D7B"/>
    <w:rsid w:val="008A3251"/>
    <w:rsid w:val="008A39F5"/>
    <w:rsid w:val="008A4ABC"/>
    <w:rsid w:val="008A4B8E"/>
    <w:rsid w:val="008A4D3F"/>
    <w:rsid w:val="008A50B3"/>
    <w:rsid w:val="008A53E4"/>
    <w:rsid w:val="008A553C"/>
    <w:rsid w:val="008A631F"/>
    <w:rsid w:val="008A66AC"/>
    <w:rsid w:val="008A6771"/>
    <w:rsid w:val="008A6A52"/>
    <w:rsid w:val="008A6DA4"/>
    <w:rsid w:val="008A7461"/>
    <w:rsid w:val="008A753E"/>
    <w:rsid w:val="008A7679"/>
    <w:rsid w:val="008A77A1"/>
    <w:rsid w:val="008A77E0"/>
    <w:rsid w:val="008A79F5"/>
    <w:rsid w:val="008A7DD0"/>
    <w:rsid w:val="008A7F03"/>
    <w:rsid w:val="008A7F4D"/>
    <w:rsid w:val="008A7FC6"/>
    <w:rsid w:val="008B08F6"/>
    <w:rsid w:val="008B0CF7"/>
    <w:rsid w:val="008B0E1B"/>
    <w:rsid w:val="008B100D"/>
    <w:rsid w:val="008B2922"/>
    <w:rsid w:val="008B31BB"/>
    <w:rsid w:val="008B32DA"/>
    <w:rsid w:val="008B3440"/>
    <w:rsid w:val="008B353F"/>
    <w:rsid w:val="008B379B"/>
    <w:rsid w:val="008B3A7F"/>
    <w:rsid w:val="008B3BD0"/>
    <w:rsid w:val="008B3CDF"/>
    <w:rsid w:val="008B3CF7"/>
    <w:rsid w:val="008B3F39"/>
    <w:rsid w:val="008B40DB"/>
    <w:rsid w:val="008B49C3"/>
    <w:rsid w:val="008B4B73"/>
    <w:rsid w:val="008B4F19"/>
    <w:rsid w:val="008B5232"/>
    <w:rsid w:val="008B5403"/>
    <w:rsid w:val="008B5601"/>
    <w:rsid w:val="008B5653"/>
    <w:rsid w:val="008B5785"/>
    <w:rsid w:val="008B58F7"/>
    <w:rsid w:val="008B6339"/>
    <w:rsid w:val="008B647E"/>
    <w:rsid w:val="008B6A14"/>
    <w:rsid w:val="008B6B4B"/>
    <w:rsid w:val="008B6B53"/>
    <w:rsid w:val="008B6F76"/>
    <w:rsid w:val="008B784E"/>
    <w:rsid w:val="008B7949"/>
    <w:rsid w:val="008B7B50"/>
    <w:rsid w:val="008B7D52"/>
    <w:rsid w:val="008B7FBF"/>
    <w:rsid w:val="008C01B5"/>
    <w:rsid w:val="008C05EA"/>
    <w:rsid w:val="008C1F11"/>
    <w:rsid w:val="008C1FEA"/>
    <w:rsid w:val="008C20E2"/>
    <w:rsid w:val="008C25F0"/>
    <w:rsid w:val="008C290B"/>
    <w:rsid w:val="008C35A2"/>
    <w:rsid w:val="008C3CE2"/>
    <w:rsid w:val="008C475F"/>
    <w:rsid w:val="008C4DB2"/>
    <w:rsid w:val="008C4F0F"/>
    <w:rsid w:val="008C4FD9"/>
    <w:rsid w:val="008C52E3"/>
    <w:rsid w:val="008C566C"/>
    <w:rsid w:val="008C56A5"/>
    <w:rsid w:val="008C6547"/>
    <w:rsid w:val="008C6838"/>
    <w:rsid w:val="008C6D4E"/>
    <w:rsid w:val="008C6EDD"/>
    <w:rsid w:val="008C75F4"/>
    <w:rsid w:val="008C7689"/>
    <w:rsid w:val="008C7A35"/>
    <w:rsid w:val="008C7EF8"/>
    <w:rsid w:val="008D0AFE"/>
    <w:rsid w:val="008D0C42"/>
    <w:rsid w:val="008D1713"/>
    <w:rsid w:val="008D2805"/>
    <w:rsid w:val="008D2C20"/>
    <w:rsid w:val="008D373D"/>
    <w:rsid w:val="008D3E5A"/>
    <w:rsid w:val="008D400D"/>
    <w:rsid w:val="008D431D"/>
    <w:rsid w:val="008D470C"/>
    <w:rsid w:val="008D4B30"/>
    <w:rsid w:val="008D4B54"/>
    <w:rsid w:val="008D4BFA"/>
    <w:rsid w:val="008D4C57"/>
    <w:rsid w:val="008D565E"/>
    <w:rsid w:val="008D5BE9"/>
    <w:rsid w:val="008D5DEE"/>
    <w:rsid w:val="008D63C8"/>
    <w:rsid w:val="008D67F1"/>
    <w:rsid w:val="008D6C1D"/>
    <w:rsid w:val="008D707B"/>
    <w:rsid w:val="008D72D9"/>
    <w:rsid w:val="008D7C7C"/>
    <w:rsid w:val="008E03B6"/>
    <w:rsid w:val="008E07FA"/>
    <w:rsid w:val="008E0873"/>
    <w:rsid w:val="008E0AF5"/>
    <w:rsid w:val="008E0F96"/>
    <w:rsid w:val="008E0FF5"/>
    <w:rsid w:val="008E1270"/>
    <w:rsid w:val="008E1343"/>
    <w:rsid w:val="008E15C8"/>
    <w:rsid w:val="008E1818"/>
    <w:rsid w:val="008E1EE0"/>
    <w:rsid w:val="008E27CD"/>
    <w:rsid w:val="008E3C39"/>
    <w:rsid w:val="008E3F6B"/>
    <w:rsid w:val="008E429D"/>
    <w:rsid w:val="008E509B"/>
    <w:rsid w:val="008E5586"/>
    <w:rsid w:val="008E5674"/>
    <w:rsid w:val="008E5D8C"/>
    <w:rsid w:val="008E6266"/>
    <w:rsid w:val="008E66C3"/>
    <w:rsid w:val="008E6A78"/>
    <w:rsid w:val="008E7258"/>
    <w:rsid w:val="008E7729"/>
    <w:rsid w:val="008F0274"/>
    <w:rsid w:val="008F0347"/>
    <w:rsid w:val="008F054C"/>
    <w:rsid w:val="008F05F9"/>
    <w:rsid w:val="008F07E9"/>
    <w:rsid w:val="008F08E8"/>
    <w:rsid w:val="008F0A10"/>
    <w:rsid w:val="008F0AB6"/>
    <w:rsid w:val="008F1029"/>
    <w:rsid w:val="008F1279"/>
    <w:rsid w:val="008F1467"/>
    <w:rsid w:val="008F1688"/>
    <w:rsid w:val="008F1B20"/>
    <w:rsid w:val="008F217F"/>
    <w:rsid w:val="008F2ACC"/>
    <w:rsid w:val="008F2FF7"/>
    <w:rsid w:val="008F37D9"/>
    <w:rsid w:val="008F3A00"/>
    <w:rsid w:val="008F3D33"/>
    <w:rsid w:val="008F3DC2"/>
    <w:rsid w:val="008F3E53"/>
    <w:rsid w:val="008F4866"/>
    <w:rsid w:val="008F4B85"/>
    <w:rsid w:val="008F4B88"/>
    <w:rsid w:val="008F4D75"/>
    <w:rsid w:val="008F4EB5"/>
    <w:rsid w:val="008F5C8D"/>
    <w:rsid w:val="008F663B"/>
    <w:rsid w:val="008F6B11"/>
    <w:rsid w:val="008F6D1A"/>
    <w:rsid w:val="008F6FE8"/>
    <w:rsid w:val="008F7690"/>
    <w:rsid w:val="008F7961"/>
    <w:rsid w:val="009009AE"/>
    <w:rsid w:val="00900FB9"/>
    <w:rsid w:val="00901023"/>
    <w:rsid w:val="00901941"/>
    <w:rsid w:val="0090241F"/>
    <w:rsid w:val="00902498"/>
    <w:rsid w:val="00902A36"/>
    <w:rsid w:val="00902A6C"/>
    <w:rsid w:val="00902BDE"/>
    <w:rsid w:val="00902C05"/>
    <w:rsid w:val="00902C82"/>
    <w:rsid w:val="00903F49"/>
    <w:rsid w:val="00904427"/>
    <w:rsid w:val="009047B4"/>
    <w:rsid w:val="009049C4"/>
    <w:rsid w:val="00904A7C"/>
    <w:rsid w:val="00904D4B"/>
    <w:rsid w:val="0090677A"/>
    <w:rsid w:val="00906C22"/>
    <w:rsid w:val="00906C3C"/>
    <w:rsid w:val="00906DDB"/>
    <w:rsid w:val="009072D7"/>
    <w:rsid w:val="00907535"/>
    <w:rsid w:val="00907A94"/>
    <w:rsid w:val="00907EAA"/>
    <w:rsid w:val="00907F20"/>
    <w:rsid w:val="00910008"/>
    <w:rsid w:val="00910075"/>
    <w:rsid w:val="00910460"/>
    <w:rsid w:val="00910A1C"/>
    <w:rsid w:val="00910C2E"/>
    <w:rsid w:val="00911813"/>
    <w:rsid w:val="009119B5"/>
    <w:rsid w:val="00911A72"/>
    <w:rsid w:val="00912419"/>
    <w:rsid w:val="009129ED"/>
    <w:rsid w:val="00912A1C"/>
    <w:rsid w:val="00912C8E"/>
    <w:rsid w:val="009131FC"/>
    <w:rsid w:val="00913876"/>
    <w:rsid w:val="00913A5E"/>
    <w:rsid w:val="00913F8B"/>
    <w:rsid w:val="0091425B"/>
    <w:rsid w:val="00914894"/>
    <w:rsid w:val="00914E4B"/>
    <w:rsid w:val="009150AF"/>
    <w:rsid w:val="009150ED"/>
    <w:rsid w:val="0091557C"/>
    <w:rsid w:val="0091567C"/>
    <w:rsid w:val="00915B3C"/>
    <w:rsid w:val="00915D62"/>
    <w:rsid w:val="00915F37"/>
    <w:rsid w:val="009168BC"/>
    <w:rsid w:val="00916BE4"/>
    <w:rsid w:val="00917145"/>
    <w:rsid w:val="00917746"/>
    <w:rsid w:val="0091776E"/>
    <w:rsid w:val="009177C5"/>
    <w:rsid w:val="00917D88"/>
    <w:rsid w:val="00917F3B"/>
    <w:rsid w:val="0092029A"/>
    <w:rsid w:val="00920D6F"/>
    <w:rsid w:val="00921188"/>
    <w:rsid w:val="009216B7"/>
    <w:rsid w:val="00921BFE"/>
    <w:rsid w:val="00922159"/>
    <w:rsid w:val="009222EC"/>
    <w:rsid w:val="0092269B"/>
    <w:rsid w:val="009227BA"/>
    <w:rsid w:val="009237AC"/>
    <w:rsid w:val="00923B1C"/>
    <w:rsid w:val="00923DCB"/>
    <w:rsid w:val="00923E81"/>
    <w:rsid w:val="00923F1C"/>
    <w:rsid w:val="009241CC"/>
    <w:rsid w:val="009244A0"/>
    <w:rsid w:val="00924A66"/>
    <w:rsid w:val="00925E66"/>
    <w:rsid w:val="00926356"/>
    <w:rsid w:val="0092659A"/>
    <w:rsid w:val="0092660E"/>
    <w:rsid w:val="00926CBE"/>
    <w:rsid w:val="00926D8D"/>
    <w:rsid w:val="00926FE1"/>
    <w:rsid w:val="009271B4"/>
    <w:rsid w:val="0092728E"/>
    <w:rsid w:val="009273AC"/>
    <w:rsid w:val="009274D4"/>
    <w:rsid w:val="00927761"/>
    <w:rsid w:val="00930786"/>
    <w:rsid w:val="009307C3"/>
    <w:rsid w:val="00930AE3"/>
    <w:rsid w:val="009310A9"/>
    <w:rsid w:val="00931D9C"/>
    <w:rsid w:val="00931F46"/>
    <w:rsid w:val="00931F58"/>
    <w:rsid w:val="00932477"/>
    <w:rsid w:val="009324B7"/>
    <w:rsid w:val="00932664"/>
    <w:rsid w:val="00932EC8"/>
    <w:rsid w:val="00933184"/>
    <w:rsid w:val="00933807"/>
    <w:rsid w:val="009338FB"/>
    <w:rsid w:val="00933933"/>
    <w:rsid w:val="00933C3E"/>
    <w:rsid w:val="00933EB4"/>
    <w:rsid w:val="009348C9"/>
    <w:rsid w:val="00934934"/>
    <w:rsid w:val="00935A98"/>
    <w:rsid w:val="00935CC4"/>
    <w:rsid w:val="00936327"/>
    <w:rsid w:val="0093727C"/>
    <w:rsid w:val="00937339"/>
    <w:rsid w:val="009400D1"/>
    <w:rsid w:val="00940180"/>
    <w:rsid w:val="009405DB"/>
    <w:rsid w:val="00940924"/>
    <w:rsid w:val="0094093F"/>
    <w:rsid w:val="00941145"/>
    <w:rsid w:val="009414E5"/>
    <w:rsid w:val="009429AD"/>
    <w:rsid w:val="00942E20"/>
    <w:rsid w:val="00943433"/>
    <w:rsid w:val="009435C8"/>
    <w:rsid w:val="00943635"/>
    <w:rsid w:val="00943685"/>
    <w:rsid w:val="00943B88"/>
    <w:rsid w:val="00943F73"/>
    <w:rsid w:val="009443FB"/>
    <w:rsid w:val="00944F9F"/>
    <w:rsid w:val="00945026"/>
    <w:rsid w:val="009451DC"/>
    <w:rsid w:val="0094555E"/>
    <w:rsid w:val="009466A5"/>
    <w:rsid w:val="009475A1"/>
    <w:rsid w:val="00947628"/>
    <w:rsid w:val="00947BB8"/>
    <w:rsid w:val="00947FEB"/>
    <w:rsid w:val="009508EF"/>
    <w:rsid w:val="009516BC"/>
    <w:rsid w:val="0095171F"/>
    <w:rsid w:val="00951722"/>
    <w:rsid w:val="009526D7"/>
    <w:rsid w:val="00952AAC"/>
    <w:rsid w:val="00952B8A"/>
    <w:rsid w:val="00953040"/>
    <w:rsid w:val="00953918"/>
    <w:rsid w:val="009539B3"/>
    <w:rsid w:val="009541D2"/>
    <w:rsid w:val="009547AA"/>
    <w:rsid w:val="009549F8"/>
    <w:rsid w:val="00954C6F"/>
    <w:rsid w:val="00954C92"/>
    <w:rsid w:val="00954FAE"/>
    <w:rsid w:val="00955387"/>
    <w:rsid w:val="00955AC1"/>
    <w:rsid w:val="00955C39"/>
    <w:rsid w:val="00955C78"/>
    <w:rsid w:val="00955E16"/>
    <w:rsid w:val="00956248"/>
    <w:rsid w:val="00956720"/>
    <w:rsid w:val="009570E6"/>
    <w:rsid w:val="0095726A"/>
    <w:rsid w:val="0095742C"/>
    <w:rsid w:val="0095747F"/>
    <w:rsid w:val="009575B3"/>
    <w:rsid w:val="00957F24"/>
    <w:rsid w:val="00960278"/>
    <w:rsid w:val="00960329"/>
    <w:rsid w:val="00960503"/>
    <w:rsid w:val="009608FE"/>
    <w:rsid w:val="00960C80"/>
    <w:rsid w:val="00961250"/>
    <w:rsid w:val="009617F1"/>
    <w:rsid w:val="00962560"/>
    <w:rsid w:val="009628BF"/>
    <w:rsid w:val="0096299A"/>
    <w:rsid w:val="009629FF"/>
    <w:rsid w:val="00962D50"/>
    <w:rsid w:val="009631AA"/>
    <w:rsid w:val="00963512"/>
    <w:rsid w:val="009636A6"/>
    <w:rsid w:val="00963B1B"/>
    <w:rsid w:val="00964046"/>
    <w:rsid w:val="009640DE"/>
    <w:rsid w:val="0096546E"/>
    <w:rsid w:val="009654DE"/>
    <w:rsid w:val="0096597A"/>
    <w:rsid w:val="009659BC"/>
    <w:rsid w:val="00965AF9"/>
    <w:rsid w:val="00965FC1"/>
    <w:rsid w:val="00966418"/>
    <w:rsid w:val="0096658A"/>
    <w:rsid w:val="009665F1"/>
    <w:rsid w:val="009667A9"/>
    <w:rsid w:val="00966BB5"/>
    <w:rsid w:val="00966FA9"/>
    <w:rsid w:val="00966FB4"/>
    <w:rsid w:val="009671B2"/>
    <w:rsid w:val="00967B15"/>
    <w:rsid w:val="00967ED4"/>
    <w:rsid w:val="00970441"/>
    <w:rsid w:val="009707DF"/>
    <w:rsid w:val="009708FE"/>
    <w:rsid w:val="00970FA2"/>
    <w:rsid w:val="00971174"/>
    <w:rsid w:val="00971758"/>
    <w:rsid w:val="009718D8"/>
    <w:rsid w:val="00971B2B"/>
    <w:rsid w:val="00971FFC"/>
    <w:rsid w:val="00972135"/>
    <w:rsid w:val="00972311"/>
    <w:rsid w:val="0097284F"/>
    <w:rsid w:val="0097308A"/>
    <w:rsid w:val="009731AE"/>
    <w:rsid w:val="00973460"/>
    <w:rsid w:val="00973674"/>
    <w:rsid w:val="0097392F"/>
    <w:rsid w:val="0097411B"/>
    <w:rsid w:val="00974464"/>
    <w:rsid w:val="009744C5"/>
    <w:rsid w:val="009751F7"/>
    <w:rsid w:val="00976A63"/>
    <w:rsid w:val="00976F0F"/>
    <w:rsid w:val="009772AF"/>
    <w:rsid w:val="009773FA"/>
    <w:rsid w:val="0097747F"/>
    <w:rsid w:val="0097787F"/>
    <w:rsid w:val="00977F0B"/>
    <w:rsid w:val="00977FC7"/>
    <w:rsid w:val="009801EB"/>
    <w:rsid w:val="0098030F"/>
    <w:rsid w:val="00980A18"/>
    <w:rsid w:val="00980D55"/>
    <w:rsid w:val="00981736"/>
    <w:rsid w:val="00981F4D"/>
    <w:rsid w:val="00982833"/>
    <w:rsid w:val="009832E0"/>
    <w:rsid w:val="00983E8D"/>
    <w:rsid w:val="0098435E"/>
    <w:rsid w:val="00984422"/>
    <w:rsid w:val="00984438"/>
    <w:rsid w:val="0098491C"/>
    <w:rsid w:val="009849A0"/>
    <w:rsid w:val="009857BF"/>
    <w:rsid w:val="00985940"/>
    <w:rsid w:val="00985C20"/>
    <w:rsid w:val="00985EFA"/>
    <w:rsid w:val="00986064"/>
    <w:rsid w:val="00986538"/>
    <w:rsid w:val="00986656"/>
    <w:rsid w:val="00986A68"/>
    <w:rsid w:val="00987435"/>
    <w:rsid w:val="00987515"/>
    <w:rsid w:val="00987A70"/>
    <w:rsid w:val="00987AB7"/>
    <w:rsid w:val="00987F4E"/>
    <w:rsid w:val="0099003D"/>
    <w:rsid w:val="009903C2"/>
    <w:rsid w:val="009905AE"/>
    <w:rsid w:val="00991522"/>
    <w:rsid w:val="00991C96"/>
    <w:rsid w:val="00991CD5"/>
    <w:rsid w:val="00992682"/>
    <w:rsid w:val="00992891"/>
    <w:rsid w:val="00992AEE"/>
    <w:rsid w:val="00992ED1"/>
    <w:rsid w:val="0099350B"/>
    <w:rsid w:val="00993BC3"/>
    <w:rsid w:val="00993BE2"/>
    <w:rsid w:val="00993F38"/>
    <w:rsid w:val="00993F68"/>
    <w:rsid w:val="00993FB8"/>
    <w:rsid w:val="0099484D"/>
    <w:rsid w:val="00994968"/>
    <w:rsid w:val="00994B48"/>
    <w:rsid w:val="0099575E"/>
    <w:rsid w:val="00995885"/>
    <w:rsid w:val="00995A97"/>
    <w:rsid w:val="00995C56"/>
    <w:rsid w:val="0099652F"/>
    <w:rsid w:val="00996A6E"/>
    <w:rsid w:val="00996C25"/>
    <w:rsid w:val="0099738F"/>
    <w:rsid w:val="00997612"/>
    <w:rsid w:val="00997669"/>
    <w:rsid w:val="00997D65"/>
    <w:rsid w:val="00997E41"/>
    <w:rsid w:val="00997F80"/>
    <w:rsid w:val="009A0478"/>
    <w:rsid w:val="009A0DD0"/>
    <w:rsid w:val="009A0FC0"/>
    <w:rsid w:val="009A1197"/>
    <w:rsid w:val="009A153D"/>
    <w:rsid w:val="009A16B2"/>
    <w:rsid w:val="009A1918"/>
    <w:rsid w:val="009A1B35"/>
    <w:rsid w:val="009A1B4E"/>
    <w:rsid w:val="009A20A0"/>
    <w:rsid w:val="009A20B3"/>
    <w:rsid w:val="009A2354"/>
    <w:rsid w:val="009A2588"/>
    <w:rsid w:val="009A2F88"/>
    <w:rsid w:val="009A4110"/>
    <w:rsid w:val="009A4152"/>
    <w:rsid w:val="009A43CF"/>
    <w:rsid w:val="009A4411"/>
    <w:rsid w:val="009A45D0"/>
    <w:rsid w:val="009A46A6"/>
    <w:rsid w:val="009A4D55"/>
    <w:rsid w:val="009A4D68"/>
    <w:rsid w:val="009A54DB"/>
    <w:rsid w:val="009A5578"/>
    <w:rsid w:val="009A569B"/>
    <w:rsid w:val="009A6AA5"/>
    <w:rsid w:val="009A6AE4"/>
    <w:rsid w:val="009A6C31"/>
    <w:rsid w:val="009A6E1A"/>
    <w:rsid w:val="009A724C"/>
    <w:rsid w:val="009A764B"/>
    <w:rsid w:val="009A768F"/>
    <w:rsid w:val="009A79A3"/>
    <w:rsid w:val="009B059D"/>
    <w:rsid w:val="009B081D"/>
    <w:rsid w:val="009B15DB"/>
    <w:rsid w:val="009B16CD"/>
    <w:rsid w:val="009B1C85"/>
    <w:rsid w:val="009B1CA2"/>
    <w:rsid w:val="009B26BC"/>
    <w:rsid w:val="009B295E"/>
    <w:rsid w:val="009B2FAB"/>
    <w:rsid w:val="009B3100"/>
    <w:rsid w:val="009B34D1"/>
    <w:rsid w:val="009B3674"/>
    <w:rsid w:val="009B3DD6"/>
    <w:rsid w:val="009B3FCF"/>
    <w:rsid w:val="009B4140"/>
    <w:rsid w:val="009B41F8"/>
    <w:rsid w:val="009B4243"/>
    <w:rsid w:val="009B4705"/>
    <w:rsid w:val="009B4CDD"/>
    <w:rsid w:val="009B4DC2"/>
    <w:rsid w:val="009B57BE"/>
    <w:rsid w:val="009B594E"/>
    <w:rsid w:val="009B605A"/>
    <w:rsid w:val="009B63D5"/>
    <w:rsid w:val="009B6ADE"/>
    <w:rsid w:val="009B6CE7"/>
    <w:rsid w:val="009B708A"/>
    <w:rsid w:val="009B7FD5"/>
    <w:rsid w:val="009C046D"/>
    <w:rsid w:val="009C05C9"/>
    <w:rsid w:val="009C08EB"/>
    <w:rsid w:val="009C0A0E"/>
    <w:rsid w:val="009C19C7"/>
    <w:rsid w:val="009C1BD1"/>
    <w:rsid w:val="009C1FFD"/>
    <w:rsid w:val="009C20F4"/>
    <w:rsid w:val="009C24C0"/>
    <w:rsid w:val="009C27DB"/>
    <w:rsid w:val="009C28D1"/>
    <w:rsid w:val="009C2962"/>
    <w:rsid w:val="009C2F05"/>
    <w:rsid w:val="009C321C"/>
    <w:rsid w:val="009C3B9E"/>
    <w:rsid w:val="009C3DD2"/>
    <w:rsid w:val="009C4B4B"/>
    <w:rsid w:val="009C4BAC"/>
    <w:rsid w:val="009C4BF3"/>
    <w:rsid w:val="009C4E76"/>
    <w:rsid w:val="009C51DC"/>
    <w:rsid w:val="009C5AAD"/>
    <w:rsid w:val="009C5B01"/>
    <w:rsid w:val="009C604A"/>
    <w:rsid w:val="009C6076"/>
    <w:rsid w:val="009C610A"/>
    <w:rsid w:val="009C627F"/>
    <w:rsid w:val="009C67BB"/>
    <w:rsid w:val="009C6959"/>
    <w:rsid w:val="009C6BEE"/>
    <w:rsid w:val="009C7157"/>
    <w:rsid w:val="009C7208"/>
    <w:rsid w:val="009C7294"/>
    <w:rsid w:val="009D0238"/>
    <w:rsid w:val="009D06B9"/>
    <w:rsid w:val="009D0879"/>
    <w:rsid w:val="009D0AB4"/>
    <w:rsid w:val="009D0B1F"/>
    <w:rsid w:val="009D0DFA"/>
    <w:rsid w:val="009D0E6A"/>
    <w:rsid w:val="009D0FD7"/>
    <w:rsid w:val="009D10AD"/>
    <w:rsid w:val="009D13D0"/>
    <w:rsid w:val="009D1932"/>
    <w:rsid w:val="009D1A5D"/>
    <w:rsid w:val="009D1B0C"/>
    <w:rsid w:val="009D1B12"/>
    <w:rsid w:val="009D255E"/>
    <w:rsid w:val="009D31E1"/>
    <w:rsid w:val="009D3339"/>
    <w:rsid w:val="009D3484"/>
    <w:rsid w:val="009D37EE"/>
    <w:rsid w:val="009D3F40"/>
    <w:rsid w:val="009D4166"/>
    <w:rsid w:val="009D4A4F"/>
    <w:rsid w:val="009D53EE"/>
    <w:rsid w:val="009D568F"/>
    <w:rsid w:val="009D61C9"/>
    <w:rsid w:val="009D6257"/>
    <w:rsid w:val="009D6CFE"/>
    <w:rsid w:val="009D7D02"/>
    <w:rsid w:val="009D7D81"/>
    <w:rsid w:val="009E0955"/>
    <w:rsid w:val="009E0B1A"/>
    <w:rsid w:val="009E0CA6"/>
    <w:rsid w:val="009E0D34"/>
    <w:rsid w:val="009E106C"/>
    <w:rsid w:val="009E12E3"/>
    <w:rsid w:val="009E19A7"/>
    <w:rsid w:val="009E1C7D"/>
    <w:rsid w:val="009E2058"/>
    <w:rsid w:val="009E25AA"/>
    <w:rsid w:val="009E29F7"/>
    <w:rsid w:val="009E2A8D"/>
    <w:rsid w:val="009E30BD"/>
    <w:rsid w:val="009E3512"/>
    <w:rsid w:val="009E353F"/>
    <w:rsid w:val="009E3A40"/>
    <w:rsid w:val="009E449B"/>
    <w:rsid w:val="009E457A"/>
    <w:rsid w:val="009E45D4"/>
    <w:rsid w:val="009E4B2F"/>
    <w:rsid w:val="009E4B39"/>
    <w:rsid w:val="009E508F"/>
    <w:rsid w:val="009E5690"/>
    <w:rsid w:val="009E5A1E"/>
    <w:rsid w:val="009E68E6"/>
    <w:rsid w:val="009E6967"/>
    <w:rsid w:val="009E6A3C"/>
    <w:rsid w:val="009E6B5A"/>
    <w:rsid w:val="009E74BC"/>
    <w:rsid w:val="009E7AE8"/>
    <w:rsid w:val="009F03EB"/>
    <w:rsid w:val="009F066D"/>
    <w:rsid w:val="009F0678"/>
    <w:rsid w:val="009F0ACD"/>
    <w:rsid w:val="009F0F3A"/>
    <w:rsid w:val="009F13A3"/>
    <w:rsid w:val="009F1AC5"/>
    <w:rsid w:val="009F1B8E"/>
    <w:rsid w:val="009F1DDC"/>
    <w:rsid w:val="009F2435"/>
    <w:rsid w:val="009F266F"/>
    <w:rsid w:val="009F27B9"/>
    <w:rsid w:val="009F27E8"/>
    <w:rsid w:val="009F2B6F"/>
    <w:rsid w:val="009F2BEF"/>
    <w:rsid w:val="009F3157"/>
    <w:rsid w:val="009F3910"/>
    <w:rsid w:val="009F39A1"/>
    <w:rsid w:val="009F3C05"/>
    <w:rsid w:val="009F3F03"/>
    <w:rsid w:val="009F4378"/>
    <w:rsid w:val="009F4791"/>
    <w:rsid w:val="009F498A"/>
    <w:rsid w:val="009F4B71"/>
    <w:rsid w:val="009F513E"/>
    <w:rsid w:val="009F5AFE"/>
    <w:rsid w:val="009F61F0"/>
    <w:rsid w:val="009F6633"/>
    <w:rsid w:val="009F6A39"/>
    <w:rsid w:val="009F6F9E"/>
    <w:rsid w:val="009F6FB1"/>
    <w:rsid w:val="009F735F"/>
    <w:rsid w:val="009F7631"/>
    <w:rsid w:val="009F764E"/>
    <w:rsid w:val="009F78A7"/>
    <w:rsid w:val="009F7FB4"/>
    <w:rsid w:val="00A007EC"/>
    <w:rsid w:val="00A00895"/>
    <w:rsid w:val="00A00C6E"/>
    <w:rsid w:val="00A01893"/>
    <w:rsid w:val="00A01C31"/>
    <w:rsid w:val="00A01D55"/>
    <w:rsid w:val="00A01F0B"/>
    <w:rsid w:val="00A02301"/>
    <w:rsid w:val="00A02884"/>
    <w:rsid w:val="00A030C3"/>
    <w:rsid w:val="00A031C6"/>
    <w:rsid w:val="00A035B5"/>
    <w:rsid w:val="00A0372D"/>
    <w:rsid w:val="00A03820"/>
    <w:rsid w:val="00A03E3F"/>
    <w:rsid w:val="00A05115"/>
    <w:rsid w:val="00A05254"/>
    <w:rsid w:val="00A054C0"/>
    <w:rsid w:val="00A05E05"/>
    <w:rsid w:val="00A060BD"/>
    <w:rsid w:val="00A060FC"/>
    <w:rsid w:val="00A0639C"/>
    <w:rsid w:val="00A063CE"/>
    <w:rsid w:val="00A06C79"/>
    <w:rsid w:val="00A0748E"/>
    <w:rsid w:val="00A07969"/>
    <w:rsid w:val="00A07C20"/>
    <w:rsid w:val="00A07C4D"/>
    <w:rsid w:val="00A07E65"/>
    <w:rsid w:val="00A10121"/>
    <w:rsid w:val="00A111FB"/>
    <w:rsid w:val="00A112DB"/>
    <w:rsid w:val="00A11481"/>
    <w:rsid w:val="00A11C2C"/>
    <w:rsid w:val="00A126C7"/>
    <w:rsid w:val="00A1274D"/>
    <w:rsid w:val="00A12D57"/>
    <w:rsid w:val="00A134D5"/>
    <w:rsid w:val="00A13C13"/>
    <w:rsid w:val="00A13CD9"/>
    <w:rsid w:val="00A14602"/>
    <w:rsid w:val="00A15167"/>
    <w:rsid w:val="00A1614C"/>
    <w:rsid w:val="00A162F1"/>
    <w:rsid w:val="00A16ADC"/>
    <w:rsid w:val="00A16B1D"/>
    <w:rsid w:val="00A16E69"/>
    <w:rsid w:val="00A16F72"/>
    <w:rsid w:val="00A173B3"/>
    <w:rsid w:val="00A1788C"/>
    <w:rsid w:val="00A178A5"/>
    <w:rsid w:val="00A17A38"/>
    <w:rsid w:val="00A17CD8"/>
    <w:rsid w:val="00A20AD1"/>
    <w:rsid w:val="00A20C6F"/>
    <w:rsid w:val="00A21197"/>
    <w:rsid w:val="00A2139F"/>
    <w:rsid w:val="00A21CA8"/>
    <w:rsid w:val="00A21F97"/>
    <w:rsid w:val="00A22075"/>
    <w:rsid w:val="00A22356"/>
    <w:rsid w:val="00A225DC"/>
    <w:rsid w:val="00A22FBD"/>
    <w:rsid w:val="00A23356"/>
    <w:rsid w:val="00A23531"/>
    <w:rsid w:val="00A236BD"/>
    <w:rsid w:val="00A23781"/>
    <w:rsid w:val="00A23879"/>
    <w:rsid w:val="00A24CEA"/>
    <w:rsid w:val="00A25176"/>
    <w:rsid w:val="00A251B4"/>
    <w:rsid w:val="00A25C1B"/>
    <w:rsid w:val="00A26E38"/>
    <w:rsid w:val="00A27756"/>
    <w:rsid w:val="00A3003E"/>
    <w:rsid w:val="00A30581"/>
    <w:rsid w:val="00A309DA"/>
    <w:rsid w:val="00A30B2D"/>
    <w:rsid w:val="00A31772"/>
    <w:rsid w:val="00A31887"/>
    <w:rsid w:val="00A319F0"/>
    <w:rsid w:val="00A31D30"/>
    <w:rsid w:val="00A322D6"/>
    <w:rsid w:val="00A32551"/>
    <w:rsid w:val="00A32A3A"/>
    <w:rsid w:val="00A32F2F"/>
    <w:rsid w:val="00A3310F"/>
    <w:rsid w:val="00A3327F"/>
    <w:rsid w:val="00A3331E"/>
    <w:rsid w:val="00A33419"/>
    <w:rsid w:val="00A33501"/>
    <w:rsid w:val="00A336EE"/>
    <w:rsid w:val="00A33960"/>
    <w:rsid w:val="00A33A5D"/>
    <w:rsid w:val="00A350B9"/>
    <w:rsid w:val="00A356E6"/>
    <w:rsid w:val="00A35785"/>
    <w:rsid w:val="00A35CBC"/>
    <w:rsid w:val="00A362F4"/>
    <w:rsid w:val="00A3655B"/>
    <w:rsid w:val="00A36C76"/>
    <w:rsid w:val="00A36CAF"/>
    <w:rsid w:val="00A36DF3"/>
    <w:rsid w:val="00A372F6"/>
    <w:rsid w:val="00A374C6"/>
    <w:rsid w:val="00A37C4A"/>
    <w:rsid w:val="00A40A83"/>
    <w:rsid w:val="00A40BF6"/>
    <w:rsid w:val="00A40C03"/>
    <w:rsid w:val="00A4141E"/>
    <w:rsid w:val="00A418A8"/>
    <w:rsid w:val="00A41B70"/>
    <w:rsid w:val="00A41DBA"/>
    <w:rsid w:val="00A42214"/>
    <w:rsid w:val="00A426D3"/>
    <w:rsid w:val="00A42959"/>
    <w:rsid w:val="00A42AAB"/>
    <w:rsid w:val="00A42FA4"/>
    <w:rsid w:val="00A4323F"/>
    <w:rsid w:val="00A439C1"/>
    <w:rsid w:val="00A44F86"/>
    <w:rsid w:val="00A45075"/>
    <w:rsid w:val="00A457B1"/>
    <w:rsid w:val="00A45A1B"/>
    <w:rsid w:val="00A46640"/>
    <w:rsid w:val="00A468F8"/>
    <w:rsid w:val="00A46FBC"/>
    <w:rsid w:val="00A474C3"/>
    <w:rsid w:val="00A47A70"/>
    <w:rsid w:val="00A47F67"/>
    <w:rsid w:val="00A50302"/>
    <w:rsid w:val="00A50B26"/>
    <w:rsid w:val="00A50C2B"/>
    <w:rsid w:val="00A50DBD"/>
    <w:rsid w:val="00A51017"/>
    <w:rsid w:val="00A5144D"/>
    <w:rsid w:val="00A51679"/>
    <w:rsid w:val="00A52221"/>
    <w:rsid w:val="00A52546"/>
    <w:rsid w:val="00A52611"/>
    <w:rsid w:val="00A5285A"/>
    <w:rsid w:val="00A52C18"/>
    <w:rsid w:val="00A53141"/>
    <w:rsid w:val="00A533FB"/>
    <w:rsid w:val="00A5378B"/>
    <w:rsid w:val="00A5387F"/>
    <w:rsid w:val="00A547C3"/>
    <w:rsid w:val="00A54DD1"/>
    <w:rsid w:val="00A55278"/>
    <w:rsid w:val="00A5531E"/>
    <w:rsid w:val="00A555F0"/>
    <w:rsid w:val="00A5569C"/>
    <w:rsid w:val="00A557CB"/>
    <w:rsid w:val="00A55A4C"/>
    <w:rsid w:val="00A55D9A"/>
    <w:rsid w:val="00A567BA"/>
    <w:rsid w:val="00A5694C"/>
    <w:rsid w:val="00A569D2"/>
    <w:rsid w:val="00A57975"/>
    <w:rsid w:val="00A57CDB"/>
    <w:rsid w:val="00A57EC4"/>
    <w:rsid w:val="00A57F68"/>
    <w:rsid w:val="00A60125"/>
    <w:rsid w:val="00A61204"/>
    <w:rsid w:val="00A6126B"/>
    <w:rsid w:val="00A618F1"/>
    <w:rsid w:val="00A61903"/>
    <w:rsid w:val="00A61F24"/>
    <w:rsid w:val="00A63402"/>
    <w:rsid w:val="00A644C0"/>
    <w:rsid w:val="00A64B4D"/>
    <w:rsid w:val="00A650F6"/>
    <w:rsid w:val="00A6531F"/>
    <w:rsid w:val="00A65A5F"/>
    <w:rsid w:val="00A65ED8"/>
    <w:rsid w:val="00A666E2"/>
    <w:rsid w:val="00A669E8"/>
    <w:rsid w:val="00A66CB4"/>
    <w:rsid w:val="00A66D4F"/>
    <w:rsid w:val="00A66E27"/>
    <w:rsid w:val="00A673DD"/>
    <w:rsid w:val="00A67853"/>
    <w:rsid w:val="00A67BC8"/>
    <w:rsid w:val="00A67ED8"/>
    <w:rsid w:val="00A7044D"/>
    <w:rsid w:val="00A70A2C"/>
    <w:rsid w:val="00A70F82"/>
    <w:rsid w:val="00A718DC"/>
    <w:rsid w:val="00A72180"/>
    <w:rsid w:val="00A72508"/>
    <w:rsid w:val="00A72F5D"/>
    <w:rsid w:val="00A743E8"/>
    <w:rsid w:val="00A74473"/>
    <w:rsid w:val="00A74572"/>
    <w:rsid w:val="00A745B7"/>
    <w:rsid w:val="00A74A39"/>
    <w:rsid w:val="00A75E0E"/>
    <w:rsid w:val="00A771C1"/>
    <w:rsid w:val="00A771CF"/>
    <w:rsid w:val="00A77B8B"/>
    <w:rsid w:val="00A77D35"/>
    <w:rsid w:val="00A80333"/>
    <w:rsid w:val="00A80E2F"/>
    <w:rsid w:val="00A8102A"/>
    <w:rsid w:val="00A81175"/>
    <w:rsid w:val="00A811D4"/>
    <w:rsid w:val="00A812DB"/>
    <w:rsid w:val="00A81EDF"/>
    <w:rsid w:val="00A826C8"/>
    <w:rsid w:val="00A82B6D"/>
    <w:rsid w:val="00A8348E"/>
    <w:rsid w:val="00A83BB2"/>
    <w:rsid w:val="00A83C73"/>
    <w:rsid w:val="00A83E9F"/>
    <w:rsid w:val="00A83FD4"/>
    <w:rsid w:val="00A845C7"/>
    <w:rsid w:val="00A84F0A"/>
    <w:rsid w:val="00A85CCB"/>
    <w:rsid w:val="00A85E2E"/>
    <w:rsid w:val="00A86108"/>
    <w:rsid w:val="00A86D5A"/>
    <w:rsid w:val="00A86D85"/>
    <w:rsid w:val="00A87271"/>
    <w:rsid w:val="00A87BE6"/>
    <w:rsid w:val="00A9042E"/>
    <w:rsid w:val="00A90E5D"/>
    <w:rsid w:val="00A9125A"/>
    <w:rsid w:val="00A92274"/>
    <w:rsid w:val="00A9234F"/>
    <w:rsid w:val="00A9344F"/>
    <w:rsid w:val="00A93982"/>
    <w:rsid w:val="00A93CF7"/>
    <w:rsid w:val="00A9435B"/>
    <w:rsid w:val="00A945ED"/>
    <w:rsid w:val="00A94BBB"/>
    <w:rsid w:val="00A94E67"/>
    <w:rsid w:val="00A956B9"/>
    <w:rsid w:val="00A95AD0"/>
    <w:rsid w:val="00A95E1D"/>
    <w:rsid w:val="00A96C3B"/>
    <w:rsid w:val="00A96ECD"/>
    <w:rsid w:val="00A97160"/>
    <w:rsid w:val="00A97747"/>
    <w:rsid w:val="00A97B17"/>
    <w:rsid w:val="00A97D53"/>
    <w:rsid w:val="00A97F1F"/>
    <w:rsid w:val="00A97F3C"/>
    <w:rsid w:val="00AA085F"/>
    <w:rsid w:val="00AA0C78"/>
    <w:rsid w:val="00AA165C"/>
    <w:rsid w:val="00AA1924"/>
    <w:rsid w:val="00AA19DB"/>
    <w:rsid w:val="00AA1A0C"/>
    <w:rsid w:val="00AA1AED"/>
    <w:rsid w:val="00AA1E81"/>
    <w:rsid w:val="00AA1F47"/>
    <w:rsid w:val="00AA211C"/>
    <w:rsid w:val="00AA2594"/>
    <w:rsid w:val="00AA2F39"/>
    <w:rsid w:val="00AA2F82"/>
    <w:rsid w:val="00AA35A9"/>
    <w:rsid w:val="00AA360A"/>
    <w:rsid w:val="00AA3B1C"/>
    <w:rsid w:val="00AA3F0F"/>
    <w:rsid w:val="00AA40C0"/>
    <w:rsid w:val="00AA410B"/>
    <w:rsid w:val="00AA4D14"/>
    <w:rsid w:val="00AA4E36"/>
    <w:rsid w:val="00AA50B5"/>
    <w:rsid w:val="00AA5396"/>
    <w:rsid w:val="00AA55A8"/>
    <w:rsid w:val="00AA5956"/>
    <w:rsid w:val="00AA66E4"/>
    <w:rsid w:val="00AA6783"/>
    <w:rsid w:val="00AA6DC0"/>
    <w:rsid w:val="00AA706A"/>
    <w:rsid w:val="00AA755A"/>
    <w:rsid w:val="00AA7BCF"/>
    <w:rsid w:val="00AA7BF9"/>
    <w:rsid w:val="00AA7D40"/>
    <w:rsid w:val="00AB0240"/>
    <w:rsid w:val="00AB0871"/>
    <w:rsid w:val="00AB09E8"/>
    <w:rsid w:val="00AB09ED"/>
    <w:rsid w:val="00AB0C9D"/>
    <w:rsid w:val="00AB0E6C"/>
    <w:rsid w:val="00AB0EFA"/>
    <w:rsid w:val="00AB1705"/>
    <w:rsid w:val="00AB1706"/>
    <w:rsid w:val="00AB1E53"/>
    <w:rsid w:val="00AB1EC4"/>
    <w:rsid w:val="00AB1F56"/>
    <w:rsid w:val="00AB2750"/>
    <w:rsid w:val="00AB3852"/>
    <w:rsid w:val="00AB47D3"/>
    <w:rsid w:val="00AB4D23"/>
    <w:rsid w:val="00AB4FAE"/>
    <w:rsid w:val="00AB567E"/>
    <w:rsid w:val="00AB56DF"/>
    <w:rsid w:val="00AB5894"/>
    <w:rsid w:val="00AB6268"/>
    <w:rsid w:val="00AB63CB"/>
    <w:rsid w:val="00AB64BF"/>
    <w:rsid w:val="00AB6865"/>
    <w:rsid w:val="00AB72F2"/>
    <w:rsid w:val="00AB735C"/>
    <w:rsid w:val="00AB747F"/>
    <w:rsid w:val="00AB7904"/>
    <w:rsid w:val="00AB79B3"/>
    <w:rsid w:val="00AB7BEE"/>
    <w:rsid w:val="00AC0134"/>
    <w:rsid w:val="00AC05BC"/>
    <w:rsid w:val="00AC121D"/>
    <w:rsid w:val="00AC1354"/>
    <w:rsid w:val="00AC1E55"/>
    <w:rsid w:val="00AC250D"/>
    <w:rsid w:val="00AC259D"/>
    <w:rsid w:val="00AC2CFF"/>
    <w:rsid w:val="00AC31C5"/>
    <w:rsid w:val="00AC33F3"/>
    <w:rsid w:val="00AC3D33"/>
    <w:rsid w:val="00AC4487"/>
    <w:rsid w:val="00AC543A"/>
    <w:rsid w:val="00AC56F8"/>
    <w:rsid w:val="00AC5733"/>
    <w:rsid w:val="00AC584B"/>
    <w:rsid w:val="00AC5986"/>
    <w:rsid w:val="00AC5CC8"/>
    <w:rsid w:val="00AC68CC"/>
    <w:rsid w:val="00AC7AF5"/>
    <w:rsid w:val="00AC7B9E"/>
    <w:rsid w:val="00AC7BC0"/>
    <w:rsid w:val="00AD062B"/>
    <w:rsid w:val="00AD098D"/>
    <w:rsid w:val="00AD1570"/>
    <w:rsid w:val="00AD1915"/>
    <w:rsid w:val="00AD1C9E"/>
    <w:rsid w:val="00AD2B5B"/>
    <w:rsid w:val="00AD2D04"/>
    <w:rsid w:val="00AD3419"/>
    <w:rsid w:val="00AD3D9C"/>
    <w:rsid w:val="00AD4E5C"/>
    <w:rsid w:val="00AD5DED"/>
    <w:rsid w:val="00AD5E40"/>
    <w:rsid w:val="00AD6388"/>
    <w:rsid w:val="00AD683B"/>
    <w:rsid w:val="00AD6857"/>
    <w:rsid w:val="00AD6885"/>
    <w:rsid w:val="00AD6909"/>
    <w:rsid w:val="00AD6998"/>
    <w:rsid w:val="00AD6F60"/>
    <w:rsid w:val="00AD744C"/>
    <w:rsid w:val="00AD7816"/>
    <w:rsid w:val="00AD78C5"/>
    <w:rsid w:val="00AD7F40"/>
    <w:rsid w:val="00AE0099"/>
    <w:rsid w:val="00AE04FF"/>
    <w:rsid w:val="00AE0910"/>
    <w:rsid w:val="00AE183F"/>
    <w:rsid w:val="00AE1A71"/>
    <w:rsid w:val="00AE1AD9"/>
    <w:rsid w:val="00AE1B9A"/>
    <w:rsid w:val="00AE1C14"/>
    <w:rsid w:val="00AE1D8E"/>
    <w:rsid w:val="00AE1F62"/>
    <w:rsid w:val="00AE2035"/>
    <w:rsid w:val="00AE2062"/>
    <w:rsid w:val="00AE2234"/>
    <w:rsid w:val="00AE230E"/>
    <w:rsid w:val="00AE2AF7"/>
    <w:rsid w:val="00AE3446"/>
    <w:rsid w:val="00AE365F"/>
    <w:rsid w:val="00AE3AC3"/>
    <w:rsid w:val="00AE3C41"/>
    <w:rsid w:val="00AE3C83"/>
    <w:rsid w:val="00AE3CC7"/>
    <w:rsid w:val="00AE3FD3"/>
    <w:rsid w:val="00AE41A5"/>
    <w:rsid w:val="00AE4855"/>
    <w:rsid w:val="00AE4C55"/>
    <w:rsid w:val="00AE55A8"/>
    <w:rsid w:val="00AE5A50"/>
    <w:rsid w:val="00AE5FAA"/>
    <w:rsid w:val="00AE65E0"/>
    <w:rsid w:val="00AE6883"/>
    <w:rsid w:val="00AE7E47"/>
    <w:rsid w:val="00AE7FB6"/>
    <w:rsid w:val="00AF07A8"/>
    <w:rsid w:val="00AF0D01"/>
    <w:rsid w:val="00AF1E78"/>
    <w:rsid w:val="00AF21B9"/>
    <w:rsid w:val="00AF2926"/>
    <w:rsid w:val="00AF2DE2"/>
    <w:rsid w:val="00AF3418"/>
    <w:rsid w:val="00AF354D"/>
    <w:rsid w:val="00AF39F3"/>
    <w:rsid w:val="00AF3DBC"/>
    <w:rsid w:val="00AF3FDF"/>
    <w:rsid w:val="00AF485D"/>
    <w:rsid w:val="00AF4AD2"/>
    <w:rsid w:val="00AF4DDE"/>
    <w:rsid w:val="00AF5150"/>
    <w:rsid w:val="00AF5163"/>
    <w:rsid w:val="00AF5BF5"/>
    <w:rsid w:val="00AF62D5"/>
    <w:rsid w:val="00AF6784"/>
    <w:rsid w:val="00AF6A34"/>
    <w:rsid w:val="00AF6F29"/>
    <w:rsid w:val="00AF71EE"/>
    <w:rsid w:val="00AF7215"/>
    <w:rsid w:val="00AF74B2"/>
    <w:rsid w:val="00AF7E14"/>
    <w:rsid w:val="00B0109B"/>
    <w:rsid w:val="00B019FC"/>
    <w:rsid w:val="00B01BE7"/>
    <w:rsid w:val="00B01F28"/>
    <w:rsid w:val="00B02034"/>
    <w:rsid w:val="00B02040"/>
    <w:rsid w:val="00B025C9"/>
    <w:rsid w:val="00B0261E"/>
    <w:rsid w:val="00B027B5"/>
    <w:rsid w:val="00B036FC"/>
    <w:rsid w:val="00B0385F"/>
    <w:rsid w:val="00B03C08"/>
    <w:rsid w:val="00B03C34"/>
    <w:rsid w:val="00B03D3A"/>
    <w:rsid w:val="00B046F2"/>
    <w:rsid w:val="00B04F96"/>
    <w:rsid w:val="00B050D3"/>
    <w:rsid w:val="00B061B7"/>
    <w:rsid w:val="00B062DC"/>
    <w:rsid w:val="00B0645E"/>
    <w:rsid w:val="00B066C1"/>
    <w:rsid w:val="00B07BFC"/>
    <w:rsid w:val="00B10A2B"/>
    <w:rsid w:val="00B10E10"/>
    <w:rsid w:val="00B10FCF"/>
    <w:rsid w:val="00B111CB"/>
    <w:rsid w:val="00B112EB"/>
    <w:rsid w:val="00B11350"/>
    <w:rsid w:val="00B11452"/>
    <w:rsid w:val="00B11B84"/>
    <w:rsid w:val="00B127BA"/>
    <w:rsid w:val="00B1286A"/>
    <w:rsid w:val="00B12B42"/>
    <w:rsid w:val="00B130AC"/>
    <w:rsid w:val="00B130F6"/>
    <w:rsid w:val="00B13812"/>
    <w:rsid w:val="00B13835"/>
    <w:rsid w:val="00B13C6B"/>
    <w:rsid w:val="00B13F9D"/>
    <w:rsid w:val="00B1425E"/>
    <w:rsid w:val="00B1440A"/>
    <w:rsid w:val="00B1499B"/>
    <w:rsid w:val="00B150FA"/>
    <w:rsid w:val="00B152B0"/>
    <w:rsid w:val="00B161CE"/>
    <w:rsid w:val="00B161DD"/>
    <w:rsid w:val="00B16F45"/>
    <w:rsid w:val="00B1773E"/>
    <w:rsid w:val="00B178F5"/>
    <w:rsid w:val="00B17A98"/>
    <w:rsid w:val="00B17CE3"/>
    <w:rsid w:val="00B17F20"/>
    <w:rsid w:val="00B17F99"/>
    <w:rsid w:val="00B206B1"/>
    <w:rsid w:val="00B20E15"/>
    <w:rsid w:val="00B21906"/>
    <w:rsid w:val="00B22E0E"/>
    <w:rsid w:val="00B2303D"/>
    <w:rsid w:val="00B23324"/>
    <w:rsid w:val="00B235DC"/>
    <w:rsid w:val="00B2397C"/>
    <w:rsid w:val="00B23BFB"/>
    <w:rsid w:val="00B23C71"/>
    <w:rsid w:val="00B23CB0"/>
    <w:rsid w:val="00B23F38"/>
    <w:rsid w:val="00B243A1"/>
    <w:rsid w:val="00B24843"/>
    <w:rsid w:val="00B25319"/>
    <w:rsid w:val="00B2617F"/>
    <w:rsid w:val="00B26564"/>
    <w:rsid w:val="00B267BD"/>
    <w:rsid w:val="00B272E4"/>
    <w:rsid w:val="00B27783"/>
    <w:rsid w:val="00B278FF"/>
    <w:rsid w:val="00B27A9E"/>
    <w:rsid w:val="00B27BE9"/>
    <w:rsid w:val="00B30D15"/>
    <w:rsid w:val="00B30EFC"/>
    <w:rsid w:val="00B3120D"/>
    <w:rsid w:val="00B3184E"/>
    <w:rsid w:val="00B31913"/>
    <w:rsid w:val="00B31CD1"/>
    <w:rsid w:val="00B31CE1"/>
    <w:rsid w:val="00B31FC4"/>
    <w:rsid w:val="00B320D3"/>
    <w:rsid w:val="00B3274D"/>
    <w:rsid w:val="00B32984"/>
    <w:rsid w:val="00B337E7"/>
    <w:rsid w:val="00B33ADF"/>
    <w:rsid w:val="00B34E68"/>
    <w:rsid w:val="00B3524A"/>
    <w:rsid w:val="00B352E8"/>
    <w:rsid w:val="00B35FFC"/>
    <w:rsid w:val="00B36093"/>
    <w:rsid w:val="00B36991"/>
    <w:rsid w:val="00B36D1E"/>
    <w:rsid w:val="00B37250"/>
    <w:rsid w:val="00B37D58"/>
    <w:rsid w:val="00B37DB6"/>
    <w:rsid w:val="00B4004E"/>
    <w:rsid w:val="00B40C4E"/>
    <w:rsid w:val="00B40DA2"/>
    <w:rsid w:val="00B4166F"/>
    <w:rsid w:val="00B4168F"/>
    <w:rsid w:val="00B41ADA"/>
    <w:rsid w:val="00B42565"/>
    <w:rsid w:val="00B425C1"/>
    <w:rsid w:val="00B4296E"/>
    <w:rsid w:val="00B42B21"/>
    <w:rsid w:val="00B435CE"/>
    <w:rsid w:val="00B435E8"/>
    <w:rsid w:val="00B43A7B"/>
    <w:rsid w:val="00B45291"/>
    <w:rsid w:val="00B458D8"/>
    <w:rsid w:val="00B463E4"/>
    <w:rsid w:val="00B464C6"/>
    <w:rsid w:val="00B470F7"/>
    <w:rsid w:val="00B47A68"/>
    <w:rsid w:val="00B47BB1"/>
    <w:rsid w:val="00B47CA7"/>
    <w:rsid w:val="00B47E25"/>
    <w:rsid w:val="00B5054B"/>
    <w:rsid w:val="00B507EF"/>
    <w:rsid w:val="00B5080E"/>
    <w:rsid w:val="00B50920"/>
    <w:rsid w:val="00B509A9"/>
    <w:rsid w:val="00B50D4A"/>
    <w:rsid w:val="00B50D9E"/>
    <w:rsid w:val="00B50F5E"/>
    <w:rsid w:val="00B51700"/>
    <w:rsid w:val="00B52AFB"/>
    <w:rsid w:val="00B52BDE"/>
    <w:rsid w:val="00B535F7"/>
    <w:rsid w:val="00B53DB6"/>
    <w:rsid w:val="00B53EB7"/>
    <w:rsid w:val="00B5431B"/>
    <w:rsid w:val="00B543EB"/>
    <w:rsid w:val="00B55F61"/>
    <w:rsid w:val="00B562DF"/>
    <w:rsid w:val="00B56E5C"/>
    <w:rsid w:val="00B571F9"/>
    <w:rsid w:val="00B57A55"/>
    <w:rsid w:val="00B57D28"/>
    <w:rsid w:val="00B605C0"/>
    <w:rsid w:val="00B6105C"/>
    <w:rsid w:val="00B614ED"/>
    <w:rsid w:val="00B624E4"/>
    <w:rsid w:val="00B62555"/>
    <w:rsid w:val="00B62799"/>
    <w:rsid w:val="00B6314A"/>
    <w:rsid w:val="00B634A0"/>
    <w:rsid w:val="00B634BA"/>
    <w:rsid w:val="00B6378E"/>
    <w:rsid w:val="00B63835"/>
    <w:rsid w:val="00B63866"/>
    <w:rsid w:val="00B6417A"/>
    <w:rsid w:val="00B648CC"/>
    <w:rsid w:val="00B64BDC"/>
    <w:rsid w:val="00B64C04"/>
    <w:rsid w:val="00B64E92"/>
    <w:rsid w:val="00B658D5"/>
    <w:rsid w:val="00B65B34"/>
    <w:rsid w:val="00B65BEC"/>
    <w:rsid w:val="00B65E6C"/>
    <w:rsid w:val="00B65F2C"/>
    <w:rsid w:val="00B65F68"/>
    <w:rsid w:val="00B66C7A"/>
    <w:rsid w:val="00B67194"/>
    <w:rsid w:val="00B6793A"/>
    <w:rsid w:val="00B67AB7"/>
    <w:rsid w:val="00B67CD1"/>
    <w:rsid w:val="00B71081"/>
    <w:rsid w:val="00B710FA"/>
    <w:rsid w:val="00B7160E"/>
    <w:rsid w:val="00B71B19"/>
    <w:rsid w:val="00B720C3"/>
    <w:rsid w:val="00B7213D"/>
    <w:rsid w:val="00B727F7"/>
    <w:rsid w:val="00B72F02"/>
    <w:rsid w:val="00B73054"/>
    <w:rsid w:val="00B730CB"/>
    <w:rsid w:val="00B73329"/>
    <w:rsid w:val="00B73528"/>
    <w:rsid w:val="00B739EA"/>
    <w:rsid w:val="00B73B5D"/>
    <w:rsid w:val="00B73E05"/>
    <w:rsid w:val="00B749D6"/>
    <w:rsid w:val="00B7609F"/>
    <w:rsid w:val="00B76574"/>
    <w:rsid w:val="00B76576"/>
    <w:rsid w:val="00B765F7"/>
    <w:rsid w:val="00B7691C"/>
    <w:rsid w:val="00B76C2C"/>
    <w:rsid w:val="00B77D25"/>
    <w:rsid w:val="00B77DEF"/>
    <w:rsid w:val="00B80085"/>
    <w:rsid w:val="00B8008A"/>
    <w:rsid w:val="00B8056E"/>
    <w:rsid w:val="00B8073C"/>
    <w:rsid w:val="00B807B6"/>
    <w:rsid w:val="00B8093D"/>
    <w:rsid w:val="00B80AB5"/>
    <w:rsid w:val="00B80DF3"/>
    <w:rsid w:val="00B80FEF"/>
    <w:rsid w:val="00B8119A"/>
    <w:rsid w:val="00B811CE"/>
    <w:rsid w:val="00B812D8"/>
    <w:rsid w:val="00B818DE"/>
    <w:rsid w:val="00B81F10"/>
    <w:rsid w:val="00B82AD8"/>
    <w:rsid w:val="00B8310B"/>
    <w:rsid w:val="00B83564"/>
    <w:rsid w:val="00B837A7"/>
    <w:rsid w:val="00B83DDC"/>
    <w:rsid w:val="00B8400F"/>
    <w:rsid w:val="00B84080"/>
    <w:rsid w:val="00B8432D"/>
    <w:rsid w:val="00B84938"/>
    <w:rsid w:val="00B84A4F"/>
    <w:rsid w:val="00B84D56"/>
    <w:rsid w:val="00B853E9"/>
    <w:rsid w:val="00B859C0"/>
    <w:rsid w:val="00B8643A"/>
    <w:rsid w:val="00B867EF"/>
    <w:rsid w:val="00B86C56"/>
    <w:rsid w:val="00B86F6B"/>
    <w:rsid w:val="00B872F6"/>
    <w:rsid w:val="00B876C9"/>
    <w:rsid w:val="00B87774"/>
    <w:rsid w:val="00B87A43"/>
    <w:rsid w:val="00B87FEF"/>
    <w:rsid w:val="00B91E3C"/>
    <w:rsid w:val="00B9221A"/>
    <w:rsid w:val="00B92808"/>
    <w:rsid w:val="00B92A62"/>
    <w:rsid w:val="00B92CEE"/>
    <w:rsid w:val="00B930E4"/>
    <w:rsid w:val="00B9325C"/>
    <w:rsid w:val="00B93934"/>
    <w:rsid w:val="00B93F57"/>
    <w:rsid w:val="00B944CC"/>
    <w:rsid w:val="00B94936"/>
    <w:rsid w:val="00B94D3D"/>
    <w:rsid w:val="00B9500D"/>
    <w:rsid w:val="00B953A5"/>
    <w:rsid w:val="00B95C05"/>
    <w:rsid w:val="00B95EFB"/>
    <w:rsid w:val="00B96289"/>
    <w:rsid w:val="00B96D61"/>
    <w:rsid w:val="00B9715E"/>
    <w:rsid w:val="00B97276"/>
    <w:rsid w:val="00BA0D13"/>
    <w:rsid w:val="00BA0F78"/>
    <w:rsid w:val="00BA1214"/>
    <w:rsid w:val="00BA148A"/>
    <w:rsid w:val="00BA1E1D"/>
    <w:rsid w:val="00BA2156"/>
    <w:rsid w:val="00BA2F58"/>
    <w:rsid w:val="00BA491C"/>
    <w:rsid w:val="00BA4BED"/>
    <w:rsid w:val="00BA4ED5"/>
    <w:rsid w:val="00BA5086"/>
    <w:rsid w:val="00BA5592"/>
    <w:rsid w:val="00BA5B26"/>
    <w:rsid w:val="00BA5BAB"/>
    <w:rsid w:val="00BA5C71"/>
    <w:rsid w:val="00BA5EF0"/>
    <w:rsid w:val="00BA5FC2"/>
    <w:rsid w:val="00BA66B9"/>
    <w:rsid w:val="00BA6DDA"/>
    <w:rsid w:val="00BA6E38"/>
    <w:rsid w:val="00BA7D39"/>
    <w:rsid w:val="00BB004C"/>
    <w:rsid w:val="00BB010F"/>
    <w:rsid w:val="00BB0221"/>
    <w:rsid w:val="00BB0634"/>
    <w:rsid w:val="00BB0A68"/>
    <w:rsid w:val="00BB0CD5"/>
    <w:rsid w:val="00BB15D8"/>
    <w:rsid w:val="00BB17DE"/>
    <w:rsid w:val="00BB1843"/>
    <w:rsid w:val="00BB20D0"/>
    <w:rsid w:val="00BB21B7"/>
    <w:rsid w:val="00BB2441"/>
    <w:rsid w:val="00BB276E"/>
    <w:rsid w:val="00BB287E"/>
    <w:rsid w:val="00BB2C40"/>
    <w:rsid w:val="00BB381A"/>
    <w:rsid w:val="00BB44C4"/>
    <w:rsid w:val="00BB4F39"/>
    <w:rsid w:val="00BB5915"/>
    <w:rsid w:val="00BB5FC5"/>
    <w:rsid w:val="00BB6013"/>
    <w:rsid w:val="00BB6042"/>
    <w:rsid w:val="00BB612C"/>
    <w:rsid w:val="00BB6686"/>
    <w:rsid w:val="00BB6B2B"/>
    <w:rsid w:val="00BB6E95"/>
    <w:rsid w:val="00BB71A7"/>
    <w:rsid w:val="00BB75EB"/>
    <w:rsid w:val="00BB7679"/>
    <w:rsid w:val="00BB7AF2"/>
    <w:rsid w:val="00BC0729"/>
    <w:rsid w:val="00BC0C55"/>
    <w:rsid w:val="00BC1D3F"/>
    <w:rsid w:val="00BC227C"/>
    <w:rsid w:val="00BC2699"/>
    <w:rsid w:val="00BC2864"/>
    <w:rsid w:val="00BC2ACE"/>
    <w:rsid w:val="00BC2B1D"/>
    <w:rsid w:val="00BC2C92"/>
    <w:rsid w:val="00BC2DDD"/>
    <w:rsid w:val="00BC302E"/>
    <w:rsid w:val="00BC3096"/>
    <w:rsid w:val="00BC31BC"/>
    <w:rsid w:val="00BC3543"/>
    <w:rsid w:val="00BC3B41"/>
    <w:rsid w:val="00BC3B50"/>
    <w:rsid w:val="00BC3C6F"/>
    <w:rsid w:val="00BC3CC7"/>
    <w:rsid w:val="00BC3E1F"/>
    <w:rsid w:val="00BC414A"/>
    <w:rsid w:val="00BC44E3"/>
    <w:rsid w:val="00BC47CF"/>
    <w:rsid w:val="00BC4921"/>
    <w:rsid w:val="00BC4B8B"/>
    <w:rsid w:val="00BC4BAA"/>
    <w:rsid w:val="00BC4CAC"/>
    <w:rsid w:val="00BC4E43"/>
    <w:rsid w:val="00BC4F44"/>
    <w:rsid w:val="00BC5D20"/>
    <w:rsid w:val="00BC6205"/>
    <w:rsid w:val="00BC66B1"/>
    <w:rsid w:val="00BC69E8"/>
    <w:rsid w:val="00BC6BEC"/>
    <w:rsid w:val="00BC6C8A"/>
    <w:rsid w:val="00BC6E59"/>
    <w:rsid w:val="00BC73C5"/>
    <w:rsid w:val="00BC7A17"/>
    <w:rsid w:val="00BC7CC2"/>
    <w:rsid w:val="00BC7E64"/>
    <w:rsid w:val="00BC7F38"/>
    <w:rsid w:val="00BD0467"/>
    <w:rsid w:val="00BD0A6F"/>
    <w:rsid w:val="00BD0F8F"/>
    <w:rsid w:val="00BD1812"/>
    <w:rsid w:val="00BD1852"/>
    <w:rsid w:val="00BD198B"/>
    <w:rsid w:val="00BD19E4"/>
    <w:rsid w:val="00BD1DBC"/>
    <w:rsid w:val="00BD1F54"/>
    <w:rsid w:val="00BD22DD"/>
    <w:rsid w:val="00BD2EC8"/>
    <w:rsid w:val="00BD37D3"/>
    <w:rsid w:val="00BD3DB7"/>
    <w:rsid w:val="00BD4201"/>
    <w:rsid w:val="00BD42AC"/>
    <w:rsid w:val="00BD45C3"/>
    <w:rsid w:val="00BD4834"/>
    <w:rsid w:val="00BD4D6F"/>
    <w:rsid w:val="00BD52C5"/>
    <w:rsid w:val="00BD556F"/>
    <w:rsid w:val="00BD5698"/>
    <w:rsid w:val="00BD5766"/>
    <w:rsid w:val="00BD5941"/>
    <w:rsid w:val="00BD5954"/>
    <w:rsid w:val="00BD5C12"/>
    <w:rsid w:val="00BD6014"/>
    <w:rsid w:val="00BD631C"/>
    <w:rsid w:val="00BD6D03"/>
    <w:rsid w:val="00BD7874"/>
    <w:rsid w:val="00BD7B04"/>
    <w:rsid w:val="00BE0181"/>
    <w:rsid w:val="00BE06F6"/>
    <w:rsid w:val="00BE0887"/>
    <w:rsid w:val="00BE261B"/>
    <w:rsid w:val="00BE2C50"/>
    <w:rsid w:val="00BE2D52"/>
    <w:rsid w:val="00BE2F1B"/>
    <w:rsid w:val="00BE2F47"/>
    <w:rsid w:val="00BE3302"/>
    <w:rsid w:val="00BE36D6"/>
    <w:rsid w:val="00BE38A6"/>
    <w:rsid w:val="00BE3A14"/>
    <w:rsid w:val="00BE3EFF"/>
    <w:rsid w:val="00BE40E7"/>
    <w:rsid w:val="00BE41A7"/>
    <w:rsid w:val="00BE4899"/>
    <w:rsid w:val="00BE4908"/>
    <w:rsid w:val="00BE4B77"/>
    <w:rsid w:val="00BE5C5C"/>
    <w:rsid w:val="00BE5E88"/>
    <w:rsid w:val="00BE6041"/>
    <w:rsid w:val="00BE6335"/>
    <w:rsid w:val="00BE6F26"/>
    <w:rsid w:val="00BE7029"/>
    <w:rsid w:val="00BE7F24"/>
    <w:rsid w:val="00BF00B0"/>
    <w:rsid w:val="00BF03EF"/>
    <w:rsid w:val="00BF076F"/>
    <w:rsid w:val="00BF0909"/>
    <w:rsid w:val="00BF0E7D"/>
    <w:rsid w:val="00BF1505"/>
    <w:rsid w:val="00BF1612"/>
    <w:rsid w:val="00BF1960"/>
    <w:rsid w:val="00BF1ACD"/>
    <w:rsid w:val="00BF1AEA"/>
    <w:rsid w:val="00BF1B31"/>
    <w:rsid w:val="00BF2328"/>
    <w:rsid w:val="00BF29B1"/>
    <w:rsid w:val="00BF2A2E"/>
    <w:rsid w:val="00BF318B"/>
    <w:rsid w:val="00BF31E9"/>
    <w:rsid w:val="00BF334F"/>
    <w:rsid w:val="00BF3A69"/>
    <w:rsid w:val="00BF3CE3"/>
    <w:rsid w:val="00BF3F85"/>
    <w:rsid w:val="00BF405D"/>
    <w:rsid w:val="00BF419B"/>
    <w:rsid w:val="00BF44F2"/>
    <w:rsid w:val="00BF4990"/>
    <w:rsid w:val="00BF5329"/>
    <w:rsid w:val="00BF5700"/>
    <w:rsid w:val="00BF5719"/>
    <w:rsid w:val="00BF5741"/>
    <w:rsid w:val="00BF5B66"/>
    <w:rsid w:val="00BF6163"/>
    <w:rsid w:val="00BF6321"/>
    <w:rsid w:val="00BF6484"/>
    <w:rsid w:val="00BF6D34"/>
    <w:rsid w:val="00BF6EC9"/>
    <w:rsid w:val="00BF71AC"/>
    <w:rsid w:val="00C00730"/>
    <w:rsid w:val="00C00963"/>
    <w:rsid w:val="00C00C15"/>
    <w:rsid w:val="00C00DBD"/>
    <w:rsid w:val="00C00E8C"/>
    <w:rsid w:val="00C00EAF"/>
    <w:rsid w:val="00C01538"/>
    <w:rsid w:val="00C01B32"/>
    <w:rsid w:val="00C01D7E"/>
    <w:rsid w:val="00C01E6B"/>
    <w:rsid w:val="00C02032"/>
    <w:rsid w:val="00C02190"/>
    <w:rsid w:val="00C02271"/>
    <w:rsid w:val="00C0252A"/>
    <w:rsid w:val="00C02A47"/>
    <w:rsid w:val="00C03623"/>
    <w:rsid w:val="00C0362A"/>
    <w:rsid w:val="00C03682"/>
    <w:rsid w:val="00C03D30"/>
    <w:rsid w:val="00C04326"/>
    <w:rsid w:val="00C04AC8"/>
    <w:rsid w:val="00C0527B"/>
    <w:rsid w:val="00C054BC"/>
    <w:rsid w:val="00C0561B"/>
    <w:rsid w:val="00C05E8A"/>
    <w:rsid w:val="00C05F1E"/>
    <w:rsid w:val="00C06185"/>
    <w:rsid w:val="00C06248"/>
    <w:rsid w:val="00C0639A"/>
    <w:rsid w:val="00C0687B"/>
    <w:rsid w:val="00C068DE"/>
    <w:rsid w:val="00C06D25"/>
    <w:rsid w:val="00C06FD9"/>
    <w:rsid w:val="00C07B56"/>
    <w:rsid w:val="00C07CAB"/>
    <w:rsid w:val="00C07F99"/>
    <w:rsid w:val="00C101D4"/>
    <w:rsid w:val="00C108BF"/>
    <w:rsid w:val="00C10C7C"/>
    <w:rsid w:val="00C10D34"/>
    <w:rsid w:val="00C11118"/>
    <w:rsid w:val="00C11455"/>
    <w:rsid w:val="00C11718"/>
    <w:rsid w:val="00C117E9"/>
    <w:rsid w:val="00C1201F"/>
    <w:rsid w:val="00C120C5"/>
    <w:rsid w:val="00C127C0"/>
    <w:rsid w:val="00C12857"/>
    <w:rsid w:val="00C128D5"/>
    <w:rsid w:val="00C13372"/>
    <w:rsid w:val="00C13659"/>
    <w:rsid w:val="00C13CFE"/>
    <w:rsid w:val="00C14C40"/>
    <w:rsid w:val="00C15861"/>
    <w:rsid w:val="00C15D3B"/>
    <w:rsid w:val="00C15F45"/>
    <w:rsid w:val="00C16A0A"/>
    <w:rsid w:val="00C16A58"/>
    <w:rsid w:val="00C16B23"/>
    <w:rsid w:val="00C16DC3"/>
    <w:rsid w:val="00C1711B"/>
    <w:rsid w:val="00C17767"/>
    <w:rsid w:val="00C17B0E"/>
    <w:rsid w:val="00C17D85"/>
    <w:rsid w:val="00C17E36"/>
    <w:rsid w:val="00C209A5"/>
    <w:rsid w:val="00C20A88"/>
    <w:rsid w:val="00C20F69"/>
    <w:rsid w:val="00C20FF6"/>
    <w:rsid w:val="00C21CF8"/>
    <w:rsid w:val="00C21D6C"/>
    <w:rsid w:val="00C233A4"/>
    <w:rsid w:val="00C23717"/>
    <w:rsid w:val="00C237CF"/>
    <w:rsid w:val="00C23E2A"/>
    <w:rsid w:val="00C2413A"/>
    <w:rsid w:val="00C2429E"/>
    <w:rsid w:val="00C245B4"/>
    <w:rsid w:val="00C24793"/>
    <w:rsid w:val="00C24A36"/>
    <w:rsid w:val="00C24DE9"/>
    <w:rsid w:val="00C24E28"/>
    <w:rsid w:val="00C25070"/>
    <w:rsid w:val="00C252EC"/>
    <w:rsid w:val="00C2546B"/>
    <w:rsid w:val="00C255A8"/>
    <w:rsid w:val="00C255DE"/>
    <w:rsid w:val="00C25BF8"/>
    <w:rsid w:val="00C25BF9"/>
    <w:rsid w:val="00C25DAA"/>
    <w:rsid w:val="00C261C5"/>
    <w:rsid w:val="00C26299"/>
    <w:rsid w:val="00C2632C"/>
    <w:rsid w:val="00C26A9B"/>
    <w:rsid w:val="00C26FAC"/>
    <w:rsid w:val="00C27AC6"/>
    <w:rsid w:val="00C30C2C"/>
    <w:rsid w:val="00C30F2B"/>
    <w:rsid w:val="00C3103F"/>
    <w:rsid w:val="00C31514"/>
    <w:rsid w:val="00C31C73"/>
    <w:rsid w:val="00C31D86"/>
    <w:rsid w:val="00C32017"/>
    <w:rsid w:val="00C32BCF"/>
    <w:rsid w:val="00C32D58"/>
    <w:rsid w:val="00C32DA3"/>
    <w:rsid w:val="00C32ECB"/>
    <w:rsid w:val="00C33289"/>
    <w:rsid w:val="00C33313"/>
    <w:rsid w:val="00C3355C"/>
    <w:rsid w:val="00C33EA0"/>
    <w:rsid w:val="00C33F1D"/>
    <w:rsid w:val="00C33FAE"/>
    <w:rsid w:val="00C3411C"/>
    <w:rsid w:val="00C34357"/>
    <w:rsid w:val="00C345E0"/>
    <w:rsid w:val="00C34A71"/>
    <w:rsid w:val="00C34BC3"/>
    <w:rsid w:val="00C34F4F"/>
    <w:rsid w:val="00C351D8"/>
    <w:rsid w:val="00C35650"/>
    <w:rsid w:val="00C35795"/>
    <w:rsid w:val="00C35927"/>
    <w:rsid w:val="00C35A01"/>
    <w:rsid w:val="00C35B63"/>
    <w:rsid w:val="00C36D45"/>
    <w:rsid w:val="00C36DC0"/>
    <w:rsid w:val="00C37224"/>
    <w:rsid w:val="00C37394"/>
    <w:rsid w:val="00C37482"/>
    <w:rsid w:val="00C37598"/>
    <w:rsid w:val="00C37B8C"/>
    <w:rsid w:val="00C37BA5"/>
    <w:rsid w:val="00C4052A"/>
    <w:rsid w:val="00C40732"/>
    <w:rsid w:val="00C410AE"/>
    <w:rsid w:val="00C41667"/>
    <w:rsid w:val="00C417B6"/>
    <w:rsid w:val="00C41A3C"/>
    <w:rsid w:val="00C41B1E"/>
    <w:rsid w:val="00C41B53"/>
    <w:rsid w:val="00C41DD3"/>
    <w:rsid w:val="00C42289"/>
    <w:rsid w:val="00C42417"/>
    <w:rsid w:val="00C42872"/>
    <w:rsid w:val="00C42C5B"/>
    <w:rsid w:val="00C42D60"/>
    <w:rsid w:val="00C44443"/>
    <w:rsid w:val="00C44BF7"/>
    <w:rsid w:val="00C44CCE"/>
    <w:rsid w:val="00C45569"/>
    <w:rsid w:val="00C456C3"/>
    <w:rsid w:val="00C45E50"/>
    <w:rsid w:val="00C46C25"/>
    <w:rsid w:val="00C4735B"/>
    <w:rsid w:val="00C4742F"/>
    <w:rsid w:val="00C4752C"/>
    <w:rsid w:val="00C47997"/>
    <w:rsid w:val="00C47B97"/>
    <w:rsid w:val="00C504C4"/>
    <w:rsid w:val="00C505D3"/>
    <w:rsid w:val="00C50620"/>
    <w:rsid w:val="00C50ACF"/>
    <w:rsid w:val="00C5137C"/>
    <w:rsid w:val="00C522EE"/>
    <w:rsid w:val="00C52385"/>
    <w:rsid w:val="00C525B8"/>
    <w:rsid w:val="00C52866"/>
    <w:rsid w:val="00C529FE"/>
    <w:rsid w:val="00C52BD3"/>
    <w:rsid w:val="00C53109"/>
    <w:rsid w:val="00C5342C"/>
    <w:rsid w:val="00C5377F"/>
    <w:rsid w:val="00C53D6A"/>
    <w:rsid w:val="00C53DC8"/>
    <w:rsid w:val="00C54203"/>
    <w:rsid w:val="00C55A62"/>
    <w:rsid w:val="00C55DDD"/>
    <w:rsid w:val="00C56192"/>
    <w:rsid w:val="00C56393"/>
    <w:rsid w:val="00C56752"/>
    <w:rsid w:val="00C5683E"/>
    <w:rsid w:val="00C56D34"/>
    <w:rsid w:val="00C56F25"/>
    <w:rsid w:val="00C56F3D"/>
    <w:rsid w:val="00C573C2"/>
    <w:rsid w:val="00C573F0"/>
    <w:rsid w:val="00C57443"/>
    <w:rsid w:val="00C574EC"/>
    <w:rsid w:val="00C57501"/>
    <w:rsid w:val="00C576DF"/>
    <w:rsid w:val="00C577A2"/>
    <w:rsid w:val="00C579DD"/>
    <w:rsid w:val="00C57CDD"/>
    <w:rsid w:val="00C57FF0"/>
    <w:rsid w:val="00C60235"/>
    <w:rsid w:val="00C607D1"/>
    <w:rsid w:val="00C60B65"/>
    <w:rsid w:val="00C60E5F"/>
    <w:rsid w:val="00C60F7A"/>
    <w:rsid w:val="00C61057"/>
    <w:rsid w:val="00C6127D"/>
    <w:rsid w:val="00C613EF"/>
    <w:rsid w:val="00C61955"/>
    <w:rsid w:val="00C61D6D"/>
    <w:rsid w:val="00C6206B"/>
    <w:rsid w:val="00C622BC"/>
    <w:rsid w:val="00C628BD"/>
    <w:rsid w:val="00C62928"/>
    <w:rsid w:val="00C62AF9"/>
    <w:rsid w:val="00C62D6C"/>
    <w:rsid w:val="00C62E9C"/>
    <w:rsid w:val="00C63028"/>
    <w:rsid w:val="00C63257"/>
    <w:rsid w:val="00C63294"/>
    <w:rsid w:val="00C63444"/>
    <w:rsid w:val="00C63BA8"/>
    <w:rsid w:val="00C63BE9"/>
    <w:rsid w:val="00C64A88"/>
    <w:rsid w:val="00C64D73"/>
    <w:rsid w:val="00C64E41"/>
    <w:rsid w:val="00C6570C"/>
    <w:rsid w:val="00C65BE7"/>
    <w:rsid w:val="00C65D62"/>
    <w:rsid w:val="00C65F41"/>
    <w:rsid w:val="00C6638E"/>
    <w:rsid w:val="00C664D2"/>
    <w:rsid w:val="00C6665E"/>
    <w:rsid w:val="00C66773"/>
    <w:rsid w:val="00C669AB"/>
    <w:rsid w:val="00C66F68"/>
    <w:rsid w:val="00C67099"/>
    <w:rsid w:val="00C672CD"/>
    <w:rsid w:val="00C6781A"/>
    <w:rsid w:val="00C679B3"/>
    <w:rsid w:val="00C67B41"/>
    <w:rsid w:val="00C70367"/>
    <w:rsid w:val="00C707F3"/>
    <w:rsid w:val="00C70B18"/>
    <w:rsid w:val="00C70BE6"/>
    <w:rsid w:val="00C70BF2"/>
    <w:rsid w:val="00C71011"/>
    <w:rsid w:val="00C710FC"/>
    <w:rsid w:val="00C71121"/>
    <w:rsid w:val="00C71A49"/>
    <w:rsid w:val="00C71AC8"/>
    <w:rsid w:val="00C71DEB"/>
    <w:rsid w:val="00C726E7"/>
    <w:rsid w:val="00C7297D"/>
    <w:rsid w:val="00C744C4"/>
    <w:rsid w:val="00C74661"/>
    <w:rsid w:val="00C7486A"/>
    <w:rsid w:val="00C7571D"/>
    <w:rsid w:val="00C76286"/>
    <w:rsid w:val="00C7671B"/>
    <w:rsid w:val="00C76E82"/>
    <w:rsid w:val="00C77150"/>
    <w:rsid w:val="00C77322"/>
    <w:rsid w:val="00C77EB7"/>
    <w:rsid w:val="00C77F6C"/>
    <w:rsid w:val="00C80084"/>
    <w:rsid w:val="00C8041E"/>
    <w:rsid w:val="00C804CE"/>
    <w:rsid w:val="00C80640"/>
    <w:rsid w:val="00C80806"/>
    <w:rsid w:val="00C80B27"/>
    <w:rsid w:val="00C80BBA"/>
    <w:rsid w:val="00C80C2B"/>
    <w:rsid w:val="00C8133A"/>
    <w:rsid w:val="00C8138B"/>
    <w:rsid w:val="00C816BF"/>
    <w:rsid w:val="00C819C9"/>
    <w:rsid w:val="00C81AAF"/>
    <w:rsid w:val="00C81ED6"/>
    <w:rsid w:val="00C82678"/>
    <w:rsid w:val="00C82722"/>
    <w:rsid w:val="00C82E38"/>
    <w:rsid w:val="00C83352"/>
    <w:rsid w:val="00C83E66"/>
    <w:rsid w:val="00C840A3"/>
    <w:rsid w:val="00C84994"/>
    <w:rsid w:val="00C856EA"/>
    <w:rsid w:val="00C86246"/>
    <w:rsid w:val="00C86360"/>
    <w:rsid w:val="00C86489"/>
    <w:rsid w:val="00C86695"/>
    <w:rsid w:val="00C905F0"/>
    <w:rsid w:val="00C906C8"/>
    <w:rsid w:val="00C906FB"/>
    <w:rsid w:val="00C90A85"/>
    <w:rsid w:val="00C90E73"/>
    <w:rsid w:val="00C91257"/>
    <w:rsid w:val="00C91E07"/>
    <w:rsid w:val="00C91F57"/>
    <w:rsid w:val="00C92477"/>
    <w:rsid w:val="00C92638"/>
    <w:rsid w:val="00C93124"/>
    <w:rsid w:val="00C933A5"/>
    <w:rsid w:val="00C93B47"/>
    <w:rsid w:val="00C93D28"/>
    <w:rsid w:val="00C94494"/>
    <w:rsid w:val="00C94629"/>
    <w:rsid w:val="00C9482B"/>
    <w:rsid w:val="00C94B1B"/>
    <w:rsid w:val="00C957DD"/>
    <w:rsid w:val="00C95F9F"/>
    <w:rsid w:val="00C961EC"/>
    <w:rsid w:val="00C96444"/>
    <w:rsid w:val="00C96FCD"/>
    <w:rsid w:val="00C976EB"/>
    <w:rsid w:val="00C97727"/>
    <w:rsid w:val="00C9779C"/>
    <w:rsid w:val="00CA00AE"/>
    <w:rsid w:val="00CA017A"/>
    <w:rsid w:val="00CA0791"/>
    <w:rsid w:val="00CA0829"/>
    <w:rsid w:val="00CA09EE"/>
    <w:rsid w:val="00CA0DE0"/>
    <w:rsid w:val="00CA0FEA"/>
    <w:rsid w:val="00CA1168"/>
    <w:rsid w:val="00CA1231"/>
    <w:rsid w:val="00CA188F"/>
    <w:rsid w:val="00CA1AAE"/>
    <w:rsid w:val="00CA1D1A"/>
    <w:rsid w:val="00CA284C"/>
    <w:rsid w:val="00CA30DE"/>
    <w:rsid w:val="00CA30EB"/>
    <w:rsid w:val="00CA391E"/>
    <w:rsid w:val="00CA3FBC"/>
    <w:rsid w:val="00CA48FB"/>
    <w:rsid w:val="00CA4A5C"/>
    <w:rsid w:val="00CA4AAE"/>
    <w:rsid w:val="00CA4B8F"/>
    <w:rsid w:val="00CA4DE1"/>
    <w:rsid w:val="00CA4F98"/>
    <w:rsid w:val="00CA529F"/>
    <w:rsid w:val="00CA537A"/>
    <w:rsid w:val="00CA59C1"/>
    <w:rsid w:val="00CA5D3E"/>
    <w:rsid w:val="00CA5FA9"/>
    <w:rsid w:val="00CA5FE7"/>
    <w:rsid w:val="00CA6076"/>
    <w:rsid w:val="00CA61F5"/>
    <w:rsid w:val="00CA63FD"/>
    <w:rsid w:val="00CA6948"/>
    <w:rsid w:val="00CA6E66"/>
    <w:rsid w:val="00CA6FFF"/>
    <w:rsid w:val="00CA703B"/>
    <w:rsid w:val="00CA71FC"/>
    <w:rsid w:val="00CB01C1"/>
    <w:rsid w:val="00CB0521"/>
    <w:rsid w:val="00CB10FC"/>
    <w:rsid w:val="00CB1186"/>
    <w:rsid w:val="00CB1B24"/>
    <w:rsid w:val="00CB2952"/>
    <w:rsid w:val="00CB3AB7"/>
    <w:rsid w:val="00CB3F8F"/>
    <w:rsid w:val="00CB4153"/>
    <w:rsid w:val="00CB46EF"/>
    <w:rsid w:val="00CB4931"/>
    <w:rsid w:val="00CB4A2F"/>
    <w:rsid w:val="00CB4BB3"/>
    <w:rsid w:val="00CB4D4A"/>
    <w:rsid w:val="00CB4E59"/>
    <w:rsid w:val="00CB57F1"/>
    <w:rsid w:val="00CB5AD1"/>
    <w:rsid w:val="00CB5C8E"/>
    <w:rsid w:val="00CB60F5"/>
    <w:rsid w:val="00CB65A1"/>
    <w:rsid w:val="00CB6992"/>
    <w:rsid w:val="00CB6AFB"/>
    <w:rsid w:val="00CB7376"/>
    <w:rsid w:val="00CB7498"/>
    <w:rsid w:val="00CB7909"/>
    <w:rsid w:val="00CC0A03"/>
    <w:rsid w:val="00CC135B"/>
    <w:rsid w:val="00CC148E"/>
    <w:rsid w:val="00CC19A6"/>
    <w:rsid w:val="00CC242B"/>
    <w:rsid w:val="00CC2735"/>
    <w:rsid w:val="00CC29A0"/>
    <w:rsid w:val="00CC2D7A"/>
    <w:rsid w:val="00CC2F68"/>
    <w:rsid w:val="00CC3222"/>
    <w:rsid w:val="00CC346E"/>
    <w:rsid w:val="00CC37AD"/>
    <w:rsid w:val="00CC3EEF"/>
    <w:rsid w:val="00CC4247"/>
    <w:rsid w:val="00CC43A4"/>
    <w:rsid w:val="00CC5237"/>
    <w:rsid w:val="00CC6781"/>
    <w:rsid w:val="00CC6EF2"/>
    <w:rsid w:val="00CC70F3"/>
    <w:rsid w:val="00CC76A5"/>
    <w:rsid w:val="00CC76EA"/>
    <w:rsid w:val="00CC7993"/>
    <w:rsid w:val="00CD02B7"/>
    <w:rsid w:val="00CD0ADF"/>
    <w:rsid w:val="00CD0C4D"/>
    <w:rsid w:val="00CD14CB"/>
    <w:rsid w:val="00CD150F"/>
    <w:rsid w:val="00CD1702"/>
    <w:rsid w:val="00CD181F"/>
    <w:rsid w:val="00CD1880"/>
    <w:rsid w:val="00CD22D5"/>
    <w:rsid w:val="00CD23BC"/>
    <w:rsid w:val="00CD27BF"/>
    <w:rsid w:val="00CD2F41"/>
    <w:rsid w:val="00CD30E6"/>
    <w:rsid w:val="00CD317E"/>
    <w:rsid w:val="00CD38BC"/>
    <w:rsid w:val="00CD3A9E"/>
    <w:rsid w:val="00CD3C0C"/>
    <w:rsid w:val="00CD3EAC"/>
    <w:rsid w:val="00CD3F08"/>
    <w:rsid w:val="00CD414A"/>
    <w:rsid w:val="00CD4520"/>
    <w:rsid w:val="00CD47BE"/>
    <w:rsid w:val="00CD4B34"/>
    <w:rsid w:val="00CD4BDD"/>
    <w:rsid w:val="00CD5058"/>
    <w:rsid w:val="00CD50EF"/>
    <w:rsid w:val="00CD5302"/>
    <w:rsid w:val="00CD545C"/>
    <w:rsid w:val="00CD54D3"/>
    <w:rsid w:val="00CD561D"/>
    <w:rsid w:val="00CD56B5"/>
    <w:rsid w:val="00CD5EE2"/>
    <w:rsid w:val="00CD6000"/>
    <w:rsid w:val="00CD6258"/>
    <w:rsid w:val="00CD62C2"/>
    <w:rsid w:val="00CD62E1"/>
    <w:rsid w:val="00CD669E"/>
    <w:rsid w:val="00CD6AE9"/>
    <w:rsid w:val="00CD6C1E"/>
    <w:rsid w:val="00CD6C40"/>
    <w:rsid w:val="00CD7729"/>
    <w:rsid w:val="00CD7859"/>
    <w:rsid w:val="00CD7BC7"/>
    <w:rsid w:val="00CD7C83"/>
    <w:rsid w:val="00CE112A"/>
    <w:rsid w:val="00CE1470"/>
    <w:rsid w:val="00CE1616"/>
    <w:rsid w:val="00CE1868"/>
    <w:rsid w:val="00CE1AE0"/>
    <w:rsid w:val="00CE1D06"/>
    <w:rsid w:val="00CE20F2"/>
    <w:rsid w:val="00CE36BA"/>
    <w:rsid w:val="00CE37D2"/>
    <w:rsid w:val="00CE3A6B"/>
    <w:rsid w:val="00CE4DDF"/>
    <w:rsid w:val="00CE51A3"/>
    <w:rsid w:val="00CE51B1"/>
    <w:rsid w:val="00CE531E"/>
    <w:rsid w:val="00CE5633"/>
    <w:rsid w:val="00CE58D8"/>
    <w:rsid w:val="00CE5BD4"/>
    <w:rsid w:val="00CE5C00"/>
    <w:rsid w:val="00CE62A9"/>
    <w:rsid w:val="00CE6A2A"/>
    <w:rsid w:val="00CE6B80"/>
    <w:rsid w:val="00CE6BFD"/>
    <w:rsid w:val="00CE6DEA"/>
    <w:rsid w:val="00CE7D0E"/>
    <w:rsid w:val="00CE7D90"/>
    <w:rsid w:val="00CF0225"/>
    <w:rsid w:val="00CF0A06"/>
    <w:rsid w:val="00CF0D6F"/>
    <w:rsid w:val="00CF144A"/>
    <w:rsid w:val="00CF16BA"/>
    <w:rsid w:val="00CF1837"/>
    <w:rsid w:val="00CF1DF6"/>
    <w:rsid w:val="00CF21AA"/>
    <w:rsid w:val="00CF2425"/>
    <w:rsid w:val="00CF258E"/>
    <w:rsid w:val="00CF27AA"/>
    <w:rsid w:val="00CF27EF"/>
    <w:rsid w:val="00CF297C"/>
    <w:rsid w:val="00CF2AB4"/>
    <w:rsid w:val="00CF3BB5"/>
    <w:rsid w:val="00CF48D2"/>
    <w:rsid w:val="00CF4A30"/>
    <w:rsid w:val="00CF4ADC"/>
    <w:rsid w:val="00CF5542"/>
    <w:rsid w:val="00CF5AE2"/>
    <w:rsid w:val="00CF5B83"/>
    <w:rsid w:val="00CF5CB6"/>
    <w:rsid w:val="00CF60C2"/>
    <w:rsid w:val="00CF66F1"/>
    <w:rsid w:val="00CF6920"/>
    <w:rsid w:val="00CF692F"/>
    <w:rsid w:val="00CF6C98"/>
    <w:rsid w:val="00CF74E1"/>
    <w:rsid w:val="00CF776E"/>
    <w:rsid w:val="00CF79CC"/>
    <w:rsid w:val="00CF7E48"/>
    <w:rsid w:val="00D002C5"/>
    <w:rsid w:val="00D00324"/>
    <w:rsid w:val="00D00B23"/>
    <w:rsid w:val="00D00E94"/>
    <w:rsid w:val="00D010C1"/>
    <w:rsid w:val="00D0131C"/>
    <w:rsid w:val="00D016F5"/>
    <w:rsid w:val="00D01FFD"/>
    <w:rsid w:val="00D02931"/>
    <w:rsid w:val="00D03674"/>
    <w:rsid w:val="00D0382C"/>
    <w:rsid w:val="00D03F33"/>
    <w:rsid w:val="00D04092"/>
    <w:rsid w:val="00D043D3"/>
    <w:rsid w:val="00D046C4"/>
    <w:rsid w:val="00D04BEA"/>
    <w:rsid w:val="00D05438"/>
    <w:rsid w:val="00D0592F"/>
    <w:rsid w:val="00D05D0A"/>
    <w:rsid w:val="00D06427"/>
    <w:rsid w:val="00D0656B"/>
    <w:rsid w:val="00D06A1B"/>
    <w:rsid w:val="00D06D3D"/>
    <w:rsid w:val="00D07170"/>
    <w:rsid w:val="00D074F3"/>
    <w:rsid w:val="00D0766C"/>
    <w:rsid w:val="00D07753"/>
    <w:rsid w:val="00D07A20"/>
    <w:rsid w:val="00D07B58"/>
    <w:rsid w:val="00D07BF5"/>
    <w:rsid w:val="00D10060"/>
    <w:rsid w:val="00D100EF"/>
    <w:rsid w:val="00D108F7"/>
    <w:rsid w:val="00D10C1F"/>
    <w:rsid w:val="00D11652"/>
    <w:rsid w:val="00D11728"/>
    <w:rsid w:val="00D117B8"/>
    <w:rsid w:val="00D11B67"/>
    <w:rsid w:val="00D11B9B"/>
    <w:rsid w:val="00D11E81"/>
    <w:rsid w:val="00D124B9"/>
    <w:rsid w:val="00D1284E"/>
    <w:rsid w:val="00D1298A"/>
    <w:rsid w:val="00D130D2"/>
    <w:rsid w:val="00D13767"/>
    <w:rsid w:val="00D138EB"/>
    <w:rsid w:val="00D139B2"/>
    <w:rsid w:val="00D13D76"/>
    <w:rsid w:val="00D142C6"/>
    <w:rsid w:val="00D1492C"/>
    <w:rsid w:val="00D14B24"/>
    <w:rsid w:val="00D14FAC"/>
    <w:rsid w:val="00D152D2"/>
    <w:rsid w:val="00D15554"/>
    <w:rsid w:val="00D15C51"/>
    <w:rsid w:val="00D15D45"/>
    <w:rsid w:val="00D16935"/>
    <w:rsid w:val="00D16C5A"/>
    <w:rsid w:val="00D16EBF"/>
    <w:rsid w:val="00D1703A"/>
    <w:rsid w:val="00D176CA"/>
    <w:rsid w:val="00D17722"/>
    <w:rsid w:val="00D178E5"/>
    <w:rsid w:val="00D2018F"/>
    <w:rsid w:val="00D202B9"/>
    <w:rsid w:val="00D208F3"/>
    <w:rsid w:val="00D20D81"/>
    <w:rsid w:val="00D21120"/>
    <w:rsid w:val="00D21458"/>
    <w:rsid w:val="00D2189C"/>
    <w:rsid w:val="00D21B23"/>
    <w:rsid w:val="00D21B34"/>
    <w:rsid w:val="00D224F1"/>
    <w:rsid w:val="00D22606"/>
    <w:rsid w:val="00D2272A"/>
    <w:rsid w:val="00D228CD"/>
    <w:rsid w:val="00D22A36"/>
    <w:rsid w:val="00D22B0D"/>
    <w:rsid w:val="00D23AC1"/>
    <w:rsid w:val="00D24240"/>
    <w:rsid w:val="00D24453"/>
    <w:rsid w:val="00D25A8F"/>
    <w:rsid w:val="00D25C51"/>
    <w:rsid w:val="00D2604A"/>
    <w:rsid w:val="00D271B0"/>
    <w:rsid w:val="00D27375"/>
    <w:rsid w:val="00D27655"/>
    <w:rsid w:val="00D27B18"/>
    <w:rsid w:val="00D27DFC"/>
    <w:rsid w:val="00D300E8"/>
    <w:rsid w:val="00D30874"/>
    <w:rsid w:val="00D30B2D"/>
    <w:rsid w:val="00D30CDB"/>
    <w:rsid w:val="00D30D67"/>
    <w:rsid w:val="00D30E12"/>
    <w:rsid w:val="00D31364"/>
    <w:rsid w:val="00D313C8"/>
    <w:rsid w:val="00D3194C"/>
    <w:rsid w:val="00D3244F"/>
    <w:rsid w:val="00D32CA7"/>
    <w:rsid w:val="00D33077"/>
    <w:rsid w:val="00D33153"/>
    <w:rsid w:val="00D3354E"/>
    <w:rsid w:val="00D33C96"/>
    <w:rsid w:val="00D34104"/>
    <w:rsid w:val="00D3419A"/>
    <w:rsid w:val="00D344DF"/>
    <w:rsid w:val="00D346E9"/>
    <w:rsid w:val="00D35195"/>
    <w:rsid w:val="00D353F6"/>
    <w:rsid w:val="00D35B36"/>
    <w:rsid w:val="00D35BA0"/>
    <w:rsid w:val="00D35C54"/>
    <w:rsid w:val="00D35DF9"/>
    <w:rsid w:val="00D36335"/>
    <w:rsid w:val="00D36705"/>
    <w:rsid w:val="00D36D7D"/>
    <w:rsid w:val="00D36E10"/>
    <w:rsid w:val="00D37994"/>
    <w:rsid w:val="00D37FB9"/>
    <w:rsid w:val="00D37FCE"/>
    <w:rsid w:val="00D40486"/>
    <w:rsid w:val="00D40722"/>
    <w:rsid w:val="00D4086A"/>
    <w:rsid w:val="00D4090F"/>
    <w:rsid w:val="00D4096B"/>
    <w:rsid w:val="00D40E32"/>
    <w:rsid w:val="00D40FD8"/>
    <w:rsid w:val="00D4152B"/>
    <w:rsid w:val="00D41874"/>
    <w:rsid w:val="00D42B22"/>
    <w:rsid w:val="00D444A4"/>
    <w:rsid w:val="00D447A8"/>
    <w:rsid w:val="00D44CFA"/>
    <w:rsid w:val="00D44F1C"/>
    <w:rsid w:val="00D45ACD"/>
    <w:rsid w:val="00D45E6F"/>
    <w:rsid w:val="00D45F99"/>
    <w:rsid w:val="00D46356"/>
    <w:rsid w:val="00D46D05"/>
    <w:rsid w:val="00D46DD8"/>
    <w:rsid w:val="00D47181"/>
    <w:rsid w:val="00D4781F"/>
    <w:rsid w:val="00D47A2A"/>
    <w:rsid w:val="00D47E4B"/>
    <w:rsid w:val="00D50A77"/>
    <w:rsid w:val="00D50DA5"/>
    <w:rsid w:val="00D5152C"/>
    <w:rsid w:val="00D515F3"/>
    <w:rsid w:val="00D51B2F"/>
    <w:rsid w:val="00D525F2"/>
    <w:rsid w:val="00D533DA"/>
    <w:rsid w:val="00D533E0"/>
    <w:rsid w:val="00D5476F"/>
    <w:rsid w:val="00D54851"/>
    <w:rsid w:val="00D54D63"/>
    <w:rsid w:val="00D54D77"/>
    <w:rsid w:val="00D54E14"/>
    <w:rsid w:val="00D555D7"/>
    <w:rsid w:val="00D55DB4"/>
    <w:rsid w:val="00D55F5A"/>
    <w:rsid w:val="00D560AC"/>
    <w:rsid w:val="00D56581"/>
    <w:rsid w:val="00D5691D"/>
    <w:rsid w:val="00D5693D"/>
    <w:rsid w:val="00D56BF5"/>
    <w:rsid w:val="00D56C73"/>
    <w:rsid w:val="00D571D8"/>
    <w:rsid w:val="00D572CC"/>
    <w:rsid w:val="00D57B88"/>
    <w:rsid w:val="00D57BEA"/>
    <w:rsid w:val="00D60764"/>
    <w:rsid w:val="00D612B0"/>
    <w:rsid w:val="00D614C1"/>
    <w:rsid w:val="00D6264F"/>
    <w:rsid w:val="00D62962"/>
    <w:rsid w:val="00D63349"/>
    <w:rsid w:val="00D635A9"/>
    <w:rsid w:val="00D6380D"/>
    <w:rsid w:val="00D63A61"/>
    <w:rsid w:val="00D65554"/>
    <w:rsid w:val="00D6564C"/>
    <w:rsid w:val="00D6594F"/>
    <w:rsid w:val="00D659B1"/>
    <w:rsid w:val="00D65D18"/>
    <w:rsid w:val="00D6635E"/>
    <w:rsid w:val="00D66996"/>
    <w:rsid w:val="00D674EE"/>
    <w:rsid w:val="00D67799"/>
    <w:rsid w:val="00D678DD"/>
    <w:rsid w:val="00D6791D"/>
    <w:rsid w:val="00D702F9"/>
    <w:rsid w:val="00D70400"/>
    <w:rsid w:val="00D705D0"/>
    <w:rsid w:val="00D70848"/>
    <w:rsid w:val="00D71AC0"/>
    <w:rsid w:val="00D71B7C"/>
    <w:rsid w:val="00D7222D"/>
    <w:rsid w:val="00D724F3"/>
    <w:rsid w:val="00D72BCE"/>
    <w:rsid w:val="00D72D73"/>
    <w:rsid w:val="00D73357"/>
    <w:rsid w:val="00D7372E"/>
    <w:rsid w:val="00D737B3"/>
    <w:rsid w:val="00D737E4"/>
    <w:rsid w:val="00D73BF4"/>
    <w:rsid w:val="00D73D86"/>
    <w:rsid w:val="00D73E73"/>
    <w:rsid w:val="00D74AFD"/>
    <w:rsid w:val="00D74DF8"/>
    <w:rsid w:val="00D74E65"/>
    <w:rsid w:val="00D75161"/>
    <w:rsid w:val="00D7573F"/>
    <w:rsid w:val="00D75C5D"/>
    <w:rsid w:val="00D76700"/>
    <w:rsid w:val="00D76D45"/>
    <w:rsid w:val="00D777BD"/>
    <w:rsid w:val="00D77B6F"/>
    <w:rsid w:val="00D77C3C"/>
    <w:rsid w:val="00D80009"/>
    <w:rsid w:val="00D804B2"/>
    <w:rsid w:val="00D80582"/>
    <w:rsid w:val="00D80881"/>
    <w:rsid w:val="00D80895"/>
    <w:rsid w:val="00D80B4E"/>
    <w:rsid w:val="00D81BB4"/>
    <w:rsid w:val="00D82437"/>
    <w:rsid w:val="00D82569"/>
    <w:rsid w:val="00D83357"/>
    <w:rsid w:val="00D83875"/>
    <w:rsid w:val="00D838C1"/>
    <w:rsid w:val="00D8408E"/>
    <w:rsid w:val="00D84232"/>
    <w:rsid w:val="00D84666"/>
    <w:rsid w:val="00D848FC"/>
    <w:rsid w:val="00D84B6D"/>
    <w:rsid w:val="00D84CA2"/>
    <w:rsid w:val="00D84CB9"/>
    <w:rsid w:val="00D85C64"/>
    <w:rsid w:val="00D85CFB"/>
    <w:rsid w:val="00D85EFF"/>
    <w:rsid w:val="00D85F5A"/>
    <w:rsid w:val="00D86297"/>
    <w:rsid w:val="00D86640"/>
    <w:rsid w:val="00D867B3"/>
    <w:rsid w:val="00D867E4"/>
    <w:rsid w:val="00D86922"/>
    <w:rsid w:val="00D8697D"/>
    <w:rsid w:val="00D87089"/>
    <w:rsid w:val="00D8772B"/>
    <w:rsid w:val="00D87F4F"/>
    <w:rsid w:val="00D9061F"/>
    <w:rsid w:val="00D909B6"/>
    <w:rsid w:val="00D90DA6"/>
    <w:rsid w:val="00D90FA6"/>
    <w:rsid w:val="00D913C8"/>
    <w:rsid w:val="00D91D60"/>
    <w:rsid w:val="00D91FFF"/>
    <w:rsid w:val="00D9268A"/>
    <w:rsid w:val="00D9276D"/>
    <w:rsid w:val="00D92A99"/>
    <w:rsid w:val="00D9338E"/>
    <w:rsid w:val="00D9370A"/>
    <w:rsid w:val="00D938B4"/>
    <w:rsid w:val="00D93ABB"/>
    <w:rsid w:val="00D93DEC"/>
    <w:rsid w:val="00D94D64"/>
    <w:rsid w:val="00D9530A"/>
    <w:rsid w:val="00D95346"/>
    <w:rsid w:val="00D958ED"/>
    <w:rsid w:val="00D95A85"/>
    <w:rsid w:val="00D95B45"/>
    <w:rsid w:val="00D95D0B"/>
    <w:rsid w:val="00D95FFC"/>
    <w:rsid w:val="00D962E2"/>
    <w:rsid w:val="00D963FA"/>
    <w:rsid w:val="00D9649F"/>
    <w:rsid w:val="00D964D4"/>
    <w:rsid w:val="00D9678C"/>
    <w:rsid w:val="00D96C36"/>
    <w:rsid w:val="00D96DE8"/>
    <w:rsid w:val="00D96F75"/>
    <w:rsid w:val="00D9714C"/>
    <w:rsid w:val="00D97EDE"/>
    <w:rsid w:val="00D97F05"/>
    <w:rsid w:val="00DA0392"/>
    <w:rsid w:val="00DA0C80"/>
    <w:rsid w:val="00DA11EC"/>
    <w:rsid w:val="00DA1202"/>
    <w:rsid w:val="00DA14E7"/>
    <w:rsid w:val="00DA15C3"/>
    <w:rsid w:val="00DA1634"/>
    <w:rsid w:val="00DA1CA5"/>
    <w:rsid w:val="00DA1E53"/>
    <w:rsid w:val="00DA2072"/>
    <w:rsid w:val="00DA2223"/>
    <w:rsid w:val="00DA23F4"/>
    <w:rsid w:val="00DA2927"/>
    <w:rsid w:val="00DA2CA0"/>
    <w:rsid w:val="00DA34F9"/>
    <w:rsid w:val="00DA35AA"/>
    <w:rsid w:val="00DA36D4"/>
    <w:rsid w:val="00DA373C"/>
    <w:rsid w:val="00DA38A4"/>
    <w:rsid w:val="00DA3D7A"/>
    <w:rsid w:val="00DA3DD6"/>
    <w:rsid w:val="00DA3F2D"/>
    <w:rsid w:val="00DA4318"/>
    <w:rsid w:val="00DA4B05"/>
    <w:rsid w:val="00DA5052"/>
    <w:rsid w:val="00DA517D"/>
    <w:rsid w:val="00DA5893"/>
    <w:rsid w:val="00DA58B0"/>
    <w:rsid w:val="00DA6329"/>
    <w:rsid w:val="00DA63AC"/>
    <w:rsid w:val="00DA6583"/>
    <w:rsid w:val="00DA6CC0"/>
    <w:rsid w:val="00DA6FA1"/>
    <w:rsid w:val="00DA7168"/>
    <w:rsid w:val="00DA7A66"/>
    <w:rsid w:val="00DA7E19"/>
    <w:rsid w:val="00DB0144"/>
    <w:rsid w:val="00DB0860"/>
    <w:rsid w:val="00DB0C13"/>
    <w:rsid w:val="00DB0C74"/>
    <w:rsid w:val="00DB0DD1"/>
    <w:rsid w:val="00DB0E7C"/>
    <w:rsid w:val="00DB0E7D"/>
    <w:rsid w:val="00DB1144"/>
    <w:rsid w:val="00DB24B9"/>
    <w:rsid w:val="00DB2BF1"/>
    <w:rsid w:val="00DB3582"/>
    <w:rsid w:val="00DB3855"/>
    <w:rsid w:val="00DB3D5F"/>
    <w:rsid w:val="00DB45EE"/>
    <w:rsid w:val="00DB48FA"/>
    <w:rsid w:val="00DB4F19"/>
    <w:rsid w:val="00DB5098"/>
    <w:rsid w:val="00DB5347"/>
    <w:rsid w:val="00DB5DED"/>
    <w:rsid w:val="00DB6C39"/>
    <w:rsid w:val="00DB6D5A"/>
    <w:rsid w:val="00DB6DDA"/>
    <w:rsid w:val="00DB6ED7"/>
    <w:rsid w:val="00DB7144"/>
    <w:rsid w:val="00DB7CA4"/>
    <w:rsid w:val="00DB7E38"/>
    <w:rsid w:val="00DC07C7"/>
    <w:rsid w:val="00DC0DDA"/>
    <w:rsid w:val="00DC0F26"/>
    <w:rsid w:val="00DC10B3"/>
    <w:rsid w:val="00DC1D9F"/>
    <w:rsid w:val="00DC239F"/>
    <w:rsid w:val="00DC23C0"/>
    <w:rsid w:val="00DC278D"/>
    <w:rsid w:val="00DC2E1C"/>
    <w:rsid w:val="00DC3162"/>
    <w:rsid w:val="00DC3FE2"/>
    <w:rsid w:val="00DC4105"/>
    <w:rsid w:val="00DC4575"/>
    <w:rsid w:val="00DC4A3D"/>
    <w:rsid w:val="00DC5073"/>
    <w:rsid w:val="00DC50B7"/>
    <w:rsid w:val="00DC517A"/>
    <w:rsid w:val="00DC537A"/>
    <w:rsid w:val="00DC5560"/>
    <w:rsid w:val="00DC5AFF"/>
    <w:rsid w:val="00DC5B4A"/>
    <w:rsid w:val="00DC5D3A"/>
    <w:rsid w:val="00DC5D57"/>
    <w:rsid w:val="00DC5E53"/>
    <w:rsid w:val="00DC66C9"/>
    <w:rsid w:val="00DC78DF"/>
    <w:rsid w:val="00DC79A5"/>
    <w:rsid w:val="00DD054D"/>
    <w:rsid w:val="00DD151D"/>
    <w:rsid w:val="00DD1666"/>
    <w:rsid w:val="00DD1876"/>
    <w:rsid w:val="00DD190E"/>
    <w:rsid w:val="00DD1A64"/>
    <w:rsid w:val="00DD1F3E"/>
    <w:rsid w:val="00DD255F"/>
    <w:rsid w:val="00DD26E2"/>
    <w:rsid w:val="00DD2788"/>
    <w:rsid w:val="00DD29BB"/>
    <w:rsid w:val="00DD2C5E"/>
    <w:rsid w:val="00DD2CEF"/>
    <w:rsid w:val="00DD2F52"/>
    <w:rsid w:val="00DD38FF"/>
    <w:rsid w:val="00DD408A"/>
    <w:rsid w:val="00DD411D"/>
    <w:rsid w:val="00DD43CC"/>
    <w:rsid w:val="00DD4689"/>
    <w:rsid w:val="00DD4771"/>
    <w:rsid w:val="00DD548B"/>
    <w:rsid w:val="00DD5C04"/>
    <w:rsid w:val="00DD6327"/>
    <w:rsid w:val="00DD6923"/>
    <w:rsid w:val="00DD6942"/>
    <w:rsid w:val="00DD6B04"/>
    <w:rsid w:val="00DD6B14"/>
    <w:rsid w:val="00DD6DE7"/>
    <w:rsid w:val="00DD78BD"/>
    <w:rsid w:val="00DE0487"/>
    <w:rsid w:val="00DE0AB1"/>
    <w:rsid w:val="00DE0BFC"/>
    <w:rsid w:val="00DE0C2F"/>
    <w:rsid w:val="00DE1296"/>
    <w:rsid w:val="00DE1561"/>
    <w:rsid w:val="00DE1912"/>
    <w:rsid w:val="00DE1A8B"/>
    <w:rsid w:val="00DE1B61"/>
    <w:rsid w:val="00DE20E2"/>
    <w:rsid w:val="00DE2219"/>
    <w:rsid w:val="00DE2397"/>
    <w:rsid w:val="00DE38A9"/>
    <w:rsid w:val="00DE4186"/>
    <w:rsid w:val="00DE47FB"/>
    <w:rsid w:val="00DE4DD2"/>
    <w:rsid w:val="00DE4FB0"/>
    <w:rsid w:val="00DE5520"/>
    <w:rsid w:val="00DE5672"/>
    <w:rsid w:val="00DE5907"/>
    <w:rsid w:val="00DE6157"/>
    <w:rsid w:val="00DE6E8F"/>
    <w:rsid w:val="00DE6EA8"/>
    <w:rsid w:val="00DE7122"/>
    <w:rsid w:val="00DE793D"/>
    <w:rsid w:val="00DE7C01"/>
    <w:rsid w:val="00DF0599"/>
    <w:rsid w:val="00DF06CF"/>
    <w:rsid w:val="00DF11DB"/>
    <w:rsid w:val="00DF13CB"/>
    <w:rsid w:val="00DF1704"/>
    <w:rsid w:val="00DF1D48"/>
    <w:rsid w:val="00DF1DCE"/>
    <w:rsid w:val="00DF2542"/>
    <w:rsid w:val="00DF25FA"/>
    <w:rsid w:val="00DF26DD"/>
    <w:rsid w:val="00DF29AB"/>
    <w:rsid w:val="00DF2AA9"/>
    <w:rsid w:val="00DF2D47"/>
    <w:rsid w:val="00DF390F"/>
    <w:rsid w:val="00DF3DDB"/>
    <w:rsid w:val="00DF44F8"/>
    <w:rsid w:val="00DF4E49"/>
    <w:rsid w:val="00DF4FF2"/>
    <w:rsid w:val="00DF5069"/>
    <w:rsid w:val="00DF5574"/>
    <w:rsid w:val="00DF5670"/>
    <w:rsid w:val="00DF5A14"/>
    <w:rsid w:val="00DF5C26"/>
    <w:rsid w:val="00DF6419"/>
    <w:rsid w:val="00DF65BC"/>
    <w:rsid w:val="00DF6676"/>
    <w:rsid w:val="00DF72C5"/>
    <w:rsid w:val="00DF7ABA"/>
    <w:rsid w:val="00DF7D40"/>
    <w:rsid w:val="00DF7F73"/>
    <w:rsid w:val="00E0010F"/>
    <w:rsid w:val="00E006CC"/>
    <w:rsid w:val="00E00D20"/>
    <w:rsid w:val="00E017E1"/>
    <w:rsid w:val="00E01826"/>
    <w:rsid w:val="00E01E44"/>
    <w:rsid w:val="00E02232"/>
    <w:rsid w:val="00E024CE"/>
    <w:rsid w:val="00E02AF7"/>
    <w:rsid w:val="00E02AFC"/>
    <w:rsid w:val="00E03458"/>
    <w:rsid w:val="00E040CE"/>
    <w:rsid w:val="00E041DC"/>
    <w:rsid w:val="00E044EB"/>
    <w:rsid w:val="00E048FA"/>
    <w:rsid w:val="00E04AEA"/>
    <w:rsid w:val="00E058CB"/>
    <w:rsid w:val="00E05AFA"/>
    <w:rsid w:val="00E05C1A"/>
    <w:rsid w:val="00E05C88"/>
    <w:rsid w:val="00E05D32"/>
    <w:rsid w:val="00E05EAE"/>
    <w:rsid w:val="00E0666C"/>
    <w:rsid w:val="00E066C0"/>
    <w:rsid w:val="00E06956"/>
    <w:rsid w:val="00E06B24"/>
    <w:rsid w:val="00E07121"/>
    <w:rsid w:val="00E0781C"/>
    <w:rsid w:val="00E0789A"/>
    <w:rsid w:val="00E07CB4"/>
    <w:rsid w:val="00E10557"/>
    <w:rsid w:val="00E109DE"/>
    <w:rsid w:val="00E10DCA"/>
    <w:rsid w:val="00E10FA6"/>
    <w:rsid w:val="00E115D2"/>
    <w:rsid w:val="00E11C26"/>
    <w:rsid w:val="00E11EB6"/>
    <w:rsid w:val="00E12C3D"/>
    <w:rsid w:val="00E13C25"/>
    <w:rsid w:val="00E13D26"/>
    <w:rsid w:val="00E13E2B"/>
    <w:rsid w:val="00E14465"/>
    <w:rsid w:val="00E146EE"/>
    <w:rsid w:val="00E14760"/>
    <w:rsid w:val="00E15117"/>
    <w:rsid w:val="00E15BC8"/>
    <w:rsid w:val="00E15F76"/>
    <w:rsid w:val="00E16198"/>
    <w:rsid w:val="00E16841"/>
    <w:rsid w:val="00E16AB0"/>
    <w:rsid w:val="00E16E4F"/>
    <w:rsid w:val="00E17126"/>
    <w:rsid w:val="00E175CE"/>
    <w:rsid w:val="00E177D7"/>
    <w:rsid w:val="00E17876"/>
    <w:rsid w:val="00E17C32"/>
    <w:rsid w:val="00E2006D"/>
    <w:rsid w:val="00E206D2"/>
    <w:rsid w:val="00E20C8C"/>
    <w:rsid w:val="00E212B0"/>
    <w:rsid w:val="00E212CC"/>
    <w:rsid w:val="00E21581"/>
    <w:rsid w:val="00E21CCF"/>
    <w:rsid w:val="00E21ECC"/>
    <w:rsid w:val="00E21ED7"/>
    <w:rsid w:val="00E21FAC"/>
    <w:rsid w:val="00E2200C"/>
    <w:rsid w:val="00E225A8"/>
    <w:rsid w:val="00E22E23"/>
    <w:rsid w:val="00E22EF9"/>
    <w:rsid w:val="00E23378"/>
    <w:rsid w:val="00E233A8"/>
    <w:rsid w:val="00E23B3F"/>
    <w:rsid w:val="00E23FC8"/>
    <w:rsid w:val="00E241CC"/>
    <w:rsid w:val="00E2564E"/>
    <w:rsid w:val="00E2572D"/>
    <w:rsid w:val="00E25F0C"/>
    <w:rsid w:val="00E26040"/>
    <w:rsid w:val="00E261BA"/>
    <w:rsid w:val="00E263B2"/>
    <w:rsid w:val="00E263EB"/>
    <w:rsid w:val="00E26625"/>
    <w:rsid w:val="00E268D9"/>
    <w:rsid w:val="00E26EB7"/>
    <w:rsid w:val="00E26F9F"/>
    <w:rsid w:val="00E270C8"/>
    <w:rsid w:val="00E27127"/>
    <w:rsid w:val="00E27398"/>
    <w:rsid w:val="00E278D9"/>
    <w:rsid w:val="00E27B40"/>
    <w:rsid w:val="00E27DA6"/>
    <w:rsid w:val="00E30244"/>
    <w:rsid w:val="00E3038F"/>
    <w:rsid w:val="00E313F9"/>
    <w:rsid w:val="00E31C27"/>
    <w:rsid w:val="00E31EBD"/>
    <w:rsid w:val="00E32443"/>
    <w:rsid w:val="00E33A96"/>
    <w:rsid w:val="00E33C58"/>
    <w:rsid w:val="00E33E02"/>
    <w:rsid w:val="00E33E4A"/>
    <w:rsid w:val="00E34004"/>
    <w:rsid w:val="00E34043"/>
    <w:rsid w:val="00E34556"/>
    <w:rsid w:val="00E346AD"/>
    <w:rsid w:val="00E348BB"/>
    <w:rsid w:val="00E34CA8"/>
    <w:rsid w:val="00E352FF"/>
    <w:rsid w:val="00E358D1"/>
    <w:rsid w:val="00E359A6"/>
    <w:rsid w:val="00E35CD2"/>
    <w:rsid w:val="00E3633A"/>
    <w:rsid w:val="00E36539"/>
    <w:rsid w:val="00E36642"/>
    <w:rsid w:val="00E36E8C"/>
    <w:rsid w:val="00E3782D"/>
    <w:rsid w:val="00E379EE"/>
    <w:rsid w:val="00E40931"/>
    <w:rsid w:val="00E40B46"/>
    <w:rsid w:val="00E40E15"/>
    <w:rsid w:val="00E4196C"/>
    <w:rsid w:val="00E41BE1"/>
    <w:rsid w:val="00E41F37"/>
    <w:rsid w:val="00E41FA7"/>
    <w:rsid w:val="00E423C5"/>
    <w:rsid w:val="00E42541"/>
    <w:rsid w:val="00E42559"/>
    <w:rsid w:val="00E425D8"/>
    <w:rsid w:val="00E42A93"/>
    <w:rsid w:val="00E42DFF"/>
    <w:rsid w:val="00E430C5"/>
    <w:rsid w:val="00E432FD"/>
    <w:rsid w:val="00E4339C"/>
    <w:rsid w:val="00E433D9"/>
    <w:rsid w:val="00E4386C"/>
    <w:rsid w:val="00E44350"/>
    <w:rsid w:val="00E44908"/>
    <w:rsid w:val="00E44B9D"/>
    <w:rsid w:val="00E44E77"/>
    <w:rsid w:val="00E4520A"/>
    <w:rsid w:val="00E459AB"/>
    <w:rsid w:val="00E46301"/>
    <w:rsid w:val="00E4669B"/>
    <w:rsid w:val="00E46752"/>
    <w:rsid w:val="00E47C8A"/>
    <w:rsid w:val="00E47D02"/>
    <w:rsid w:val="00E50023"/>
    <w:rsid w:val="00E50253"/>
    <w:rsid w:val="00E50855"/>
    <w:rsid w:val="00E51164"/>
    <w:rsid w:val="00E5175D"/>
    <w:rsid w:val="00E51E7A"/>
    <w:rsid w:val="00E5297E"/>
    <w:rsid w:val="00E529E9"/>
    <w:rsid w:val="00E533E3"/>
    <w:rsid w:val="00E534D3"/>
    <w:rsid w:val="00E534DD"/>
    <w:rsid w:val="00E53A3E"/>
    <w:rsid w:val="00E5402D"/>
    <w:rsid w:val="00E545FF"/>
    <w:rsid w:val="00E54E6A"/>
    <w:rsid w:val="00E554B2"/>
    <w:rsid w:val="00E555EB"/>
    <w:rsid w:val="00E556EF"/>
    <w:rsid w:val="00E5571E"/>
    <w:rsid w:val="00E56715"/>
    <w:rsid w:val="00E56874"/>
    <w:rsid w:val="00E569D5"/>
    <w:rsid w:val="00E574A7"/>
    <w:rsid w:val="00E577B5"/>
    <w:rsid w:val="00E57B02"/>
    <w:rsid w:val="00E605F1"/>
    <w:rsid w:val="00E60B25"/>
    <w:rsid w:val="00E60B84"/>
    <w:rsid w:val="00E60EA1"/>
    <w:rsid w:val="00E610D2"/>
    <w:rsid w:val="00E6130C"/>
    <w:rsid w:val="00E6166A"/>
    <w:rsid w:val="00E61D6B"/>
    <w:rsid w:val="00E61ED7"/>
    <w:rsid w:val="00E62332"/>
    <w:rsid w:val="00E6241F"/>
    <w:rsid w:val="00E62868"/>
    <w:rsid w:val="00E62907"/>
    <w:rsid w:val="00E62C18"/>
    <w:rsid w:val="00E63A0B"/>
    <w:rsid w:val="00E63C51"/>
    <w:rsid w:val="00E649CD"/>
    <w:rsid w:val="00E652C1"/>
    <w:rsid w:val="00E65327"/>
    <w:rsid w:val="00E6574D"/>
    <w:rsid w:val="00E6579B"/>
    <w:rsid w:val="00E65C02"/>
    <w:rsid w:val="00E65C6E"/>
    <w:rsid w:val="00E65D98"/>
    <w:rsid w:val="00E65E2E"/>
    <w:rsid w:val="00E65F5E"/>
    <w:rsid w:val="00E66407"/>
    <w:rsid w:val="00E66C37"/>
    <w:rsid w:val="00E67BF5"/>
    <w:rsid w:val="00E67D50"/>
    <w:rsid w:val="00E701B4"/>
    <w:rsid w:val="00E701D1"/>
    <w:rsid w:val="00E705C4"/>
    <w:rsid w:val="00E706AA"/>
    <w:rsid w:val="00E706B9"/>
    <w:rsid w:val="00E70762"/>
    <w:rsid w:val="00E70C8D"/>
    <w:rsid w:val="00E70E62"/>
    <w:rsid w:val="00E70FBB"/>
    <w:rsid w:val="00E71110"/>
    <w:rsid w:val="00E71131"/>
    <w:rsid w:val="00E717F0"/>
    <w:rsid w:val="00E71C4F"/>
    <w:rsid w:val="00E7235B"/>
    <w:rsid w:val="00E72894"/>
    <w:rsid w:val="00E72D53"/>
    <w:rsid w:val="00E73561"/>
    <w:rsid w:val="00E736DE"/>
    <w:rsid w:val="00E73837"/>
    <w:rsid w:val="00E7390E"/>
    <w:rsid w:val="00E73EFF"/>
    <w:rsid w:val="00E744C1"/>
    <w:rsid w:val="00E74AC5"/>
    <w:rsid w:val="00E74DE7"/>
    <w:rsid w:val="00E75AF4"/>
    <w:rsid w:val="00E75B70"/>
    <w:rsid w:val="00E75CD7"/>
    <w:rsid w:val="00E75DAF"/>
    <w:rsid w:val="00E761E1"/>
    <w:rsid w:val="00E76445"/>
    <w:rsid w:val="00E76447"/>
    <w:rsid w:val="00E76FBA"/>
    <w:rsid w:val="00E77004"/>
    <w:rsid w:val="00E771E2"/>
    <w:rsid w:val="00E77382"/>
    <w:rsid w:val="00E7777F"/>
    <w:rsid w:val="00E77B56"/>
    <w:rsid w:val="00E77D03"/>
    <w:rsid w:val="00E801B2"/>
    <w:rsid w:val="00E80655"/>
    <w:rsid w:val="00E80D27"/>
    <w:rsid w:val="00E811BF"/>
    <w:rsid w:val="00E81331"/>
    <w:rsid w:val="00E81444"/>
    <w:rsid w:val="00E8178D"/>
    <w:rsid w:val="00E81C45"/>
    <w:rsid w:val="00E81ECE"/>
    <w:rsid w:val="00E821AE"/>
    <w:rsid w:val="00E827AE"/>
    <w:rsid w:val="00E8296D"/>
    <w:rsid w:val="00E83BB4"/>
    <w:rsid w:val="00E84218"/>
    <w:rsid w:val="00E84231"/>
    <w:rsid w:val="00E8435F"/>
    <w:rsid w:val="00E84590"/>
    <w:rsid w:val="00E846D7"/>
    <w:rsid w:val="00E84C3B"/>
    <w:rsid w:val="00E850FA"/>
    <w:rsid w:val="00E8559D"/>
    <w:rsid w:val="00E85A34"/>
    <w:rsid w:val="00E85B26"/>
    <w:rsid w:val="00E863A0"/>
    <w:rsid w:val="00E86496"/>
    <w:rsid w:val="00E865FF"/>
    <w:rsid w:val="00E86901"/>
    <w:rsid w:val="00E869E5"/>
    <w:rsid w:val="00E86D42"/>
    <w:rsid w:val="00E872B8"/>
    <w:rsid w:val="00E8736F"/>
    <w:rsid w:val="00E8739E"/>
    <w:rsid w:val="00E87789"/>
    <w:rsid w:val="00E909BE"/>
    <w:rsid w:val="00E90B11"/>
    <w:rsid w:val="00E90C1C"/>
    <w:rsid w:val="00E918FD"/>
    <w:rsid w:val="00E92032"/>
    <w:rsid w:val="00E920A4"/>
    <w:rsid w:val="00E92ED1"/>
    <w:rsid w:val="00E92F67"/>
    <w:rsid w:val="00E930CA"/>
    <w:rsid w:val="00E933ED"/>
    <w:rsid w:val="00E93573"/>
    <w:rsid w:val="00E935CC"/>
    <w:rsid w:val="00E9387F"/>
    <w:rsid w:val="00E93C2D"/>
    <w:rsid w:val="00E93EF5"/>
    <w:rsid w:val="00E93FCB"/>
    <w:rsid w:val="00E9447B"/>
    <w:rsid w:val="00E94BC6"/>
    <w:rsid w:val="00E94C21"/>
    <w:rsid w:val="00E95121"/>
    <w:rsid w:val="00E951D7"/>
    <w:rsid w:val="00E9561F"/>
    <w:rsid w:val="00E95F1B"/>
    <w:rsid w:val="00E963E2"/>
    <w:rsid w:val="00E96563"/>
    <w:rsid w:val="00E965C5"/>
    <w:rsid w:val="00E97586"/>
    <w:rsid w:val="00E97A4F"/>
    <w:rsid w:val="00E97B1F"/>
    <w:rsid w:val="00EA055D"/>
    <w:rsid w:val="00EA07B1"/>
    <w:rsid w:val="00EA0ADC"/>
    <w:rsid w:val="00EA1A9A"/>
    <w:rsid w:val="00EA1BA0"/>
    <w:rsid w:val="00EA1FE7"/>
    <w:rsid w:val="00EA2F49"/>
    <w:rsid w:val="00EA32E6"/>
    <w:rsid w:val="00EA3387"/>
    <w:rsid w:val="00EA4581"/>
    <w:rsid w:val="00EA5782"/>
    <w:rsid w:val="00EA5BC0"/>
    <w:rsid w:val="00EA5E25"/>
    <w:rsid w:val="00EA5EFC"/>
    <w:rsid w:val="00EA621F"/>
    <w:rsid w:val="00EA6359"/>
    <w:rsid w:val="00EA6C8E"/>
    <w:rsid w:val="00EA76B8"/>
    <w:rsid w:val="00EA7B61"/>
    <w:rsid w:val="00EA7E7C"/>
    <w:rsid w:val="00EA7FA3"/>
    <w:rsid w:val="00EB0132"/>
    <w:rsid w:val="00EB1AA6"/>
    <w:rsid w:val="00EB1AA7"/>
    <w:rsid w:val="00EB2713"/>
    <w:rsid w:val="00EB29E4"/>
    <w:rsid w:val="00EB2DCF"/>
    <w:rsid w:val="00EB31A4"/>
    <w:rsid w:val="00EB3CAA"/>
    <w:rsid w:val="00EB43C0"/>
    <w:rsid w:val="00EB4540"/>
    <w:rsid w:val="00EB4E94"/>
    <w:rsid w:val="00EB54E5"/>
    <w:rsid w:val="00EB5671"/>
    <w:rsid w:val="00EB56E0"/>
    <w:rsid w:val="00EB5CC4"/>
    <w:rsid w:val="00EB5DE2"/>
    <w:rsid w:val="00EB5F2E"/>
    <w:rsid w:val="00EB6338"/>
    <w:rsid w:val="00EB63C7"/>
    <w:rsid w:val="00EB785D"/>
    <w:rsid w:val="00EB78BE"/>
    <w:rsid w:val="00EB7D3A"/>
    <w:rsid w:val="00EC089F"/>
    <w:rsid w:val="00EC0D0D"/>
    <w:rsid w:val="00EC101F"/>
    <w:rsid w:val="00EC1950"/>
    <w:rsid w:val="00EC1CD7"/>
    <w:rsid w:val="00EC214D"/>
    <w:rsid w:val="00EC2F7A"/>
    <w:rsid w:val="00EC32C7"/>
    <w:rsid w:val="00EC3397"/>
    <w:rsid w:val="00EC39AF"/>
    <w:rsid w:val="00EC3B4D"/>
    <w:rsid w:val="00EC3D3C"/>
    <w:rsid w:val="00EC4166"/>
    <w:rsid w:val="00EC4211"/>
    <w:rsid w:val="00EC4EEA"/>
    <w:rsid w:val="00EC5382"/>
    <w:rsid w:val="00EC56C6"/>
    <w:rsid w:val="00EC6100"/>
    <w:rsid w:val="00EC616A"/>
    <w:rsid w:val="00EC65DF"/>
    <w:rsid w:val="00EC73D4"/>
    <w:rsid w:val="00EC76D2"/>
    <w:rsid w:val="00EC7961"/>
    <w:rsid w:val="00ED065C"/>
    <w:rsid w:val="00ED066A"/>
    <w:rsid w:val="00ED08A6"/>
    <w:rsid w:val="00ED1192"/>
    <w:rsid w:val="00ED17E8"/>
    <w:rsid w:val="00ED21B8"/>
    <w:rsid w:val="00ED278C"/>
    <w:rsid w:val="00ED2D65"/>
    <w:rsid w:val="00ED309E"/>
    <w:rsid w:val="00ED358C"/>
    <w:rsid w:val="00ED376F"/>
    <w:rsid w:val="00ED37B7"/>
    <w:rsid w:val="00ED3E89"/>
    <w:rsid w:val="00ED435F"/>
    <w:rsid w:val="00ED43CD"/>
    <w:rsid w:val="00ED4762"/>
    <w:rsid w:val="00ED5168"/>
    <w:rsid w:val="00ED553C"/>
    <w:rsid w:val="00ED5AA0"/>
    <w:rsid w:val="00ED5C6B"/>
    <w:rsid w:val="00ED6440"/>
    <w:rsid w:val="00ED664A"/>
    <w:rsid w:val="00ED6B9E"/>
    <w:rsid w:val="00ED6E39"/>
    <w:rsid w:val="00ED722D"/>
    <w:rsid w:val="00ED7880"/>
    <w:rsid w:val="00ED79B8"/>
    <w:rsid w:val="00ED7E2E"/>
    <w:rsid w:val="00ED7EEE"/>
    <w:rsid w:val="00ED7F1E"/>
    <w:rsid w:val="00EE01FF"/>
    <w:rsid w:val="00EE0315"/>
    <w:rsid w:val="00EE049D"/>
    <w:rsid w:val="00EE07BF"/>
    <w:rsid w:val="00EE0953"/>
    <w:rsid w:val="00EE105E"/>
    <w:rsid w:val="00EE1277"/>
    <w:rsid w:val="00EE1419"/>
    <w:rsid w:val="00EE253F"/>
    <w:rsid w:val="00EE265C"/>
    <w:rsid w:val="00EE2877"/>
    <w:rsid w:val="00EE2A57"/>
    <w:rsid w:val="00EE32D0"/>
    <w:rsid w:val="00EE3592"/>
    <w:rsid w:val="00EE37B4"/>
    <w:rsid w:val="00EE3A57"/>
    <w:rsid w:val="00EE41AB"/>
    <w:rsid w:val="00EE43F6"/>
    <w:rsid w:val="00EE5175"/>
    <w:rsid w:val="00EE53D0"/>
    <w:rsid w:val="00EE62A7"/>
    <w:rsid w:val="00EE6BA0"/>
    <w:rsid w:val="00EE756F"/>
    <w:rsid w:val="00EE7741"/>
    <w:rsid w:val="00EE7C7A"/>
    <w:rsid w:val="00EE7DDC"/>
    <w:rsid w:val="00EF01DA"/>
    <w:rsid w:val="00EF05EC"/>
    <w:rsid w:val="00EF0701"/>
    <w:rsid w:val="00EF0894"/>
    <w:rsid w:val="00EF19A3"/>
    <w:rsid w:val="00EF1EED"/>
    <w:rsid w:val="00EF2244"/>
    <w:rsid w:val="00EF2309"/>
    <w:rsid w:val="00EF2530"/>
    <w:rsid w:val="00EF301C"/>
    <w:rsid w:val="00EF315A"/>
    <w:rsid w:val="00EF35A8"/>
    <w:rsid w:val="00EF3B10"/>
    <w:rsid w:val="00EF3C06"/>
    <w:rsid w:val="00EF46A8"/>
    <w:rsid w:val="00EF4C6C"/>
    <w:rsid w:val="00EF4EEB"/>
    <w:rsid w:val="00EF5516"/>
    <w:rsid w:val="00EF553F"/>
    <w:rsid w:val="00EF58BC"/>
    <w:rsid w:val="00EF61AB"/>
    <w:rsid w:val="00EF666C"/>
    <w:rsid w:val="00EF6A89"/>
    <w:rsid w:val="00EF70A1"/>
    <w:rsid w:val="00EF7112"/>
    <w:rsid w:val="00EF765B"/>
    <w:rsid w:val="00EF7D43"/>
    <w:rsid w:val="00EF7DAE"/>
    <w:rsid w:val="00F00418"/>
    <w:rsid w:val="00F00DEF"/>
    <w:rsid w:val="00F01081"/>
    <w:rsid w:val="00F01122"/>
    <w:rsid w:val="00F01EEC"/>
    <w:rsid w:val="00F02659"/>
    <w:rsid w:val="00F02830"/>
    <w:rsid w:val="00F02B0F"/>
    <w:rsid w:val="00F041D5"/>
    <w:rsid w:val="00F048FE"/>
    <w:rsid w:val="00F0492D"/>
    <w:rsid w:val="00F0557A"/>
    <w:rsid w:val="00F05945"/>
    <w:rsid w:val="00F059AA"/>
    <w:rsid w:val="00F05B37"/>
    <w:rsid w:val="00F05BFE"/>
    <w:rsid w:val="00F0620E"/>
    <w:rsid w:val="00F062D9"/>
    <w:rsid w:val="00F06586"/>
    <w:rsid w:val="00F06615"/>
    <w:rsid w:val="00F06626"/>
    <w:rsid w:val="00F0687A"/>
    <w:rsid w:val="00F06FA1"/>
    <w:rsid w:val="00F07449"/>
    <w:rsid w:val="00F07FB3"/>
    <w:rsid w:val="00F1021B"/>
    <w:rsid w:val="00F103C7"/>
    <w:rsid w:val="00F1057B"/>
    <w:rsid w:val="00F10C76"/>
    <w:rsid w:val="00F1142F"/>
    <w:rsid w:val="00F115B9"/>
    <w:rsid w:val="00F116BC"/>
    <w:rsid w:val="00F11C3C"/>
    <w:rsid w:val="00F127CE"/>
    <w:rsid w:val="00F12886"/>
    <w:rsid w:val="00F12DD5"/>
    <w:rsid w:val="00F13411"/>
    <w:rsid w:val="00F1346A"/>
    <w:rsid w:val="00F134B0"/>
    <w:rsid w:val="00F1369B"/>
    <w:rsid w:val="00F138DD"/>
    <w:rsid w:val="00F1438A"/>
    <w:rsid w:val="00F144BE"/>
    <w:rsid w:val="00F146DF"/>
    <w:rsid w:val="00F1480F"/>
    <w:rsid w:val="00F14B66"/>
    <w:rsid w:val="00F14E8F"/>
    <w:rsid w:val="00F1547C"/>
    <w:rsid w:val="00F156A5"/>
    <w:rsid w:val="00F157C2"/>
    <w:rsid w:val="00F15F83"/>
    <w:rsid w:val="00F16278"/>
    <w:rsid w:val="00F16643"/>
    <w:rsid w:val="00F16A2C"/>
    <w:rsid w:val="00F16C1A"/>
    <w:rsid w:val="00F16C6F"/>
    <w:rsid w:val="00F173FA"/>
    <w:rsid w:val="00F17840"/>
    <w:rsid w:val="00F17CC7"/>
    <w:rsid w:val="00F2042E"/>
    <w:rsid w:val="00F20635"/>
    <w:rsid w:val="00F2075B"/>
    <w:rsid w:val="00F20D4F"/>
    <w:rsid w:val="00F21727"/>
    <w:rsid w:val="00F21A16"/>
    <w:rsid w:val="00F21DE1"/>
    <w:rsid w:val="00F2205B"/>
    <w:rsid w:val="00F22343"/>
    <w:rsid w:val="00F227BC"/>
    <w:rsid w:val="00F22CC1"/>
    <w:rsid w:val="00F23005"/>
    <w:rsid w:val="00F232CE"/>
    <w:rsid w:val="00F23653"/>
    <w:rsid w:val="00F23D38"/>
    <w:rsid w:val="00F24ADF"/>
    <w:rsid w:val="00F24B18"/>
    <w:rsid w:val="00F24B37"/>
    <w:rsid w:val="00F2567F"/>
    <w:rsid w:val="00F26010"/>
    <w:rsid w:val="00F26753"/>
    <w:rsid w:val="00F2679B"/>
    <w:rsid w:val="00F268DE"/>
    <w:rsid w:val="00F274A8"/>
    <w:rsid w:val="00F277D4"/>
    <w:rsid w:val="00F27FE4"/>
    <w:rsid w:val="00F30C68"/>
    <w:rsid w:val="00F30EB6"/>
    <w:rsid w:val="00F310A9"/>
    <w:rsid w:val="00F31845"/>
    <w:rsid w:val="00F319FF"/>
    <w:rsid w:val="00F31C9A"/>
    <w:rsid w:val="00F32243"/>
    <w:rsid w:val="00F32373"/>
    <w:rsid w:val="00F32A48"/>
    <w:rsid w:val="00F33A77"/>
    <w:rsid w:val="00F33D2E"/>
    <w:rsid w:val="00F33FF6"/>
    <w:rsid w:val="00F340D9"/>
    <w:rsid w:val="00F340DD"/>
    <w:rsid w:val="00F34340"/>
    <w:rsid w:val="00F34768"/>
    <w:rsid w:val="00F347EC"/>
    <w:rsid w:val="00F34D48"/>
    <w:rsid w:val="00F357E5"/>
    <w:rsid w:val="00F35814"/>
    <w:rsid w:val="00F35B66"/>
    <w:rsid w:val="00F35B7A"/>
    <w:rsid w:val="00F35BB0"/>
    <w:rsid w:val="00F35CA3"/>
    <w:rsid w:val="00F35DBF"/>
    <w:rsid w:val="00F36531"/>
    <w:rsid w:val="00F365F7"/>
    <w:rsid w:val="00F3665C"/>
    <w:rsid w:val="00F36A79"/>
    <w:rsid w:val="00F36D9D"/>
    <w:rsid w:val="00F36DE9"/>
    <w:rsid w:val="00F372C5"/>
    <w:rsid w:val="00F37842"/>
    <w:rsid w:val="00F3784A"/>
    <w:rsid w:val="00F37FFC"/>
    <w:rsid w:val="00F40D17"/>
    <w:rsid w:val="00F40DB0"/>
    <w:rsid w:val="00F40F82"/>
    <w:rsid w:val="00F412A2"/>
    <w:rsid w:val="00F41C68"/>
    <w:rsid w:val="00F42641"/>
    <w:rsid w:val="00F42EB1"/>
    <w:rsid w:val="00F432ED"/>
    <w:rsid w:val="00F43748"/>
    <w:rsid w:val="00F4388C"/>
    <w:rsid w:val="00F444EC"/>
    <w:rsid w:val="00F444FD"/>
    <w:rsid w:val="00F447F8"/>
    <w:rsid w:val="00F45439"/>
    <w:rsid w:val="00F4572A"/>
    <w:rsid w:val="00F45A8F"/>
    <w:rsid w:val="00F45BAB"/>
    <w:rsid w:val="00F46141"/>
    <w:rsid w:val="00F474E1"/>
    <w:rsid w:val="00F47582"/>
    <w:rsid w:val="00F47992"/>
    <w:rsid w:val="00F47DDD"/>
    <w:rsid w:val="00F501D7"/>
    <w:rsid w:val="00F5076E"/>
    <w:rsid w:val="00F512CB"/>
    <w:rsid w:val="00F52788"/>
    <w:rsid w:val="00F52CEF"/>
    <w:rsid w:val="00F53550"/>
    <w:rsid w:val="00F53802"/>
    <w:rsid w:val="00F53A4A"/>
    <w:rsid w:val="00F53D8D"/>
    <w:rsid w:val="00F54217"/>
    <w:rsid w:val="00F54B10"/>
    <w:rsid w:val="00F54CCE"/>
    <w:rsid w:val="00F54D4F"/>
    <w:rsid w:val="00F54E2F"/>
    <w:rsid w:val="00F54F0A"/>
    <w:rsid w:val="00F54F3E"/>
    <w:rsid w:val="00F55043"/>
    <w:rsid w:val="00F55583"/>
    <w:rsid w:val="00F55F7E"/>
    <w:rsid w:val="00F56005"/>
    <w:rsid w:val="00F56262"/>
    <w:rsid w:val="00F5640F"/>
    <w:rsid w:val="00F56592"/>
    <w:rsid w:val="00F5690A"/>
    <w:rsid w:val="00F57462"/>
    <w:rsid w:val="00F574F7"/>
    <w:rsid w:val="00F57CB6"/>
    <w:rsid w:val="00F57E17"/>
    <w:rsid w:val="00F602FA"/>
    <w:rsid w:val="00F6091D"/>
    <w:rsid w:val="00F60AA9"/>
    <w:rsid w:val="00F60E99"/>
    <w:rsid w:val="00F611CF"/>
    <w:rsid w:val="00F611E0"/>
    <w:rsid w:val="00F61E98"/>
    <w:rsid w:val="00F62265"/>
    <w:rsid w:val="00F62296"/>
    <w:rsid w:val="00F628CA"/>
    <w:rsid w:val="00F62BE9"/>
    <w:rsid w:val="00F62FF7"/>
    <w:rsid w:val="00F632AD"/>
    <w:rsid w:val="00F64311"/>
    <w:rsid w:val="00F6487C"/>
    <w:rsid w:val="00F64CAF"/>
    <w:rsid w:val="00F64CEA"/>
    <w:rsid w:val="00F65833"/>
    <w:rsid w:val="00F66560"/>
    <w:rsid w:val="00F666F7"/>
    <w:rsid w:val="00F66748"/>
    <w:rsid w:val="00F66C07"/>
    <w:rsid w:val="00F66D26"/>
    <w:rsid w:val="00F66E24"/>
    <w:rsid w:val="00F672EE"/>
    <w:rsid w:val="00F6734E"/>
    <w:rsid w:val="00F675ED"/>
    <w:rsid w:val="00F67901"/>
    <w:rsid w:val="00F700F9"/>
    <w:rsid w:val="00F7030F"/>
    <w:rsid w:val="00F70F2B"/>
    <w:rsid w:val="00F7124C"/>
    <w:rsid w:val="00F713E2"/>
    <w:rsid w:val="00F714BF"/>
    <w:rsid w:val="00F715E7"/>
    <w:rsid w:val="00F71922"/>
    <w:rsid w:val="00F721E9"/>
    <w:rsid w:val="00F72C68"/>
    <w:rsid w:val="00F73200"/>
    <w:rsid w:val="00F734BC"/>
    <w:rsid w:val="00F742D1"/>
    <w:rsid w:val="00F745D6"/>
    <w:rsid w:val="00F74951"/>
    <w:rsid w:val="00F74D9F"/>
    <w:rsid w:val="00F74EE5"/>
    <w:rsid w:val="00F75BC1"/>
    <w:rsid w:val="00F75DB2"/>
    <w:rsid w:val="00F7699F"/>
    <w:rsid w:val="00F76E64"/>
    <w:rsid w:val="00F76F29"/>
    <w:rsid w:val="00F77451"/>
    <w:rsid w:val="00F77B59"/>
    <w:rsid w:val="00F77C53"/>
    <w:rsid w:val="00F77F4E"/>
    <w:rsid w:val="00F800E0"/>
    <w:rsid w:val="00F80996"/>
    <w:rsid w:val="00F80B2B"/>
    <w:rsid w:val="00F80E4D"/>
    <w:rsid w:val="00F81962"/>
    <w:rsid w:val="00F81C3F"/>
    <w:rsid w:val="00F81E41"/>
    <w:rsid w:val="00F8278D"/>
    <w:rsid w:val="00F831ED"/>
    <w:rsid w:val="00F83A4B"/>
    <w:rsid w:val="00F83E47"/>
    <w:rsid w:val="00F84C56"/>
    <w:rsid w:val="00F851B6"/>
    <w:rsid w:val="00F85270"/>
    <w:rsid w:val="00F854D1"/>
    <w:rsid w:val="00F85937"/>
    <w:rsid w:val="00F86A1B"/>
    <w:rsid w:val="00F87E86"/>
    <w:rsid w:val="00F87F19"/>
    <w:rsid w:val="00F903C2"/>
    <w:rsid w:val="00F90BAF"/>
    <w:rsid w:val="00F91658"/>
    <w:rsid w:val="00F91817"/>
    <w:rsid w:val="00F91E50"/>
    <w:rsid w:val="00F91E62"/>
    <w:rsid w:val="00F91FA6"/>
    <w:rsid w:val="00F922A1"/>
    <w:rsid w:val="00F923D4"/>
    <w:rsid w:val="00F92CE9"/>
    <w:rsid w:val="00F92F05"/>
    <w:rsid w:val="00F935D8"/>
    <w:rsid w:val="00F93876"/>
    <w:rsid w:val="00F93AB7"/>
    <w:rsid w:val="00F93BC2"/>
    <w:rsid w:val="00F9430E"/>
    <w:rsid w:val="00F94ED2"/>
    <w:rsid w:val="00F94EE3"/>
    <w:rsid w:val="00F95A8F"/>
    <w:rsid w:val="00F9602B"/>
    <w:rsid w:val="00F965D3"/>
    <w:rsid w:val="00F967F5"/>
    <w:rsid w:val="00F97010"/>
    <w:rsid w:val="00F97293"/>
    <w:rsid w:val="00F97A53"/>
    <w:rsid w:val="00F97F51"/>
    <w:rsid w:val="00FA0281"/>
    <w:rsid w:val="00FA0393"/>
    <w:rsid w:val="00FA056D"/>
    <w:rsid w:val="00FA0753"/>
    <w:rsid w:val="00FA0E78"/>
    <w:rsid w:val="00FA117E"/>
    <w:rsid w:val="00FA15E0"/>
    <w:rsid w:val="00FA184C"/>
    <w:rsid w:val="00FA1861"/>
    <w:rsid w:val="00FA1B95"/>
    <w:rsid w:val="00FA1EAD"/>
    <w:rsid w:val="00FA2212"/>
    <w:rsid w:val="00FA274A"/>
    <w:rsid w:val="00FA2B8F"/>
    <w:rsid w:val="00FA2DCB"/>
    <w:rsid w:val="00FA368D"/>
    <w:rsid w:val="00FA384D"/>
    <w:rsid w:val="00FA418F"/>
    <w:rsid w:val="00FA42E1"/>
    <w:rsid w:val="00FA4C6D"/>
    <w:rsid w:val="00FA4F3E"/>
    <w:rsid w:val="00FA5BA8"/>
    <w:rsid w:val="00FA63C8"/>
    <w:rsid w:val="00FA6C94"/>
    <w:rsid w:val="00FA6D0C"/>
    <w:rsid w:val="00FA6DAE"/>
    <w:rsid w:val="00FA74A1"/>
    <w:rsid w:val="00FA7A08"/>
    <w:rsid w:val="00FA7C51"/>
    <w:rsid w:val="00FB0AAB"/>
    <w:rsid w:val="00FB0D02"/>
    <w:rsid w:val="00FB0D14"/>
    <w:rsid w:val="00FB0EE2"/>
    <w:rsid w:val="00FB1636"/>
    <w:rsid w:val="00FB16A6"/>
    <w:rsid w:val="00FB1A1A"/>
    <w:rsid w:val="00FB1C9F"/>
    <w:rsid w:val="00FB21DD"/>
    <w:rsid w:val="00FB21FA"/>
    <w:rsid w:val="00FB25BE"/>
    <w:rsid w:val="00FB2C67"/>
    <w:rsid w:val="00FB2E4D"/>
    <w:rsid w:val="00FB2F6D"/>
    <w:rsid w:val="00FB309B"/>
    <w:rsid w:val="00FB34DE"/>
    <w:rsid w:val="00FB35DC"/>
    <w:rsid w:val="00FB3619"/>
    <w:rsid w:val="00FB38FE"/>
    <w:rsid w:val="00FB39D5"/>
    <w:rsid w:val="00FB3D7C"/>
    <w:rsid w:val="00FB400A"/>
    <w:rsid w:val="00FB4224"/>
    <w:rsid w:val="00FB4367"/>
    <w:rsid w:val="00FB4D85"/>
    <w:rsid w:val="00FB4E76"/>
    <w:rsid w:val="00FB4F99"/>
    <w:rsid w:val="00FB500C"/>
    <w:rsid w:val="00FB5A1A"/>
    <w:rsid w:val="00FB5A79"/>
    <w:rsid w:val="00FB5EA8"/>
    <w:rsid w:val="00FB61AA"/>
    <w:rsid w:val="00FB660F"/>
    <w:rsid w:val="00FB6F77"/>
    <w:rsid w:val="00FB7257"/>
    <w:rsid w:val="00FC0457"/>
    <w:rsid w:val="00FC06D3"/>
    <w:rsid w:val="00FC0BF5"/>
    <w:rsid w:val="00FC0D6C"/>
    <w:rsid w:val="00FC10F5"/>
    <w:rsid w:val="00FC1230"/>
    <w:rsid w:val="00FC1710"/>
    <w:rsid w:val="00FC1913"/>
    <w:rsid w:val="00FC29E9"/>
    <w:rsid w:val="00FC2B5B"/>
    <w:rsid w:val="00FC2FEC"/>
    <w:rsid w:val="00FC3262"/>
    <w:rsid w:val="00FC3387"/>
    <w:rsid w:val="00FC3736"/>
    <w:rsid w:val="00FC37C4"/>
    <w:rsid w:val="00FC3875"/>
    <w:rsid w:val="00FC3CDB"/>
    <w:rsid w:val="00FC439D"/>
    <w:rsid w:val="00FC45A1"/>
    <w:rsid w:val="00FC4785"/>
    <w:rsid w:val="00FC4BA6"/>
    <w:rsid w:val="00FC5301"/>
    <w:rsid w:val="00FC544B"/>
    <w:rsid w:val="00FC5EFE"/>
    <w:rsid w:val="00FC6AE3"/>
    <w:rsid w:val="00FC7535"/>
    <w:rsid w:val="00FC7D38"/>
    <w:rsid w:val="00FD0021"/>
    <w:rsid w:val="00FD04C5"/>
    <w:rsid w:val="00FD0A4E"/>
    <w:rsid w:val="00FD0BE1"/>
    <w:rsid w:val="00FD1316"/>
    <w:rsid w:val="00FD1530"/>
    <w:rsid w:val="00FD1C6B"/>
    <w:rsid w:val="00FD21C9"/>
    <w:rsid w:val="00FD236C"/>
    <w:rsid w:val="00FD2A41"/>
    <w:rsid w:val="00FD2DD6"/>
    <w:rsid w:val="00FD31B7"/>
    <w:rsid w:val="00FD3619"/>
    <w:rsid w:val="00FD36BC"/>
    <w:rsid w:val="00FD3A8A"/>
    <w:rsid w:val="00FD3B87"/>
    <w:rsid w:val="00FD3C5F"/>
    <w:rsid w:val="00FD3D40"/>
    <w:rsid w:val="00FD3EBC"/>
    <w:rsid w:val="00FD3FBD"/>
    <w:rsid w:val="00FD416B"/>
    <w:rsid w:val="00FD479B"/>
    <w:rsid w:val="00FD4C4E"/>
    <w:rsid w:val="00FD4D13"/>
    <w:rsid w:val="00FD4F6F"/>
    <w:rsid w:val="00FD506F"/>
    <w:rsid w:val="00FD5346"/>
    <w:rsid w:val="00FD5427"/>
    <w:rsid w:val="00FD63EE"/>
    <w:rsid w:val="00FD6E79"/>
    <w:rsid w:val="00FD6F95"/>
    <w:rsid w:val="00FD6F9A"/>
    <w:rsid w:val="00FD7887"/>
    <w:rsid w:val="00FD7A66"/>
    <w:rsid w:val="00FD7D3C"/>
    <w:rsid w:val="00FD7D44"/>
    <w:rsid w:val="00FE04A4"/>
    <w:rsid w:val="00FE06FA"/>
    <w:rsid w:val="00FE0CF2"/>
    <w:rsid w:val="00FE19FA"/>
    <w:rsid w:val="00FE1B73"/>
    <w:rsid w:val="00FE1E94"/>
    <w:rsid w:val="00FE20EC"/>
    <w:rsid w:val="00FE2B5E"/>
    <w:rsid w:val="00FE2C33"/>
    <w:rsid w:val="00FE2CE0"/>
    <w:rsid w:val="00FE336C"/>
    <w:rsid w:val="00FE345E"/>
    <w:rsid w:val="00FE3972"/>
    <w:rsid w:val="00FE3EDE"/>
    <w:rsid w:val="00FE3F8A"/>
    <w:rsid w:val="00FE4516"/>
    <w:rsid w:val="00FE4987"/>
    <w:rsid w:val="00FE4F9E"/>
    <w:rsid w:val="00FE52D1"/>
    <w:rsid w:val="00FE53E0"/>
    <w:rsid w:val="00FE54E3"/>
    <w:rsid w:val="00FE5E21"/>
    <w:rsid w:val="00FE5ECD"/>
    <w:rsid w:val="00FE5FDD"/>
    <w:rsid w:val="00FE65CC"/>
    <w:rsid w:val="00FE67C6"/>
    <w:rsid w:val="00FE6AB8"/>
    <w:rsid w:val="00FE6B5C"/>
    <w:rsid w:val="00FE758A"/>
    <w:rsid w:val="00FE7967"/>
    <w:rsid w:val="00FF06CA"/>
    <w:rsid w:val="00FF0839"/>
    <w:rsid w:val="00FF0A77"/>
    <w:rsid w:val="00FF0B17"/>
    <w:rsid w:val="00FF0BCD"/>
    <w:rsid w:val="00FF1708"/>
    <w:rsid w:val="00FF1770"/>
    <w:rsid w:val="00FF19CB"/>
    <w:rsid w:val="00FF1AA0"/>
    <w:rsid w:val="00FF1C6F"/>
    <w:rsid w:val="00FF1CFF"/>
    <w:rsid w:val="00FF1F7F"/>
    <w:rsid w:val="00FF2572"/>
    <w:rsid w:val="00FF29AE"/>
    <w:rsid w:val="00FF2C22"/>
    <w:rsid w:val="00FF3122"/>
    <w:rsid w:val="00FF3F39"/>
    <w:rsid w:val="00FF3F74"/>
    <w:rsid w:val="00FF400A"/>
    <w:rsid w:val="00FF49CB"/>
    <w:rsid w:val="00FF4FC7"/>
    <w:rsid w:val="00FF5425"/>
    <w:rsid w:val="00FF5846"/>
    <w:rsid w:val="00FF5A7E"/>
    <w:rsid w:val="00FF5B6E"/>
    <w:rsid w:val="00FF67EE"/>
    <w:rsid w:val="00FF6A8D"/>
    <w:rsid w:val="00FF6AA7"/>
    <w:rsid w:val="00FF6F24"/>
    <w:rsid w:val="00FF7CC4"/>
    <w:rsid w:val="00FF7CE0"/>
    <w:rsid w:val="00FF7E84"/>
    <w:rsid w:val="028AF54B"/>
    <w:rsid w:val="02D9EAEB"/>
    <w:rsid w:val="030CE04E"/>
    <w:rsid w:val="037ACEEC"/>
    <w:rsid w:val="05D3F6FB"/>
    <w:rsid w:val="06A04D91"/>
    <w:rsid w:val="07382150"/>
    <w:rsid w:val="07D65AE4"/>
    <w:rsid w:val="08531205"/>
    <w:rsid w:val="095A64EF"/>
    <w:rsid w:val="095FA965"/>
    <w:rsid w:val="09EF4255"/>
    <w:rsid w:val="0A36A4E5"/>
    <w:rsid w:val="0A5B53C3"/>
    <w:rsid w:val="0A742269"/>
    <w:rsid w:val="0AA2B46B"/>
    <w:rsid w:val="0D91872D"/>
    <w:rsid w:val="0F136679"/>
    <w:rsid w:val="10482BC1"/>
    <w:rsid w:val="10B19A46"/>
    <w:rsid w:val="1121F403"/>
    <w:rsid w:val="11B025D2"/>
    <w:rsid w:val="11EBA4BF"/>
    <w:rsid w:val="12353E69"/>
    <w:rsid w:val="12DFC03B"/>
    <w:rsid w:val="12E03490"/>
    <w:rsid w:val="12F186B5"/>
    <w:rsid w:val="13285FA1"/>
    <w:rsid w:val="14113412"/>
    <w:rsid w:val="14202BF7"/>
    <w:rsid w:val="178F2F68"/>
    <w:rsid w:val="17983972"/>
    <w:rsid w:val="18B2B24F"/>
    <w:rsid w:val="1905DFC5"/>
    <w:rsid w:val="19176A5B"/>
    <w:rsid w:val="1988956D"/>
    <w:rsid w:val="19B822B6"/>
    <w:rsid w:val="19D8D257"/>
    <w:rsid w:val="1A975BD3"/>
    <w:rsid w:val="1AD1D09C"/>
    <w:rsid w:val="1C313660"/>
    <w:rsid w:val="1C685B23"/>
    <w:rsid w:val="1E0EC3A7"/>
    <w:rsid w:val="1E436ECC"/>
    <w:rsid w:val="1E6F66E5"/>
    <w:rsid w:val="1F384D12"/>
    <w:rsid w:val="1FD7B032"/>
    <w:rsid w:val="2015402D"/>
    <w:rsid w:val="2030A4BA"/>
    <w:rsid w:val="20C58F7E"/>
    <w:rsid w:val="21CAA1B4"/>
    <w:rsid w:val="235525CB"/>
    <w:rsid w:val="23775899"/>
    <w:rsid w:val="23A6EDEB"/>
    <w:rsid w:val="2468CBBD"/>
    <w:rsid w:val="24EB6CD1"/>
    <w:rsid w:val="258CFAB1"/>
    <w:rsid w:val="25A7E705"/>
    <w:rsid w:val="27A7D10E"/>
    <w:rsid w:val="28319A59"/>
    <w:rsid w:val="286EBCC3"/>
    <w:rsid w:val="28787B9A"/>
    <w:rsid w:val="297CD8AE"/>
    <w:rsid w:val="29BD2D29"/>
    <w:rsid w:val="29D52CA1"/>
    <w:rsid w:val="2BBBA6FF"/>
    <w:rsid w:val="2D27363F"/>
    <w:rsid w:val="2EBD4C3F"/>
    <w:rsid w:val="2FB76F98"/>
    <w:rsid w:val="30249278"/>
    <w:rsid w:val="30C257AC"/>
    <w:rsid w:val="33C58312"/>
    <w:rsid w:val="3529E931"/>
    <w:rsid w:val="35337F11"/>
    <w:rsid w:val="359F14EA"/>
    <w:rsid w:val="3667E75F"/>
    <w:rsid w:val="369FC14C"/>
    <w:rsid w:val="36AE67C9"/>
    <w:rsid w:val="370730DC"/>
    <w:rsid w:val="3784C49B"/>
    <w:rsid w:val="3930C6C8"/>
    <w:rsid w:val="39FAA7B9"/>
    <w:rsid w:val="3A7F9500"/>
    <w:rsid w:val="3BF4C2F2"/>
    <w:rsid w:val="3C698062"/>
    <w:rsid w:val="3EDBF180"/>
    <w:rsid w:val="4083FD35"/>
    <w:rsid w:val="40A5AFF0"/>
    <w:rsid w:val="41988489"/>
    <w:rsid w:val="4338406B"/>
    <w:rsid w:val="436D1D88"/>
    <w:rsid w:val="437DCAA6"/>
    <w:rsid w:val="43F9EA9C"/>
    <w:rsid w:val="4437560D"/>
    <w:rsid w:val="450E868A"/>
    <w:rsid w:val="45313F23"/>
    <w:rsid w:val="47EC9277"/>
    <w:rsid w:val="48032392"/>
    <w:rsid w:val="49CCB774"/>
    <w:rsid w:val="49E0E574"/>
    <w:rsid w:val="49FD2862"/>
    <w:rsid w:val="4A0CB394"/>
    <w:rsid w:val="4B23CD0A"/>
    <w:rsid w:val="4B5E1E03"/>
    <w:rsid w:val="4D51F2B1"/>
    <w:rsid w:val="4DD684B7"/>
    <w:rsid w:val="4E3D9A0D"/>
    <w:rsid w:val="4E88E789"/>
    <w:rsid w:val="4ED78D8B"/>
    <w:rsid w:val="53351498"/>
    <w:rsid w:val="54A0F88B"/>
    <w:rsid w:val="54A6DD63"/>
    <w:rsid w:val="5505B37C"/>
    <w:rsid w:val="5559DB1F"/>
    <w:rsid w:val="55E6C0A4"/>
    <w:rsid w:val="5604961D"/>
    <w:rsid w:val="562B6298"/>
    <w:rsid w:val="5662A882"/>
    <w:rsid w:val="59D78C23"/>
    <w:rsid w:val="59E53F9F"/>
    <w:rsid w:val="5A06851B"/>
    <w:rsid w:val="5A14696A"/>
    <w:rsid w:val="5A5761BA"/>
    <w:rsid w:val="5B847769"/>
    <w:rsid w:val="5C6A0D4D"/>
    <w:rsid w:val="5CC0C3A8"/>
    <w:rsid w:val="5D689CE0"/>
    <w:rsid w:val="5E6C4001"/>
    <w:rsid w:val="5F60DA25"/>
    <w:rsid w:val="5FF5F714"/>
    <w:rsid w:val="6230EA60"/>
    <w:rsid w:val="645C1EC6"/>
    <w:rsid w:val="649442A1"/>
    <w:rsid w:val="650754F1"/>
    <w:rsid w:val="6553D3C4"/>
    <w:rsid w:val="6614133D"/>
    <w:rsid w:val="675E25B1"/>
    <w:rsid w:val="685C2BA5"/>
    <w:rsid w:val="688BE480"/>
    <w:rsid w:val="69237D27"/>
    <w:rsid w:val="6A905A81"/>
    <w:rsid w:val="6BE1499F"/>
    <w:rsid w:val="6DA1FDB4"/>
    <w:rsid w:val="6DFBCF44"/>
    <w:rsid w:val="6E33919B"/>
    <w:rsid w:val="70C1B81A"/>
    <w:rsid w:val="722F294A"/>
    <w:rsid w:val="724FAD0E"/>
    <w:rsid w:val="739E091A"/>
    <w:rsid w:val="7514AA5A"/>
    <w:rsid w:val="75C77839"/>
    <w:rsid w:val="75EA9ABA"/>
    <w:rsid w:val="761B1833"/>
    <w:rsid w:val="77212EA9"/>
    <w:rsid w:val="793102BA"/>
    <w:rsid w:val="79A3C93B"/>
    <w:rsid w:val="7B58E4DE"/>
    <w:rsid w:val="7C0F56A4"/>
    <w:rsid w:val="7C4340F8"/>
    <w:rsid w:val="7C7B0B1F"/>
    <w:rsid w:val="7CBB5441"/>
    <w:rsid w:val="7CDD2CA3"/>
    <w:rsid w:val="7E53A03B"/>
    <w:rsid w:val="7ECC4887"/>
    <w:rsid w:val="7ED68D70"/>
    <w:rsid w:val="7F2224A5"/>
    <w:rsid w:val="7F33E6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1A87D"/>
  <w15:chartTrackingRefBased/>
  <w15:docId w15:val="{DC057C90-2F48-41E7-8B9E-10EBC95FC9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A53D8"/>
    <w:pPr>
      <w:spacing w:after="120"/>
      <w:jc w:val="both"/>
    </w:pPr>
    <w:rPr>
      <w:sz w:val="24"/>
      <w:lang w:val="en-US" w:eastAsia="en-US"/>
    </w:rPr>
  </w:style>
  <w:style w:type="paragraph" w:styleId="Heading1">
    <w:name w:val="heading 1"/>
    <w:basedOn w:val="Normal"/>
    <w:next w:val="BodyText"/>
    <w:qFormat/>
    <w:pPr>
      <w:keepNext/>
      <w:numPr>
        <w:numId w:val="6"/>
      </w:numPr>
      <w:spacing w:after="240"/>
      <w:outlineLvl w:val="0"/>
    </w:pPr>
    <w:rPr>
      <w:b/>
      <w:kern w:val="28"/>
    </w:rPr>
  </w:style>
  <w:style w:type="paragraph" w:styleId="Heading2">
    <w:name w:val="heading 2"/>
    <w:basedOn w:val="Normal"/>
    <w:link w:val="Heading2Char"/>
    <w:qFormat/>
    <w:pPr>
      <w:keepNext/>
      <w:numPr>
        <w:ilvl w:val="1"/>
        <w:numId w:val="6"/>
      </w:numPr>
      <w:spacing w:after="240"/>
      <w:outlineLvl w:val="1"/>
    </w:pPr>
  </w:style>
  <w:style w:type="paragraph" w:styleId="Heading3">
    <w:name w:val="heading 3"/>
    <w:basedOn w:val="Normal"/>
    <w:qFormat/>
    <w:pPr>
      <w:keepNext/>
      <w:numPr>
        <w:ilvl w:val="2"/>
        <w:numId w:val="6"/>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6"/>
      </w:numPr>
      <w:spacing w:after="240"/>
      <w:outlineLvl w:val="3"/>
    </w:pPr>
  </w:style>
  <w:style w:type="paragraph" w:styleId="Heading5">
    <w:name w:val="heading 5"/>
    <w:basedOn w:val="Normal"/>
    <w:next w:val="Normal"/>
    <w:link w:val="Heading5Char"/>
    <w:qFormat/>
    <w:pPr>
      <w:numPr>
        <w:ilvl w:val="4"/>
        <w:numId w:val="6"/>
      </w:numPr>
      <w:spacing w:after="240"/>
      <w:outlineLvl w:val="4"/>
    </w:pPr>
    <w:rPr>
      <w:sz w:val="22"/>
    </w:rPr>
  </w:style>
  <w:style w:type="paragraph" w:styleId="Heading6">
    <w:name w:val="heading 6"/>
    <w:basedOn w:val="Normal"/>
    <w:next w:val="Normal"/>
    <w:qFormat/>
    <w:pPr>
      <w:numPr>
        <w:ilvl w:val="5"/>
        <w:numId w:val="6"/>
      </w:numPr>
      <w:spacing w:after="240"/>
      <w:outlineLvl w:val="5"/>
    </w:pPr>
    <w:rPr>
      <w:i/>
      <w:sz w:val="22"/>
    </w:rPr>
  </w:style>
  <w:style w:type="paragraph" w:styleId="Heading7">
    <w:name w:val="heading 7"/>
    <w:basedOn w:val="Normal"/>
    <w:next w:val="Normal"/>
    <w:qFormat/>
    <w:pPr>
      <w:numPr>
        <w:ilvl w:val="6"/>
        <w:numId w:val="6"/>
      </w:numPr>
      <w:spacing w:after="240"/>
      <w:outlineLvl w:val="6"/>
    </w:pPr>
    <w:rPr>
      <w:rFonts w:ascii="Arial" w:hAnsi="Arial"/>
      <w:sz w:val="20"/>
    </w:rPr>
  </w:style>
  <w:style w:type="paragraph" w:styleId="Heading8">
    <w:name w:val="heading 8"/>
    <w:basedOn w:val="Normal"/>
    <w:next w:val="Normal"/>
    <w:qFormat/>
    <w:pPr>
      <w:numPr>
        <w:ilvl w:val="7"/>
        <w:numId w:val="6"/>
      </w:numPr>
      <w:spacing w:after="240"/>
      <w:outlineLvl w:val="7"/>
    </w:pPr>
    <w:rPr>
      <w:rFonts w:ascii="Arial" w:hAnsi="Arial"/>
      <w:i/>
      <w:sz w:val="20"/>
    </w:rPr>
  </w:style>
  <w:style w:type="paragraph" w:styleId="Heading9">
    <w:name w:val="heading 9"/>
    <w:basedOn w:val="Normal"/>
    <w:next w:val="Normal"/>
    <w:qFormat/>
    <w:pPr>
      <w:numPr>
        <w:ilvl w:val="8"/>
        <w:numId w:val="6"/>
      </w:numPr>
      <w:spacing w:after="240"/>
      <w:outlineLvl w:val="8"/>
    </w:pPr>
    <w:rPr>
      <w:rFonts w:ascii="Arial" w:hAnsi="Arial"/>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spacing w:after="240"/>
      <w:ind w:left="720"/>
    </w:pPr>
    <w:rPr>
      <w:snapToGrid w:val="0"/>
    </w:rPr>
  </w:style>
  <w:style w:type="paragraph" w:styleId="TableText" w:customStyle="1">
    <w:name w:val="Table Text"/>
    <w:basedOn w:val="Normal"/>
    <w:pPr>
      <w:spacing w:before="120"/>
      <w:jc w:val="left"/>
    </w:pPr>
    <w:rPr>
      <w:b/>
    </w:rPr>
  </w:style>
  <w:style w:type="paragraph" w:styleId="NormalIndent">
    <w:name w:val="Normal Indent"/>
    <w:basedOn w:val="Normal"/>
    <w:pPr>
      <w:ind w:left="720"/>
    </w:pPr>
  </w:style>
  <w:style w:type="paragraph" w:styleId="BodySingle" w:customStyle="1">
    <w:name w:val="Body Single"/>
    <w:pPr>
      <w:ind w:left="720"/>
      <w:jc w:val="both"/>
    </w:pPr>
    <w:rPr>
      <w:snapToGrid w:val="0"/>
      <w:color w:val="000000"/>
      <w:sz w:val="24"/>
      <w:lang w:val="en-US" w:eastAsia="en-US"/>
    </w:rPr>
  </w:style>
  <w:style w:type="paragraph" w:styleId="ListRoman" w:customStyle="1">
    <w:name w:val="List Roman"/>
    <w:basedOn w:val="List"/>
    <w:pPr>
      <w:numPr>
        <w:numId w:val="3"/>
      </w:numPr>
      <w:spacing w:after="240"/>
    </w:pPr>
  </w:style>
  <w:style w:type="paragraph" w:styleId="Bullets" w:customStyle="1">
    <w:name w:val="Bullets"/>
    <w:basedOn w:val="Normal"/>
    <w:pPr>
      <w:numPr>
        <w:numId w:val="2"/>
      </w:numPr>
      <w:spacing w:after="240"/>
    </w:pPr>
  </w:style>
  <w:style w:type="paragraph" w:styleId="List">
    <w:name w:val="List"/>
    <w:basedOn w:val="Normal"/>
    <w:pPr>
      <w:ind w:left="283" w:hanging="283"/>
    </w:pPr>
  </w:style>
  <w:style w:type="paragraph" w:styleId="Recommendation" w:customStyle="1">
    <w:name w:val="Recommendation"/>
    <w:next w:val="Recpoint"/>
    <w:pPr>
      <w:spacing w:after="240"/>
      <w:jc w:val="both"/>
    </w:pPr>
    <w:rPr>
      <w:b/>
      <w:noProof/>
      <w:sz w:val="24"/>
      <w:lang w:val="en-US" w:eastAsia="en-US"/>
    </w:rPr>
  </w:style>
  <w:style w:type="paragraph" w:styleId="Recpoint" w:customStyle="1">
    <w:name w:val="Recpoint"/>
    <w:pPr>
      <w:numPr>
        <w:numId w:val="1"/>
      </w:numPr>
      <w:spacing w:after="240"/>
      <w:jc w:val="both"/>
    </w:pPr>
    <w:rPr>
      <w:noProof/>
      <w:sz w:val="24"/>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styleId="Default" w:customStyle="1">
    <w:name w:val="Default"/>
    <w:rsid w:val="00CD0C4D"/>
    <w:pPr>
      <w:autoSpaceDE w:val="0"/>
      <w:autoSpaceDN w:val="0"/>
      <w:adjustRightInd w:val="0"/>
    </w:pPr>
    <w:rPr>
      <w:rFonts w:ascii="Arial" w:hAnsi="Arial" w:eastAsia="MS Mincho" w:cs="Arial"/>
      <w:color w:val="000000"/>
      <w:sz w:val="24"/>
      <w:szCs w:val="24"/>
      <w:lang w:val="en-US" w:eastAsia="ja-JP"/>
    </w:rPr>
  </w:style>
  <w:style w:type="paragraph" w:styleId="FootnoteText">
    <w:name w:val="footnote text"/>
    <w:basedOn w:val="Normal"/>
    <w:link w:val="FootnoteTextChar"/>
    <w:rsid w:val="000C6822"/>
    <w:rPr>
      <w:sz w:val="20"/>
    </w:rPr>
  </w:style>
  <w:style w:type="character" w:styleId="FootnoteTextChar" w:customStyle="1">
    <w:name w:val="Footnote Text Char"/>
    <w:link w:val="FootnoteText"/>
    <w:rsid w:val="000C6822"/>
    <w:rPr>
      <w:lang w:eastAsia="en-US"/>
    </w:rPr>
  </w:style>
  <w:style w:type="character" w:styleId="FootnoteReference">
    <w:name w:val="footnote reference"/>
    <w:rsid w:val="000C6822"/>
    <w:rPr>
      <w:vertAlign w:val="superscript"/>
    </w:rPr>
  </w:style>
  <w:style w:type="table" w:styleId="TableGrid1" w:customStyle="1">
    <w:name w:val="Table Grid1"/>
    <w:basedOn w:val="TableNormal"/>
    <w:next w:val="TableGrid"/>
    <w:uiPriority w:val="59"/>
    <w:rsid w:val="00442515"/>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003CD2"/>
    <w:rPr>
      <w:sz w:val="24"/>
      <w:lang w:eastAsia="en-US"/>
    </w:rPr>
  </w:style>
  <w:style w:type="character" w:styleId="FooterChar" w:customStyle="1">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lang w:eastAsia="en-GB"/>
    </w:rPr>
  </w:style>
  <w:style w:type="table" w:styleId="TableGrid2" w:customStyle="1">
    <w:name w:val="Table Grid2"/>
    <w:basedOn w:val="TableNormal"/>
    <w:next w:val="TableGrid"/>
    <w:rsid w:val="00C120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1" w:customStyle="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hAnsi="Calibri" w:eastAsia="Calibri" w:cs="Calibri"/>
      <w:sz w:val="22"/>
      <w:szCs w:val="22"/>
      <w:lang w:eastAsia="en-GB"/>
    </w:rPr>
  </w:style>
  <w:style w:type="character" w:styleId="EndnoteTextChar" w:customStyle="1">
    <w:name w:val="Endnote Text Char"/>
    <w:link w:val="EndnoteText"/>
    <w:semiHidden/>
    <w:rsid w:val="00971FFC"/>
    <w:rPr>
      <w:lang w:eastAsia="en-US"/>
    </w:rPr>
  </w:style>
  <w:style w:type="numbering" w:styleId="LFO25" w:customStyle="1">
    <w:name w:val="LFO25"/>
    <w:basedOn w:val="NoList"/>
    <w:rsid w:val="00B36991"/>
    <w:pPr>
      <w:numPr>
        <w:numId w:val="7"/>
      </w:numPr>
    </w:pPr>
  </w:style>
  <w:style w:type="character" w:styleId="Heading4Char" w:customStyle="1">
    <w:name w:val="Heading 4 Char"/>
    <w:rsid w:val="00686F49"/>
    <w:rPr>
      <w:b/>
      <w:bCs/>
      <w:color w:val="104F75"/>
      <w:sz w:val="24"/>
      <w:szCs w:val="28"/>
    </w:rPr>
  </w:style>
  <w:style w:type="character" w:styleId="normaltextrun" w:customStyle="1">
    <w:name w:val="normaltextrun"/>
    <w:rsid w:val="007F0ADD"/>
  </w:style>
  <w:style w:type="character" w:styleId="eop" w:customStyle="1">
    <w:name w:val="eop"/>
    <w:rsid w:val="007F0ADD"/>
  </w:style>
  <w:style w:type="character" w:styleId="Heading5Char" w:customStyle="1">
    <w:name w:val="Heading 5 Char"/>
    <w:link w:val="Heading5"/>
    <w:rsid w:val="00C744C4"/>
    <w:rPr>
      <w:sz w:val="22"/>
      <w:lang w:eastAsia="en-US"/>
    </w:rPr>
  </w:style>
  <w:style w:type="paragraph" w:styleId="DfESOutNumbered1" w:customStyle="1">
    <w:name w:val="DfESOutNumbered1"/>
    <w:basedOn w:val="Normal"/>
    <w:qFormat/>
    <w:rsid w:val="00C744C4"/>
    <w:pPr>
      <w:numPr>
        <w:numId w:val="8"/>
      </w:numPr>
      <w:tabs>
        <w:tab w:val="num" w:pos="360"/>
      </w:tabs>
      <w:spacing w:after="240" w:line="288" w:lineRule="auto"/>
      <w:jc w:val="left"/>
    </w:pPr>
    <w:rPr>
      <w:rFonts w:ascii="Arial" w:hAnsi="Arial"/>
      <w:color w:val="0D0D0D"/>
      <w:szCs w:val="24"/>
      <w:lang w:eastAsia="en-GB"/>
    </w:rPr>
  </w:style>
  <w:style w:type="character" w:styleId="ListParagraphChar" w:customStyle="1">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hAnsi="Calibri" w:eastAsia="Calibri" w:cs="Calibri"/>
      <w:sz w:val="22"/>
      <w:szCs w:val="22"/>
    </w:rPr>
  </w:style>
  <w:style w:type="paragraph" w:styleId="StyleHeading4Italic" w:customStyle="1">
    <w:name w:val="Style Heading 4 + Italic"/>
    <w:basedOn w:val="Heading4"/>
    <w:next w:val="Heading4"/>
    <w:rsid w:val="00CD22D5"/>
    <w:pPr>
      <w:keepNext w:val="0"/>
      <w:numPr>
        <w:ilvl w:val="0"/>
        <w:numId w:val="0"/>
      </w:numPr>
      <w:tabs>
        <w:tab w:val="num" w:pos="1144"/>
      </w:tabs>
      <w:spacing w:before="120" w:after="120"/>
      <w:ind w:left="1144" w:hanging="576"/>
      <w:jc w:val="left"/>
    </w:pPr>
    <w:rPr>
      <w:rFonts w:ascii="Arial" w:hAnsi="Arial" w:eastAsia="Calibri" w:cs="Arial"/>
      <w:i/>
      <w:iCs/>
      <w:szCs w:val="24"/>
      <w:lang w:eastAsia="en-GB"/>
    </w:rPr>
  </w:style>
  <w:style w:type="character" w:styleId="UnresolvedMention">
    <w:name w:val="Unresolved Mention"/>
    <w:uiPriority w:val="99"/>
    <w:unhideWhenUsed/>
    <w:rsid w:val="00B55F61"/>
    <w:rPr>
      <w:color w:val="605E5C"/>
      <w:shd w:val="clear" w:color="auto" w:fill="E1DFDD"/>
    </w:rPr>
  </w:style>
  <w:style w:type="paragraph" w:styleId="paragraph" w:customStyle="1">
    <w:name w:val="paragraph"/>
    <w:basedOn w:val="Normal"/>
    <w:rsid w:val="005D1CCE"/>
    <w:pPr>
      <w:spacing w:before="100" w:beforeAutospacing="1" w:after="100" w:afterAutospacing="1"/>
      <w:jc w:val="left"/>
    </w:pPr>
    <w:rPr>
      <w:szCs w:val="24"/>
      <w:lang w:eastAsia="en-GB"/>
    </w:rPr>
  </w:style>
  <w:style w:type="character" w:styleId="contextualspellingandgrammarerror" w:customStyle="1">
    <w:name w:val="contextualspellingandgrammarerror"/>
    <w:rsid w:val="008E6A78"/>
  </w:style>
  <w:style w:type="character" w:styleId="Mention">
    <w:name w:val="Mention"/>
    <w:uiPriority w:val="99"/>
    <w:unhideWhenUsed/>
    <w:rsid w:val="00231952"/>
    <w:rPr>
      <w:color w:val="2B579A"/>
      <w:shd w:val="clear" w:color="auto" w:fill="E1DFDD"/>
    </w:rPr>
  </w:style>
  <w:style w:type="paragraph" w:styleId="Revision">
    <w:name w:val="Revision"/>
    <w:hidden/>
    <w:uiPriority w:val="99"/>
    <w:semiHidden/>
    <w:rsid w:val="00141DFF"/>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50659404">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3160760">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168106935">
      <w:bodyDiv w:val="1"/>
      <w:marLeft w:val="0"/>
      <w:marRight w:val="0"/>
      <w:marTop w:val="0"/>
      <w:marBottom w:val="0"/>
      <w:divBdr>
        <w:top w:val="none" w:sz="0" w:space="0" w:color="auto"/>
        <w:left w:val="none" w:sz="0" w:space="0" w:color="auto"/>
        <w:bottom w:val="none" w:sz="0" w:space="0" w:color="auto"/>
        <w:right w:val="none" w:sz="0" w:space="0" w:color="auto"/>
      </w:divBdr>
      <w:divsChild>
        <w:div w:id="2033913297">
          <w:marLeft w:val="0"/>
          <w:marRight w:val="0"/>
          <w:marTop w:val="30"/>
          <w:marBottom w:val="30"/>
          <w:divBdr>
            <w:top w:val="none" w:sz="0" w:space="0" w:color="auto"/>
            <w:left w:val="none" w:sz="0" w:space="0" w:color="auto"/>
            <w:bottom w:val="none" w:sz="0" w:space="0" w:color="auto"/>
            <w:right w:val="none" w:sz="0" w:space="0" w:color="auto"/>
          </w:divBdr>
          <w:divsChild>
            <w:div w:id="45884089">
              <w:marLeft w:val="0"/>
              <w:marRight w:val="0"/>
              <w:marTop w:val="0"/>
              <w:marBottom w:val="0"/>
              <w:divBdr>
                <w:top w:val="none" w:sz="0" w:space="0" w:color="auto"/>
                <w:left w:val="none" w:sz="0" w:space="0" w:color="auto"/>
                <w:bottom w:val="none" w:sz="0" w:space="0" w:color="auto"/>
                <w:right w:val="none" w:sz="0" w:space="0" w:color="auto"/>
              </w:divBdr>
              <w:divsChild>
                <w:div w:id="1085345733">
                  <w:marLeft w:val="0"/>
                  <w:marRight w:val="0"/>
                  <w:marTop w:val="0"/>
                  <w:marBottom w:val="0"/>
                  <w:divBdr>
                    <w:top w:val="none" w:sz="0" w:space="0" w:color="auto"/>
                    <w:left w:val="none" w:sz="0" w:space="0" w:color="auto"/>
                    <w:bottom w:val="none" w:sz="0" w:space="0" w:color="auto"/>
                    <w:right w:val="none" w:sz="0" w:space="0" w:color="auto"/>
                  </w:divBdr>
                </w:div>
              </w:divsChild>
            </w:div>
            <w:div w:id="85925502">
              <w:marLeft w:val="0"/>
              <w:marRight w:val="0"/>
              <w:marTop w:val="0"/>
              <w:marBottom w:val="0"/>
              <w:divBdr>
                <w:top w:val="none" w:sz="0" w:space="0" w:color="auto"/>
                <w:left w:val="none" w:sz="0" w:space="0" w:color="auto"/>
                <w:bottom w:val="none" w:sz="0" w:space="0" w:color="auto"/>
                <w:right w:val="none" w:sz="0" w:space="0" w:color="auto"/>
              </w:divBdr>
              <w:divsChild>
                <w:div w:id="1759673126">
                  <w:marLeft w:val="0"/>
                  <w:marRight w:val="0"/>
                  <w:marTop w:val="0"/>
                  <w:marBottom w:val="0"/>
                  <w:divBdr>
                    <w:top w:val="none" w:sz="0" w:space="0" w:color="auto"/>
                    <w:left w:val="none" w:sz="0" w:space="0" w:color="auto"/>
                    <w:bottom w:val="none" w:sz="0" w:space="0" w:color="auto"/>
                    <w:right w:val="none" w:sz="0" w:space="0" w:color="auto"/>
                  </w:divBdr>
                </w:div>
              </w:divsChild>
            </w:div>
            <w:div w:id="140780504">
              <w:marLeft w:val="0"/>
              <w:marRight w:val="0"/>
              <w:marTop w:val="0"/>
              <w:marBottom w:val="0"/>
              <w:divBdr>
                <w:top w:val="none" w:sz="0" w:space="0" w:color="auto"/>
                <w:left w:val="none" w:sz="0" w:space="0" w:color="auto"/>
                <w:bottom w:val="none" w:sz="0" w:space="0" w:color="auto"/>
                <w:right w:val="none" w:sz="0" w:space="0" w:color="auto"/>
              </w:divBdr>
              <w:divsChild>
                <w:div w:id="913054635">
                  <w:marLeft w:val="0"/>
                  <w:marRight w:val="0"/>
                  <w:marTop w:val="0"/>
                  <w:marBottom w:val="0"/>
                  <w:divBdr>
                    <w:top w:val="none" w:sz="0" w:space="0" w:color="auto"/>
                    <w:left w:val="none" w:sz="0" w:space="0" w:color="auto"/>
                    <w:bottom w:val="none" w:sz="0" w:space="0" w:color="auto"/>
                    <w:right w:val="none" w:sz="0" w:space="0" w:color="auto"/>
                  </w:divBdr>
                </w:div>
              </w:divsChild>
            </w:div>
            <w:div w:id="149639543">
              <w:marLeft w:val="0"/>
              <w:marRight w:val="0"/>
              <w:marTop w:val="0"/>
              <w:marBottom w:val="0"/>
              <w:divBdr>
                <w:top w:val="none" w:sz="0" w:space="0" w:color="auto"/>
                <w:left w:val="none" w:sz="0" w:space="0" w:color="auto"/>
                <w:bottom w:val="none" w:sz="0" w:space="0" w:color="auto"/>
                <w:right w:val="none" w:sz="0" w:space="0" w:color="auto"/>
              </w:divBdr>
              <w:divsChild>
                <w:div w:id="573509056">
                  <w:marLeft w:val="0"/>
                  <w:marRight w:val="0"/>
                  <w:marTop w:val="0"/>
                  <w:marBottom w:val="0"/>
                  <w:divBdr>
                    <w:top w:val="none" w:sz="0" w:space="0" w:color="auto"/>
                    <w:left w:val="none" w:sz="0" w:space="0" w:color="auto"/>
                    <w:bottom w:val="none" w:sz="0" w:space="0" w:color="auto"/>
                    <w:right w:val="none" w:sz="0" w:space="0" w:color="auto"/>
                  </w:divBdr>
                </w:div>
              </w:divsChild>
            </w:div>
            <w:div w:id="261497826">
              <w:marLeft w:val="0"/>
              <w:marRight w:val="0"/>
              <w:marTop w:val="0"/>
              <w:marBottom w:val="0"/>
              <w:divBdr>
                <w:top w:val="none" w:sz="0" w:space="0" w:color="auto"/>
                <w:left w:val="none" w:sz="0" w:space="0" w:color="auto"/>
                <w:bottom w:val="none" w:sz="0" w:space="0" w:color="auto"/>
                <w:right w:val="none" w:sz="0" w:space="0" w:color="auto"/>
              </w:divBdr>
              <w:divsChild>
                <w:div w:id="1865514724">
                  <w:marLeft w:val="0"/>
                  <w:marRight w:val="0"/>
                  <w:marTop w:val="0"/>
                  <w:marBottom w:val="0"/>
                  <w:divBdr>
                    <w:top w:val="none" w:sz="0" w:space="0" w:color="auto"/>
                    <w:left w:val="none" w:sz="0" w:space="0" w:color="auto"/>
                    <w:bottom w:val="none" w:sz="0" w:space="0" w:color="auto"/>
                    <w:right w:val="none" w:sz="0" w:space="0" w:color="auto"/>
                  </w:divBdr>
                </w:div>
              </w:divsChild>
            </w:div>
            <w:div w:id="277371851">
              <w:marLeft w:val="0"/>
              <w:marRight w:val="0"/>
              <w:marTop w:val="0"/>
              <w:marBottom w:val="0"/>
              <w:divBdr>
                <w:top w:val="none" w:sz="0" w:space="0" w:color="auto"/>
                <w:left w:val="none" w:sz="0" w:space="0" w:color="auto"/>
                <w:bottom w:val="none" w:sz="0" w:space="0" w:color="auto"/>
                <w:right w:val="none" w:sz="0" w:space="0" w:color="auto"/>
              </w:divBdr>
              <w:divsChild>
                <w:div w:id="168570543">
                  <w:marLeft w:val="0"/>
                  <w:marRight w:val="0"/>
                  <w:marTop w:val="0"/>
                  <w:marBottom w:val="0"/>
                  <w:divBdr>
                    <w:top w:val="none" w:sz="0" w:space="0" w:color="auto"/>
                    <w:left w:val="none" w:sz="0" w:space="0" w:color="auto"/>
                    <w:bottom w:val="none" w:sz="0" w:space="0" w:color="auto"/>
                    <w:right w:val="none" w:sz="0" w:space="0" w:color="auto"/>
                  </w:divBdr>
                </w:div>
                <w:div w:id="1055931707">
                  <w:marLeft w:val="0"/>
                  <w:marRight w:val="0"/>
                  <w:marTop w:val="0"/>
                  <w:marBottom w:val="0"/>
                  <w:divBdr>
                    <w:top w:val="none" w:sz="0" w:space="0" w:color="auto"/>
                    <w:left w:val="none" w:sz="0" w:space="0" w:color="auto"/>
                    <w:bottom w:val="none" w:sz="0" w:space="0" w:color="auto"/>
                    <w:right w:val="none" w:sz="0" w:space="0" w:color="auto"/>
                  </w:divBdr>
                </w:div>
              </w:divsChild>
            </w:div>
            <w:div w:id="410390428">
              <w:marLeft w:val="0"/>
              <w:marRight w:val="0"/>
              <w:marTop w:val="0"/>
              <w:marBottom w:val="0"/>
              <w:divBdr>
                <w:top w:val="none" w:sz="0" w:space="0" w:color="auto"/>
                <w:left w:val="none" w:sz="0" w:space="0" w:color="auto"/>
                <w:bottom w:val="none" w:sz="0" w:space="0" w:color="auto"/>
                <w:right w:val="none" w:sz="0" w:space="0" w:color="auto"/>
              </w:divBdr>
              <w:divsChild>
                <w:div w:id="589508455">
                  <w:marLeft w:val="0"/>
                  <w:marRight w:val="0"/>
                  <w:marTop w:val="0"/>
                  <w:marBottom w:val="0"/>
                  <w:divBdr>
                    <w:top w:val="none" w:sz="0" w:space="0" w:color="auto"/>
                    <w:left w:val="none" w:sz="0" w:space="0" w:color="auto"/>
                    <w:bottom w:val="none" w:sz="0" w:space="0" w:color="auto"/>
                    <w:right w:val="none" w:sz="0" w:space="0" w:color="auto"/>
                  </w:divBdr>
                </w:div>
              </w:divsChild>
            </w:div>
            <w:div w:id="461771043">
              <w:marLeft w:val="0"/>
              <w:marRight w:val="0"/>
              <w:marTop w:val="0"/>
              <w:marBottom w:val="0"/>
              <w:divBdr>
                <w:top w:val="none" w:sz="0" w:space="0" w:color="auto"/>
                <w:left w:val="none" w:sz="0" w:space="0" w:color="auto"/>
                <w:bottom w:val="none" w:sz="0" w:space="0" w:color="auto"/>
                <w:right w:val="none" w:sz="0" w:space="0" w:color="auto"/>
              </w:divBdr>
              <w:divsChild>
                <w:div w:id="1856383079">
                  <w:marLeft w:val="0"/>
                  <w:marRight w:val="0"/>
                  <w:marTop w:val="0"/>
                  <w:marBottom w:val="0"/>
                  <w:divBdr>
                    <w:top w:val="none" w:sz="0" w:space="0" w:color="auto"/>
                    <w:left w:val="none" w:sz="0" w:space="0" w:color="auto"/>
                    <w:bottom w:val="none" w:sz="0" w:space="0" w:color="auto"/>
                    <w:right w:val="none" w:sz="0" w:space="0" w:color="auto"/>
                  </w:divBdr>
                </w:div>
              </w:divsChild>
            </w:div>
            <w:div w:id="505902980">
              <w:marLeft w:val="0"/>
              <w:marRight w:val="0"/>
              <w:marTop w:val="0"/>
              <w:marBottom w:val="0"/>
              <w:divBdr>
                <w:top w:val="none" w:sz="0" w:space="0" w:color="auto"/>
                <w:left w:val="none" w:sz="0" w:space="0" w:color="auto"/>
                <w:bottom w:val="none" w:sz="0" w:space="0" w:color="auto"/>
                <w:right w:val="none" w:sz="0" w:space="0" w:color="auto"/>
              </w:divBdr>
              <w:divsChild>
                <w:div w:id="193887555">
                  <w:marLeft w:val="0"/>
                  <w:marRight w:val="0"/>
                  <w:marTop w:val="0"/>
                  <w:marBottom w:val="0"/>
                  <w:divBdr>
                    <w:top w:val="none" w:sz="0" w:space="0" w:color="auto"/>
                    <w:left w:val="none" w:sz="0" w:space="0" w:color="auto"/>
                    <w:bottom w:val="none" w:sz="0" w:space="0" w:color="auto"/>
                    <w:right w:val="none" w:sz="0" w:space="0" w:color="auto"/>
                  </w:divBdr>
                </w:div>
              </w:divsChild>
            </w:div>
            <w:div w:id="512110546">
              <w:marLeft w:val="0"/>
              <w:marRight w:val="0"/>
              <w:marTop w:val="0"/>
              <w:marBottom w:val="0"/>
              <w:divBdr>
                <w:top w:val="none" w:sz="0" w:space="0" w:color="auto"/>
                <w:left w:val="none" w:sz="0" w:space="0" w:color="auto"/>
                <w:bottom w:val="none" w:sz="0" w:space="0" w:color="auto"/>
                <w:right w:val="none" w:sz="0" w:space="0" w:color="auto"/>
              </w:divBdr>
              <w:divsChild>
                <w:div w:id="246697483">
                  <w:marLeft w:val="0"/>
                  <w:marRight w:val="0"/>
                  <w:marTop w:val="0"/>
                  <w:marBottom w:val="0"/>
                  <w:divBdr>
                    <w:top w:val="none" w:sz="0" w:space="0" w:color="auto"/>
                    <w:left w:val="none" w:sz="0" w:space="0" w:color="auto"/>
                    <w:bottom w:val="none" w:sz="0" w:space="0" w:color="auto"/>
                    <w:right w:val="none" w:sz="0" w:space="0" w:color="auto"/>
                  </w:divBdr>
                </w:div>
              </w:divsChild>
            </w:div>
            <w:div w:id="535702950">
              <w:marLeft w:val="0"/>
              <w:marRight w:val="0"/>
              <w:marTop w:val="0"/>
              <w:marBottom w:val="0"/>
              <w:divBdr>
                <w:top w:val="none" w:sz="0" w:space="0" w:color="auto"/>
                <w:left w:val="none" w:sz="0" w:space="0" w:color="auto"/>
                <w:bottom w:val="none" w:sz="0" w:space="0" w:color="auto"/>
                <w:right w:val="none" w:sz="0" w:space="0" w:color="auto"/>
              </w:divBdr>
              <w:divsChild>
                <w:div w:id="586352181">
                  <w:marLeft w:val="0"/>
                  <w:marRight w:val="0"/>
                  <w:marTop w:val="0"/>
                  <w:marBottom w:val="0"/>
                  <w:divBdr>
                    <w:top w:val="none" w:sz="0" w:space="0" w:color="auto"/>
                    <w:left w:val="none" w:sz="0" w:space="0" w:color="auto"/>
                    <w:bottom w:val="none" w:sz="0" w:space="0" w:color="auto"/>
                    <w:right w:val="none" w:sz="0" w:space="0" w:color="auto"/>
                  </w:divBdr>
                </w:div>
              </w:divsChild>
            </w:div>
            <w:div w:id="574314919">
              <w:marLeft w:val="0"/>
              <w:marRight w:val="0"/>
              <w:marTop w:val="0"/>
              <w:marBottom w:val="0"/>
              <w:divBdr>
                <w:top w:val="none" w:sz="0" w:space="0" w:color="auto"/>
                <w:left w:val="none" w:sz="0" w:space="0" w:color="auto"/>
                <w:bottom w:val="none" w:sz="0" w:space="0" w:color="auto"/>
                <w:right w:val="none" w:sz="0" w:space="0" w:color="auto"/>
              </w:divBdr>
              <w:divsChild>
                <w:div w:id="729429387">
                  <w:marLeft w:val="0"/>
                  <w:marRight w:val="0"/>
                  <w:marTop w:val="0"/>
                  <w:marBottom w:val="0"/>
                  <w:divBdr>
                    <w:top w:val="none" w:sz="0" w:space="0" w:color="auto"/>
                    <w:left w:val="none" w:sz="0" w:space="0" w:color="auto"/>
                    <w:bottom w:val="none" w:sz="0" w:space="0" w:color="auto"/>
                    <w:right w:val="none" w:sz="0" w:space="0" w:color="auto"/>
                  </w:divBdr>
                </w:div>
              </w:divsChild>
            </w:div>
            <w:div w:id="627131024">
              <w:marLeft w:val="0"/>
              <w:marRight w:val="0"/>
              <w:marTop w:val="0"/>
              <w:marBottom w:val="0"/>
              <w:divBdr>
                <w:top w:val="none" w:sz="0" w:space="0" w:color="auto"/>
                <w:left w:val="none" w:sz="0" w:space="0" w:color="auto"/>
                <w:bottom w:val="none" w:sz="0" w:space="0" w:color="auto"/>
                <w:right w:val="none" w:sz="0" w:space="0" w:color="auto"/>
              </w:divBdr>
              <w:divsChild>
                <w:div w:id="615060112">
                  <w:marLeft w:val="0"/>
                  <w:marRight w:val="0"/>
                  <w:marTop w:val="0"/>
                  <w:marBottom w:val="0"/>
                  <w:divBdr>
                    <w:top w:val="none" w:sz="0" w:space="0" w:color="auto"/>
                    <w:left w:val="none" w:sz="0" w:space="0" w:color="auto"/>
                    <w:bottom w:val="none" w:sz="0" w:space="0" w:color="auto"/>
                    <w:right w:val="none" w:sz="0" w:space="0" w:color="auto"/>
                  </w:divBdr>
                </w:div>
              </w:divsChild>
            </w:div>
            <w:div w:id="677121747">
              <w:marLeft w:val="0"/>
              <w:marRight w:val="0"/>
              <w:marTop w:val="0"/>
              <w:marBottom w:val="0"/>
              <w:divBdr>
                <w:top w:val="none" w:sz="0" w:space="0" w:color="auto"/>
                <w:left w:val="none" w:sz="0" w:space="0" w:color="auto"/>
                <w:bottom w:val="none" w:sz="0" w:space="0" w:color="auto"/>
                <w:right w:val="none" w:sz="0" w:space="0" w:color="auto"/>
              </w:divBdr>
              <w:divsChild>
                <w:div w:id="325938508">
                  <w:marLeft w:val="0"/>
                  <w:marRight w:val="0"/>
                  <w:marTop w:val="0"/>
                  <w:marBottom w:val="0"/>
                  <w:divBdr>
                    <w:top w:val="none" w:sz="0" w:space="0" w:color="auto"/>
                    <w:left w:val="none" w:sz="0" w:space="0" w:color="auto"/>
                    <w:bottom w:val="none" w:sz="0" w:space="0" w:color="auto"/>
                    <w:right w:val="none" w:sz="0" w:space="0" w:color="auto"/>
                  </w:divBdr>
                </w:div>
              </w:divsChild>
            </w:div>
            <w:div w:id="720788032">
              <w:marLeft w:val="0"/>
              <w:marRight w:val="0"/>
              <w:marTop w:val="0"/>
              <w:marBottom w:val="0"/>
              <w:divBdr>
                <w:top w:val="none" w:sz="0" w:space="0" w:color="auto"/>
                <w:left w:val="none" w:sz="0" w:space="0" w:color="auto"/>
                <w:bottom w:val="none" w:sz="0" w:space="0" w:color="auto"/>
                <w:right w:val="none" w:sz="0" w:space="0" w:color="auto"/>
              </w:divBdr>
              <w:divsChild>
                <w:div w:id="1892577359">
                  <w:marLeft w:val="0"/>
                  <w:marRight w:val="0"/>
                  <w:marTop w:val="0"/>
                  <w:marBottom w:val="0"/>
                  <w:divBdr>
                    <w:top w:val="none" w:sz="0" w:space="0" w:color="auto"/>
                    <w:left w:val="none" w:sz="0" w:space="0" w:color="auto"/>
                    <w:bottom w:val="none" w:sz="0" w:space="0" w:color="auto"/>
                    <w:right w:val="none" w:sz="0" w:space="0" w:color="auto"/>
                  </w:divBdr>
                </w:div>
              </w:divsChild>
            </w:div>
            <w:div w:id="941496324">
              <w:marLeft w:val="0"/>
              <w:marRight w:val="0"/>
              <w:marTop w:val="0"/>
              <w:marBottom w:val="0"/>
              <w:divBdr>
                <w:top w:val="none" w:sz="0" w:space="0" w:color="auto"/>
                <w:left w:val="none" w:sz="0" w:space="0" w:color="auto"/>
                <w:bottom w:val="none" w:sz="0" w:space="0" w:color="auto"/>
                <w:right w:val="none" w:sz="0" w:space="0" w:color="auto"/>
              </w:divBdr>
              <w:divsChild>
                <w:div w:id="1401176350">
                  <w:marLeft w:val="0"/>
                  <w:marRight w:val="0"/>
                  <w:marTop w:val="0"/>
                  <w:marBottom w:val="0"/>
                  <w:divBdr>
                    <w:top w:val="none" w:sz="0" w:space="0" w:color="auto"/>
                    <w:left w:val="none" w:sz="0" w:space="0" w:color="auto"/>
                    <w:bottom w:val="none" w:sz="0" w:space="0" w:color="auto"/>
                    <w:right w:val="none" w:sz="0" w:space="0" w:color="auto"/>
                  </w:divBdr>
                </w:div>
              </w:divsChild>
            </w:div>
            <w:div w:id="1142622905">
              <w:marLeft w:val="0"/>
              <w:marRight w:val="0"/>
              <w:marTop w:val="0"/>
              <w:marBottom w:val="0"/>
              <w:divBdr>
                <w:top w:val="none" w:sz="0" w:space="0" w:color="auto"/>
                <w:left w:val="none" w:sz="0" w:space="0" w:color="auto"/>
                <w:bottom w:val="none" w:sz="0" w:space="0" w:color="auto"/>
                <w:right w:val="none" w:sz="0" w:space="0" w:color="auto"/>
              </w:divBdr>
              <w:divsChild>
                <w:div w:id="454492775">
                  <w:marLeft w:val="0"/>
                  <w:marRight w:val="0"/>
                  <w:marTop w:val="0"/>
                  <w:marBottom w:val="0"/>
                  <w:divBdr>
                    <w:top w:val="none" w:sz="0" w:space="0" w:color="auto"/>
                    <w:left w:val="none" w:sz="0" w:space="0" w:color="auto"/>
                    <w:bottom w:val="none" w:sz="0" w:space="0" w:color="auto"/>
                    <w:right w:val="none" w:sz="0" w:space="0" w:color="auto"/>
                  </w:divBdr>
                </w:div>
              </w:divsChild>
            </w:div>
            <w:div w:id="1738548389">
              <w:marLeft w:val="0"/>
              <w:marRight w:val="0"/>
              <w:marTop w:val="0"/>
              <w:marBottom w:val="0"/>
              <w:divBdr>
                <w:top w:val="none" w:sz="0" w:space="0" w:color="auto"/>
                <w:left w:val="none" w:sz="0" w:space="0" w:color="auto"/>
                <w:bottom w:val="none" w:sz="0" w:space="0" w:color="auto"/>
                <w:right w:val="none" w:sz="0" w:space="0" w:color="auto"/>
              </w:divBdr>
              <w:divsChild>
                <w:div w:id="1647467976">
                  <w:marLeft w:val="0"/>
                  <w:marRight w:val="0"/>
                  <w:marTop w:val="0"/>
                  <w:marBottom w:val="0"/>
                  <w:divBdr>
                    <w:top w:val="none" w:sz="0" w:space="0" w:color="auto"/>
                    <w:left w:val="none" w:sz="0" w:space="0" w:color="auto"/>
                    <w:bottom w:val="none" w:sz="0" w:space="0" w:color="auto"/>
                    <w:right w:val="none" w:sz="0" w:space="0" w:color="auto"/>
                  </w:divBdr>
                </w:div>
              </w:divsChild>
            </w:div>
            <w:div w:id="1921518820">
              <w:marLeft w:val="0"/>
              <w:marRight w:val="0"/>
              <w:marTop w:val="0"/>
              <w:marBottom w:val="0"/>
              <w:divBdr>
                <w:top w:val="none" w:sz="0" w:space="0" w:color="auto"/>
                <w:left w:val="none" w:sz="0" w:space="0" w:color="auto"/>
                <w:bottom w:val="none" w:sz="0" w:space="0" w:color="auto"/>
                <w:right w:val="none" w:sz="0" w:space="0" w:color="auto"/>
              </w:divBdr>
              <w:divsChild>
                <w:div w:id="1390615607">
                  <w:marLeft w:val="0"/>
                  <w:marRight w:val="0"/>
                  <w:marTop w:val="0"/>
                  <w:marBottom w:val="0"/>
                  <w:divBdr>
                    <w:top w:val="none" w:sz="0" w:space="0" w:color="auto"/>
                    <w:left w:val="none" w:sz="0" w:space="0" w:color="auto"/>
                    <w:bottom w:val="none" w:sz="0" w:space="0" w:color="auto"/>
                    <w:right w:val="none" w:sz="0" w:space="0" w:color="auto"/>
                  </w:divBdr>
                </w:div>
              </w:divsChild>
            </w:div>
            <w:div w:id="1929927981">
              <w:marLeft w:val="0"/>
              <w:marRight w:val="0"/>
              <w:marTop w:val="0"/>
              <w:marBottom w:val="0"/>
              <w:divBdr>
                <w:top w:val="none" w:sz="0" w:space="0" w:color="auto"/>
                <w:left w:val="none" w:sz="0" w:space="0" w:color="auto"/>
                <w:bottom w:val="none" w:sz="0" w:space="0" w:color="auto"/>
                <w:right w:val="none" w:sz="0" w:space="0" w:color="auto"/>
              </w:divBdr>
              <w:divsChild>
                <w:div w:id="705526962">
                  <w:marLeft w:val="0"/>
                  <w:marRight w:val="0"/>
                  <w:marTop w:val="0"/>
                  <w:marBottom w:val="0"/>
                  <w:divBdr>
                    <w:top w:val="none" w:sz="0" w:space="0" w:color="auto"/>
                    <w:left w:val="none" w:sz="0" w:space="0" w:color="auto"/>
                    <w:bottom w:val="none" w:sz="0" w:space="0" w:color="auto"/>
                    <w:right w:val="none" w:sz="0" w:space="0" w:color="auto"/>
                  </w:divBdr>
                </w:div>
              </w:divsChild>
            </w:div>
            <w:div w:id="1962304057">
              <w:marLeft w:val="0"/>
              <w:marRight w:val="0"/>
              <w:marTop w:val="0"/>
              <w:marBottom w:val="0"/>
              <w:divBdr>
                <w:top w:val="none" w:sz="0" w:space="0" w:color="auto"/>
                <w:left w:val="none" w:sz="0" w:space="0" w:color="auto"/>
                <w:bottom w:val="none" w:sz="0" w:space="0" w:color="auto"/>
                <w:right w:val="none" w:sz="0" w:space="0" w:color="auto"/>
              </w:divBdr>
              <w:divsChild>
                <w:div w:id="131796986">
                  <w:marLeft w:val="0"/>
                  <w:marRight w:val="0"/>
                  <w:marTop w:val="0"/>
                  <w:marBottom w:val="0"/>
                  <w:divBdr>
                    <w:top w:val="none" w:sz="0" w:space="0" w:color="auto"/>
                    <w:left w:val="none" w:sz="0" w:space="0" w:color="auto"/>
                    <w:bottom w:val="none" w:sz="0" w:space="0" w:color="auto"/>
                    <w:right w:val="none" w:sz="0" w:space="0" w:color="auto"/>
                  </w:divBdr>
                </w:div>
              </w:divsChild>
            </w:div>
            <w:div w:id="2034375862">
              <w:marLeft w:val="0"/>
              <w:marRight w:val="0"/>
              <w:marTop w:val="0"/>
              <w:marBottom w:val="0"/>
              <w:divBdr>
                <w:top w:val="none" w:sz="0" w:space="0" w:color="auto"/>
                <w:left w:val="none" w:sz="0" w:space="0" w:color="auto"/>
                <w:bottom w:val="none" w:sz="0" w:space="0" w:color="auto"/>
                <w:right w:val="none" w:sz="0" w:space="0" w:color="auto"/>
              </w:divBdr>
              <w:divsChild>
                <w:div w:id="2131238240">
                  <w:marLeft w:val="0"/>
                  <w:marRight w:val="0"/>
                  <w:marTop w:val="0"/>
                  <w:marBottom w:val="0"/>
                  <w:divBdr>
                    <w:top w:val="none" w:sz="0" w:space="0" w:color="auto"/>
                    <w:left w:val="none" w:sz="0" w:space="0" w:color="auto"/>
                    <w:bottom w:val="none" w:sz="0" w:space="0" w:color="auto"/>
                    <w:right w:val="none" w:sz="0" w:space="0" w:color="auto"/>
                  </w:divBdr>
                </w:div>
              </w:divsChild>
            </w:div>
            <w:div w:id="2073969038">
              <w:marLeft w:val="0"/>
              <w:marRight w:val="0"/>
              <w:marTop w:val="0"/>
              <w:marBottom w:val="0"/>
              <w:divBdr>
                <w:top w:val="none" w:sz="0" w:space="0" w:color="auto"/>
                <w:left w:val="none" w:sz="0" w:space="0" w:color="auto"/>
                <w:bottom w:val="none" w:sz="0" w:space="0" w:color="auto"/>
                <w:right w:val="none" w:sz="0" w:space="0" w:color="auto"/>
              </w:divBdr>
              <w:divsChild>
                <w:div w:id="768355261">
                  <w:marLeft w:val="0"/>
                  <w:marRight w:val="0"/>
                  <w:marTop w:val="0"/>
                  <w:marBottom w:val="0"/>
                  <w:divBdr>
                    <w:top w:val="none" w:sz="0" w:space="0" w:color="auto"/>
                    <w:left w:val="none" w:sz="0" w:space="0" w:color="auto"/>
                    <w:bottom w:val="none" w:sz="0" w:space="0" w:color="auto"/>
                    <w:right w:val="none" w:sz="0" w:space="0" w:color="auto"/>
                  </w:divBdr>
                </w:div>
              </w:divsChild>
            </w:div>
            <w:div w:id="2116711496">
              <w:marLeft w:val="0"/>
              <w:marRight w:val="0"/>
              <w:marTop w:val="0"/>
              <w:marBottom w:val="0"/>
              <w:divBdr>
                <w:top w:val="none" w:sz="0" w:space="0" w:color="auto"/>
                <w:left w:val="none" w:sz="0" w:space="0" w:color="auto"/>
                <w:bottom w:val="none" w:sz="0" w:space="0" w:color="auto"/>
                <w:right w:val="none" w:sz="0" w:space="0" w:color="auto"/>
              </w:divBdr>
              <w:divsChild>
                <w:div w:id="1279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6019">
      <w:bodyDiv w:val="1"/>
      <w:marLeft w:val="0"/>
      <w:marRight w:val="0"/>
      <w:marTop w:val="0"/>
      <w:marBottom w:val="0"/>
      <w:divBdr>
        <w:top w:val="none" w:sz="0" w:space="0" w:color="auto"/>
        <w:left w:val="none" w:sz="0" w:space="0" w:color="auto"/>
        <w:bottom w:val="none" w:sz="0" w:space="0" w:color="auto"/>
        <w:right w:val="none" w:sz="0" w:space="0" w:color="auto"/>
      </w:divBdr>
    </w:div>
    <w:div w:id="183399925">
      <w:bodyDiv w:val="1"/>
      <w:marLeft w:val="0"/>
      <w:marRight w:val="0"/>
      <w:marTop w:val="0"/>
      <w:marBottom w:val="0"/>
      <w:divBdr>
        <w:top w:val="none" w:sz="0" w:space="0" w:color="auto"/>
        <w:left w:val="none" w:sz="0" w:space="0" w:color="auto"/>
        <w:bottom w:val="none" w:sz="0" w:space="0" w:color="auto"/>
        <w:right w:val="none" w:sz="0" w:space="0" w:color="auto"/>
      </w:divBdr>
    </w:div>
    <w:div w:id="242692076">
      <w:bodyDiv w:val="1"/>
      <w:marLeft w:val="0"/>
      <w:marRight w:val="0"/>
      <w:marTop w:val="0"/>
      <w:marBottom w:val="0"/>
      <w:divBdr>
        <w:top w:val="none" w:sz="0" w:space="0" w:color="auto"/>
        <w:left w:val="none" w:sz="0" w:space="0" w:color="auto"/>
        <w:bottom w:val="none" w:sz="0" w:space="0" w:color="auto"/>
        <w:right w:val="none" w:sz="0" w:space="0" w:color="auto"/>
      </w:divBdr>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340356020">
      <w:bodyDiv w:val="1"/>
      <w:marLeft w:val="0"/>
      <w:marRight w:val="0"/>
      <w:marTop w:val="0"/>
      <w:marBottom w:val="0"/>
      <w:divBdr>
        <w:top w:val="none" w:sz="0" w:space="0" w:color="auto"/>
        <w:left w:val="none" w:sz="0" w:space="0" w:color="auto"/>
        <w:bottom w:val="none" w:sz="0" w:space="0" w:color="auto"/>
        <w:right w:val="none" w:sz="0" w:space="0" w:color="auto"/>
      </w:divBdr>
    </w:div>
    <w:div w:id="428736609">
      <w:bodyDiv w:val="1"/>
      <w:marLeft w:val="0"/>
      <w:marRight w:val="0"/>
      <w:marTop w:val="0"/>
      <w:marBottom w:val="0"/>
      <w:divBdr>
        <w:top w:val="none" w:sz="0" w:space="0" w:color="auto"/>
        <w:left w:val="none" w:sz="0" w:space="0" w:color="auto"/>
        <w:bottom w:val="none" w:sz="0" w:space="0" w:color="auto"/>
        <w:right w:val="none" w:sz="0" w:space="0" w:color="auto"/>
      </w:divBdr>
    </w:div>
    <w:div w:id="444733991">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30656185">
      <w:bodyDiv w:val="1"/>
      <w:marLeft w:val="0"/>
      <w:marRight w:val="0"/>
      <w:marTop w:val="0"/>
      <w:marBottom w:val="0"/>
      <w:divBdr>
        <w:top w:val="none" w:sz="0" w:space="0" w:color="auto"/>
        <w:left w:val="none" w:sz="0" w:space="0" w:color="auto"/>
        <w:bottom w:val="none" w:sz="0" w:space="0" w:color="auto"/>
        <w:right w:val="none" w:sz="0" w:space="0" w:color="auto"/>
      </w:divBdr>
    </w:div>
    <w:div w:id="531042461">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3921939">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639306960">
      <w:bodyDiv w:val="1"/>
      <w:marLeft w:val="0"/>
      <w:marRight w:val="0"/>
      <w:marTop w:val="0"/>
      <w:marBottom w:val="0"/>
      <w:divBdr>
        <w:top w:val="none" w:sz="0" w:space="0" w:color="auto"/>
        <w:left w:val="none" w:sz="0" w:space="0" w:color="auto"/>
        <w:bottom w:val="none" w:sz="0" w:space="0" w:color="auto"/>
        <w:right w:val="none" w:sz="0" w:space="0" w:color="auto"/>
      </w:divBdr>
    </w:div>
    <w:div w:id="661737369">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42681322">
      <w:bodyDiv w:val="1"/>
      <w:marLeft w:val="0"/>
      <w:marRight w:val="0"/>
      <w:marTop w:val="0"/>
      <w:marBottom w:val="0"/>
      <w:divBdr>
        <w:top w:val="none" w:sz="0" w:space="0" w:color="auto"/>
        <w:left w:val="none" w:sz="0" w:space="0" w:color="auto"/>
        <w:bottom w:val="none" w:sz="0" w:space="0" w:color="auto"/>
        <w:right w:val="none" w:sz="0" w:space="0" w:color="auto"/>
      </w:divBdr>
    </w:div>
    <w:div w:id="765730132">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795560669">
      <w:bodyDiv w:val="1"/>
      <w:marLeft w:val="0"/>
      <w:marRight w:val="0"/>
      <w:marTop w:val="0"/>
      <w:marBottom w:val="0"/>
      <w:divBdr>
        <w:top w:val="none" w:sz="0" w:space="0" w:color="auto"/>
        <w:left w:val="none" w:sz="0" w:space="0" w:color="auto"/>
        <w:bottom w:val="none" w:sz="0" w:space="0" w:color="auto"/>
        <w:right w:val="none" w:sz="0" w:space="0" w:color="auto"/>
      </w:divBdr>
    </w:div>
    <w:div w:id="832380031">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56894785">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7519473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939530551">
      <w:bodyDiv w:val="1"/>
      <w:marLeft w:val="0"/>
      <w:marRight w:val="0"/>
      <w:marTop w:val="0"/>
      <w:marBottom w:val="0"/>
      <w:divBdr>
        <w:top w:val="none" w:sz="0" w:space="0" w:color="auto"/>
        <w:left w:val="none" w:sz="0" w:space="0" w:color="auto"/>
        <w:bottom w:val="none" w:sz="0" w:space="0" w:color="auto"/>
        <w:right w:val="none" w:sz="0" w:space="0" w:color="auto"/>
      </w:divBdr>
    </w:div>
    <w:div w:id="994914627">
      <w:bodyDiv w:val="1"/>
      <w:marLeft w:val="0"/>
      <w:marRight w:val="0"/>
      <w:marTop w:val="0"/>
      <w:marBottom w:val="0"/>
      <w:divBdr>
        <w:top w:val="none" w:sz="0" w:space="0" w:color="auto"/>
        <w:left w:val="none" w:sz="0" w:space="0" w:color="auto"/>
        <w:bottom w:val="none" w:sz="0" w:space="0" w:color="auto"/>
        <w:right w:val="none" w:sz="0" w:space="0" w:color="auto"/>
      </w:divBdr>
    </w:div>
    <w:div w:id="996419802">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39935056">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77704871">
      <w:bodyDiv w:val="1"/>
      <w:marLeft w:val="0"/>
      <w:marRight w:val="0"/>
      <w:marTop w:val="0"/>
      <w:marBottom w:val="0"/>
      <w:divBdr>
        <w:top w:val="none" w:sz="0" w:space="0" w:color="auto"/>
        <w:left w:val="none" w:sz="0" w:space="0" w:color="auto"/>
        <w:bottom w:val="none" w:sz="0" w:space="0" w:color="auto"/>
        <w:right w:val="none" w:sz="0" w:space="0" w:color="auto"/>
      </w:divBdr>
    </w:div>
    <w:div w:id="1078206456">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14180019">
      <w:bodyDiv w:val="1"/>
      <w:marLeft w:val="0"/>
      <w:marRight w:val="0"/>
      <w:marTop w:val="0"/>
      <w:marBottom w:val="0"/>
      <w:divBdr>
        <w:top w:val="none" w:sz="0" w:space="0" w:color="auto"/>
        <w:left w:val="none" w:sz="0" w:space="0" w:color="auto"/>
        <w:bottom w:val="none" w:sz="0" w:space="0" w:color="auto"/>
        <w:right w:val="none" w:sz="0" w:space="0" w:color="auto"/>
      </w:divBdr>
    </w:div>
    <w:div w:id="1135097476">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79854529">
      <w:bodyDiv w:val="1"/>
      <w:marLeft w:val="0"/>
      <w:marRight w:val="0"/>
      <w:marTop w:val="0"/>
      <w:marBottom w:val="0"/>
      <w:divBdr>
        <w:top w:val="none" w:sz="0" w:space="0" w:color="auto"/>
        <w:left w:val="none" w:sz="0" w:space="0" w:color="auto"/>
        <w:bottom w:val="none" w:sz="0" w:space="0" w:color="auto"/>
        <w:right w:val="none" w:sz="0" w:space="0" w:color="auto"/>
      </w:divBdr>
    </w:div>
    <w:div w:id="1190684410">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27181589">
      <w:bodyDiv w:val="1"/>
      <w:marLeft w:val="0"/>
      <w:marRight w:val="0"/>
      <w:marTop w:val="0"/>
      <w:marBottom w:val="0"/>
      <w:divBdr>
        <w:top w:val="none" w:sz="0" w:space="0" w:color="auto"/>
        <w:left w:val="none" w:sz="0" w:space="0" w:color="auto"/>
        <w:bottom w:val="none" w:sz="0" w:space="0" w:color="auto"/>
        <w:right w:val="none" w:sz="0" w:space="0" w:color="auto"/>
      </w:divBdr>
    </w:div>
    <w:div w:id="1238201833">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297566289">
      <w:bodyDiv w:val="1"/>
      <w:marLeft w:val="0"/>
      <w:marRight w:val="0"/>
      <w:marTop w:val="0"/>
      <w:marBottom w:val="0"/>
      <w:divBdr>
        <w:top w:val="none" w:sz="0" w:space="0" w:color="auto"/>
        <w:left w:val="none" w:sz="0" w:space="0" w:color="auto"/>
        <w:bottom w:val="none" w:sz="0" w:space="0" w:color="auto"/>
        <w:right w:val="none" w:sz="0" w:space="0" w:color="auto"/>
      </w:divBdr>
    </w:div>
    <w:div w:id="1299263540">
      <w:bodyDiv w:val="1"/>
      <w:marLeft w:val="0"/>
      <w:marRight w:val="0"/>
      <w:marTop w:val="0"/>
      <w:marBottom w:val="0"/>
      <w:divBdr>
        <w:top w:val="none" w:sz="0" w:space="0" w:color="auto"/>
        <w:left w:val="none" w:sz="0" w:space="0" w:color="auto"/>
        <w:bottom w:val="none" w:sz="0" w:space="0" w:color="auto"/>
        <w:right w:val="none" w:sz="0" w:space="0" w:color="auto"/>
      </w:divBdr>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338580947">
      <w:bodyDiv w:val="1"/>
      <w:marLeft w:val="0"/>
      <w:marRight w:val="0"/>
      <w:marTop w:val="0"/>
      <w:marBottom w:val="0"/>
      <w:divBdr>
        <w:top w:val="none" w:sz="0" w:space="0" w:color="auto"/>
        <w:left w:val="none" w:sz="0" w:space="0" w:color="auto"/>
        <w:bottom w:val="none" w:sz="0" w:space="0" w:color="auto"/>
        <w:right w:val="none" w:sz="0" w:space="0" w:color="auto"/>
      </w:divBdr>
    </w:div>
    <w:div w:id="1351681342">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36486783">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66318522">
      <w:bodyDiv w:val="1"/>
      <w:marLeft w:val="0"/>
      <w:marRight w:val="0"/>
      <w:marTop w:val="0"/>
      <w:marBottom w:val="0"/>
      <w:divBdr>
        <w:top w:val="none" w:sz="0" w:space="0" w:color="auto"/>
        <w:left w:val="none" w:sz="0" w:space="0" w:color="auto"/>
        <w:bottom w:val="none" w:sz="0" w:space="0" w:color="auto"/>
        <w:right w:val="none" w:sz="0" w:space="0" w:color="auto"/>
      </w:divBdr>
    </w:div>
    <w:div w:id="1468353521">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506748246">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35268138">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43901014">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56088701">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591233845">
      <w:bodyDiv w:val="1"/>
      <w:marLeft w:val="0"/>
      <w:marRight w:val="0"/>
      <w:marTop w:val="0"/>
      <w:marBottom w:val="0"/>
      <w:divBdr>
        <w:top w:val="none" w:sz="0" w:space="0" w:color="auto"/>
        <w:left w:val="none" w:sz="0" w:space="0" w:color="auto"/>
        <w:bottom w:val="none" w:sz="0" w:space="0" w:color="auto"/>
        <w:right w:val="none" w:sz="0" w:space="0" w:color="auto"/>
      </w:divBdr>
    </w:div>
    <w:div w:id="1608343811">
      <w:bodyDiv w:val="1"/>
      <w:marLeft w:val="0"/>
      <w:marRight w:val="0"/>
      <w:marTop w:val="0"/>
      <w:marBottom w:val="0"/>
      <w:divBdr>
        <w:top w:val="none" w:sz="0" w:space="0" w:color="auto"/>
        <w:left w:val="none" w:sz="0" w:space="0" w:color="auto"/>
        <w:bottom w:val="none" w:sz="0" w:space="0" w:color="auto"/>
        <w:right w:val="none" w:sz="0" w:space="0" w:color="auto"/>
      </w:divBdr>
    </w:div>
    <w:div w:id="1611693618">
      <w:bodyDiv w:val="1"/>
      <w:marLeft w:val="0"/>
      <w:marRight w:val="0"/>
      <w:marTop w:val="0"/>
      <w:marBottom w:val="0"/>
      <w:divBdr>
        <w:top w:val="none" w:sz="0" w:space="0" w:color="auto"/>
        <w:left w:val="none" w:sz="0" w:space="0" w:color="auto"/>
        <w:bottom w:val="none" w:sz="0" w:space="0" w:color="auto"/>
        <w:right w:val="none" w:sz="0" w:space="0" w:color="auto"/>
      </w:divBdr>
    </w:div>
    <w:div w:id="1618633298">
      <w:bodyDiv w:val="1"/>
      <w:marLeft w:val="0"/>
      <w:marRight w:val="0"/>
      <w:marTop w:val="0"/>
      <w:marBottom w:val="0"/>
      <w:divBdr>
        <w:top w:val="none" w:sz="0" w:space="0" w:color="auto"/>
        <w:left w:val="none" w:sz="0" w:space="0" w:color="auto"/>
        <w:bottom w:val="none" w:sz="0" w:space="0" w:color="auto"/>
        <w:right w:val="none" w:sz="0" w:space="0" w:color="auto"/>
      </w:divBdr>
    </w:div>
    <w:div w:id="1621765414">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63385924">
      <w:bodyDiv w:val="1"/>
      <w:marLeft w:val="0"/>
      <w:marRight w:val="0"/>
      <w:marTop w:val="0"/>
      <w:marBottom w:val="0"/>
      <w:divBdr>
        <w:top w:val="none" w:sz="0" w:space="0" w:color="auto"/>
        <w:left w:val="none" w:sz="0" w:space="0" w:color="auto"/>
        <w:bottom w:val="none" w:sz="0" w:space="0" w:color="auto"/>
        <w:right w:val="none" w:sz="0" w:space="0" w:color="auto"/>
      </w:divBdr>
    </w:div>
    <w:div w:id="1665621116">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24986507">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0668496">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82147177">
      <w:bodyDiv w:val="1"/>
      <w:marLeft w:val="0"/>
      <w:marRight w:val="0"/>
      <w:marTop w:val="0"/>
      <w:marBottom w:val="0"/>
      <w:divBdr>
        <w:top w:val="none" w:sz="0" w:space="0" w:color="auto"/>
        <w:left w:val="none" w:sz="0" w:space="0" w:color="auto"/>
        <w:bottom w:val="none" w:sz="0" w:space="0" w:color="auto"/>
        <w:right w:val="none" w:sz="0" w:space="0" w:color="auto"/>
      </w:divBdr>
    </w:div>
    <w:div w:id="1796944343">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0486722">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30556680">
      <w:bodyDiv w:val="1"/>
      <w:marLeft w:val="0"/>
      <w:marRight w:val="0"/>
      <w:marTop w:val="0"/>
      <w:marBottom w:val="0"/>
      <w:divBdr>
        <w:top w:val="none" w:sz="0" w:space="0" w:color="auto"/>
        <w:left w:val="none" w:sz="0" w:space="0" w:color="auto"/>
        <w:bottom w:val="none" w:sz="0" w:space="0" w:color="auto"/>
        <w:right w:val="none" w:sz="0" w:space="0" w:color="auto"/>
      </w:divBdr>
    </w:div>
    <w:div w:id="1845319775">
      <w:bodyDiv w:val="1"/>
      <w:marLeft w:val="0"/>
      <w:marRight w:val="0"/>
      <w:marTop w:val="0"/>
      <w:marBottom w:val="0"/>
      <w:divBdr>
        <w:top w:val="none" w:sz="0" w:space="0" w:color="auto"/>
        <w:left w:val="none" w:sz="0" w:space="0" w:color="auto"/>
        <w:bottom w:val="none" w:sz="0" w:space="0" w:color="auto"/>
        <w:right w:val="none" w:sz="0" w:space="0" w:color="auto"/>
      </w:divBdr>
    </w:div>
    <w:div w:id="1860242357">
      <w:bodyDiv w:val="1"/>
      <w:marLeft w:val="0"/>
      <w:marRight w:val="0"/>
      <w:marTop w:val="0"/>
      <w:marBottom w:val="0"/>
      <w:divBdr>
        <w:top w:val="none" w:sz="0" w:space="0" w:color="auto"/>
        <w:left w:val="none" w:sz="0" w:space="0" w:color="auto"/>
        <w:bottom w:val="none" w:sz="0" w:space="0" w:color="auto"/>
        <w:right w:val="none" w:sz="0" w:space="0" w:color="auto"/>
      </w:divBdr>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946419279">
      <w:bodyDiv w:val="1"/>
      <w:marLeft w:val="0"/>
      <w:marRight w:val="0"/>
      <w:marTop w:val="0"/>
      <w:marBottom w:val="0"/>
      <w:divBdr>
        <w:top w:val="none" w:sz="0" w:space="0" w:color="auto"/>
        <w:left w:val="none" w:sz="0" w:space="0" w:color="auto"/>
        <w:bottom w:val="none" w:sz="0" w:space="0" w:color="auto"/>
        <w:right w:val="none" w:sz="0" w:space="0" w:color="auto"/>
      </w:divBdr>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28746385">
      <w:bodyDiv w:val="1"/>
      <w:marLeft w:val="0"/>
      <w:marRight w:val="0"/>
      <w:marTop w:val="0"/>
      <w:marBottom w:val="0"/>
      <w:divBdr>
        <w:top w:val="none" w:sz="0" w:space="0" w:color="auto"/>
        <w:left w:val="none" w:sz="0" w:space="0" w:color="auto"/>
        <w:bottom w:val="none" w:sz="0" w:space="0" w:color="auto"/>
        <w:right w:val="none" w:sz="0" w:space="0" w:color="auto"/>
      </w:divBdr>
    </w:div>
    <w:div w:id="2036345703">
      <w:bodyDiv w:val="1"/>
      <w:marLeft w:val="0"/>
      <w:marRight w:val="0"/>
      <w:marTop w:val="0"/>
      <w:marBottom w:val="0"/>
      <w:divBdr>
        <w:top w:val="none" w:sz="0" w:space="0" w:color="auto"/>
        <w:left w:val="none" w:sz="0" w:space="0" w:color="auto"/>
        <w:bottom w:val="none" w:sz="0" w:space="0" w:color="auto"/>
        <w:right w:val="none" w:sz="0" w:space="0" w:color="auto"/>
      </w:divBdr>
    </w:div>
    <w:div w:id="2043937535">
      <w:bodyDiv w:val="1"/>
      <w:marLeft w:val="0"/>
      <w:marRight w:val="0"/>
      <w:marTop w:val="0"/>
      <w:marBottom w:val="0"/>
      <w:divBdr>
        <w:top w:val="none" w:sz="0" w:space="0" w:color="auto"/>
        <w:left w:val="none" w:sz="0" w:space="0" w:color="auto"/>
        <w:bottom w:val="none" w:sz="0" w:space="0" w:color="auto"/>
        <w:right w:val="none" w:sz="0" w:space="0" w:color="auto"/>
      </w:divBdr>
    </w:div>
    <w:div w:id="2061710336">
      <w:bodyDiv w:val="1"/>
      <w:marLeft w:val="0"/>
      <w:marRight w:val="0"/>
      <w:marTop w:val="0"/>
      <w:marBottom w:val="0"/>
      <w:divBdr>
        <w:top w:val="none" w:sz="0" w:space="0" w:color="auto"/>
        <w:left w:val="none" w:sz="0" w:space="0" w:color="auto"/>
        <w:bottom w:val="none" w:sz="0" w:space="0" w:color="auto"/>
        <w:right w:val="none" w:sz="0" w:space="0" w:color="auto"/>
      </w:divBdr>
    </w:div>
    <w:div w:id="2074355701">
      <w:bodyDiv w:val="1"/>
      <w:marLeft w:val="0"/>
      <w:marRight w:val="0"/>
      <w:marTop w:val="0"/>
      <w:marBottom w:val="0"/>
      <w:divBdr>
        <w:top w:val="none" w:sz="0" w:space="0" w:color="auto"/>
        <w:left w:val="none" w:sz="0" w:space="0" w:color="auto"/>
        <w:bottom w:val="none" w:sz="0" w:space="0" w:color="auto"/>
        <w:right w:val="none" w:sz="0" w:space="0" w:color="auto"/>
      </w:divBdr>
    </w:div>
    <w:div w:id="2077193480">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 w:id="2095395586">
      <w:bodyDiv w:val="1"/>
      <w:marLeft w:val="0"/>
      <w:marRight w:val="0"/>
      <w:marTop w:val="0"/>
      <w:marBottom w:val="0"/>
      <w:divBdr>
        <w:top w:val="none" w:sz="0" w:space="0" w:color="auto"/>
        <w:left w:val="none" w:sz="0" w:space="0" w:color="auto"/>
        <w:bottom w:val="none" w:sz="0" w:space="0" w:color="auto"/>
        <w:right w:val="none" w:sz="0" w:space="0" w:color="auto"/>
      </w:divBdr>
    </w:div>
    <w:div w:id="21361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nnabel.hodder@hants.gov.uk" TargetMode="External" Id="rId13" /><Relationship Type="http://schemas.openxmlformats.org/officeDocument/2006/relationships/hyperlink" Target="https://www.gov.uk/government/publications/national-insurance-contributions-nics-grant-for-2025-to-2026"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hyperlink" Target="mailto:andrew.minall@hants.gov.uk" TargetMode="External" Id="rId12" /><Relationship Type="http://schemas.openxmlformats.org/officeDocument/2006/relationships/hyperlink" Target="https://www.gov.uk/government/publications/early-years-national-insurance-contributions-and-teachers-pay-grant-ey-ntpg-for-2025-to-2026" TargetMode="External" Id="rId17" /><Relationship Type="http://schemas.openxmlformats.org/officeDocument/2006/relationships/customXml" Target="../customXml/item2.xml" Id="rId2" /><Relationship Type="http://schemas.openxmlformats.org/officeDocument/2006/relationships/hyperlink" Target="https://www.gov.uk/government/publications/schools-budget-support-grant-sbsg" TargetMode="External" Id="rId16" /><Relationship Type="http://schemas.openxmlformats.org/officeDocument/2006/relationships/hyperlink" Target="https://www.gov.uk/government/publications/spending-review-2025-document/spending-review-2025-html"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gov.uk/government/publications/core-schools-budget-grant-csbg-2025-to-2026-for-special-schools-and-alternative-provision"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www.gov.uk/government/publications/post-16-national-insurance-contributions-nics-grant"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gemma.anderson@hants.gov.uk" TargetMode="External" Id="rId14" /><Relationship Type="http://schemas.openxmlformats.org/officeDocument/2006/relationships/fontTable" Target="fontTable.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3DA4A4506724C8F7B650037CCADD2" ma:contentTypeVersion="8" ma:contentTypeDescription="Create a new document." ma:contentTypeScope="" ma:versionID="e288fbcd730059376e80fbb08afb5b85">
  <xsd:schema xmlns:xsd="http://www.w3.org/2001/XMLSchema" xmlns:xs="http://www.w3.org/2001/XMLSchema" xmlns:p="http://schemas.microsoft.com/office/2006/metadata/properties" xmlns:ns2="01ac84fa-f109-4e2c-b412-0b3349d73c52" xmlns:ns3="9f5620cb-cc21-4b3f-8fc3-aa3eb05bfe07" targetNamespace="http://schemas.microsoft.com/office/2006/metadata/properties" ma:root="true" ma:fieldsID="468d66647bc5427a6a9ab947044a52e1" ns2:_="" ns3:_="">
    <xsd:import namespace="01ac84fa-f109-4e2c-b412-0b3349d73c52"/>
    <xsd:import namespace="9f5620cb-cc21-4b3f-8fc3-aa3eb05bfe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84fa-f109-4e2c-b412-0b3349d73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5620cb-cc21-4b3f-8fc3-aa3eb05bfe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5620cb-cc21-4b3f-8fc3-aa3eb05bfe07">
      <UserInfo>
        <DisplayName>Minall, Andrew</DisplayName>
        <AccountId>41</AccountId>
        <AccountType/>
      </UserInfo>
      <UserInfo>
        <DisplayName>Boutflower, Gillian</DisplayName>
        <AccountId>27</AccountId>
        <AccountType/>
      </UserInfo>
      <UserInfo>
        <DisplayName>Anderson, Gemma</DisplayName>
        <AccountId>12</AccountId>
        <AccountType/>
      </UserInfo>
      <UserInfo>
        <DisplayName>Hodder, Annabel</DisplayName>
        <AccountId>1328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92889B6-7609-4E8D-B4FF-3552E49E1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84fa-f109-4e2c-b412-0b3349d73c52"/>
    <ds:schemaRef ds:uri="9f5620cb-cc21-4b3f-8fc3-aa3eb05bf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E9DBE-272A-4812-9720-FCBD4BC9EDFA}">
  <ds:schemaRefs>
    <ds:schemaRef ds:uri="http://schemas.microsoft.com/sharepoint/v3/contenttype/forms"/>
  </ds:schemaRefs>
</ds:datastoreItem>
</file>

<file path=customXml/itemProps3.xml><?xml version="1.0" encoding="utf-8"?>
<ds:datastoreItem xmlns:ds="http://schemas.openxmlformats.org/officeDocument/2006/customXml" ds:itemID="{0A15E9E5-87C8-481A-8ADB-2B59944F1FB9}">
  <ds:schemaRefs>
    <ds:schemaRef ds:uri="http://purl.org/dc/terms/"/>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9f5620cb-cc21-4b3f-8fc3-aa3eb05bfe07"/>
    <ds:schemaRef ds:uri="http://schemas.microsoft.com/office/infopath/2007/PartnerControls"/>
    <ds:schemaRef ds:uri="01ac84fa-f109-4e2c-b412-0b3349d73c52"/>
    <ds:schemaRef ds:uri="http://purl.org/dc/elements/1.1/"/>
  </ds:schemaRefs>
</ds:datastoreItem>
</file>

<file path=customXml/itemProps4.xml><?xml version="1.0" encoding="utf-8"?>
<ds:datastoreItem xmlns:ds="http://schemas.openxmlformats.org/officeDocument/2006/customXml" ds:itemID="{18745E11-3F29-404B-A6FD-C9FF21212DCB}">
  <ds:schemaRefs>
    <ds:schemaRef ds:uri="http://schemas.openxmlformats.org/officeDocument/2006/bibliography"/>
  </ds:schemaRefs>
</ds:datastoreItem>
</file>

<file path=customXml/itemProps5.xml><?xml version="1.0" encoding="utf-8"?>
<ds:datastoreItem xmlns:ds="http://schemas.openxmlformats.org/officeDocument/2006/customXml" ds:itemID="{630C2720-C85F-4615-9FC8-8AD0DEE969ED}">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D77FC714</ap:Template>
  <ap:Application>Microsoft Word for the web</ap:Application>
  <ap:DocSecurity>0</ap:DocSecurity>
  <ap:ScaleCrop>false</ap:ScaleCrop>
  <ap:Company>Pinnacle Business Solutions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Minall, Andrew</dc:creator>
  <keywords/>
  <lastModifiedBy>Hodder, Annabel</lastModifiedBy>
  <revision>4</revision>
  <lastPrinted>2017-12-06T02:01:00.0000000Z</lastPrinted>
  <dcterms:created xsi:type="dcterms:W3CDTF">2025-06-19T09:22:00.0000000Z</dcterms:created>
  <dcterms:modified xsi:type="dcterms:W3CDTF">2025-07-01T08:37:25.8342349Z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_NewReviewCycle">
    <vt:lpwstr/>
  </property>
  <property fmtid="{D5CDD505-2E9C-101B-9397-08002B2CF9AE}" pid="5" name="ContentTypeId">
    <vt:lpwstr>0x0101001443DA4A4506724C8F7B650037CCADD2</vt:lpwstr>
  </property>
  <property fmtid="{D5CDD505-2E9C-101B-9397-08002B2CF9AE}" pid="6" name="aff368d56a7a41abac3dff9221a796c7">
    <vt:lpwstr>Budget Monitoring|c9054dd3-c8ef-4f50-a598-e503758367b1</vt:lpwstr>
  </property>
  <property fmtid="{D5CDD505-2E9C-101B-9397-08002B2CF9AE}" pid="7" name="h3c57ee0d733459794e5e77fcc72213d">
    <vt:lpwstr/>
  </property>
  <property fmtid="{D5CDD505-2E9C-101B-9397-08002B2CF9AE}" pid="8" name="Item ID">
    <vt:lpwstr/>
  </property>
  <property fmtid="{D5CDD505-2E9C-101B-9397-08002B2CF9AE}" pid="9" name="Active Document">
    <vt:lpwstr>1</vt:lpwstr>
  </property>
  <property fmtid="{D5CDD505-2E9C-101B-9397-08002B2CF9AE}" pid="10" name="cf18ccb67a8c47b4a12d68c41e3eb221">
    <vt:lpwstr/>
  </property>
  <property fmtid="{D5CDD505-2E9C-101B-9397-08002B2CF9AE}" pid="11" name="hc632fe273cb498aa970207d30c3b1d8">
    <vt:lpwstr/>
  </property>
  <property fmtid="{D5CDD505-2E9C-101B-9397-08002B2CF9AE}" pid="12" name="p90e31759909486091d47177bed7da9a">
    <vt:lpwstr/>
  </property>
  <property fmtid="{D5CDD505-2E9C-101B-9397-08002B2CF9AE}" pid="13" name="eeadced8a35a499eaa6ae428604d987c">
    <vt:lpwstr>2018/2019|ff3574ca-d52a-48e1-8167-04b4586b57aa</vt:lpwstr>
  </property>
  <property fmtid="{D5CDD505-2E9C-101B-9397-08002B2CF9AE}" pid="14" name="bb3aa47ebf1a448dac0ecc5996e92adc">
    <vt:lpwstr>2018|844dbc8a-5751-4f92-977c-e597d9787dec</vt:lpwstr>
  </property>
  <property fmtid="{D5CDD505-2E9C-101B-9397-08002B2CF9AE}" pid="15" name="Schools">
    <vt:lpwstr/>
  </property>
  <property fmtid="{D5CDD505-2E9C-101B-9397-08002B2CF9AE}" pid="16" name="Budget Monitoring (Finance)">
    <vt:lpwstr>56;#Budget Monitoring|c9054dd3-c8ef-4f50-a598-e503758367b1</vt:lpwstr>
  </property>
  <property fmtid="{D5CDD505-2E9C-101B-9397-08002B2CF9AE}" pid="17" name="Customer (Finance)">
    <vt:lpwstr/>
  </property>
  <property fmtid="{D5CDD505-2E9C-101B-9397-08002B2CF9AE}" pid="18" name="Library Location">
    <vt:lpwstr/>
  </property>
  <property fmtid="{D5CDD505-2E9C-101B-9397-08002B2CF9AE}" pid="19" name="Financial Year">
    <vt:lpwstr>52;#2018/2019|ff3574ca-d52a-48e1-8167-04b4586b57aa</vt:lpwstr>
  </property>
  <property fmtid="{D5CDD505-2E9C-101B-9397-08002B2CF9AE}" pid="20" name="_dlc_ExpireDate">
    <vt:lpwstr>2022-06-10T08:42:08Z</vt:lpwstr>
  </property>
  <property fmtid="{D5CDD505-2E9C-101B-9397-08002B2CF9AE}" pid="21"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22" name="_dlc_policyId">
    <vt:lpwstr>0x0101004E1B537BC2B2AD43A5AF5311D732D3AA|1208973698</vt:lpwstr>
  </property>
  <property fmtid="{D5CDD505-2E9C-101B-9397-08002B2CF9AE}" pid="23" name="Calendar Year">
    <vt:lpwstr>53;#2018|844dbc8a-5751-4f92-977c-e597d9787dec</vt:lpwstr>
  </property>
  <property fmtid="{D5CDD505-2E9C-101B-9397-08002B2CF9AE}" pid="24" name="display_urn:schemas-microsoft-com:office:office#Editor">
    <vt:lpwstr>Colville, Laura</vt:lpwstr>
  </property>
  <property fmtid="{D5CDD505-2E9C-101B-9397-08002B2CF9AE}" pid="25" name="ComplianceAssetId">
    <vt:lpwstr/>
  </property>
  <property fmtid="{D5CDD505-2E9C-101B-9397-08002B2CF9AE}" pid="26" name="display_urn:schemas-microsoft-com:office:office#Author">
    <vt:lpwstr>Colville, Laura</vt:lpwstr>
  </property>
  <property fmtid="{D5CDD505-2E9C-101B-9397-08002B2CF9AE}" pid="27" name="SharedWithUsers">
    <vt:lpwstr/>
  </property>
  <property fmtid="{D5CDD505-2E9C-101B-9397-08002B2CF9AE}" pid="28" name="TaxCatchAll">
    <vt:lpwstr/>
  </property>
  <property fmtid="{D5CDD505-2E9C-101B-9397-08002B2CF9AE}" pid="29" name="Document_x0020_Type">
    <vt:lpwstr/>
  </property>
</Properties>
</file>