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43" w:type="dxa"/>
        <w:tblLayout w:type="fixed"/>
        <w:tblCellMar>
          <w:left w:w="43" w:type="dxa"/>
          <w:right w:w="43" w:type="dxa"/>
        </w:tblCellMar>
        <w:tblLook w:val="0000" w:firstRow="0" w:lastRow="0" w:firstColumn="0" w:lastColumn="0" w:noHBand="0" w:noVBand="0"/>
      </w:tblPr>
      <w:tblGrid>
        <w:gridCol w:w="255"/>
        <w:gridCol w:w="2439"/>
        <w:gridCol w:w="3827"/>
        <w:gridCol w:w="1501"/>
      </w:tblGrid>
      <w:tr w:rsidR="00702642" w:rsidRPr="008F54AB" w14:paraId="598E4087" w14:textId="77777777" w:rsidTr="504D0C88">
        <w:trPr>
          <w:cantSplit/>
          <w:trHeight w:val="411"/>
          <w:tblHeader/>
        </w:trPr>
        <w:tc>
          <w:tcPr>
            <w:tcW w:w="255" w:type="dxa"/>
            <w:tcBorders>
              <w:top w:val="single" w:sz="6" w:space="0" w:color="auto"/>
              <w:left w:val="single" w:sz="6" w:space="0" w:color="auto"/>
            </w:tcBorders>
          </w:tcPr>
          <w:p w14:paraId="1FBC4BFB" w14:textId="1671D83A" w:rsidR="00377ADE" w:rsidRPr="008F54AB" w:rsidRDefault="00377ADE" w:rsidP="504D0C88">
            <w:pPr>
              <w:pStyle w:val="BodyText"/>
              <w:spacing w:before="120" w:after="120"/>
              <w:ind w:left="0"/>
              <w:rPr>
                <w:rFonts w:ascii="Arial" w:hAnsi="Arial" w:cs="Arial"/>
                <w:color w:val="FF0000"/>
              </w:rPr>
            </w:pPr>
          </w:p>
        </w:tc>
        <w:tc>
          <w:tcPr>
            <w:tcW w:w="7767" w:type="dxa"/>
            <w:gridSpan w:val="3"/>
            <w:tcBorders>
              <w:top w:val="single" w:sz="6" w:space="0" w:color="auto"/>
              <w:right w:val="single" w:sz="6" w:space="0" w:color="auto"/>
            </w:tcBorders>
          </w:tcPr>
          <w:p w14:paraId="15BB9D4D" w14:textId="77777777" w:rsidR="00377ADE" w:rsidRPr="008F54AB" w:rsidRDefault="00377ADE">
            <w:pPr>
              <w:pStyle w:val="TableText"/>
              <w:rPr>
                <w:rFonts w:ascii="Arial" w:hAnsi="Arial" w:cs="Arial"/>
                <w:color w:val="FF0000"/>
              </w:rPr>
            </w:pPr>
            <w:r w:rsidRPr="008F54AB">
              <w:rPr>
                <w:rFonts w:ascii="Arial" w:hAnsi="Arial" w:cs="Arial"/>
              </w:rPr>
              <w:t>Hampshire County Council</w:t>
            </w:r>
          </w:p>
        </w:tc>
      </w:tr>
      <w:tr w:rsidR="00702642" w:rsidRPr="008F54AB" w14:paraId="4011A182" w14:textId="77777777" w:rsidTr="504D0C88">
        <w:trPr>
          <w:trHeight w:val="465"/>
          <w:tblHeader/>
        </w:trPr>
        <w:tc>
          <w:tcPr>
            <w:tcW w:w="255" w:type="dxa"/>
            <w:tcBorders>
              <w:left w:val="single" w:sz="6" w:space="0" w:color="auto"/>
            </w:tcBorders>
          </w:tcPr>
          <w:p w14:paraId="414E65AB" w14:textId="77777777" w:rsidR="00377ADE" w:rsidRPr="008F54AB" w:rsidRDefault="00377ADE">
            <w:pPr>
              <w:pStyle w:val="BodyText"/>
              <w:spacing w:before="120" w:after="120"/>
              <w:rPr>
                <w:rFonts w:ascii="Arial" w:hAnsi="Arial" w:cs="Arial"/>
                <w:color w:val="FF0000"/>
              </w:rPr>
            </w:pPr>
          </w:p>
        </w:tc>
        <w:tc>
          <w:tcPr>
            <w:tcW w:w="6266" w:type="dxa"/>
            <w:gridSpan w:val="2"/>
          </w:tcPr>
          <w:p w14:paraId="779F16CD" w14:textId="77777777" w:rsidR="00377ADE" w:rsidRPr="004F6B03" w:rsidRDefault="00853814">
            <w:pPr>
              <w:pStyle w:val="TableText"/>
              <w:rPr>
                <w:rFonts w:ascii="Arial" w:hAnsi="Arial" w:cs="Arial"/>
              </w:rPr>
            </w:pPr>
            <w:r w:rsidRPr="004F6B03">
              <w:rPr>
                <w:rFonts w:ascii="Arial" w:hAnsi="Arial" w:cs="Arial"/>
              </w:rPr>
              <w:t>S</w:t>
            </w:r>
            <w:r w:rsidR="00375966" w:rsidRPr="004F6B03">
              <w:rPr>
                <w:rFonts w:ascii="Arial" w:hAnsi="Arial" w:cs="Arial"/>
              </w:rPr>
              <w:t>chools Forum</w:t>
            </w:r>
            <w:r w:rsidRPr="004F6B03">
              <w:rPr>
                <w:rFonts w:ascii="Arial" w:hAnsi="Arial" w:cs="Arial"/>
              </w:rPr>
              <w:t xml:space="preserve"> </w:t>
            </w:r>
          </w:p>
        </w:tc>
        <w:tc>
          <w:tcPr>
            <w:tcW w:w="1501" w:type="dxa"/>
            <w:tcBorders>
              <w:right w:val="single" w:sz="6" w:space="0" w:color="auto"/>
            </w:tcBorders>
          </w:tcPr>
          <w:p w14:paraId="2D3AB3D4" w14:textId="0982AD04" w:rsidR="00377ADE" w:rsidRPr="004F6B03" w:rsidRDefault="00C27A73" w:rsidP="008B4F19">
            <w:pPr>
              <w:pStyle w:val="TableText"/>
              <w:rPr>
                <w:rFonts w:ascii="Arial" w:hAnsi="Arial" w:cs="Arial"/>
              </w:rPr>
            </w:pPr>
            <w:r w:rsidRPr="0033457D">
              <w:rPr>
                <w:rFonts w:ascii="Arial" w:hAnsi="Arial" w:cs="Arial"/>
                <w:color w:val="FF0000"/>
              </w:rPr>
              <w:t xml:space="preserve"> </w:t>
            </w:r>
            <w:r w:rsidR="008201C9" w:rsidRPr="004F6B03">
              <w:rPr>
                <w:rFonts w:ascii="Arial" w:hAnsi="Arial" w:cs="Arial"/>
              </w:rPr>
              <w:t xml:space="preserve"> </w:t>
            </w:r>
          </w:p>
        </w:tc>
      </w:tr>
      <w:tr w:rsidR="00702642" w:rsidRPr="008F54AB" w14:paraId="38E9E7F6" w14:textId="77777777" w:rsidTr="504D0C88">
        <w:trPr>
          <w:trHeight w:val="519"/>
          <w:tblHeader/>
        </w:trPr>
        <w:tc>
          <w:tcPr>
            <w:tcW w:w="255" w:type="dxa"/>
            <w:tcBorders>
              <w:left w:val="single" w:sz="6" w:space="0" w:color="auto"/>
            </w:tcBorders>
          </w:tcPr>
          <w:p w14:paraId="7F6DDBBA" w14:textId="77777777" w:rsidR="00377ADE" w:rsidRPr="008F54AB" w:rsidRDefault="00377ADE">
            <w:pPr>
              <w:pStyle w:val="BodyText"/>
              <w:spacing w:before="120" w:after="120"/>
              <w:rPr>
                <w:rFonts w:ascii="Arial" w:hAnsi="Arial" w:cs="Arial"/>
                <w:color w:val="FF0000"/>
              </w:rPr>
            </w:pPr>
          </w:p>
        </w:tc>
        <w:tc>
          <w:tcPr>
            <w:tcW w:w="2439" w:type="dxa"/>
          </w:tcPr>
          <w:p w14:paraId="3493772A" w14:textId="1569CFBA" w:rsidR="00C81ED6" w:rsidRPr="008F54AB" w:rsidRDefault="00623D48" w:rsidP="007A0206">
            <w:pPr>
              <w:pStyle w:val="TableText"/>
              <w:rPr>
                <w:rFonts w:ascii="Arial" w:hAnsi="Arial" w:cs="Arial"/>
              </w:rPr>
            </w:pPr>
            <w:r>
              <w:rPr>
                <w:rFonts w:ascii="Arial" w:hAnsi="Arial" w:cs="Arial"/>
              </w:rPr>
              <w:t>21</w:t>
            </w:r>
            <w:r w:rsidR="00401142" w:rsidRPr="008F54AB">
              <w:rPr>
                <w:rFonts w:ascii="Arial" w:hAnsi="Arial" w:cs="Arial"/>
              </w:rPr>
              <w:t xml:space="preserve"> January 202</w:t>
            </w:r>
            <w:r w:rsidR="0097017A">
              <w:rPr>
                <w:rFonts w:ascii="Arial" w:hAnsi="Arial" w:cs="Arial"/>
              </w:rPr>
              <w:t>5</w:t>
            </w:r>
          </w:p>
        </w:tc>
        <w:tc>
          <w:tcPr>
            <w:tcW w:w="5328" w:type="dxa"/>
            <w:gridSpan w:val="2"/>
            <w:tcBorders>
              <w:right w:val="single" w:sz="6" w:space="0" w:color="auto"/>
            </w:tcBorders>
          </w:tcPr>
          <w:p w14:paraId="184F6532" w14:textId="77777777" w:rsidR="00377ADE" w:rsidRPr="008F54AB" w:rsidRDefault="00377ADE">
            <w:pPr>
              <w:pStyle w:val="TableText"/>
              <w:rPr>
                <w:rFonts w:ascii="Arial" w:hAnsi="Arial" w:cs="Arial"/>
              </w:rPr>
            </w:pPr>
          </w:p>
        </w:tc>
      </w:tr>
      <w:tr w:rsidR="00702642" w:rsidRPr="008F54AB" w14:paraId="13250734" w14:textId="77777777" w:rsidTr="504D0C88">
        <w:trPr>
          <w:cantSplit/>
          <w:trHeight w:val="586"/>
          <w:tblHeader/>
        </w:trPr>
        <w:tc>
          <w:tcPr>
            <w:tcW w:w="255" w:type="dxa"/>
            <w:tcBorders>
              <w:left w:val="single" w:sz="6" w:space="0" w:color="auto"/>
            </w:tcBorders>
          </w:tcPr>
          <w:p w14:paraId="00749612" w14:textId="77777777" w:rsidR="00377ADE" w:rsidRPr="008F54AB" w:rsidRDefault="00377ADE">
            <w:pPr>
              <w:pStyle w:val="BodyText"/>
              <w:spacing w:before="120" w:after="120"/>
              <w:rPr>
                <w:rFonts w:ascii="Arial" w:hAnsi="Arial" w:cs="Arial"/>
                <w:color w:val="FF0000"/>
              </w:rPr>
            </w:pPr>
          </w:p>
        </w:tc>
        <w:tc>
          <w:tcPr>
            <w:tcW w:w="7767" w:type="dxa"/>
            <w:gridSpan w:val="3"/>
            <w:tcBorders>
              <w:right w:val="single" w:sz="6" w:space="0" w:color="auto"/>
            </w:tcBorders>
          </w:tcPr>
          <w:p w14:paraId="13ADF1E1" w14:textId="25AE2B65" w:rsidR="00BC4BAA" w:rsidRPr="008F54AB" w:rsidRDefault="00626C71" w:rsidP="007A0206">
            <w:pPr>
              <w:pStyle w:val="TableText"/>
              <w:rPr>
                <w:rFonts w:ascii="Arial" w:hAnsi="Arial" w:cs="Arial"/>
              </w:rPr>
            </w:pPr>
            <w:r w:rsidRPr="008F54AB">
              <w:rPr>
                <w:rFonts w:ascii="Arial" w:hAnsi="Arial" w:cs="Arial"/>
              </w:rPr>
              <w:t xml:space="preserve">Schools </w:t>
            </w:r>
            <w:r w:rsidR="002673EF" w:rsidRPr="008F54AB">
              <w:rPr>
                <w:rFonts w:ascii="Arial" w:hAnsi="Arial" w:cs="Arial"/>
              </w:rPr>
              <w:t>Budget</w:t>
            </w:r>
            <w:r w:rsidR="002720DF" w:rsidRPr="008F54AB">
              <w:rPr>
                <w:rFonts w:ascii="Arial" w:hAnsi="Arial" w:cs="Arial"/>
              </w:rPr>
              <w:t xml:space="preserve"> 20</w:t>
            </w:r>
            <w:r w:rsidR="00F9602B" w:rsidRPr="008F54AB">
              <w:rPr>
                <w:rFonts w:ascii="Arial" w:hAnsi="Arial" w:cs="Arial"/>
              </w:rPr>
              <w:t>2</w:t>
            </w:r>
            <w:r w:rsidR="0097017A">
              <w:rPr>
                <w:rFonts w:ascii="Arial" w:hAnsi="Arial" w:cs="Arial"/>
              </w:rPr>
              <w:t>5</w:t>
            </w:r>
            <w:r w:rsidR="7942BA5F" w:rsidRPr="008F54AB">
              <w:rPr>
                <w:rFonts w:ascii="Arial" w:hAnsi="Arial" w:cs="Arial"/>
              </w:rPr>
              <w:t>/2</w:t>
            </w:r>
            <w:r w:rsidR="0097017A">
              <w:rPr>
                <w:rFonts w:ascii="Arial" w:hAnsi="Arial" w:cs="Arial"/>
              </w:rPr>
              <w:t>6</w:t>
            </w:r>
          </w:p>
        </w:tc>
      </w:tr>
      <w:tr w:rsidR="00702642" w:rsidRPr="008F54AB" w14:paraId="73FD3371" w14:textId="77777777" w:rsidTr="504D0C88">
        <w:trPr>
          <w:cantSplit/>
          <w:trHeight w:val="395"/>
          <w:tblHeader/>
        </w:trPr>
        <w:tc>
          <w:tcPr>
            <w:tcW w:w="255" w:type="dxa"/>
            <w:tcBorders>
              <w:left w:val="single" w:sz="6" w:space="0" w:color="auto"/>
              <w:bottom w:val="single" w:sz="6" w:space="0" w:color="auto"/>
            </w:tcBorders>
          </w:tcPr>
          <w:p w14:paraId="0E92194B" w14:textId="77777777" w:rsidR="00377ADE" w:rsidRPr="008F54AB" w:rsidRDefault="00377ADE">
            <w:pPr>
              <w:pStyle w:val="BodyText"/>
              <w:spacing w:before="120" w:after="120"/>
              <w:rPr>
                <w:rFonts w:ascii="Arial" w:hAnsi="Arial" w:cs="Arial"/>
                <w:color w:val="FF0000"/>
              </w:rPr>
            </w:pPr>
          </w:p>
        </w:tc>
        <w:tc>
          <w:tcPr>
            <w:tcW w:w="7767" w:type="dxa"/>
            <w:gridSpan w:val="3"/>
            <w:tcBorders>
              <w:bottom w:val="single" w:sz="6" w:space="0" w:color="auto"/>
              <w:right w:val="single" w:sz="6" w:space="0" w:color="auto"/>
            </w:tcBorders>
          </w:tcPr>
          <w:p w14:paraId="15E10157" w14:textId="105D1E0B" w:rsidR="00377ADE" w:rsidRPr="008F54AB" w:rsidRDefault="00377ADE">
            <w:pPr>
              <w:pStyle w:val="TableText"/>
              <w:rPr>
                <w:rFonts w:ascii="Arial" w:hAnsi="Arial" w:cs="Arial"/>
              </w:rPr>
            </w:pPr>
            <w:r w:rsidRPr="008F54AB">
              <w:rPr>
                <w:rFonts w:ascii="Arial" w:hAnsi="Arial" w:cs="Arial"/>
              </w:rPr>
              <w:t xml:space="preserve">Report of the </w:t>
            </w:r>
            <w:r w:rsidR="0070719F" w:rsidRPr="008F54AB">
              <w:rPr>
                <w:rFonts w:ascii="Arial" w:hAnsi="Arial" w:cs="Arial"/>
              </w:rPr>
              <w:t xml:space="preserve">Director of Corporate </w:t>
            </w:r>
            <w:r w:rsidR="0097017A">
              <w:rPr>
                <w:rFonts w:ascii="Arial" w:hAnsi="Arial" w:cs="Arial"/>
              </w:rPr>
              <w:t xml:space="preserve">Operations </w:t>
            </w:r>
            <w:r w:rsidR="00853814" w:rsidRPr="008F54AB">
              <w:rPr>
                <w:rFonts w:ascii="Arial" w:hAnsi="Arial" w:cs="Arial"/>
              </w:rPr>
              <w:t>and Director of Children’s Services</w:t>
            </w:r>
          </w:p>
        </w:tc>
      </w:tr>
    </w:tbl>
    <w:p w14:paraId="53AB6D86" w14:textId="250DC90C" w:rsidR="00377ADE" w:rsidRPr="008F54AB" w:rsidRDefault="00377ADE" w:rsidP="00A11C2C">
      <w:pPr>
        <w:spacing w:before="120"/>
        <w:rPr>
          <w:rFonts w:ascii="Arial" w:hAnsi="Arial" w:cs="Arial"/>
          <w:szCs w:val="24"/>
        </w:rPr>
      </w:pPr>
      <w:bookmarkStart w:id="0" w:name="OLE_LINK1"/>
      <w:r w:rsidRPr="008F54AB">
        <w:rPr>
          <w:rFonts w:ascii="Arial" w:hAnsi="Arial" w:cs="Arial"/>
          <w:szCs w:val="24"/>
        </w:rPr>
        <w:t xml:space="preserve">Contact: </w:t>
      </w:r>
      <w:r w:rsidR="00007AEF" w:rsidRPr="008F54AB">
        <w:rPr>
          <w:rFonts w:ascii="Arial" w:hAnsi="Arial" w:cs="Arial"/>
          <w:szCs w:val="24"/>
        </w:rPr>
        <w:t>Andrew Minall</w:t>
      </w:r>
      <w:r w:rsidR="00FB400A" w:rsidRPr="008F54AB">
        <w:rPr>
          <w:rFonts w:ascii="Arial" w:hAnsi="Arial" w:cs="Arial"/>
          <w:szCs w:val="24"/>
        </w:rPr>
        <w:t>,</w:t>
      </w:r>
      <w:r w:rsidRPr="008F54AB">
        <w:rPr>
          <w:rFonts w:ascii="Arial" w:hAnsi="Arial" w:cs="Arial"/>
          <w:szCs w:val="24"/>
        </w:rPr>
        <w:t xml:space="preserve"> </w:t>
      </w:r>
      <w:hyperlink r:id="rId14" w:history="1">
        <w:r w:rsidR="00007AEF" w:rsidRPr="008F54AB">
          <w:rPr>
            <w:rStyle w:val="Hyperlink"/>
            <w:rFonts w:ascii="Arial" w:hAnsi="Arial" w:cs="Arial"/>
            <w:color w:val="3333CC"/>
            <w:szCs w:val="24"/>
          </w:rPr>
          <w:t>andrew.minall@hants.gov.uk</w:t>
        </w:r>
      </w:hyperlink>
      <w:bookmarkEnd w:id="0"/>
      <w:r w:rsidR="005B7756" w:rsidRPr="008F54AB">
        <w:rPr>
          <w:rStyle w:val="Hyperlink"/>
          <w:rFonts w:ascii="Arial" w:hAnsi="Arial" w:cs="Arial"/>
          <w:color w:val="3333CC"/>
          <w:szCs w:val="24"/>
        </w:rPr>
        <w:t xml:space="preserve"> </w:t>
      </w:r>
    </w:p>
    <w:p w14:paraId="72958C76" w14:textId="31CC3597" w:rsidR="00007AEF" w:rsidRPr="008F54AB" w:rsidRDefault="00007AEF" w:rsidP="00007AEF">
      <w:pPr>
        <w:rPr>
          <w:rStyle w:val="Hyperlink"/>
          <w:rFonts w:ascii="Arial" w:hAnsi="Arial" w:cs="Arial"/>
          <w:color w:val="auto"/>
        </w:rPr>
      </w:pPr>
      <w:r w:rsidRPr="008F54AB">
        <w:rPr>
          <w:rFonts w:ascii="Arial" w:hAnsi="Arial" w:cs="Arial"/>
          <w:szCs w:val="24"/>
        </w:rPr>
        <w:tab/>
        <w:t xml:space="preserve">    </w:t>
      </w:r>
      <w:r w:rsidR="005B7756" w:rsidRPr="008F54AB">
        <w:rPr>
          <w:rFonts w:ascii="Arial" w:hAnsi="Arial" w:cs="Arial"/>
          <w:szCs w:val="24"/>
        </w:rPr>
        <w:t>Annabel Hodder</w:t>
      </w:r>
      <w:r w:rsidR="007A0206" w:rsidRPr="008F54AB">
        <w:rPr>
          <w:rFonts w:ascii="Arial" w:hAnsi="Arial" w:cs="Arial"/>
        </w:rPr>
        <w:t>,</w:t>
      </w:r>
      <w:r w:rsidR="007A0206" w:rsidRPr="008F54AB">
        <w:rPr>
          <w:rFonts w:ascii="Arial" w:hAnsi="Arial" w:cs="Arial"/>
          <w:color w:val="3333CC"/>
        </w:rPr>
        <w:t xml:space="preserve"> </w:t>
      </w:r>
      <w:hyperlink r:id="rId15" w:history="1">
        <w:r w:rsidR="005B7756" w:rsidRPr="008F54AB">
          <w:rPr>
            <w:rStyle w:val="Hyperlink"/>
            <w:rFonts w:ascii="Arial" w:hAnsi="Arial" w:cs="Arial"/>
            <w:color w:val="3333CC"/>
          </w:rPr>
          <w:t>annabel.hodder@hants.gov.uk</w:t>
        </w:r>
      </w:hyperlink>
    </w:p>
    <w:p w14:paraId="6351C950" w14:textId="46367250" w:rsidR="005B7756" w:rsidRPr="008F54AB" w:rsidRDefault="005B7756" w:rsidP="00007AEF">
      <w:pPr>
        <w:rPr>
          <w:rFonts w:ascii="Arial" w:hAnsi="Arial" w:cs="Arial"/>
          <w:color w:val="3333CC"/>
          <w:u w:val="single"/>
        </w:rPr>
      </w:pPr>
      <w:r w:rsidRPr="008F54AB">
        <w:rPr>
          <w:rFonts w:ascii="Arial" w:hAnsi="Arial" w:cs="Arial"/>
          <w:szCs w:val="24"/>
        </w:rPr>
        <w:tab/>
        <w:t xml:space="preserve">    Gemma Anderson, </w:t>
      </w:r>
      <w:hyperlink r:id="rId16" w:history="1">
        <w:r w:rsidR="00EA0336" w:rsidRPr="008F54AB">
          <w:rPr>
            <w:rStyle w:val="Hyperlink"/>
            <w:rFonts w:ascii="Arial" w:hAnsi="Arial" w:cs="Arial"/>
            <w:color w:val="3333CC"/>
          </w:rPr>
          <w:t>gemma.anderson@hants.gov.uk</w:t>
        </w:r>
      </w:hyperlink>
    </w:p>
    <w:p w14:paraId="6E3A8273" w14:textId="77777777" w:rsidR="00377ADE" w:rsidRPr="0033457D" w:rsidRDefault="00D90FA6" w:rsidP="00A11C2C">
      <w:pPr>
        <w:pStyle w:val="Heading1"/>
        <w:keepNext w:val="0"/>
        <w:spacing w:before="240"/>
        <w:ind w:left="431" w:hanging="431"/>
        <w:jc w:val="left"/>
        <w:rPr>
          <w:rFonts w:ascii="Arial" w:hAnsi="Arial" w:cs="Arial"/>
          <w:szCs w:val="24"/>
        </w:rPr>
      </w:pPr>
      <w:r w:rsidRPr="0033457D">
        <w:rPr>
          <w:rFonts w:ascii="Arial" w:hAnsi="Arial" w:cs="Arial"/>
          <w:szCs w:val="24"/>
        </w:rPr>
        <w:t>Summary</w:t>
      </w:r>
    </w:p>
    <w:p w14:paraId="55AB7215" w14:textId="1F3BD1E6" w:rsidR="0002038C" w:rsidRPr="009D27DA" w:rsidRDefault="002720DF" w:rsidP="0002038C">
      <w:pPr>
        <w:pStyle w:val="Heading2"/>
        <w:keepNext w:val="0"/>
        <w:tabs>
          <w:tab w:val="num" w:pos="426"/>
        </w:tabs>
        <w:ind w:left="426" w:hanging="568"/>
        <w:jc w:val="left"/>
        <w:rPr>
          <w:rFonts w:ascii="Arial" w:hAnsi="Arial" w:cs="Arial"/>
          <w:szCs w:val="24"/>
        </w:rPr>
      </w:pPr>
      <w:r w:rsidRPr="0033457D">
        <w:rPr>
          <w:rFonts w:ascii="Arial" w:hAnsi="Arial" w:cs="Arial"/>
          <w:szCs w:val="24"/>
        </w:rPr>
        <w:t>Th</w:t>
      </w:r>
      <w:r w:rsidR="0046684F" w:rsidRPr="0033457D">
        <w:rPr>
          <w:rFonts w:ascii="Arial" w:hAnsi="Arial" w:cs="Arial"/>
          <w:szCs w:val="24"/>
        </w:rPr>
        <w:t>is report sets out the 202</w:t>
      </w:r>
      <w:r w:rsidR="0033457D" w:rsidRPr="0033457D">
        <w:rPr>
          <w:rFonts w:ascii="Arial" w:hAnsi="Arial" w:cs="Arial"/>
          <w:szCs w:val="24"/>
        </w:rPr>
        <w:t>5</w:t>
      </w:r>
      <w:r w:rsidR="0046684F" w:rsidRPr="0033457D">
        <w:rPr>
          <w:rFonts w:ascii="Arial" w:hAnsi="Arial" w:cs="Arial"/>
          <w:szCs w:val="24"/>
        </w:rPr>
        <w:t>/2</w:t>
      </w:r>
      <w:r w:rsidR="0033457D" w:rsidRPr="0033457D">
        <w:rPr>
          <w:rFonts w:ascii="Arial" w:hAnsi="Arial" w:cs="Arial"/>
          <w:szCs w:val="24"/>
        </w:rPr>
        <w:t>6</w:t>
      </w:r>
      <w:r w:rsidR="0046684F" w:rsidRPr="0033457D">
        <w:rPr>
          <w:rFonts w:ascii="Arial" w:hAnsi="Arial" w:cs="Arial"/>
          <w:szCs w:val="24"/>
        </w:rPr>
        <w:t xml:space="preserve"> budget proposals following the announcement by the Department for Education (DfE) of the Dedicated Schools Grant (DSG). The proposals reflect previous Schools Forum decisions and incorporate other </w:t>
      </w:r>
      <w:r w:rsidR="0046684F" w:rsidRPr="009D27DA">
        <w:rPr>
          <w:rFonts w:ascii="Arial" w:hAnsi="Arial" w:cs="Arial"/>
          <w:szCs w:val="24"/>
        </w:rPr>
        <w:t>adjustments following the detailed funding announcements.</w:t>
      </w:r>
    </w:p>
    <w:p w14:paraId="2D4476A8" w14:textId="0E7F6D26" w:rsidR="00C36E1E" w:rsidRPr="009D27DA" w:rsidRDefault="00C36E1E" w:rsidP="0002038C">
      <w:pPr>
        <w:pStyle w:val="Heading2"/>
        <w:keepNext w:val="0"/>
        <w:tabs>
          <w:tab w:val="num" w:pos="426"/>
        </w:tabs>
        <w:ind w:left="426" w:hanging="568"/>
        <w:jc w:val="left"/>
        <w:rPr>
          <w:rFonts w:ascii="Arial" w:hAnsi="Arial" w:cs="Arial"/>
          <w:szCs w:val="24"/>
        </w:rPr>
      </w:pPr>
      <w:r w:rsidRPr="009D27DA">
        <w:rPr>
          <w:rFonts w:ascii="Arial" w:hAnsi="Arial" w:cs="Arial"/>
          <w:szCs w:val="24"/>
        </w:rPr>
        <w:t xml:space="preserve">Local authorities continue to use locally agreed policies and funding formulae to set both maintained and academy school budgets. The </w:t>
      </w:r>
      <w:r w:rsidR="00D67FEF" w:rsidRPr="009D27DA">
        <w:rPr>
          <w:rFonts w:ascii="Arial" w:hAnsi="Arial" w:cs="Arial"/>
          <w:szCs w:val="24"/>
        </w:rPr>
        <w:t>Education and Skills Funding Agency (</w:t>
      </w:r>
      <w:r w:rsidRPr="009D27DA">
        <w:rPr>
          <w:rFonts w:ascii="Arial" w:hAnsi="Arial" w:cs="Arial"/>
          <w:szCs w:val="24"/>
        </w:rPr>
        <w:t>ESFA</w:t>
      </w:r>
      <w:r w:rsidR="00D67FEF" w:rsidRPr="009D27DA">
        <w:rPr>
          <w:rFonts w:ascii="Arial" w:hAnsi="Arial" w:cs="Arial"/>
          <w:szCs w:val="24"/>
        </w:rPr>
        <w:t>)</w:t>
      </w:r>
      <w:r w:rsidRPr="009D27DA">
        <w:rPr>
          <w:rFonts w:ascii="Arial" w:hAnsi="Arial" w:cs="Arial"/>
          <w:szCs w:val="24"/>
        </w:rPr>
        <w:t xml:space="preserve"> recoups the funding from local authorities DSG to fund academies directly.</w:t>
      </w:r>
    </w:p>
    <w:p w14:paraId="3688DB81" w14:textId="75436C71" w:rsidR="0046684F" w:rsidRPr="002433D3" w:rsidRDefault="0046684F" w:rsidP="0002038C">
      <w:pPr>
        <w:pStyle w:val="Heading2"/>
        <w:keepNext w:val="0"/>
        <w:tabs>
          <w:tab w:val="num" w:pos="426"/>
        </w:tabs>
        <w:ind w:left="426" w:hanging="568"/>
        <w:jc w:val="left"/>
        <w:rPr>
          <w:rFonts w:ascii="Arial" w:hAnsi="Arial" w:cs="Arial"/>
          <w:szCs w:val="24"/>
        </w:rPr>
      </w:pPr>
      <w:r w:rsidRPr="009D27DA">
        <w:rPr>
          <w:rFonts w:ascii="Arial" w:hAnsi="Arial" w:cs="Arial"/>
          <w:szCs w:val="24"/>
        </w:rPr>
        <w:t>The DfE return setting out individual school budgets for 202</w:t>
      </w:r>
      <w:r w:rsidR="009D27DA" w:rsidRPr="009D27DA">
        <w:rPr>
          <w:rFonts w:ascii="Arial" w:hAnsi="Arial" w:cs="Arial"/>
          <w:szCs w:val="24"/>
        </w:rPr>
        <w:t>5</w:t>
      </w:r>
      <w:r w:rsidRPr="009D27DA">
        <w:rPr>
          <w:rFonts w:ascii="Arial" w:hAnsi="Arial" w:cs="Arial"/>
          <w:szCs w:val="24"/>
        </w:rPr>
        <w:t>/2</w:t>
      </w:r>
      <w:r w:rsidR="009D27DA" w:rsidRPr="009D27DA">
        <w:rPr>
          <w:rFonts w:ascii="Arial" w:hAnsi="Arial" w:cs="Arial"/>
          <w:szCs w:val="24"/>
        </w:rPr>
        <w:t>6</w:t>
      </w:r>
      <w:r w:rsidRPr="009D27DA">
        <w:rPr>
          <w:rFonts w:ascii="Arial" w:hAnsi="Arial" w:cs="Arial"/>
          <w:szCs w:val="24"/>
        </w:rPr>
        <w:t xml:space="preserve"> </w:t>
      </w:r>
      <w:r w:rsidR="00BE6102" w:rsidRPr="009D27DA">
        <w:rPr>
          <w:rFonts w:ascii="Arial" w:hAnsi="Arial" w:cs="Arial"/>
          <w:szCs w:val="24"/>
        </w:rPr>
        <w:t>must</w:t>
      </w:r>
      <w:r w:rsidRPr="009D27DA">
        <w:rPr>
          <w:rFonts w:ascii="Arial" w:hAnsi="Arial" w:cs="Arial"/>
          <w:szCs w:val="24"/>
        </w:rPr>
        <w:t xml:space="preserve"> be agreed and submitted to the DfE by 2</w:t>
      </w:r>
      <w:r w:rsidR="00F821FF" w:rsidRPr="009D27DA">
        <w:rPr>
          <w:rFonts w:ascii="Arial" w:hAnsi="Arial" w:cs="Arial"/>
          <w:szCs w:val="24"/>
        </w:rPr>
        <w:t>2</w:t>
      </w:r>
      <w:r w:rsidRPr="009D27DA">
        <w:rPr>
          <w:rFonts w:ascii="Arial" w:hAnsi="Arial" w:cs="Arial"/>
          <w:szCs w:val="24"/>
        </w:rPr>
        <w:t xml:space="preserve"> January 202</w:t>
      </w:r>
      <w:r w:rsidR="009D27DA" w:rsidRPr="009D27DA">
        <w:rPr>
          <w:rFonts w:ascii="Arial" w:hAnsi="Arial" w:cs="Arial"/>
          <w:szCs w:val="24"/>
        </w:rPr>
        <w:t>5</w:t>
      </w:r>
      <w:r w:rsidRPr="009D27DA">
        <w:rPr>
          <w:rFonts w:ascii="Arial" w:hAnsi="Arial" w:cs="Arial"/>
          <w:szCs w:val="24"/>
        </w:rPr>
        <w:t xml:space="preserve"> for approval. Individual budget share allocations will be notified to </w:t>
      </w:r>
      <w:r w:rsidR="00BB4EFF" w:rsidRPr="009D27DA">
        <w:rPr>
          <w:rFonts w:ascii="Arial" w:hAnsi="Arial" w:cs="Arial"/>
          <w:szCs w:val="24"/>
        </w:rPr>
        <w:t xml:space="preserve">maintained </w:t>
      </w:r>
      <w:r w:rsidRPr="009D27DA">
        <w:rPr>
          <w:rFonts w:ascii="Arial" w:hAnsi="Arial" w:cs="Arial"/>
          <w:szCs w:val="24"/>
        </w:rPr>
        <w:t xml:space="preserve">schools by the end of February </w:t>
      </w:r>
      <w:r w:rsidRPr="002433D3">
        <w:rPr>
          <w:rFonts w:ascii="Arial" w:hAnsi="Arial" w:cs="Arial"/>
          <w:szCs w:val="24"/>
        </w:rPr>
        <w:t>202</w:t>
      </w:r>
      <w:r w:rsidR="009D27DA" w:rsidRPr="002433D3">
        <w:rPr>
          <w:rFonts w:ascii="Arial" w:hAnsi="Arial" w:cs="Arial"/>
          <w:szCs w:val="24"/>
        </w:rPr>
        <w:t>5</w:t>
      </w:r>
      <w:r w:rsidRPr="002433D3">
        <w:rPr>
          <w:rFonts w:ascii="Arial" w:hAnsi="Arial" w:cs="Arial"/>
          <w:szCs w:val="24"/>
        </w:rPr>
        <w:t>.</w:t>
      </w:r>
    </w:p>
    <w:p w14:paraId="3B59C0DA" w14:textId="27A7C758" w:rsidR="0046684F" w:rsidRPr="002433D3" w:rsidRDefault="0046684F" w:rsidP="0002038C">
      <w:pPr>
        <w:pStyle w:val="Heading2"/>
        <w:keepNext w:val="0"/>
        <w:tabs>
          <w:tab w:val="num" w:pos="426"/>
        </w:tabs>
        <w:ind w:left="426" w:hanging="568"/>
        <w:jc w:val="left"/>
        <w:rPr>
          <w:rFonts w:ascii="Arial" w:hAnsi="Arial" w:cs="Arial"/>
          <w:szCs w:val="24"/>
        </w:rPr>
      </w:pPr>
      <w:r w:rsidRPr="002433D3">
        <w:rPr>
          <w:rFonts w:ascii="Arial" w:hAnsi="Arial" w:cs="Arial"/>
          <w:szCs w:val="24"/>
        </w:rPr>
        <w:t>The overall Children’s Services budget for 202</w:t>
      </w:r>
      <w:r w:rsidR="009D27DA" w:rsidRPr="002433D3">
        <w:rPr>
          <w:rFonts w:ascii="Arial" w:hAnsi="Arial" w:cs="Arial"/>
          <w:szCs w:val="24"/>
        </w:rPr>
        <w:t>5</w:t>
      </w:r>
      <w:r w:rsidRPr="002433D3">
        <w:rPr>
          <w:rFonts w:ascii="Arial" w:hAnsi="Arial" w:cs="Arial"/>
          <w:szCs w:val="24"/>
        </w:rPr>
        <w:t>/2</w:t>
      </w:r>
      <w:r w:rsidR="009D27DA" w:rsidRPr="002433D3">
        <w:rPr>
          <w:rFonts w:ascii="Arial" w:hAnsi="Arial" w:cs="Arial"/>
          <w:szCs w:val="24"/>
        </w:rPr>
        <w:t>6</w:t>
      </w:r>
      <w:r w:rsidRPr="002433D3">
        <w:rPr>
          <w:rFonts w:ascii="Arial" w:hAnsi="Arial" w:cs="Arial"/>
          <w:szCs w:val="24"/>
        </w:rPr>
        <w:t xml:space="preserve">, </w:t>
      </w:r>
      <w:r w:rsidR="00BE6102" w:rsidRPr="002433D3">
        <w:rPr>
          <w:rFonts w:ascii="Arial" w:hAnsi="Arial" w:cs="Arial"/>
          <w:szCs w:val="24"/>
        </w:rPr>
        <w:t>which incorporates</w:t>
      </w:r>
      <w:r w:rsidRPr="002433D3">
        <w:rPr>
          <w:rFonts w:ascii="Arial" w:hAnsi="Arial" w:cs="Arial"/>
          <w:szCs w:val="24"/>
        </w:rPr>
        <w:t xml:space="preserve"> the schools</w:t>
      </w:r>
      <w:r w:rsidR="009F664A" w:rsidRPr="002433D3">
        <w:rPr>
          <w:rFonts w:ascii="Arial" w:hAnsi="Arial" w:cs="Arial"/>
          <w:szCs w:val="24"/>
        </w:rPr>
        <w:t>’</w:t>
      </w:r>
      <w:r w:rsidRPr="002433D3">
        <w:rPr>
          <w:rFonts w:ascii="Arial" w:hAnsi="Arial" w:cs="Arial"/>
          <w:szCs w:val="24"/>
        </w:rPr>
        <w:t xml:space="preserve"> budget, </w:t>
      </w:r>
      <w:r w:rsidR="002433D3" w:rsidRPr="002433D3">
        <w:rPr>
          <w:rFonts w:ascii="Arial" w:hAnsi="Arial" w:cs="Arial"/>
          <w:szCs w:val="24"/>
        </w:rPr>
        <w:t>will be</w:t>
      </w:r>
      <w:r w:rsidRPr="002433D3">
        <w:rPr>
          <w:rFonts w:ascii="Arial" w:hAnsi="Arial" w:cs="Arial"/>
          <w:szCs w:val="24"/>
        </w:rPr>
        <w:t xml:space="preserve"> considered by the Executive Lead Member for Children’s Services on </w:t>
      </w:r>
      <w:r w:rsidR="002433D3" w:rsidRPr="002433D3">
        <w:rPr>
          <w:rFonts w:ascii="Arial" w:hAnsi="Arial" w:cs="Arial"/>
          <w:szCs w:val="24"/>
        </w:rPr>
        <w:t>22</w:t>
      </w:r>
      <w:r w:rsidRPr="002433D3">
        <w:rPr>
          <w:rFonts w:ascii="Arial" w:hAnsi="Arial" w:cs="Arial"/>
          <w:szCs w:val="24"/>
        </w:rPr>
        <w:t xml:space="preserve"> January 202</w:t>
      </w:r>
      <w:r w:rsidR="002433D3" w:rsidRPr="002433D3">
        <w:rPr>
          <w:rFonts w:ascii="Arial" w:hAnsi="Arial" w:cs="Arial"/>
          <w:szCs w:val="24"/>
        </w:rPr>
        <w:t>5</w:t>
      </w:r>
      <w:r w:rsidRPr="002433D3">
        <w:rPr>
          <w:rFonts w:ascii="Arial" w:hAnsi="Arial" w:cs="Arial"/>
          <w:szCs w:val="24"/>
        </w:rPr>
        <w:t>.</w:t>
      </w:r>
    </w:p>
    <w:p w14:paraId="7D482EA1" w14:textId="1757A20F" w:rsidR="00D05438" w:rsidRPr="002433D3" w:rsidRDefault="00D05438" w:rsidP="0002038C">
      <w:pPr>
        <w:pStyle w:val="Heading1"/>
        <w:keepNext w:val="0"/>
        <w:ind w:left="431" w:hanging="431"/>
        <w:jc w:val="left"/>
        <w:rPr>
          <w:rFonts w:ascii="Arial" w:hAnsi="Arial" w:cs="Arial"/>
          <w:szCs w:val="24"/>
        </w:rPr>
      </w:pPr>
      <w:r w:rsidRPr="002433D3">
        <w:rPr>
          <w:rFonts w:ascii="Arial" w:hAnsi="Arial" w:cs="Arial"/>
          <w:szCs w:val="24"/>
        </w:rPr>
        <w:t>20</w:t>
      </w:r>
      <w:r w:rsidR="00BB42A8" w:rsidRPr="002433D3">
        <w:rPr>
          <w:rFonts w:ascii="Arial" w:hAnsi="Arial" w:cs="Arial"/>
          <w:szCs w:val="24"/>
        </w:rPr>
        <w:t>2</w:t>
      </w:r>
      <w:r w:rsidR="002433D3" w:rsidRPr="002433D3">
        <w:rPr>
          <w:rFonts w:ascii="Arial" w:hAnsi="Arial" w:cs="Arial"/>
          <w:szCs w:val="24"/>
        </w:rPr>
        <w:t>5</w:t>
      </w:r>
      <w:r w:rsidR="0072135B" w:rsidRPr="002433D3">
        <w:rPr>
          <w:rFonts w:ascii="Arial" w:hAnsi="Arial" w:cs="Arial"/>
          <w:szCs w:val="24"/>
        </w:rPr>
        <w:t>/</w:t>
      </w:r>
      <w:r w:rsidR="003A29DF" w:rsidRPr="002433D3">
        <w:rPr>
          <w:rFonts w:ascii="Arial" w:hAnsi="Arial" w:cs="Arial"/>
          <w:szCs w:val="24"/>
        </w:rPr>
        <w:t>2</w:t>
      </w:r>
      <w:r w:rsidR="002433D3" w:rsidRPr="002433D3">
        <w:rPr>
          <w:rFonts w:ascii="Arial" w:hAnsi="Arial" w:cs="Arial"/>
          <w:szCs w:val="24"/>
        </w:rPr>
        <w:t>6</w:t>
      </w:r>
      <w:r w:rsidRPr="002433D3">
        <w:rPr>
          <w:rFonts w:ascii="Arial" w:hAnsi="Arial" w:cs="Arial"/>
          <w:szCs w:val="24"/>
        </w:rPr>
        <w:t xml:space="preserve"> </w:t>
      </w:r>
      <w:r w:rsidR="00C3647A" w:rsidRPr="002433D3">
        <w:rPr>
          <w:rFonts w:ascii="Arial" w:hAnsi="Arial" w:cs="Arial"/>
          <w:szCs w:val="24"/>
        </w:rPr>
        <w:t>Schools Budget</w:t>
      </w:r>
    </w:p>
    <w:p w14:paraId="032C406C" w14:textId="4D4CFB0C" w:rsidR="008427A2" w:rsidRPr="008F1D54" w:rsidRDefault="00DA2F8D">
      <w:pPr>
        <w:pStyle w:val="Heading2"/>
        <w:keepNext w:val="0"/>
        <w:tabs>
          <w:tab w:val="num" w:pos="426"/>
        </w:tabs>
        <w:spacing w:after="0"/>
        <w:ind w:left="426" w:hanging="568"/>
        <w:jc w:val="left"/>
        <w:rPr>
          <w:rFonts w:ascii="Arial" w:hAnsi="Arial" w:cs="Arial"/>
        </w:rPr>
      </w:pPr>
      <w:r w:rsidRPr="00EF398C">
        <w:rPr>
          <w:rFonts w:ascii="Arial" w:hAnsi="Arial" w:cs="Arial"/>
        </w:rPr>
        <w:t xml:space="preserve">The initial </w:t>
      </w:r>
      <w:r w:rsidR="0027216F" w:rsidRPr="00EF398C">
        <w:rPr>
          <w:rFonts w:ascii="Arial" w:hAnsi="Arial" w:cs="Arial"/>
        </w:rPr>
        <w:t xml:space="preserve">DSG </w:t>
      </w:r>
      <w:r w:rsidRPr="00EF398C">
        <w:rPr>
          <w:rFonts w:ascii="Arial" w:hAnsi="Arial" w:cs="Arial"/>
        </w:rPr>
        <w:t>allocations for 202</w:t>
      </w:r>
      <w:r w:rsidR="002433D3" w:rsidRPr="00EF398C">
        <w:rPr>
          <w:rFonts w:ascii="Arial" w:hAnsi="Arial" w:cs="Arial"/>
        </w:rPr>
        <w:t>5</w:t>
      </w:r>
      <w:r w:rsidRPr="00EF398C">
        <w:rPr>
          <w:rFonts w:ascii="Arial" w:hAnsi="Arial" w:cs="Arial"/>
        </w:rPr>
        <w:t>/2</w:t>
      </w:r>
      <w:r w:rsidR="002433D3" w:rsidRPr="00EF398C">
        <w:rPr>
          <w:rFonts w:ascii="Arial" w:hAnsi="Arial" w:cs="Arial"/>
        </w:rPr>
        <w:t>6</w:t>
      </w:r>
      <w:r w:rsidRPr="00EF398C">
        <w:rPr>
          <w:rFonts w:ascii="Arial" w:hAnsi="Arial" w:cs="Arial"/>
        </w:rPr>
        <w:t xml:space="preserve"> were published by the DfE on </w:t>
      </w:r>
      <w:r w:rsidRPr="008F1D54">
        <w:rPr>
          <w:rFonts w:ascii="Arial" w:hAnsi="Arial" w:cs="Arial"/>
        </w:rPr>
        <w:t>1</w:t>
      </w:r>
      <w:r w:rsidR="008F1D54" w:rsidRPr="008F1D54">
        <w:rPr>
          <w:rFonts w:ascii="Arial" w:hAnsi="Arial" w:cs="Arial"/>
        </w:rPr>
        <w:t>8</w:t>
      </w:r>
      <w:r w:rsidRPr="008F1D54">
        <w:rPr>
          <w:rFonts w:ascii="Arial" w:hAnsi="Arial" w:cs="Arial"/>
        </w:rPr>
        <w:t xml:space="preserve"> December</w:t>
      </w:r>
      <w:r w:rsidRPr="00EF398C">
        <w:rPr>
          <w:rFonts w:ascii="Arial" w:hAnsi="Arial" w:cs="Arial"/>
        </w:rPr>
        <w:t>.</w:t>
      </w:r>
      <w:r w:rsidR="0027216F" w:rsidRPr="00EF398C">
        <w:rPr>
          <w:rFonts w:ascii="Arial" w:hAnsi="Arial" w:cs="Arial"/>
        </w:rPr>
        <w:t xml:space="preserve"> </w:t>
      </w:r>
      <w:r w:rsidR="00F94F3E" w:rsidRPr="00EF398C">
        <w:rPr>
          <w:rFonts w:ascii="Arial" w:hAnsi="Arial" w:cs="Arial"/>
        </w:rPr>
        <w:t>For the Schools, High Needs and Central School Services Block</w:t>
      </w:r>
      <w:r w:rsidR="7D6F4C84" w:rsidRPr="00EF398C">
        <w:rPr>
          <w:rFonts w:ascii="Arial" w:hAnsi="Arial" w:cs="Arial"/>
        </w:rPr>
        <w:t>s</w:t>
      </w:r>
      <w:r w:rsidR="00F94F3E" w:rsidRPr="00EF398C">
        <w:rPr>
          <w:rFonts w:ascii="Arial" w:hAnsi="Arial" w:cs="Arial"/>
        </w:rPr>
        <w:t xml:space="preserve">, these </w:t>
      </w:r>
      <w:r w:rsidR="00B65D1E" w:rsidRPr="00EF398C">
        <w:rPr>
          <w:rFonts w:ascii="Arial" w:hAnsi="Arial" w:cs="Arial"/>
        </w:rPr>
        <w:t xml:space="preserve">provide an update to the provisional allocations published </w:t>
      </w:r>
      <w:r w:rsidR="008018B3" w:rsidRPr="00EF398C">
        <w:rPr>
          <w:rFonts w:ascii="Arial" w:hAnsi="Arial" w:cs="Arial"/>
        </w:rPr>
        <w:t>at the end of</w:t>
      </w:r>
      <w:r w:rsidR="00B65D1E" w:rsidRPr="00EF398C">
        <w:rPr>
          <w:rFonts w:ascii="Arial" w:hAnsi="Arial" w:cs="Arial"/>
        </w:rPr>
        <w:t xml:space="preserve"> </w:t>
      </w:r>
      <w:r w:rsidR="002433D3" w:rsidRPr="00EF398C">
        <w:rPr>
          <w:rFonts w:ascii="Arial" w:hAnsi="Arial" w:cs="Arial"/>
        </w:rPr>
        <w:t>November</w:t>
      </w:r>
      <w:r w:rsidR="004D514D" w:rsidRPr="00EF398C">
        <w:rPr>
          <w:rFonts w:ascii="Arial" w:hAnsi="Arial" w:cs="Arial"/>
        </w:rPr>
        <w:t xml:space="preserve">. </w:t>
      </w:r>
      <w:r w:rsidR="00A54297" w:rsidRPr="00EF398C">
        <w:rPr>
          <w:rFonts w:ascii="Arial" w:hAnsi="Arial" w:cs="Arial"/>
        </w:rPr>
        <w:t xml:space="preserve">The Early Years Block allocation has </w:t>
      </w:r>
      <w:r w:rsidR="00DB56EE" w:rsidRPr="00EF398C">
        <w:rPr>
          <w:rFonts w:ascii="Arial" w:hAnsi="Arial" w:cs="Arial"/>
        </w:rPr>
        <w:t xml:space="preserve">also </w:t>
      </w:r>
      <w:r w:rsidR="00A54297" w:rsidRPr="00EF398C">
        <w:rPr>
          <w:rFonts w:ascii="Arial" w:hAnsi="Arial" w:cs="Arial"/>
        </w:rPr>
        <w:t xml:space="preserve">been updated </w:t>
      </w:r>
      <w:r w:rsidR="004E77DB" w:rsidRPr="00EF398C">
        <w:rPr>
          <w:rFonts w:ascii="Arial" w:hAnsi="Arial" w:cs="Arial"/>
        </w:rPr>
        <w:t xml:space="preserve">following </w:t>
      </w:r>
      <w:r w:rsidR="00DF5A14" w:rsidRPr="00EF398C">
        <w:rPr>
          <w:rFonts w:ascii="Arial" w:hAnsi="Arial" w:cs="Arial"/>
        </w:rPr>
        <w:t xml:space="preserve">the </w:t>
      </w:r>
      <w:r w:rsidR="004E77DB" w:rsidRPr="00EF398C">
        <w:rPr>
          <w:rFonts w:ascii="Arial" w:hAnsi="Arial" w:cs="Arial"/>
        </w:rPr>
        <w:t>summer consultation</w:t>
      </w:r>
      <w:r w:rsidR="00DF5A14" w:rsidRPr="00EF398C">
        <w:rPr>
          <w:rFonts w:ascii="Arial" w:hAnsi="Arial" w:cs="Arial"/>
        </w:rPr>
        <w:t>.</w:t>
      </w:r>
      <w:r w:rsidR="008427A2" w:rsidRPr="008F1D54">
        <w:rPr>
          <w:rFonts w:ascii="Arial" w:hAnsi="Arial" w:cs="Arial"/>
        </w:rPr>
        <w:br w:type="page"/>
      </w:r>
    </w:p>
    <w:p w14:paraId="5531C29C" w14:textId="7524E259" w:rsidR="00C3647A" w:rsidRPr="008F1D54" w:rsidRDefault="00720CF1" w:rsidP="00FD4C4E">
      <w:pPr>
        <w:pStyle w:val="Heading2"/>
        <w:keepNext w:val="0"/>
        <w:tabs>
          <w:tab w:val="num" w:pos="426"/>
        </w:tabs>
        <w:ind w:left="426" w:hanging="568"/>
        <w:jc w:val="left"/>
        <w:rPr>
          <w:rFonts w:ascii="Arial" w:hAnsi="Arial" w:cs="Arial"/>
          <w:szCs w:val="24"/>
        </w:rPr>
      </w:pPr>
      <w:r w:rsidRPr="008018B3">
        <w:rPr>
          <w:rFonts w:ascii="Arial" w:hAnsi="Arial" w:cs="Arial"/>
          <w:szCs w:val="24"/>
        </w:rPr>
        <w:t xml:space="preserve">The DSG allocations </w:t>
      </w:r>
      <w:r w:rsidR="00E652FB" w:rsidRPr="008018B3">
        <w:rPr>
          <w:rFonts w:ascii="Arial" w:hAnsi="Arial" w:cs="Arial"/>
          <w:szCs w:val="24"/>
        </w:rPr>
        <w:t xml:space="preserve">provide an additional </w:t>
      </w:r>
      <w:r w:rsidR="00E652FB" w:rsidRPr="00F13B4B">
        <w:rPr>
          <w:rFonts w:ascii="Arial" w:hAnsi="Arial" w:cs="Arial"/>
          <w:szCs w:val="24"/>
        </w:rPr>
        <w:t>£</w:t>
      </w:r>
      <w:r w:rsidR="00F13B4B" w:rsidRPr="00F13B4B">
        <w:rPr>
          <w:rFonts w:ascii="Arial" w:hAnsi="Arial" w:cs="Arial"/>
          <w:szCs w:val="24"/>
        </w:rPr>
        <w:t>161.2</w:t>
      </w:r>
      <w:r w:rsidR="00E652FB" w:rsidRPr="00F13B4B">
        <w:rPr>
          <w:rFonts w:ascii="Arial" w:hAnsi="Arial" w:cs="Arial"/>
          <w:szCs w:val="24"/>
        </w:rPr>
        <w:t xml:space="preserve">m </w:t>
      </w:r>
      <w:r w:rsidR="00E652FB" w:rsidRPr="008018B3">
        <w:rPr>
          <w:rFonts w:ascii="Arial" w:hAnsi="Arial" w:cs="Arial"/>
          <w:szCs w:val="24"/>
        </w:rPr>
        <w:t>compared to the current 202</w:t>
      </w:r>
      <w:r w:rsidR="008018B3" w:rsidRPr="008018B3">
        <w:rPr>
          <w:rFonts w:ascii="Arial" w:hAnsi="Arial" w:cs="Arial"/>
          <w:szCs w:val="24"/>
        </w:rPr>
        <w:t>4</w:t>
      </w:r>
      <w:r w:rsidR="00E652FB" w:rsidRPr="008018B3">
        <w:rPr>
          <w:rFonts w:ascii="Arial" w:hAnsi="Arial" w:cs="Arial"/>
          <w:szCs w:val="24"/>
        </w:rPr>
        <w:t>/2</w:t>
      </w:r>
      <w:r w:rsidR="008018B3" w:rsidRPr="008018B3">
        <w:rPr>
          <w:rFonts w:ascii="Arial" w:hAnsi="Arial" w:cs="Arial"/>
          <w:szCs w:val="24"/>
        </w:rPr>
        <w:t>5</w:t>
      </w:r>
      <w:r w:rsidR="00E652FB" w:rsidRPr="008018B3">
        <w:rPr>
          <w:rFonts w:ascii="Arial" w:hAnsi="Arial" w:cs="Arial"/>
          <w:szCs w:val="24"/>
        </w:rPr>
        <w:t xml:space="preserve"> allocations, as </w:t>
      </w:r>
      <w:proofErr w:type="spellStart"/>
      <w:r w:rsidR="00E652FB" w:rsidRPr="008018B3">
        <w:rPr>
          <w:rFonts w:ascii="Arial" w:hAnsi="Arial" w:cs="Arial"/>
          <w:szCs w:val="24"/>
        </w:rPr>
        <w:t>summarised</w:t>
      </w:r>
      <w:proofErr w:type="spellEnd"/>
      <w:r w:rsidR="00E652FB" w:rsidRPr="008018B3">
        <w:rPr>
          <w:rFonts w:ascii="Arial" w:hAnsi="Arial" w:cs="Arial"/>
          <w:szCs w:val="24"/>
        </w:rPr>
        <w:t xml:space="preserve"> in the following table</w:t>
      </w:r>
      <w:r w:rsidR="002E4CF6" w:rsidRPr="008018B3">
        <w:rPr>
          <w:rFonts w:ascii="Arial" w:hAnsi="Arial" w:cs="Arial"/>
          <w:szCs w:val="24"/>
        </w:rPr>
        <w:t>:</w:t>
      </w:r>
    </w:p>
    <w:tbl>
      <w:tblPr>
        <w:tblW w:w="720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1492"/>
        <w:gridCol w:w="1388"/>
        <w:gridCol w:w="1084"/>
        <w:gridCol w:w="897"/>
      </w:tblGrid>
      <w:tr w:rsidR="0047223A" w:rsidRPr="0033457D" w14:paraId="2A2628C2" w14:textId="130AEAFD" w:rsidTr="00D22FFB">
        <w:tc>
          <w:tcPr>
            <w:tcW w:w="2461" w:type="dxa"/>
            <w:shd w:val="clear" w:color="auto" w:fill="auto"/>
          </w:tcPr>
          <w:p w14:paraId="7103B8B4" w14:textId="77777777" w:rsidR="00321113" w:rsidRPr="00EF22D3" w:rsidRDefault="00321113" w:rsidP="008A1333">
            <w:pPr>
              <w:pStyle w:val="Heading2"/>
              <w:keepNext w:val="0"/>
              <w:numPr>
                <w:ilvl w:val="0"/>
                <w:numId w:val="0"/>
              </w:numPr>
              <w:spacing w:after="0"/>
              <w:jc w:val="left"/>
              <w:rPr>
                <w:rFonts w:ascii="Arial" w:hAnsi="Arial" w:cs="Arial"/>
                <w:szCs w:val="24"/>
              </w:rPr>
            </w:pPr>
          </w:p>
        </w:tc>
        <w:tc>
          <w:tcPr>
            <w:tcW w:w="1503" w:type="dxa"/>
          </w:tcPr>
          <w:p w14:paraId="6EEDEB3C" w14:textId="75FCBBE1" w:rsidR="00321113" w:rsidRPr="00CD5A83" w:rsidRDefault="00321113" w:rsidP="00556201">
            <w:pPr>
              <w:spacing w:after="0"/>
              <w:jc w:val="center"/>
              <w:rPr>
                <w:rFonts w:ascii="Arial" w:eastAsia="Calibri" w:hAnsi="Arial" w:cs="Arial"/>
                <w:b/>
                <w:bCs/>
                <w:szCs w:val="24"/>
              </w:rPr>
            </w:pPr>
            <w:r w:rsidRPr="00CD5A83">
              <w:rPr>
                <w:rFonts w:ascii="Arial" w:eastAsia="Calibri" w:hAnsi="Arial" w:cs="Arial"/>
                <w:b/>
                <w:bCs/>
                <w:szCs w:val="24"/>
              </w:rPr>
              <w:t xml:space="preserve">Current DSG Allocation </w:t>
            </w:r>
            <w:r w:rsidR="00CD5A83" w:rsidRPr="00CD5A83">
              <w:rPr>
                <w:rFonts w:ascii="Arial" w:eastAsia="Calibri" w:hAnsi="Arial" w:cs="Arial"/>
                <w:b/>
                <w:bCs/>
                <w:szCs w:val="24"/>
              </w:rPr>
              <w:t>2024/25</w:t>
            </w:r>
            <w:r w:rsidR="0027731A" w:rsidRPr="00CD5A83">
              <w:rPr>
                <w:rFonts w:ascii="Arial" w:eastAsia="Calibri" w:hAnsi="Arial" w:cs="Arial"/>
                <w:b/>
                <w:bCs/>
                <w:szCs w:val="24"/>
              </w:rPr>
              <w:t>*</w:t>
            </w:r>
          </w:p>
        </w:tc>
        <w:tc>
          <w:tcPr>
            <w:tcW w:w="1389" w:type="dxa"/>
          </w:tcPr>
          <w:p w14:paraId="07B56480" w14:textId="5710EB8C" w:rsidR="00321113" w:rsidRPr="00CD5A83" w:rsidRDefault="00321113" w:rsidP="008A1333">
            <w:pPr>
              <w:pStyle w:val="Heading2"/>
              <w:keepNext w:val="0"/>
              <w:numPr>
                <w:ilvl w:val="0"/>
                <w:numId w:val="0"/>
              </w:numPr>
              <w:spacing w:after="0"/>
              <w:jc w:val="center"/>
              <w:rPr>
                <w:rFonts w:ascii="Arial" w:hAnsi="Arial" w:cs="Arial"/>
                <w:b/>
                <w:bCs/>
                <w:szCs w:val="24"/>
              </w:rPr>
            </w:pPr>
            <w:r w:rsidRPr="00CD5A83">
              <w:rPr>
                <w:rFonts w:ascii="Arial" w:hAnsi="Arial" w:cs="Arial"/>
                <w:b/>
                <w:bCs/>
                <w:szCs w:val="24"/>
              </w:rPr>
              <w:t xml:space="preserve">DSG Allocation </w:t>
            </w:r>
            <w:r w:rsidR="00CD5A83" w:rsidRPr="00CD5A83">
              <w:rPr>
                <w:rFonts w:ascii="Arial" w:hAnsi="Arial" w:cs="Arial"/>
                <w:b/>
                <w:bCs/>
                <w:szCs w:val="24"/>
              </w:rPr>
              <w:t>2025/26</w:t>
            </w:r>
            <w:r w:rsidR="009D663A" w:rsidRPr="00CD5A83">
              <w:rPr>
                <w:rFonts w:ascii="Arial" w:hAnsi="Arial" w:cs="Arial"/>
                <w:b/>
                <w:bCs/>
                <w:szCs w:val="24"/>
              </w:rPr>
              <w:t>*</w:t>
            </w:r>
          </w:p>
        </w:tc>
        <w:tc>
          <w:tcPr>
            <w:tcW w:w="1848" w:type="dxa"/>
            <w:gridSpan w:val="2"/>
          </w:tcPr>
          <w:p w14:paraId="24E59738" w14:textId="5519AA08" w:rsidR="00321113" w:rsidRPr="00CD5A83" w:rsidRDefault="00321113" w:rsidP="008A1333">
            <w:pPr>
              <w:pStyle w:val="Heading2"/>
              <w:keepNext w:val="0"/>
              <w:numPr>
                <w:ilvl w:val="0"/>
                <w:numId w:val="0"/>
              </w:numPr>
              <w:spacing w:after="0"/>
              <w:jc w:val="center"/>
              <w:rPr>
                <w:rFonts w:ascii="Arial" w:hAnsi="Arial" w:cs="Arial"/>
                <w:b/>
                <w:bCs/>
                <w:szCs w:val="24"/>
              </w:rPr>
            </w:pPr>
            <w:r w:rsidRPr="00CD5A83">
              <w:rPr>
                <w:rFonts w:ascii="Arial" w:hAnsi="Arial" w:cs="Arial"/>
                <w:b/>
                <w:bCs/>
                <w:szCs w:val="24"/>
              </w:rPr>
              <w:t xml:space="preserve">Change from </w:t>
            </w:r>
            <w:r w:rsidR="00CD5A83" w:rsidRPr="00CD5A83">
              <w:rPr>
                <w:rFonts w:ascii="Arial" w:hAnsi="Arial" w:cs="Arial"/>
                <w:b/>
                <w:bCs/>
                <w:szCs w:val="24"/>
              </w:rPr>
              <w:t>2024/25</w:t>
            </w:r>
          </w:p>
        </w:tc>
      </w:tr>
      <w:tr w:rsidR="0047223A" w:rsidRPr="0033457D" w14:paraId="0EE7738F" w14:textId="0E498A70" w:rsidTr="00D22FFB">
        <w:tc>
          <w:tcPr>
            <w:tcW w:w="2461" w:type="dxa"/>
            <w:shd w:val="clear" w:color="auto" w:fill="auto"/>
          </w:tcPr>
          <w:p w14:paraId="45AD6B5F" w14:textId="77777777" w:rsidR="00321113" w:rsidRPr="00EF22D3" w:rsidRDefault="00321113" w:rsidP="008A1333">
            <w:pPr>
              <w:pStyle w:val="Heading2"/>
              <w:keepNext w:val="0"/>
              <w:numPr>
                <w:ilvl w:val="0"/>
                <w:numId w:val="0"/>
              </w:numPr>
              <w:spacing w:after="0"/>
              <w:jc w:val="left"/>
              <w:rPr>
                <w:rFonts w:ascii="Arial" w:hAnsi="Arial" w:cs="Arial"/>
                <w:szCs w:val="24"/>
              </w:rPr>
            </w:pPr>
          </w:p>
        </w:tc>
        <w:tc>
          <w:tcPr>
            <w:tcW w:w="1503" w:type="dxa"/>
            <w:vAlign w:val="bottom"/>
          </w:tcPr>
          <w:p w14:paraId="42E4A0C9" w14:textId="02CE2215" w:rsidR="00321113" w:rsidRPr="00CD5A83" w:rsidRDefault="00321113" w:rsidP="001E1CA1">
            <w:pPr>
              <w:pStyle w:val="Heading2"/>
              <w:keepNext w:val="0"/>
              <w:numPr>
                <w:ilvl w:val="0"/>
                <w:numId w:val="0"/>
              </w:numPr>
              <w:spacing w:after="0"/>
              <w:jc w:val="center"/>
              <w:rPr>
                <w:rFonts w:ascii="Arial" w:hAnsi="Arial" w:cs="Arial"/>
                <w:b/>
                <w:bCs/>
                <w:szCs w:val="24"/>
              </w:rPr>
            </w:pPr>
            <w:r w:rsidRPr="00CD5A83">
              <w:rPr>
                <w:rFonts w:ascii="Arial" w:hAnsi="Arial" w:cs="Arial"/>
                <w:b/>
                <w:bCs/>
                <w:szCs w:val="24"/>
              </w:rPr>
              <w:t>£000</w:t>
            </w:r>
          </w:p>
        </w:tc>
        <w:tc>
          <w:tcPr>
            <w:tcW w:w="1389" w:type="dxa"/>
            <w:vAlign w:val="bottom"/>
          </w:tcPr>
          <w:p w14:paraId="45A2FD27" w14:textId="15C5321E" w:rsidR="00321113" w:rsidRPr="00CD5A83" w:rsidRDefault="00321113" w:rsidP="001E1CA1">
            <w:pPr>
              <w:pStyle w:val="Heading2"/>
              <w:keepNext w:val="0"/>
              <w:numPr>
                <w:ilvl w:val="0"/>
                <w:numId w:val="0"/>
              </w:numPr>
              <w:spacing w:after="0"/>
              <w:jc w:val="center"/>
              <w:rPr>
                <w:rFonts w:ascii="Arial" w:hAnsi="Arial" w:cs="Arial"/>
                <w:b/>
                <w:bCs/>
                <w:szCs w:val="24"/>
              </w:rPr>
            </w:pPr>
            <w:r w:rsidRPr="00CD5A83">
              <w:rPr>
                <w:rFonts w:ascii="Arial" w:hAnsi="Arial" w:cs="Arial"/>
                <w:b/>
                <w:bCs/>
                <w:szCs w:val="24"/>
              </w:rPr>
              <w:t>£000</w:t>
            </w:r>
          </w:p>
        </w:tc>
        <w:tc>
          <w:tcPr>
            <w:tcW w:w="951" w:type="dxa"/>
          </w:tcPr>
          <w:p w14:paraId="17BE11B4" w14:textId="782D3786" w:rsidR="00321113" w:rsidRPr="00CD5A83" w:rsidRDefault="00321113" w:rsidP="001E1CA1">
            <w:pPr>
              <w:pStyle w:val="Heading2"/>
              <w:keepNext w:val="0"/>
              <w:numPr>
                <w:ilvl w:val="0"/>
                <w:numId w:val="0"/>
              </w:numPr>
              <w:spacing w:after="0"/>
              <w:jc w:val="center"/>
              <w:rPr>
                <w:rFonts w:ascii="Arial" w:hAnsi="Arial" w:cs="Arial"/>
                <w:b/>
                <w:bCs/>
                <w:szCs w:val="24"/>
              </w:rPr>
            </w:pPr>
            <w:r w:rsidRPr="00CD5A83">
              <w:rPr>
                <w:rFonts w:ascii="Arial" w:hAnsi="Arial" w:cs="Arial"/>
                <w:b/>
                <w:bCs/>
                <w:szCs w:val="24"/>
              </w:rPr>
              <w:t>£000</w:t>
            </w:r>
          </w:p>
        </w:tc>
        <w:tc>
          <w:tcPr>
            <w:tcW w:w="897" w:type="dxa"/>
          </w:tcPr>
          <w:p w14:paraId="3650904D" w14:textId="4D850AA8" w:rsidR="00321113" w:rsidRPr="00CD5A83" w:rsidRDefault="00321113" w:rsidP="001E1CA1">
            <w:pPr>
              <w:pStyle w:val="Heading2"/>
              <w:keepNext w:val="0"/>
              <w:numPr>
                <w:ilvl w:val="0"/>
                <w:numId w:val="0"/>
              </w:numPr>
              <w:spacing w:after="0"/>
              <w:jc w:val="center"/>
              <w:rPr>
                <w:rFonts w:ascii="Arial" w:hAnsi="Arial" w:cs="Arial"/>
                <w:b/>
                <w:bCs/>
                <w:szCs w:val="24"/>
              </w:rPr>
            </w:pPr>
            <w:r w:rsidRPr="00CD5A83">
              <w:rPr>
                <w:rFonts w:ascii="Arial" w:hAnsi="Arial" w:cs="Arial"/>
                <w:b/>
                <w:bCs/>
                <w:szCs w:val="24"/>
              </w:rPr>
              <w:t>%</w:t>
            </w:r>
          </w:p>
        </w:tc>
      </w:tr>
      <w:tr w:rsidR="0047223A" w:rsidRPr="0033457D" w14:paraId="075B8974" w14:textId="53C92CE8" w:rsidTr="00D22FFB">
        <w:tc>
          <w:tcPr>
            <w:tcW w:w="2461" w:type="dxa"/>
            <w:shd w:val="clear" w:color="auto" w:fill="auto"/>
          </w:tcPr>
          <w:p w14:paraId="14F66542" w14:textId="77777777" w:rsidR="00D22FFB" w:rsidRPr="00EF22D3" w:rsidRDefault="00D22FFB" w:rsidP="00D22FFB">
            <w:pPr>
              <w:pStyle w:val="Heading2"/>
              <w:keepNext w:val="0"/>
              <w:numPr>
                <w:ilvl w:val="0"/>
                <w:numId w:val="0"/>
              </w:numPr>
              <w:spacing w:after="0"/>
              <w:jc w:val="left"/>
              <w:rPr>
                <w:rFonts w:ascii="Arial" w:hAnsi="Arial" w:cs="Arial"/>
                <w:szCs w:val="24"/>
              </w:rPr>
            </w:pPr>
            <w:r w:rsidRPr="00D22FFB">
              <w:rPr>
                <w:rFonts w:ascii="Arial" w:hAnsi="Arial" w:cs="Arial"/>
                <w:szCs w:val="24"/>
              </w:rPr>
              <w:t>Early Years</w:t>
            </w:r>
          </w:p>
        </w:tc>
        <w:tc>
          <w:tcPr>
            <w:tcW w:w="1503" w:type="dxa"/>
            <w:vAlign w:val="bottom"/>
          </w:tcPr>
          <w:p w14:paraId="7A0DD35C" w14:textId="507FF67C" w:rsidR="00D22FFB" w:rsidRPr="00EF22D3" w:rsidRDefault="00D22FFB" w:rsidP="00D22FFB">
            <w:pPr>
              <w:pStyle w:val="Heading2"/>
              <w:keepNext w:val="0"/>
              <w:numPr>
                <w:ilvl w:val="0"/>
                <w:numId w:val="0"/>
              </w:numPr>
              <w:spacing w:after="0"/>
              <w:jc w:val="right"/>
              <w:rPr>
                <w:rFonts w:ascii="Arial" w:eastAsia="Calibri" w:hAnsi="Arial" w:cs="Arial"/>
                <w:szCs w:val="24"/>
              </w:rPr>
            </w:pPr>
            <w:r>
              <w:rPr>
                <w:rFonts w:ascii="Arial" w:eastAsia="Calibri" w:hAnsi="Arial" w:cs="Arial"/>
              </w:rPr>
              <w:t xml:space="preserve">        </w:t>
            </w:r>
            <w:r>
              <w:rPr>
                <w:rFonts w:ascii="Arial" w:hAnsi="Arial" w:cs="Arial"/>
              </w:rPr>
              <w:t>152,246</w:t>
            </w:r>
            <w:r>
              <w:rPr>
                <w:rFonts w:ascii="Arial" w:eastAsia="Calibri" w:hAnsi="Arial" w:cs="Arial"/>
              </w:rPr>
              <w:t xml:space="preserve"> </w:t>
            </w:r>
          </w:p>
        </w:tc>
        <w:tc>
          <w:tcPr>
            <w:tcW w:w="1389" w:type="dxa"/>
            <w:vAlign w:val="bottom"/>
          </w:tcPr>
          <w:p w14:paraId="0BAE469C" w14:textId="51498179" w:rsidR="00D22FFB" w:rsidRPr="00EF22D3" w:rsidRDefault="00D22FFB" w:rsidP="00D22FFB">
            <w:pPr>
              <w:pStyle w:val="Heading2"/>
              <w:keepNext w:val="0"/>
              <w:numPr>
                <w:ilvl w:val="0"/>
                <w:numId w:val="0"/>
              </w:numPr>
              <w:spacing w:after="0"/>
              <w:jc w:val="right"/>
              <w:rPr>
                <w:rFonts w:ascii="Arial" w:hAnsi="Arial" w:cs="Arial"/>
                <w:szCs w:val="24"/>
              </w:rPr>
            </w:pPr>
            <w:r>
              <w:rPr>
                <w:rFonts w:ascii="Arial" w:hAnsi="Arial" w:cs="Arial"/>
              </w:rPr>
              <w:t xml:space="preserve">      219,185 </w:t>
            </w:r>
          </w:p>
        </w:tc>
        <w:tc>
          <w:tcPr>
            <w:tcW w:w="951" w:type="dxa"/>
            <w:vAlign w:val="bottom"/>
          </w:tcPr>
          <w:p w14:paraId="5952B669" w14:textId="639687CF" w:rsidR="00D22FFB" w:rsidRPr="00EF22D3" w:rsidRDefault="00D22FFB" w:rsidP="00D22FFB">
            <w:pPr>
              <w:pStyle w:val="Heading2"/>
              <w:keepNext w:val="0"/>
              <w:numPr>
                <w:ilvl w:val="0"/>
                <w:numId w:val="0"/>
              </w:numPr>
              <w:spacing w:after="0"/>
              <w:jc w:val="center"/>
              <w:rPr>
                <w:rFonts w:ascii="Arial" w:hAnsi="Arial" w:cs="Arial"/>
                <w:szCs w:val="24"/>
              </w:rPr>
            </w:pPr>
            <w:r w:rsidRPr="00EF22D3">
              <w:rPr>
                <w:rFonts w:ascii="Arial" w:hAnsi="Arial" w:cs="Arial"/>
              </w:rPr>
              <w:t xml:space="preserve">      66,938 </w:t>
            </w:r>
          </w:p>
        </w:tc>
        <w:tc>
          <w:tcPr>
            <w:tcW w:w="897" w:type="dxa"/>
            <w:vAlign w:val="bottom"/>
          </w:tcPr>
          <w:p w14:paraId="67CCB1B8" w14:textId="4A8C85CA" w:rsidR="00D22FFB" w:rsidRPr="00EF22D3" w:rsidRDefault="00D22FFB" w:rsidP="00D22FFB">
            <w:pPr>
              <w:pStyle w:val="Heading2"/>
              <w:keepNext w:val="0"/>
              <w:numPr>
                <w:ilvl w:val="0"/>
                <w:numId w:val="0"/>
              </w:numPr>
              <w:spacing w:after="0"/>
              <w:jc w:val="right"/>
              <w:rPr>
                <w:rFonts w:ascii="Arial" w:hAnsi="Arial" w:cs="Arial"/>
                <w:szCs w:val="24"/>
              </w:rPr>
            </w:pPr>
            <w:r w:rsidRPr="00EF22D3">
              <w:rPr>
                <w:rFonts w:ascii="Arial" w:hAnsi="Arial" w:cs="Arial"/>
              </w:rPr>
              <w:t>44.0%</w:t>
            </w:r>
          </w:p>
        </w:tc>
      </w:tr>
      <w:tr w:rsidR="0047223A" w:rsidRPr="00CD5A83" w14:paraId="0AB497CD" w14:textId="40082614" w:rsidTr="00D22FFB">
        <w:trPr>
          <w:trHeight w:val="336"/>
        </w:trPr>
        <w:tc>
          <w:tcPr>
            <w:tcW w:w="2461" w:type="dxa"/>
            <w:shd w:val="clear" w:color="auto" w:fill="auto"/>
          </w:tcPr>
          <w:p w14:paraId="5DB4D06D" w14:textId="77777777" w:rsidR="00E227AF" w:rsidRPr="00CD5A83" w:rsidRDefault="00E227AF" w:rsidP="00E227AF">
            <w:pPr>
              <w:pStyle w:val="Heading2"/>
              <w:keepNext w:val="0"/>
              <w:numPr>
                <w:ilvl w:val="0"/>
                <w:numId w:val="0"/>
              </w:numPr>
              <w:spacing w:after="0"/>
              <w:jc w:val="left"/>
              <w:rPr>
                <w:rFonts w:ascii="Arial" w:hAnsi="Arial" w:cs="Arial"/>
                <w:szCs w:val="24"/>
              </w:rPr>
            </w:pPr>
            <w:r w:rsidRPr="00CD5A83">
              <w:rPr>
                <w:rFonts w:ascii="Arial" w:hAnsi="Arial" w:cs="Arial"/>
                <w:szCs w:val="24"/>
              </w:rPr>
              <w:t>Schools</w:t>
            </w:r>
          </w:p>
        </w:tc>
        <w:tc>
          <w:tcPr>
            <w:tcW w:w="1503" w:type="dxa"/>
            <w:vAlign w:val="bottom"/>
          </w:tcPr>
          <w:p w14:paraId="7DBAF125" w14:textId="124410A0" w:rsidR="00E227AF" w:rsidRPr="00CD5A83" w:rsidRDefault="00E227AF" w:rsidP="00E227AF">
            <w:pPr>
              <w:pStyle w:val="Heading2"/>
              <w:keepNext w:val="0"/>
              <w:numPr>
                <w:ilvl w:val="1"/>
                <w:numId w:val="0"/>
              </w:numPr>
              <w:spacing w:after="0"/>
              <w:jc w:val="right"/>
              <w:rPr>
                <w:rFonts w:ascii="Arial" w:eastAsia="Calibri" w:hAnsi="Arial" w:cs="Arial"/>
              </w:rPr>
            </w:pPr>
            <w:r>
              <w:rPr>
                <w:rFonts w:ascii="Arial" w:eastAsia="Calibri" w:hAnsi="Arial" w:cs="Arial"/>
              </w:rPr>
              <w:t xml:space="preserve">        </w:t>
            </w:r>
            <w:r>
              <w:rPr>
                <w:rFonts w:ascii="Arial" w:hAnsi="Arial" w:cs="Arial"/>
              </w:rPr>
              <w:t>991,979</w:t>
            </w:r>
            <w:r>
              <w:rPr>
                <w:rFonts w:ascii="Arial" w:eastAsia="Calibri" w:hAnsi="Arial" w:cs="Arial"/>
              </w:rPr>
              <w:t xml:space="preserve"> </w:t>
            </w:r>
          </w:p>
        </w:tc>
        <w:tc>
          <w:tcPr>
            <w:tcW w:w="1389" w:type="dxa"/>
            <w:vAlign w:val="bottom"/>
          </w:tcPr>
          <w:p w14:paraId="3C1F4CFF" w14:textId="4DA44277" w:rsidR="00E227AF" w:rsidRPr="00CD5A83" w:rsidRDefault="00E227AF" w:rsidP="00E227AF">
            <w:pPr>
              <w:pStyle w:val="Heading2"/>
              <w:keepNext w:val="0"/>
              <w:numPr>
                <w:ilvl w:val="0"/>
                <w:numId w:val="0"/>
              </w:numPr>
              <w:spacing w:after="0"/>
              <w:jc w:val="right"/>
              <w:rPr>
                <w:rFonts w:ascii="Arial" w:hAnsi="Arial" w:cs="Arial"/>
                <w:szCs w:val="24"/>
              </w:rPr>
            </w:pPr>
            <w:r>
              <w:rPr>
                <w:rFonts w:ascii="Arial" w:hAnsi="Arial" w:cs="Arial"/>
              </w:rPr>
              <w:t xml:space="preserve">   1,067,679 </w:t>
            </w:r>
          </w:p>
        </w:tc>
        <w:tc>
          <w:tcPr>
            <w:tcW w:w="951" w:type="dxa"/>
            <w:vAlign w:val="bottom"/>
          </w:tcPr>
          <w:p w14:paraId="1DABAEFE" w14:textId="5FCF2667" w:rsidR="00E227AF" w:rsidRPr="00CD5A83" w:rsidRDefault="00E227AF" w:rsidP="00E227AF">
            <w:pPr>
              <w:pStyle w:val="Heading2"/>
              <w:keepNext w:val="0"/>
              <w:numPr>
                <w:ilvl w:val="0"/>
                <w:numId w:val="0"/>
              </w:numPr>
              <w:spacing w:after="0"/>
              <w:jc w:val="right"/>
              <w:rPr>
                <w:rFonts w:ascii="Arial" w:hAnsi="Arial" w:cs="Arial"/>
                <w:szCs w:val="24"/>
              </w:rPr>
            </w:pPr>
            <w:r w:rsidRPr="00EF22D3">
              <w:rPr>
                <w:rFonts w:ascii="Arial" w:hAnsi="Arial" w:cs="Arial"/>
              </w:rPr>
              <w:t xml:space="preserve">      75,699</w:t>
            </w:r>
          </w:p>
        </w:tc>
        <w:tc>
          <w:tcPr>
            <w:tcW w:w="897" w:type="dxa"/>
            <w:vAlign w:val="bottom"/>
          </w:tcPr>
          <w:p w14:paraId="13A99C3E" w14:textId="2BC72A4F" w:rsidR="00E227AF" w:rsidRPr="00CD5A83" w:rsidRDefault="00E227AF" w:rsidP="00E227AF">
            <w:pPr>
              <w:pStyle w:val="Heading2"/>
              <w:keepNext w:val="0"/>
              <w:numPr>
                <w:ilvl w:val="0"/>
                <w:numId w:val="0"/>
              </w:numPr>
              <w:spacing w:after="0"/>
              <w:jc w:val="right"/>
              <w:rPr>
                <w:rFonts w:ascii="Arial" w:hAnsi="Arial" w:cs="Arial"/>
                <w:szCs w:val="24"/>
              </w:rPr>
            </w:pPr>
            <w:r w:rsidRPr="00EF22D3">
              <w:rPr>
                <w:rFonts w:ascii="Arial" w:hAnsi="Arial" w:cs="Arial"/>
              </w:rPr>
              <w:t>7.6%</w:t>
            </w:r>
          </w:p>
        </w:tc>
      </w:tr>
      <w:tr w:rsidR="0047223A" w:rsidRPr="00CD5A83" w14:paraId="1BAD3FE5" w14:textId="641229B9" w:rsidTr="00D22FFB">
        <w:tc>
          <w:tcPr>
            <w:tcW w:w="2461" w:type="dxa"/>
            <w:shd w:val="clear" w:color="auto" w:fill="auto"/>
          </w:tcPr>
          <w:p w14:paraId="4D30552F" w14:textId="77777777" w:rsidR="00E227AF" w:rsidRPr="00CD5A83" w:rsidRDefault="00E227AF" w:rsidP="00E227AF">
            <w:pPr>
              <w:pStyle w:val="Heading2"/>
              <w:keepNext w:val="0"/>
              <w:numPr>
                <w:ilvl w:val="0"/>
                <w:numId w:val="0"/>
              </w:numPr>
              <w:spacing w:after="0"/>
              <w:jc w:val="left"/>
              <w:rPr>
                <w:rFonts w:ascii="Arial" w:hAnsi="Arial" w:cs="Arial"/>
                <w:szCs w:val="24"/>
              </w:rPr>
            </w:pPr>
            <w:r w:rsidRPr="00CD5A83">
              <w:rPr>
                <w:rFonts w:ascii="Arial" w:hAnsi="Arial" w:cs="Arial"/>
                <w:szCs w:val="24"/>
              </w:rPr>
              <w:t>High Needs</w:t>
            </w:r>
          </w:p>
        </w:tc>
        <w:tc>
          <w:tcPr>
            <w:tcW w:w="1503" w:type="dxa"/>
            <w:vAlign w:val="bottom"/>
          </w:tcPr>
          <w:p w14:paraId="5EF52C66" w14:textId="583E8431" w:rsidR="00E227AF" w:rsidRPr="00CD5A83" w:rsidRDefault="00E227AF" w:rsidP="00E227AF">
            <w:pPr>
              <w:pStyle w:val="Heading2"/>
              <w:keepNext w:val="0"/>
              <w:numPr>
                <w:ilvl w:val="1"/>
                <w:numId w:val="0"/>
              </w:numPr>
              <w:spacing w:after="0"/>
              <w:jc w:val="right"/>
              <w:rPr>
                <w:rFonts w:ascii="Arial" w:eastAsia="Calibri" w:hAnsi="Arial" w:cs="Arial"/>
              </w:rPr>
            </w:pPr>
            <w:r>
              <w:rPr>
                <w:rFonts w:ascii="Arial" w:eastAsia="Calibri" w:hAnsi="Arial" w:cs="Arial"/>
              </w:rPr>
              <w:t xml:space="preserve">        </w:t>
            </w:r>
            <w:r>
              <w:rPr>
                <w:rFonts w:ascii="Arial" w:hAnsi="Arial" w:cs="Arial"/>
              </w:rPr>
              <w:t>207,041</w:t>
            </w:r>
            <w:r>
              <w:rPr>
                <w:rFonts w:ascii="Arial" w:eastAsia="Calibri" w:hAnsi="Arial" w:cs="Arial"/>
              </w:rPr>
              <w:t xml:space="preserve"> </w:t>
            </w:r>
          </w:p>
        </w:tc>
        <w:tc>
          <w:tcPr>
            <w:tcW w:w="1389" w:type="dxa"/>
            <w:vAlign w:val="bottom"/>
          </w:tcPr>
          <w:p w14:paraId="72202522" w14:textId="0B3666C8" w:rsidR="00E227AF" w:rsidRPr="00CD5A83" w:rsidRDefault="00E227AF" w:rsidP="00E227AF">
            <w:pPr>
              <w:pStyle w:val="Heading2"/>
              <w:keepNext w:val="0"/>
              <w:numPr>
                <w:ilvl w:val="0"/>
                <w:numId w:val="0"/>
              </w:numPr>
              <w:spacing w:after="0"/>
              <w:jc w:val="right"/>
              <w:rPr>
                <w:rFonts w:ascii="Arial" w:hAnsi="Arial" w:cs="Arial"/>
                <w:szCs w:val="24"/>
              </w:rPr>
            </w:pPr>
            <w:r>
              <w:rPr>
                <w:rFonts w:ascii="Arial" w:hAnsi="Arial" w:cs="Arial"/>
              </w:rPr>
              <w:t xml:space="preserve">      224,713 </w:t>
            </w:r>
          </w:p>
        </w:tc>
        <w:tc>
          <w:tcPr>
            <w:tcW w:w="951" w:type="dxa"/>
            <w:vAlign w:val="bottom"/>
          </w:tcPr>
          <w:p w14:paraId="42502202" w14:textId="27A22E16" w:rsidR="00E227AF" w:rsidRPr="00CD5A83" w:rsidRDefault="00E227AF" w:rsidP="00E227AF">
            <w:pPr>
              <w:pStyle w:val="Heading2"/>
              <w:keepNext w:val="0"/>
              <w:numPr>
                <w:ilvl w:val="0"/>
                <w:numId w:val="0"/>
              </w:numPr>
              <w:spacing w:after="0"/>
              <w:jc w:val="right"/>
              <w:rPr>
                <w:rFonts w:ascii="Arial" w:hAnsi="Arial" w:cs="Arial"/>
                <w:szCs w:val="24"/>
              </w:rPr>
            </w:pPr>
            <w:r w:rsidRPr="00EF22D3">
              <w:rPr>
                <w:rFonts w:ascii="Arial" w:hAnsi="Arial" w:cs="Arial"/>
              </w:rPr>
              <w:t xml:space="preserve">      17,672 </w:t>
            </w:r>
          </w:p>
        </w:tc>
        <w:tc>
          <w:tcPr>
            <w:tcW w:w="897" w:type="dxa"/>
            <w:vAlign w:val="bottom"/>
          </w:tcPr>
          <w:p w14:paraId="27D79C3D" w14:textId="448E16B5" w:rsidR="00E227AF" w:rsidRPr="00CD5A83" w:rsidRDefault="00E227AF" w:rsidP="00E227AF">
            <w:pPr>
              <w:pStyle w:val="Heading2"/>
              <w:keepNext w:val="0"/>
              <w:numPr>
                <w:ilvl w:val="0"/>
                <w:numId w:val="0"/>
              </w:numPr>
              <w:spacing w:after="0"/>
              <w:jc w:val="right"/>
              <w:rPr>
                <w:rFonts w:ascii="Arial" w:hAnsi="Arial" w:cs="Arial"/>
                <w:szCs w:val="24"/>
              </w:rPr>
            </w:pPr>
            <w:r w:rsidRPr="00EF22D3">
              <w:rPr>
                <w:rFonts w:ascii="Arial" w:hAnsi="Arial" w:cs="Arial"/>
              </w:rPr>
              <w:t>8.5%</w:t>
            </w:r>
          </w:p>
        </w:tc>
      </w:tr>
      <w:tr w:rsidR="0047223A" w:rsidRPr="00CD5A83" w14:paraId="6F37C031" w14:textId="2E0B45C6" w:rsidTr="00D22FFB">
        <w:tc>
          <w:tcPr>
            <w:tcW w:w="2461" w:type="dxa"/>
            <w:shd w:val="clear" w:color="auto" w:fill="auto"/>
          </w:tcPr>
          <w:p w14:paraId="6078FCDF" w14:textId="591F46DF" w:rsidR="00E227AF" w:rsidRPr="00CD5A83" w:rsidRDefault="00E227AF" w:rsidP="00E227AF">
            <w:pPr>
              <w:pStyle w:val="Heading2"/>
              <w:keepNext w:val="0"/>
              <w:numPr>
                <w:ilvl w:val="0"/>
                <w:numId w:val="0"/>
              </w:numPr>
              <w:spacing w:after="0"/>
              <w:jc w:val="left"/>
              <w:rPr>
                <w:rFonts w:ascii="Arial" w:hAnsi="Arial" w:cs="Arial"/>
                <w:szCs w:val="24"/>
              </w:rPr>
            </w:pPr>
            <w:r w:rsidRPr="00CD5A83">
              <w:rPr>
                <w:rFonts w:ascii="Arial" w:hAnsi="Arial" w:cs="Arial"/>
                <w:szCs w:val="24"/>
              </w:rPr>
              <w:t>Central School Services</w:t>
            </w:r>
          </w:p>
        </w:tc>
        <w:tc>
          <w:tcPr>
            <w:tcW w:w="1503" w:type="dxa"/>
            <w:vAlign w:val="bottom"/>
          </w:tcPr>
          <w:p w14:paraId="37D5A06F" w14:textId="5B6ACA14" w:rsidR="00E227AF" w:rsidRPr="00CD5A83" w:rsidRDefault="00E227AF" w:rsidP="00E227AF">
            <w:pPr>
              <w:pStyle w:val="Heading2"/>
              <w:keepNext w:val="0"/>
              <w:numPr>
                <w:ilvl w:val="0"/>
                <w:numId w:val="0"/>
              </w:numPr>
              <w:spacing w:after="0"/>
              <w:jc w:val="right"/>
              <w:rPr>
                <w:rFonts w:ascii="Arial" w:eastAsia="Calibri" w:hAnsi="Arial" w:cs="Arial"/>
                <w:szCs w:val="24"/>
              </w:rPr>
            </w:pPr>
            <w:r>
              <w:rPr>
                <w:rFonts w:ascii="Arial" w:eastAsia="Calibri" w:hAnsi="Arial" w:cs="Arial"/>
              </w:rPr>
              <w:t xml:space="preserve">            </w:t>
            </w:r>
            <w:r>
              <w:rPr>
                <w:rFonts w:ascii="Arial" w:hAnsi="Arial" w:cs="Arial"/>
              </w:rPr>
              <w:t>8,037</w:t>
            </w:r>
            <w:r>
              <w:rPr>
                <w:rFonts w:ascii="Arial" w:eastAsia="Calibri" w:hAnsi="Arial" w:cs="Arial"/>
              </w:rPr>
              <w:t xml:space="preserve"> </w:t>
            </w:r>
          </w:p>
        </w:tc>
        <w:tc>
          <w:tcPr>
            <w:tcW w:w="1389" w:type="dxa"/>
            <w:vAlign w:val="bottom"/>
          </w:tcPr>
          <w:p w14:paraId="3EEFF3F7" w14:textId="7796A62B" w:rsidR="00E227AF" w:rsidRPr="00CD5A83" w:rsidRDefault="00E227AF" w:rsidP="00E227AF">
            <w:pPr>
              <w:pStyle w:val="Heading2"/>
              <w:keepNext w:val="0"/>
              <w:numPr>
                <w:ilvl w:val="0"/>
                <w:numId w:val="0"/>
              </w:numPr>
              <w:spacing w:after="0"/>
              <w:jc w:val="right"/>
              <w:rPr>
                <w:rFonts w:ascii="Arial" w:hAnsi="Arial" w:cs="Arial"/>
                <w:szCs w:val="24"/>
              </w:rPr>
            </w:pPr>
            <w:r>
              <w:rPr>
                <w:rFonts w:ascii="Arial" w:hAnsi="Arial" w:cs="Arial"/>
              </w:rPr>
              <w:t xml:space="preserve">          8,946 </w:t>
            </w:r>
          </w:p>
        </w:tc>
        <w:tc>
          <w:tcPr>
            <w:tcW w:w="951" w:type="dxa"/>
            <w:vAlign w:val="bottom"/>
          </w:tcPr>
          <w:p w14:paraId="6D2B773A" w14:textId="467DBC83" w:rsidR="00E227AF" w:rsidRPr="00CD5A83" w:rsidRDefault="00E227AF" w:rsidP="00E227AF">
            <w:pPr>
              <w:pStyle w:val="Heading2"/>
              <w:keepNext w:val="0"/>
              <w:numPr>
                <w:ilvl w:val="0"/>
                <w:numId w:val="0"/>
              </w:numPr>
              <w:spacing w:after="0"/>
              <w:jc w:val="right"/>
              <w:rPr>
                <w:rFonts w:ascii="Arial" w:hAnsi="Arial" w:cs="Arial"/>
                <w:szCs w:val="24"/>
              </w:rPr>
            </w:pPr>
            <w:r w:rsidRPr="00EF22D3">
              <w:rPr>
                <w:rFonts w:ascii="Arial" w:hAnsi="Arial" w:cs="Arial"/>
              </w:rPr>
              <w:t xml:space="preserve">           909 </w:t>
            </w:r>
          </w:p>
        </w:tc>
        <w:tc>
          <w:tcPr>
            <w:tcW w:w="897" w:type="dxa"/>
            <w:vAlign w:val="bottom"/>
          </w:tcPr>
          <w:p w14:paraId="01807BB9" w14:textId="156CFE1B" w:rsidR="00E227AF" w:rsidRPr="00CD5A83" w:rsidRDefault="00E227AF" w:rsidP="00E227AF">
            <w:pPr>
              <w:pStyle w:val="Heading2"/>
              <w:keepNext w:val="0"/>
              <w:numPr>
                <w:ilvl w:val="0"/>
                <w:numId w:val="0"/>
              </w:numPr>
              <w:spacing w:after="0"/>
              <w:jc w:val="right"/>
              <w:rPr>
                <w:rFonts w:ascii="Arial" w:hAnsi="Arial" w:cs="Arial"/>
                <w:szCs w:val="24"/>
              </w:rPr>
            </w:pPr>
            <w:r w:rsidRPr="00EF22D3">
              <w:rPr>
                <w:rFonts w:ascii="Arial" w:hAnsi="Arial" w:cs="Arial"/>
              </w:rPr>
              <w:t>11.3%</w:t>
            </w:r>
          </w:p>
        </w:tc>
      </w:tr>
      <w:tr w:rsidR="0047223A" w:rsidRPr="0033457D" w14:paraId="61B4D8B4" w14:textId="2D3C07B7" w:rsidTr="00D22FFB">
        <w:tc>
          <w:tcPr>
            <w:tcW w:w="2461" w:type="dxa"/>
            <w:shd w:val="clear" w:color="auto" w:fill="auto"/>
          </w:tcPr>
          <w:p w14:paraId="0568AB2E" w14:textId="77777777" w:rsidR="00C34098" w:rsidRDefault="00C34098" w:rsidP="0047223A">
            <w:pPr>
              <w:pStyle w:val="Heading2"/>
              <w:keepNext w:val="0"/>
              <w:numPr>
                <w:ilvl w:val="0"/>
                <w:numId w:val="0"/>
              </w:numPr>
              <w:spacing w:after="0"/>
              <w:jc w:val="left"/>
              <w:rPr>
                <w:rFonts w:ascii="Arial" w:hAnsi="Arial" w:cs="Arial"/>
                <w:b/>
                <w:bCs/>
                <w:szCs w:val="24"/>
              </w:rPr>
            </w:pPr>
          </w:p>
          <w:p w14:paraId="48D50353" w14:textId="3F3F95F5" w:rsidR="0047223A" w:rsidRPr="00EF22D3" w:rsidRDefault="0047223A" w:rsidP="0047223A">
            <w:pPr>
              <w:pStyle w:val="Heading2"/>
              <w:keepNext w:val="0"/>
              <w:numPr>
                <w:ilvl w:val="0"/>
                <w:numId w:val="0"/>
              </w:numPr>
              <w:spacing w:after="0"/>
              <w:jc w:val="left"/>
              <w:rPr>
                <w:rFonts w:ascii="Arial" w:hAnsi="Arial" w:cs="Arial"/>
                <w:b/>
                <w:szCs w:val="24"/>
              </w:rPr>
            </w:pPr>
            <w:r w:rsidRPr="00D22FFB">
              <w:rPr>
                <w:rFonts w:ascii="Arial" w:hAnsi="Arial" w:cs="Arial"/>
                <w:b/>
                <w:bCs/>
                <w:szCs w:val="24"/>
              </w:rPr>
              <w:t>Total DSG</w:t>
            </w:r>
          </w:p>
        </w:tc>
        <w:tc>
          <w:tcPr>
            <w:tcW w:w="1503" w:type="dxa"/>
            <w:vAlign w:val="bottom"/>
          </w:tcPr>
          <w:p w14:paraId="0D79D5F4" w14:textId="366D5E6D" w:rsidR="0047223A" w:rsidRPr="00EF22D3" w:rsidRDefault="0047223A" w:rsidP="00C34098">
            <w:pPr>
              <w:pStyle w:val="Heading2"/>
              <w:keepNext w:val="0"/>
              <w:numPr>
                <w:ilvl w:val="0"/>
                <w:numId w:val="0"/>
              </w:numPr>
              <w:spacing w:after="0"/>
              <w:jc w:val="right"/>
              <w:rPr>
                <w:rFonts w:ascii="Arial" w:eastAsia="Calibri" w:hAnsi="Arial" w:cs="Arial"/>
                <w:b/>
              </w:rPr>
            </w:pPr>
            <w:r>
              <w:rPr>
                <w:rFonts w:ascii="Arial" w:hAnsi="Arial" w:cs="Arial"/>
                <w:b/>
                <w:bCs/>
              </w:rPr>
              <w:t xml:space="preserve">     1,359,304 </w:t>
            </w:r>
          </w:p>
        </w:tc>
        <w:tc>
          <w:tcPr>
            <w:tcW w:w="1389" w:type="dxa"/>
            <w:vAlign w:val="bottom"/>
          </w:tcPr>
          <w:p w14:paraId="718DE7BD" w14:textId="375A3635" w:rsidR="0047223A" w:rsidRPr="00EF22D3" w:rsidRDefault="0047223A" w:rsidP="00C34098">
            <w:pPr>
              <w:pStyle w:val="Heading2"/>
              <w:keepNext w:val="0"/>
              <w:numPr>
                <w:ilvl w:val="0"/>
                <w:numId w:val="0"/>
              </w:numPr>
              <w:spacing w:after="0"/>
              <w:jc w:val="right"/>
              <w:rPr>
                <w:rFonts w:ascii="Arial" w:hAnsi="Arial" w:cs="Arial"/>
                <w:b/>
                <w:szCs w:val="24"/>
              </w:rPr>
            </w:pPr>
            <w:r w:rsidRPr="00EF22D3">
              <w:rPr>
                <w:rFonts w:ascii="Arial" w:hAnsi="Arial" w:cs="Arial"/>
                <w:b/>
              </w:rPr>
              <w:t xml:space="preserve">   1,520,523 </w:t>
            </w:r>
          </w:p>
        </w:tc>
        <w:tc>
          <w:tcPr>
            <w:tcW w:w="951" w:type="dxa"/>
            <w:vAlign w:val="bottom"/>
          </w:tcPr>
          <w:p w14:paraId="642ABB70" w14:textId="1B20E5FF" w:rsidR="0047223A" w:rsidRPr="00EF22D3" w:rsidRDefault="0047223A" w:rsidP="00C34098">
            <w:pPr>
              <w:pStyle w:val="Heading2"/>
              <w:keepNext w:val="0"/>
              <w:numPr>
                <w:ilvl w:val="0"/>
                <w:numId w:val="0"/>
              </w:numPr>
              <w:spacing w:after="0"/>
              <w:jc w:val="right"/>
              <w:rPr>
                <w:rFonts w:ascii="Arial" w:hAnsi="Arial" w:cs="Arial"/>
                <w:b/>
                <w:szCs w:val="24"/>
              </w:rPr>
            </w:pPr>
            <w:r w:rsidRPr="00EF22D3">
              <w:rPr>
                <w:rFonts w:ascii="Arial" w:hAnsi="Arial" w:cs="Arial"/>
                <w:b/>
              </w:rPr>
              <w:t xml:space="preserve">    161,219 </w:t>
            </w:r>
          </w:p>
        </w:tc>
        <w:tc>
          <w:tcPr>
            <w:tcW w:w="897" w:type="dxa"/>
            <w:vAlign w:val="bottom"/>
          </w:tcPr>
          <w:p w14:paraId="7300C088" w14:textId="37F1EDB3" w:rsidR="0047223A" w:rsidRPr="00EF22D3" w:rsidRDefault="0047223A" w:rsidP="0047223A">
            <w:pPr>
              <w:pStyle w:val="Heading2"/>
              <w:keepNext w:val="0"/>
              <w:numPr>
                <w:ilvl w:val="0"/>
                <w:numId w:val="0"/>
              </w:numPr>
              <w:spacing w:after="0"/>
              <w:jc w:val="right"/>
              <w:rPr>
                <w:rFonts w:ascii="Arial" w:hAnsi="Arial" w:cs="Arial"/>
                <w:b/>
                <w:szCs w:val="24"/>
              </w:rPr>
            </w:pPr>
            <w:r w:rsidRPr="00EF22D3">
              <w:rPr>
                <w:rFonts w:ascii="Arial" w:hAnsi="Arial" w:cs="Arial"/>
                <w:b/>
              </w:rPr>
              <w:t>11.9%</w:t>
            </w:r>
          </w:p>
        </w:tc>
      </w:tr>
    </w:tbl>
    <w:p w14:paraId="4F52B188" w14:textId="527642BB" w:rsidR="008B76EA" w:rsidRPr="004D20FA" w:rsidRDefault="0027731A" w:rsidP="004D20FA">
      <w:pPr>
        <w:pStyle w:val="Heading2"/>
        <w:keepNext w:val="0"/>
        <w:numPr>
          <w:ilvl w:val="0"/>
          <w:numId w:val="0"/>
        </w:numPr>
        <w:tabs>
          <w:tab w:val="num" w:pos="2702"/>
        </w:tabs>
        <w:spacing w:before="240" w:after="0"/>
        <w:jc w:val="left"/>
        <w:rPr>
          <w:rFonts w:ascii="Arial" w:hAnsi="Arial" w:cs="Arial"/>
          <w:sz w:val="18"/>
          <w:szCs w:val="18"/>
        </w:rPr>
      </w:pPr>
      <w:r w:rsidRPr="00135995">
        <w:rPr>
          <w:rFonts w:ascii="Arial" w:hAnsi="Arial" w:cs="Arial"/>
          <w:sz w:val="18"/>
          <w:szCs w:val="18"/>
        </w:rPr>
        <w:t>*DSG Allocations reflect the pre</w:t>
      </w:r>
      <w:r w:rsidR="00850699" w:rsidRPr="00135995">
        <w:rPr>
          <w:rFonts w:ascii="Arial" w:hAnsi="Arial" w:cs="Arial"/>
          <w:sz w:val="18"/>
          <w:szCs w:val="18"/>
        </w:rPr>
        <w:t>-</w:t>
      </w:r>
      <w:r w:rsidR="00096F79" w:rsidRPr="00135995">
        <w:rPr>
          <w:rFonts w:ascii="Arial" w:hAnsi="Arial" w:cs="Arial"/>
          <w:sz w:val="18"/>
          <w:szCs w:val="18"/>
        </w:rPr>
        <w:t>recoupment allocation values</w:t>
      </w:r>
      <w:r w:rsidR="00612125" w:rsidRPr="00135995">
        <w:rPr>
          <w:rFonts w:ascii="Arial" w:hAnsi="Arial" w:cs="Arial"/>
          <w:sz w:val="18"/>
          <w:szCs w:val="18"/>
        </w:rPr>
        <w:t>.</w:t>
      </w:r>
    </w:p>
    <w:p w14:paraId="74CE902F" w14:textId="1114A872" w:rsidR="00B600B2" w:rsidRPr="0026348A" w:rsidRDefault="000F3EBB">
      <w:pPr>
        <w:pStyle w:val="Heading2"/>
        <w:keepNext w:val="0"/>
        <w:tabs>
          <w:tab w:val="num" w:pos="426"/>
        </w:tabs>
        <w:spacing w:before="240"/>
        <w:ind w:left="426" w:hanging="568"/>
        <w:jc w:val="left"/>
        <w:rPr>
          <w:rFonts w:ascii="Arial" w:hAnsi="Arial" w:cs="Arial"/>
          <w:szCs w:val="24"/>
        </w:rPr>
      </w:pPr>
      <w:r w:rsidRPr="0026348A">
        <w:rPr>
          <w:rFonts w:ascii="Arial" w:hAnsi="Arial" w:cs="Arial"/>
          <w:szCs w:val="24"/>
        </w:rPr>
        <w:t>Overall</w:t>
      </w:r>
      <w:r w:rsidR="00E64F55" w:rsidRPr="0026348A">
        <w:rPr>
          <w:rFonts w:ascii="Arial" w:hAnsi="Arial" w:cs="Arial"/>
          <w:szCs w:val="24"/>
        </w:rPr>
        <w:t>,</w:t>
      </w:r>
      <w:r w:rsidRPr="0026348A">
        <w:rPr>
          <w:rFonts w:ascii="Arial" w:hAnsi="Arial" w:cs="Arial"/>
          <w:szCs w:val="24"/>
        </w:rPr>
        <w:t xml:space="preserve"> t</w:t>
      </w:r>
      <w:r w:rsidR="00C36E1E" w:rsidRPr="0026348A">
        <w:rPr>
          <w:rFonts w:ascii="Arial" w:hAnsi="Arial" w:cs="Arial"/>
          <w:szCs w:val="24"/>
        </w:rPr>
        <w:t>here is a</w:t>
      </w:r>
      <w:r w:rsidR="004A576D" w:rsidRPr="0026348A">
        <w:rPr>
          <w:rFonts w:ascii="Arial" w:hAnsi="Arial" w:cs="Arial"/>
          <w:szCs w:val="24"/>
        </w:rPr>
        <w:t>n</w:t>
      </w:r>
      <w:r w:rsidR="00C36E1E" w:rsidRPr="0026348A">
        <w:rPr>
          <w:rFonts w:ascii="Arial" w:hAnsi="Arial" w:cs="Arial"/>
          <w:szCs w:val="24"/>
        </w:rPr>
        <w:t xml:space="preserve"> £</w:t>
      </w:r>
      <w:r w:rsidR="004B2C32" w:rsidRPr="0026348A">
        <w:rPr>
          <w:rFonts w:ascii="Arial" w:hAnsi="Arial" w:cs="Arial"/>
          <w:szCs w:val="24"/>
        </w:rPr>
        <w:t>3</w:t>
      </w:r>
      <w:r w:rsidR="00EF04C2" w:rsidRPr="0026348A">
        <w:rPr>
          <w:rFonts w:ascii="Arial" w:hAnsi="Arial" w:cs="Arial"/>
          <w:szCs w:val="24"/>
        </w:rPr>
        <w:t>.</w:t>
      </w:r>
      <w:r w:rsidR="0047678A" w:rsidRPr="0026348A">
        <w:rPr>
          <w:rFonts w:ascii="Arial" w:hAnsi="Arial" w:cs="Arial"/>
          <w:szCs w:val="24"/>
        </w:rPr>
        <w:t>1m</w:t>
      </w:r>
      <w:r w:rsidR="00C36E1E" w:rsidRPr="0026348A">
        <w:rPr>
          <w:rFonts w:ascii="Arial" w:hAnsi="Arial" w:cs="Arial"/>
          <w:szCs w:val="24"/>
        </w:rPr>
        <w:t xml:space="preserve"> </w:t>
      </w:r>
      <w:r w:rsidR="004B2C32" w:rsidRPr="0026348A">
        <w:rPr>
          <w:rFonts w:ascii="Arial" w:hAnsi="Arial" w:cs="Arial"/>
          <w:szCs w:val="24"/>
        </w:rPr>
        <w:t>reduction</w:t>
      </w:r>
      <w:r w:rsidR="00C36E1E" w:rsidRPr="0026348A">
        <w:rPr>
          <w:rFonts w:ascii="Arial" w:hAnsi="Arial" w:cs="Arial"/>
          <w:szCs w:val="24"/>
        </w:rPr>
        <w:t xml:space="preserve"> compared to the provisional allocations published in </w:t>
      </w:r>
      <w:r w:rsidR="00D179C8" w:rsidRPr="0026348A">
        <w:rPr>
          <w:rFonts w:ascii="Arial" w:hAnsi="Arial" w:cs="Arial"/>
          <w:szCs w:val="24"/>
        </w:rPr>
        <w:t>November</w:t>
      </w:r>
      <w:r w:rsidR="00776D0E" w:rsidRPr="0026348A">
        <w:rPr>
          <w:rFonts w:ascii="Arial" w:hAnsi="Arial" w:cs="Arial"/>
          <w:szCs w:val="24"/>
        </w:rPr>
        <w:t xml:space="preserve"> for the</w:t>
      </w:r>
      <w:r w:rsidR="00E9051A" w:rsidRPr="0026348A">
        <w:rPr>
          <w:rFonts w:ascii="Arial" w:hAnsi="Arial" w:cs="Arial"/>
          <w:szCs w:val="24"/>
        </w:rPr>
        <w:t xml:space="preserve"> </w:t>
      </w:r>
      <w:r w:rsidR="00776D0E" w:rsidRPr="0026348A">
        <w:rPr>
          <w:rFonts w:ascii="Arial" w:hAnsi="Arial" w:cs="Arial"/>
          <w:szCs w:val="24"/>
        </w:rPr>
        <w:t>Schools, High Needs and Central Schools Services Block</w:t>
      </w:r>
      <w:r w:rsidR="006A4E92" w:rsidRPr="0026348A">
        <w:rPr>
          <w:rFonts w:ascii="Arial" w:hAnsi="Arial" w:cs="Arial"/>
          <w:szCs w:val="24"/>
        </w:rPr>
        <w:t>s</w:t>
      </w:r>
      <w:r w:rsidR="00483FBF" w:rsidRPr="0026348A">
        <w:rPr>
          <w:rFonts w:ascii="Arial" w:hAnsi="Arial" w:cs="Arial"/>
          <w:szCs w:val="24"/>
        </w:rPr>
        <w:t xml:space="preserve">. </w:t>
      </w:r>
      <w:r w:rsidR="00942933" w:rsidRPr="0026348A">
        <w:rPr>
          <w:rFonts w:ascii="Arial" w:hAnsi="Arial" w:cs="Arial"/>
          <w:szCs w:val="24"/>
        </w:rPr>
        <w:t>T</w:t>
      </w:r>
      <w:r w:rsidR="00DE5007" w:rsidRPr="0026348A">
        <w:rPr>
          <w:rFonts w:ascii="Arial" w:hAnsi="Arial" w:cs="Arial"/>
          <w:szCs w:val="24"/>
        </w:rPr>
        <w:t>he allocations have been updated to reflect latest pupil numbers</w:t>
      </w:r>
      <w:r w:rsidR="005C63AA" w:rsidRPr="0026348A">
        <w:rPr>
          <w:rFonts w:ascii="Arial" w:hAnsi="Arial" w:cs="Arial"/>
          <w:szCs w:val="24"/>
        </w:rPr>
        <w:t xml:space="preserve"> </w:t>
      </w:r>
      <w:r w:rsidR="006F4487" w:rsidRPr="0026348A">
        <w:rPr>
          <w:rFonts w:ascii="Arial" w:hAnsi="Arial" w:cs="Arial"/>
          <w:szCs w:val="24"/>
        </w:rPr>
        <w:t>resulting in a</w:t>
      </w:r>
      <w:r w:rsidR="00961A77" w:rsidRPr="0026348A">
        <w:rPr>
          <w:rFonts w:ascii="Arial" w:hAnsi="Arial" w:cs="Arial"/>
          <w:szCs w:val="24"/>
        </w:rPr>
        <w:t xml:space="preserve"> net</w:t>
      </w:r>
      <w:r w:rsidR="006F4487" w:rsidRPr="0026348A">
        <w:rPr>
          <w:rFonts w:ascii="Arial" w:hAnsi="Arial" w:cs="Arial"/>
          <w:szCs w:val="24"/>
        </w:rPr>
        <w:t xml:space="preserve"> </w:t>
      </w:r>
      <w:r w:rsidR="005C63AA" w:rsidRPr="0026348A">
        <w:rPr>
          <w:rFonts w:ascii="Arial" w:hAnsi="Arial" w:cs="Arial"/>
          <w:szCs w:val="24"/>
        </w:rPr>
        <w:t>de</w:t>
      </w:r>
      <w:r w:rsidR="006F4487" w:rsidRPr="0026348A">
        <w:rPr>
          <w:rFonts w:ascii="Arial" w:hAnsi="Arial" w:cs="Arial"/>
          <w:szCs w:val="24"/>
        </w:rPr>
        <w:t>crease of £</w:t>
      </w:r>
      <w:r w:rsidR="007576D4" w:rsidRPr="0026348A">
        <w:rPr>
          <w:rFonts w:ascii="Arial" w:hAnsi="Arial" w:cs="Arial"/>
          <w:szCs w:val="24"/>
        </w:rPr>
        <w:t>2.2</w:t>
      </w:r>
      <w:r w:rsidR="00E56286" w:rsidRPr="0026348A">
        <w:rPr>
          <w:rFonts w:ascii="Arial" w:hAnsi="Arial" w:cs="Arial"/>
          <w:szCs w:val="24"/>
        </w:rPr>
        <w:t>m</w:t>
      </w:r>
      <w:r w:rsidR="00403458">
        <w:rPr>
          <w:rFonts w:ascii="Arial" w:hAnsi="Arial" w:cs="Arial"/>
          <w:szCs w:val="24"/>
        </w:rPr>
        <w:t xml:space="preserve"> due to a </w:t>
      </w:r>
      <w:r w:rsidR="00D45DA4">
        <w:rPr>
          <w:rFonts w:ascii="Arial" w:hAnsi="Arial" w:cs="Arial"/>
          <w:szCs w:val="24"/>
        </w:rPr>
        <w:t xml:space="preserve">net </w:t>
      </w:r>
      <w:r w:rsidR="00403458">
        <w:rPr>
          <w:rFonts w:ascii="Arial" w:hAnsi="Arial" w:cs="Arial"/>
          <w:szCs w:val="24"/>
        </w:rPr>
        <w:t xml:space="preserve">reduction of mainstream pupil numbers of </w:t>
      </w:r>
      <w:r w:rsidR="00D45DA4">
        <w:rPr>
          <w:rFonts w:ascii="Arial" w:hAnsi="Arial" w:cs="Arial"/>
          <w:szCs w:val="24"/>
        </w:rPr>
        <w:t>909</w:t>
      </w:r>
      <w:r w:rsidR="00D30FD2">
        <w:rPr>
          <w:rFonts w:ascii="Arial" w:hAnsi="Arial" w:cs="Arial"/>
          <w:szCs w:val="24"/>
        </w:rPr>
        <w:t xml:space="preserve"> (1%)</w:t>
      </w:r>
      <w:r w:rsidR="00BB4912">
        <w:rPr>
          <w:rFonts w:ascii="Arial" w:hAnsi="Arial" w:cs="Arial"/>
          <w:szCs w:val="24"/>
        </w:rPr>
        <w:t xml:space="preserve"> and increase </w:t>
      </w:r>
      <w:r w:rsidR="006C0910">
        <w:rPr>
          <w:rFonts w:ascii="Arial" w:hAnsi="Arial" w:cs="Arial"/>
          <w:szCs w:val="24"/>
        </w:rPr>
        <w:t xml:space="preserve">of special </w:t>
      </w:r>
      <w:r w:rsidR="00A72FEB">
        <w:rPr>
          <w:rFonts w:ascii="Arial" w:hAnsi="Arial" w:cs="Arial"/>
          <w:szCs w:val="24"/>
        </w:rPr>
        <w:t xml:space="preserve">school and academy pupil numbers </w:t>
      </w:r>
      <w:r w:rsidR="001C43CF">
        <w:rPr>
          <w:rFonts w:ascii="Arial" w:hAnsi="Arial" w:cs="Arial"/>
          <w:szCs w:val="24"/>
        </w:rPr>
        <w:t>of</w:t>
      </w:r>
      <w:r w:rsidR="00A72FEB">
        <w:rPr>
          <w:rFonts w:ascii="Arial" w:hAnsi="Arial" w:cs="Arial"/>
          <w:szCs w:val="24"/>
        </w:rPr>
        <w:t xml:space="preserve"> 486</w:t>
      </w:r>
      <w:r w:rsidR="00324807">
        <w:rPr>
          <w:rFonts w:ascii="Arial" w:hAnsi="Arial" w:cs="Arial"/>
          <w:szCs w:val="24"/>
        </w:rPr>
        <w:t xml:space="preserve"> (11</w:t>
      </w:r>
      <w:r w:rsidR="00CE1FCD">
        <w:rPr>
          <w:rFonts w:ascii="Arial" w:hAnsi="Arial" w:cs="Arial"/>
          <w:szCs w:val="24"/>
        </w:rPr>
        <w:t>.5</w:t>
      </w:r>
      <w:r w:rsidR="00324807">
        <w:rPr>
          <w:rFonts w:ascii="Arial" w:hAnsi="Arial" w:cs="Arial"/>
          <w:szCs w:val="24"/>
        </w:rPr>
        <w:t>%)</w:t>
      </w:r>
      <w:r w:rsidR="007A2625" w:rsidRPr="0026348A">
        <w:rPr>
          <w:rFonts w:ascii="Arial" w:hAnsi="Arial" w:cs="Arial"/>
          <w:szCs w:val="24"/>
        </w:rPr>
        <w:t>,</w:t>
      </w:r>
      <w:r w:rsidR="00AF7612" w:rsidRPr="0026348A">
        <w:rPr>
          <w:rFonts w:ascii="Arial" w:hAnsi="Arial" w:cs="Arial"/>
          <w:szCs w:val="24"/>
        </w:rPr>
        <w:t xml:space="preserve"> </w:t>
      </w:r>
      <w:r w:rsidR="007A2625" w:rsidRPr="0026348A">
        <w:rPr>
          <w:rFonts w:ascii="Arial" w:hAnsi="Arial" w:cs="Arial"/>
          <w:szCs w:val="24"/>
        </w:rPr>
        <w:t>as well as</w:t>
      </w:r>
      <w:r w:rsidR="00036795" w:rsidRPr="0026348A">
        <w:rPr>
          <w:rFonts w:ascii="Arial" w:hAnsi="Arial" w:cs="Arial"/>
          <w:szCs w:val="24"/>
        </w:rPr>
        <w:t xml:space="preserve"> a reduction</w:t>
      </w:r>
      <w:r w:rsidR="00AF7612" w:rsidRPr="0026348A">
        <w:rPr>
          <w:rFonts w:ascii="Arial" w:hAnsi="Arial" w:cs="Arial"/>
          <w:szCs w:val="24"/>
        </w:rPr>
        <w:t xml:space="preserve"> to the growth fund of £</w:t>
      </w:r>
      <w:r w:rsidR="005573F9" w:rsidRPr="0026348A">
        <w:rPr>
          <w:rFonts w:ascii="Arial" w:hAnsi="Arial" w:cs="Arial"/>
          <w:szCs w:val="24"/>
        </w:rPr>
        <w:t>90</w:t>
      </w:r>
      <w:r w:rsidR="00EE6300" w:rsidRPr="0026348A">
        <w:rPr>
          <w:rFonts w:ascii="Arial" w:hAnsi="Arial" w:cs="Arial"/>
          <w:szCs w:val="24"/>
        </w:rPr>
        <w:t>6</w:t>
      </w:r>
      <w:r w:rsidR="00C95F00" w:rsidRPr="0026348A">
        <w:rPr>
          <w:rFonts w:ascii="Arial" w:hAnsi="Arial" w:cs="Arial"/>
          <w:szCs w:val="24"/>
        </w:rPr>
        <w:t>,00</w:t>
      </w:r>
      <w:r w:rsidR="00E25A65" w:rsidRPr="0026348A">
        <w:rPr>
          <w:rFonts w:ascii="Arial" w:hAnsi="Arial" w:cs="Arial"/>
          <w:szCs w:val="24"/>
        </w:rPr>
        <w:t>0.</w:t>
      </w:r>
    </w:p>
    <w:p w14:paraId="481B6F1B" w14:textId="0A19AAA3" w:rsidR="004B0AA8" w:rsidRPr="003848AA" w:rsidRDefault="00103AA8" w:rsidP="00E97F26">
      <w:pPr>
        <w:pStyle w:val="Heading2"/>
        <w:keepNext w:val="0"/>
        <w:tabs>
          <w:tab w:val="num" w:pos="426"/>
        </w:tabs>
        <w:ind w:left="426" w:hanging="568"/>
        <w:jc w:val="left"/>
        <w:rPr>
          <w:rFonts w:ascii="Arial" w:hAnsi="Arial" w:cs="Arial"/>
          <w:szCs w:val="24"/>
        </w:rPr>
      </w:pPr>
      <w:r w:rsidRPr="003848AA">
        <w:rPr>
          <w:rFonts w:ascii="Arial" w:hAnsi="Arial" w:cs="Arial"/>
          <w:szCs w:val="24"/>
        </w:rPr>
        <w:t xml:space="preserve">Due to </w:t>
      </w:r>
      <w:r w:rsidR="004B0AA8" w:rsidRPr="003848AA">
        <w:rPr>
          <w:rFonts w:ascii="Arial" w:hAnsi="Arial" w:cs="Arial"/>
          <w:szCs w:val="24"/>
        </w:rPr>
        <w:t>an increase to the funding rates</w:t>
      </w:r>
      <w:r w:rsidR="008179B8" w:rsidRPr="003848AA">
        <w:rPr>
          <w:rFonts w:ascii="Arial" w:hAnsi="Arial" w:cs="Arial"/>
          <w:szCs w:val="24"/>
        </w:rPr>
        <w:t xml:space="preserve"> and new entitlements,</w:t>
      </w:r>
      <w:r w:rsidR="004B0AA8" w:rsidRPr="003848AA">
        <w:rPr>
          <w:rFonts w:ascii="Arial" w:hAnsi="Arial" w:cs="Arial"/>
          <w:szCs w:val="24"/>
        </w:rPr>
        <w:t xml:space="preserve"> the initial 202</w:t>
      </w:r>
      <w:r w:rsidR="004C3316" w:rsidRPr="003848AA">
        <w:rPr>
          <w:rFonts w:ascii="Arial" w:hAnsi="Arial" w:cs="Arial"/>
          <w:szCs w:val="24"/>
        </w:rPr>
        <w:t>5</w:t>
      </w:r>
      <w:r w:rsidR="004B0AA8" w:rsidRPr="003848AA">
        <w:rPr>
          <w:rFonts w:ascii="Arial" w:hAnsi="Arial" w:cs="Arial"/>
          <w:szCs w:val="24"/>
        </w:rPr>
        <w:t>/2</w:t>
      </w:r>
      <w:r w:rsidR="004C3316" w:rsidRPr="003848AA">
        <w:rPr>
          <w:rFonts w:ascii="Arial" w:hAnsi="Arial" w:cs="Arial"/>
          <w:szCs w:val="24"/>
        </w:rPr>
        <w:t>6</w:t>
      </w:r>
      <w:r w:rsidR="004B0AA8" w:rsidRPr="003848AA">
        <w:rPr>
          <w:rFonts w:ascii="Arial" w:hAnsi="Arial" w:cs="Arial"/>
          <w:szCs w:val="24"/>
        </w:rPr>
        <w:t xml:space="preserve"> allocation for the Early Years Block shows an increase</w:t>
      </w:r>
      <w:r w:rsidR="00D733DC" w:rsidRPr="003848AA">
        <w:rPr>
          <w:rFonts w:ascii="Arial" w:hAnsi="Arial" w:cs="Arial"/>
          <w:szCs w:val="24"/>
        </w:rPr>
        <w:t xml:space="preserve"> of £</w:t>
      </w:r>
      <w:r w:rsidR="003848AA" w:rsidRPr="003848AA">
        <w:rPr>
          <w:rFonts w:ascii="Arial" w:hAnsi="Arial" w:cs="Arial"/>
          <w:szCs w:val="24"/>
        </w:rPr>
        <w:t>66</w:t>
      </w:r>
      <w:r w:rsidR="00D939F8" w:rsidRPr="003848AA">
        <w:rPr>
          <w:rFonts w:ascii="Arial" w:hAnsi="Arial" w:cs="Arial"/>
          <w:szCs w:val="24"/>
        </w:rPr>
        <w:t>.</w:t>
      </w:r>
      <w:r w:rsidR="003848AA" w:rsidRPr="003848AA">
        <w:rPr>
          <w:rFonts w:ascii="Arial" w:hAnsi="Arial" w:cs="Arial"/>
          <w:szCs w:val="24"/>
        </w:rPr>
        <w:t>9</w:t>
      </w:r>
      <w:r w:rsidR="00D733DC" w:rsidRPr="003848AA">
        <w:rPr>
          <w:rFonts w:ascii="Arial" w:hAnsi="Arial" w:cs="Arial"/>
          <w:szCs w:val="24"/>
        </w:rPr>
        <w:t>m</w:t>
      </w:r>
      <w:r w:rsidR="004B0AA8" w:rsidRPr="003848AA">
        <w:rPr>
          <w:rFonts w:ascii="Arial" w:hAnsi="Arial" w:cs="Arial"/>
          <w:szCs w:val="24"/>
        </w:rPr>
        <w:t xml:space="preserve"> compared to the 202</w:t>
      </w:r>
      <w:r w:rsidR="003848AA" w:rsidRPr="003848AA">
        <w:rPr>
          <w:rFonts w:ascii="Arial" w:hAnsi="Arial" w:cs="Arial"/>
          <w:szCs w:val="24"/>
        </w:rPr>
        <w:t>4</w:t>
      </w:r>
      <w:r w:rsidR="004B0AA8" w:rsidRPr="003848AA">
        <w:rPr>
          <w:rFonts w:ascii="Arial" w:hAnsi="Arial" w:cs="Arial"/>
          <w:szCs w:val="24"/>
        </w:rPr>
        <w:t>/2</w:t>
      </w:r>
      <w:r w:rsidR="003848AA" w:rsidRPr="003848AA">
        <w:rPr>
          <w:rFonts w:ascii="Arial" w:hAnsi="Arial" w:cs="Arial"/>
          <w:szCs w:val="24"/>
        </w:rPr>
        <w:t>5</w:t>
      </w:r>
      <w:r w:rsidR="004B0AA8" w:rsidRPr="003848AA">
        <w:rPr>
          <w:rFonts w:ascii="Arial" w:hAnsi="Arial" w:cs="Arial"/>
          <w:szCs w:val="24"/>
        </w:rPr>
        <w:t xml:space="preserve"> budget.</w:t>
      </w:r>
    </w:p>
    <w:p w14:paraId="106B621B" w14:textId="6B193C2E" w:rsidR="00114121" w:rsidRPr="003848AA" w:rsidRDefault="00114121" w:rsidP="00E97F26">
      <w:pPr>
        <w:pStyle w:val="Heading2"/>
        <w:keepNext w:val="0"/>
        <w:tabs>
          <w:tab w:val="num" w:pos="426"/>
        </w:tabs>
        <w:ind w:left="426" w:hanging="568"/>
        <w:jc w:val="left"/>
        <w:rPr>
          <w:rFonts w:ascii="Arial" w:hAnsi="Arial" w:cs="Arial"/>
          <w:szCs w:val="24"/>
        </w:rPr>
      </w:pPr>
      <w:r w:rsidRPr="00FA103C">
        <w:rPr>
          <w:rFonts w:ascii="Arial" w:hAnsi="Arial" w:cs="Arial"/>
          <w:szCs w:val="24"/>
        </w:rPr>
        <w:t>The allocations will be updated in year to reflect the early years mid-year adjustment (based on the January 2025 pupil census return) and the high needs import / export adjustment for cross border places</w:t>
      </w:r>
      <w:r w:rsidR="00B64E09">
        <w:rPr>
          <w:rFonts w:ascii="Arial" w:hAnsi="Arial" w:cs="Arial"/>
          <w:szCs w:val="24"/>
        </w:rPr>
        <w:t>.</w:t>
      </w:r>
    </w:p>
    <w:p w14:paraId="46D7F835" w14:textId="7D27D23E" w:rsidR="002C72F1" w:rsidRPr="003848AA" w:rsidRDefault="002C72F1" w:rsidP="00E97F26">
      <w:pPr>
        <w:pStyle w:val="Heading2"/>
        <w:keepNext w:val="0"/>
        <w:tabs>
          <w:tab w:val="num" w:pos="426"/>
        </w:tabs>
        <w:ind w:left="426" w:hanging="568"/>
        <w:jc w:val="left"/>
        <w:rPr>
          <w:rFonts w:ascii="Arial" w:hAnsi="Arial" w:cs="Arial"/>
          <w:szCs w:val="24"/>
        </w:rPr>
      </w:pPr>
      <w:r w:rsidRPr="00BA59D3">
        <w:rPr>
          <w:rFonts w:ascii="Arial" w:hAnsi="Arial" w:cs="Arial"/>
          <w:szCs w:val="24"/>
          <w:lang w:eastAsia="en-GB"/>
        </w:rPr>
        <w:t xml:space="preserve">The </w:t>
      </w:r>
      <w:r w:rsidR="001C6006">
        <w:rPr>
          <w:rFonts w:ascii="Arial" w:hAnsi="Arial" w:cs="Arial"/>
          <w:szCs w:val="24"/>
          <w:lang w:eastAsia="en-GB"/>
        </w:rPr>
        <w:t xml:space="preserve">increase in the </w:t>
      </w:r>
      <w:proofErr w:type="gramStart"/>
      <w:r w:rsidRPr="00BA59D3">
        <w:rPr>
          <w:rFonts w:ascii="Arial" w:hAnsi="Arial" w:cs="Arial"/>
          <w:szCs w:val="24"/>
          <w:lang w:eastAsia="en-GB"/>
        </w:rPr>
        <w:t>schools</w:t>
      </w:r>
      <w:proofErr w:type="gramEnd"/>
      <w:r w:rsidRPr="00BA59D3">
        <w:rPr>
          <w:rFonts w:ascii="Arial" w:hAnsi="Arial" w:cs="Arial"/>
          <w:szCs w:val="24"/>
          <w:lang w:eastAsia="en-GB"/>
        </w:rPr>
        <w:t xml:space="preserve"> block allocation </w:t>
      </w:r>
      <w:r w:rsidR="001C6006">
        <w:rPr>
          <w:rFonts w:ascii="Arial" w:hAnsi="Arial" w:cs="Arial"/>
          <w:szCs w:val="24"/>
          <w:lang w:eastAsia="en-GB"/>
        </w:rPr>
        <w:t xml:space="preserve">includes </w:t>
      </w:r>
      <w:r w:rsidRPr="00BA59D3">
        <w:rPr>
          <w:rFonts w:ascii="Arial" w:hAnsi="Arial" w:cs="Arial"/>
          <w:szCs w:val="24"/>
          <w:lang w:eastAsia="en-GB"/>
        </w:rPr>
        <w:t>the mainstream schools’ elements of the Teachers’ Pay Additional Grant (TPAG), the Teachers’ Pension Employer Contribution Grant (TPECG) 2024 and the</w:t>
      </w:r>
      <w:r w:rsidRPr="00BA59D3">
        <w:t xml:space="preserve"> </w:t>
      </w:r>
      <w:r w:rsidRPr="00BA59D3">
        <w:rPr>
          <w:rFonts w:ascii="Arial" w:hAnsi="Arial" w:cs="Arial"/>
          <w:szCs w:val="24"/>
          <w:lang w:eastAsia="en-GB"/>
        </w:rPr>
        <w:t>Core Schools Budget Grant (CSBG) being rolled into the schools NFF for 2025 to 2026. This includes additional funding to cover the full year effect of the 2024 teachers’ pay award in mainstream schools - the “CSBG uplift”. Factor values have been increased to take account of the rolling in of these grants (and the CSBG uplift)</w:t>
      </w:r>
      <w:r>
        <w:rPr>
          <w:rFonts w:ascii="Arial" w:hAnsi="Arial" w:cs="Arial"/>
          <w:szCs w:val="24"/>
          <w:lang w:eastAsia="en-GB"/>
        </w:rPr>
        <w:t xml:space="preserve"> therefore, whilst unit </w:t>
      </w:r>
      <w:r w:rsidRPr="00AD3799">
        <w:rPr>
          <w:rFonts w:ascii="Arial" w:hAnsi="Arial" w:cs="Arial"/>
          <w:szCs w:val="24"/>
          <w:lang w:eastAsia="en-GB"/>
        </w:rPr>
        <w:t xml:space="preserve">values have increased substantially, this </w:t>
      </w:r>
      <w:r w:rsidR="00214CA5">
        <w:rPr>
          <w:rFonts w:ascii="Arial" w:hAnsi="Arial" w:cs="Arial"/>
          <w:szCs w:val="24"/>
          <w:lang w:eastAsia="en-GB"/>
        </w:rPr>
        <w:t xml:space="preserve">element </w:t>
      </w:r>
      <w:r w:rsidRPr="00AD3799">
        <w:rPr>
          <w:rFonts w:ascii="Arial" w:hAnsi="Arial" w:cs="Arial"/>
          <w:szCs w:val="24"/>
          <w:lang w:eastAsia="en-GB"/>
        </w:rPr>
        <w:t>does not represent an increase in funding</w:t>
      </w:r>
      <w:r>
        <w:rPr>
          <w:rFonts w:ascii="Arial" w:hAnsi="Arial" w:cs="Arial"/>
          <w:szCs w:val="24"/>
          <w:lang w:eastAsia="en-GB"/>
        </w:rPr>
        <w:t xml:space="preserve"> beyond what has already been provided or announced</w:t>
      </w:r>
      <w:r w:rsidRPr="00AD3799">
        <w:rPr>
          <w:rFonts w:ascii="Arial" w:hAnsi="Arial" w:cs="Arial"/>
          <w:szCs w:val="24"/>
          <w:lang w:eastAsia="en-GB"/>
        </w:rPr>
        <w:t>.</w:t>
      </w:r>
    </w:p>
    <w:p w14:paraId="5F0ACD73" w14:textId="21501D9F" w:rsidR="00B64E09" w:rsidRPr="00DC25E6" w:rsidRDefault="00B64E09" w:rsidP="00E97F26">
      <w:pPr>
        <w:pStyle w:val="Heading2"/>
        <w:keepNext w:val="0"/>
        <w:tabs>
          <w:tab w:val="num" w:pos="426"/>
        </w:tabs>
        <w:ind w:left="426" w:hanging="568"/>
        <w:jc w:val="left"/>
        <w:rPr>
          <w:rFonts w:ascii="Arial" w:hAnsi="Arial" w:cs="Arial"/>
          <w:szCs w:val="24"/>
        </w:rPr>
      </w:pPr>
      <w:r w:rsidRPr="00FA103C">
        <w:rPr>
          <w:rFonts w:ascii="Arial" w:hAnsi="Arial" w:cs="Arial"/>
        </w:rPr>
        <w:t>Whilst there is a significant increase in funding for 2025/26, Hampshire remains one of the lowest funded local authorities on a per pupil basis as shown in the graph below. Due to the growth of special school pupils and hospital education places in Hampshire the High Needs Block funding allocation has increased and is now placing Hampshire 45</w:t>
      </w:r>
      <w:r w:rsidRPr="00FA103C">
        <w:rPr>
          <w:rFonts w:ascii="Arial" w:hAnsi="Arial" w:cs="Arial"/>
          <w:vertAlign w:val="superscript"/>
        </w:rPr>
        <w:t>th</w:t>
      </w:r>
      <w:r w:rsidRPr="00FA103C">
        <w:rPr>
          <w:rFonts w:ascii="Arial" w:hAnsi="Arial" w:cs="Arial"/>
        </w:rPr>
        <w:t xml:space="preserve"> lowest funded local authority on a per pupil basis (primary and secondary pupils in mainstream schools). This ranking shows an improvement on the previous years. Despite the increase in proportional funding the forecast required funding for Hampshire remains higher than the allocation with </w:t>
      </w:r>
      <w:r w:rsidR="004D76F4">
        <w:rPr>
          <w:rFonts w:ascii="Arial" w:hAnsi="Arial" w:cs="Arial"/>
        </w:rPr>
        <w:t>£110.7m</w:t>
      </w:r>
      <w:r w:rsidRPr="00DC25E6">
        <w:rPr>
          <w:rFonts w:ascii="Arial" w:hAnsi="Arial" w:cs="Arial"/>
        </w:rPr>
        <w:t xml:space="preserve"> </w:t>
      </w:r>
      <w:r w:rsidRPr="00FA103C">
        <w:rPr>
          <w:rFonts w:ascii="Arial" w:hAnsi="Arial" w:cs="Arial"/>
        </w:rPr>
        <w:t>projected deficit in 2025/26. Hampshire is the 7</w:t>
      </w:r>
      <w:r w:rsidRPr="00FA103C">
        <w:rPr>
          <w:rFonts w:ascii="Arial" w:hAnsi="Arial" w:cs="Arial"/>
          <w:vertAlign w:val="superscript"/>
        </w:rPr>
        <w:t>th</w:t>
      </w:r>
      <w:r w:rsidRPr="00FA103C">
        <w:rPr>
          <w:rFonts w:ascii="Arial" w:hAnsi="Arial" w:cs="Arial"/>
        </w:rPr>
        <w:t xml:space="preserve"> lowest funded local authority in relation to </w:t>
      </w:r>
      <w:proofErr w:type="gramStart"/>
      <w:r w:rsidRPr="00FA103C">
        <w:rPr>
          <w:rFonts w:ascii="Arial" w:hAnsi="Arial" w:cs="Arial"/>
        </w:rPr>
        <w:t>schools</w:t>
      </w:r>
      <w:proofErr w:type="gramEnd"/>
      <w:r w:rsidRPr="00FA103C">
        <w:rPr>
          <w:rFonts w:ascii="Arial" w:hAnsi="Arial" w:cs="Arial"/>
        </w:rPr>
        <w:t xml:space="preserve"> block per mainstream pupil, a slight reduction from our prior year ranking of 10</w:t>
      </w:r>
      <w:r w:rsidRPr="00FA103C">
        <w:rPr>
          <w:rFonts w:ascii="Arial" w:hAnsi="Arial" w:cs="Arial"/>
          <w:vertAlign w:val="superscript"/>
        </w:rPr>
        <w:t>th</w:t>
      </w:r>
      <w:r w:rsidRPr="00FA103C">
        <w:rPr>
          <w:rFonts w:ascii="Arial" w:hAnsi="Arial" w:cs="Arial"/>
        </w:rPr>
        <w:t>.</w:t>
      </w:r>
    </w:p>
    <w:p w14:paraId="33B83046" w14:textId="159B3F25" w:rsidR="006554C3" w:rsidRPr="007E3F7C" w:rsidRDefault="0052250D" w:rsidP="00370B0C">
      <w:pPr>
        <w:pStyle w:val="Heading2"/>
        <w:keepNext w:val="0"/>
        <w:numPr>
          <w:ilvl w:val="0"/>
          <w:numId w:val="0"/>
        </w:numPr>
        <w:tabs>
          <w:tab w:val="num" w:pos="2702"/>
        </w:tabs>
        <w:ind w:left="426"/>
        <w:jc w:val="left"/>
        <w:rPr>
          <w:rFonts w:ascii="Arial" w:hAnsi="Arial" w:cs="Arial"/>
          <w:szCs w:val="24"/>
        </w:rPr>
      </w:pPr>
      <w:r w:rsidRPr="00E15246">
        <w:rPr>
          <w:rFonts w:ascii="Arial" w:hAnsi="Arial" w:cs="Arial"/>
          <w:noProof/>
        </w:rPr>
        <w:drawing>
          <wp:inline distT="0" distB="0" distL="0" distR="0" wp14:anchorId="7FD21E9E" wp14:editId="3AED8BBC">
            <wp:extent cx="5605145" cy="2592125"/>
            <wp:effectExtent l="0" t="0" r="14605" b="17780"/>
            <wp:docPr id="1222688316" name="Chart 1">
              <a:extLst xmlns:a="http://schemas.openxmlformats.org/drawingml/2006/main">
                <a:ext uri="{FF2B5EF4-FFF2-40B4-BE49-F238E27FC236}">
                  <a16:creationId xmlns:a16="http://schemas.microsoft.com/office/drawing/2014/main" id="{2514115B-8D22-42EF-B2F9-2AACA0551A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19737A1" w14:textId="77777777" w:rsidR="00B76576" w:rsidRPr="00191583" w:rsidRDefault="009E7591" w:rsidP="00070B48">
      <w:pPr>
        <w:pStyle w:val="Heading1"/>
        <w:keepNext w:val="0"/>
        <w:ind w:left="431" w:hanging="431"/>
        <w:jc w:val="left"/>
        <w:rPr>
          <w:rFonts w:ascii="Arial" w:hAnsi="Arial" w:cs="Arial"/>
          <w:szCs w:val="24"/>
        </w:rPr>
      </w:pPr>
      <w:r w:rsidRPr="00191583">
        <w:rPr>
          <w:rFonts w:ascii="Arial" w:hAnsi="Arial" w:cs="Arial"/>
          <w:bCs/>
          <w:szCs w:val="24"/>
        </w:rPr>
        <w:t>Early Years Block</w:t>
      </w:r>
    </w:p>
    <w:p w14:paraId="1E55686D" w14:textId="1F051DBD" w:rsidR="003A4503" w:rsidRPr="00AF46EF" w:rsidRDefault="00E524A6" w:rsidP="00AD3CA6">
      <w:pPr>
        <w:pStyle w:val="Heading2"/>
        <w:keepNext w:val="0"/>
        <w:tabs>
          <w:tab w:val="num" w:pos="426"/>
        </w:tabs>
        <w:ind w:left="426" w:hanging="568"/>
        <w:jc w:val="left"/>
        <w:rPr>
          <w:rFonts w:ascii="Arial" w:hAnsi="Arial" w:cs="Arial"/>
          <w:szCs w:val="24"/>
        </w:rPr>
      </w:pPr>
      <w:bookmarkStart w:id="1" w:name="OLE_LINK2"/>
      <w:bookmarkStart w:id="2" w:name="OLE_LINK3"/>
      <w:r w:rsidRPr="00AF46EF">
        <w:rPr>
          <w:rFonts w:ascii="Arial" w:hAnsi="Arial" w:cs="Arial"/>
          <w:szCs w:val="24"/>
        </w:rPr>
        <w:t xml:space="preserve">In line with </w:t>
      </w:r>
      <w:r w:rsidR="009A0D1C" w:rsidRPr="00AF46EF">
        <w:rPr>
          <w:rFonts w:ascii="Arial" w:hAnsi="Arial" w:cs="Arial"/>
          <w:szCs w:val="24"/>
        </w:rPr>
        <w:t xml:space="preserve">government </w:t>
      </w:r>
      <w:r w:rsidRPr="00AF46EF">
        <w:rPr>
          <w:rFonts w:ascii="Arial" w:hAnsi="Arial" w:cs="Arial"/>
          <w:szCs w:val="24"/>
        </w:rPr>
        <w:t xml:space="preserve">announcement in the </w:t>
      </w:r>
      <w:r w:rsidR="00771DC9" w:rsidRPr="00AF46EF">
        <w:rPr>
          <w:rFonts w:ascii="Arial" w:hAnsi="Arial" w:cs="Arial"/>
          <w:szCs w:val="24"/>
        </w:rPr>
        <w:t xml:space="preserve">Spring 2023 </w:t>
      </w:r>
      <w:r w:rsidR="00AF46EF" w:rsidRPr="00AF46EF">
        <w:rPr>
          <w:rFonts w:ascii="Arial" w:hAnsi="Arial" w:cs="Arial"/>
          <w:szCs w:val="24"/>
        </w:rPr>
        <w:t>B</w:t>
      </w:r>
      <w:r w:rsidR="00771DC9" w:rsidRPr="00AF46EF">
        <w:rPr>
          <w:rFonts w:ascii="Arial" w:hAnsi="Arial" w:cs="Arial"/>
          <w:szCs w:val="24"/>
        </w:rPr>
        <w:t xml:space="preserve">udget extending funded childcare offers and expecting to </w:t>
      </w:r>
      <w:r w:rsidR="002D5709" w:rsidRPr="00AF46EF">
        <w:rPr>
          <w:rFonts w:ascii="Arial" w:hAnsi="Arial" w:cs="Arial"/>
          <w:szCs w:val="24"/>
        </w:rPr>
        <w:t>provide over £4.1 billion by 2027-28 to fund these new entitlements</w:t>
      </w:r>
      <w:r w:rsidR="00AF46EF" w:rsidRPr="00AF46EF">
        <w:rPr>
          <w:rFonts w:ascii="Arial" w:hAnsi="Arial" w:cs="Arial"/>
          <w:szCs w:val="24"/>
        </w:rPr>
        <w:t xml:space="preserve">, </w:t>
      </w:r>
      <w:r w:rsidR="00826404" w:rsidRPr="00AF46EF">
        <w:rPr>
          <w:rFonts w:ascii="Arial" w:hAnsi="Arial" w:cs="Arial"/>
          <w:szCs w:val="24"/>
        </w:rPr>
        <w:t xml:space="preserve">the following changes </w:t>
      </w:r>
      <w:r w:rsidR="00AF46EF" w:rsidRPr="00AF46EF">
        <w:rPr>
          <w:rFonts w:ascii="Arial" w:hAnsi="Arial" w:cs="Arial"/>
          <w:szCs w:val="24"/>
        </w:rPr>
        <w:t>apply to</w:t>
      </w:r>
      <w:r w:rsidR="00007D53" w:rsidRPr="00AF46EF">
        <w:rPr>
          <w:rFonts w:ascii="Arial" w:hAnsi="Arial" w:cs="Arial"/>
          <w:szCs w:val="24"/>
        </w:rPr>
        <w:t xml:space="preserve"> the Hampshire funding rates for the entitlements</w:t>
      </w:r>
      <w:r w:rsidR="00AF46EF" w:rsidRPr="00AF46EF">
        <w:rPr>
          <w:rFonts w:ascii="Arial" w:hAnsi="Arial" w:cs="Arial"/>
          <w:szCs w:val="24"/>
        </w:rPr>
        <w:t xml:space="preserve"> for 2025/26</w:t>
      </w:r>
      <w:r w:rsidR="00007D53" w:rsidRPr="00AF46EF">
        <w:rPr>
          <w:rFonts w:ascii="Arial" w:hAnsi="Arial" w:cs="Arial"/>
          <w:szCs w:val="24"/>
        </w:rPr>
        <w:t>:</w:t>
      </w:r>
    </w:p>
    <w:p w14:paraId="67E36915" w14:textId="2C2B73D3" w:rsidR="00826404" w:rsidRPr="008361CE" w:rsidRDefault="00372F56" w:rsidP="00054C2A">
      <w:pPr>
        <w:pStyle w:val="ListParagraph"/>
        <w:numPr>
          <w:ilvl w:val="0"/>
          <w:numId w:val="11"/>
        </w:numPr>
        <w:spacing w:after="120"/>
        <w:rPr>
          <w:rFonts w:ascii="Arial" w:hAnsi="Arial" w:cs="Arial"/>
          <w:sz w:val="24"/>
          <w:szCs w:val="24"/>
        </w:rPr>
      </w:pPr>
      <w:r w:rsidRPr="008361CE">
        <w:rPr>
          <w:rFonts w:ascii="Arial" w:hAnsi="Arial" w:cs="Arial"/>
          <w:sz w:val="24"/>
          <w:szCs w:val="24"/>
        </w:rPr>
        <w:t>An increase of 19 pence for the u</w:t>
      </w:r>
      <w:r w:rsidR="001303CD" w:rsidRPr="008361CE">
        <w:rPr>
          <w:rFonts w:ascii="Arial" w:hAnsi="Arial" w:cs="Arial"/>
          <w:sz w:val="24"/>
          <w:szCs w:val="24"/>
        </w:rPr>
        <w:t>nder 2-year-old entitlement</w:t>
      </w:r>
      <w:r w:rsidR="00C36592" w:rsidRPr="008361CE">
        <w:rPr>
          <w:rFonts w:ascii="Arial" w:hAnsi="Arial" w:cs="Arial"/>
          <w:sz w:val="24"/>
          <w:szCs w:val="24"/>
        </w:rPr>
        <w:t xml:space="preserve">, </w:t>
      </w:r>
      <w:r w:rsidR="00371046" w:rsidRPr="008361CE">
        <w:rPr>
          <w:rFonts w:ascii="Arial" w:hAnsi="Arial" w:cs="Arial"/>
          <w:sz w:val="24"/>
          <w:szCs w:val="24"/>
        </w:rPr>
        <w:t xml:space="preserve">taking the </w:t>
      </w:r>
      <w:r w:rsidR="00C36592" w:rsidRPr="008361CE">
        <w:rPr>
          <w:rFonts w:ascii="Arial" w:hAnsi="Arial" w:cs="Arial"/>
          <w:sz w:val="24"/>
          <w:szCs w:val="24"/>
        </w:rPr>
        <w:t xml:space="preserve">rate </w:t>
      </w:r>
      <w:r w:rsidR="00371046" w:rsidRPr="008361CE">
        <w:rPr>
          <w:rFonts w:ascii="Arial" w:hAnsi="Arial" w:cs="Arial"/>
          <w:sz w:val="24"/>
          <w:szCs w:val="24"/>
        </w:rPr>
        <w:t>to</w:t>
      </w:r>
      <w:r w:rsidR="00C36592" w:rsidRPr="008361CE">
        <w:rPr>
          <w:rFonts w:ascii="Arial" w:hAnsi="Arial" w:cs="Arial"/>
          <w:sz w:val="24"/>
          <w:szCs w:val="24"/>
        </w:rPr>
        <w:t xml:space="preserve"> £11.</w:t>
      </w:r>
      <w:r w:rsidR="00F30C92" w:rsidRPr="008361CE">
        <w:rPr>
          <w:rFonts w:ascii="Arial" w:hAnsi="Arial" w:cs="Arial"/>
          <w:sz w:val="24"/>
          <w:szCs w:val="24"/>
        </w:rPr>
        <w:t>49</w:t>
      </w:r>
      <w:r w:rsidR="00C36592" w:rsidRPr="008361CE">
        <w:rPr>
          <w:rFonts w:ascii="Arial" w:hAnsi="Arial" w:cs="Arial"/>
          <w:sz w:val="24"/>
          <w:szCs w:val="24"/>
        </w:rPr>
        <w:t xml:space="preserve"> per hour.</w:t>
      </w:r>
    </w:p>
    <w:p w14:paraId="4E94011F" w14:textId="2D944518" w:rsidR="00FD27DE" w:rsidRPr="00FC7C2F" w:rsidRDefault="000F5152" w:rsidP="00054C2A">
      <w:pPr>
        <w:pStyle w:val="Heading2"/>
        <w:keepNext w:val="0"/>
        <w:numPr>
          <w:ilvl w:val="0"/>
          <w:numId w:val="11"/>
        </w:numPr>
        <w:tabs>
          <w:tab w:val="num" w:pos="1134"/>
        </w:tabs>
        <w:spacing w:after="120"/>
        <w:ind w:left="1134" w:hanging="431"/>
        <w:jc w:val="left"/>
        <w:rPr>
          <w:rFonts w:ascii="Arial" w:hAnsi="Arial" w:cs="Arial"/>
          <w:szCs w:val="24"/>
        </w:rPr>
      </w:pPr>
      <w:r w:rsidRPr="00FC7C2F">
        <w:rPr>
          <w:rFonts w:ascii="Arial" w:hAnsi="Arial" w:cs="Arial"/>
          <w:szCs w:val="24"/>
        </w:rPr>
        <w:t>An increase of 1</w:t>
      </w:r>
      <w:r w:rsidR="00FC7C2F">
        <w:rPr>
          <w:rFonts w:ascii="Arial" w:hAnsi="Arial" w:cs="Arial"/>
          <w:szCs w:val="24"/>
        </w:rPr>
        <w:t>6</w:t>
      </w:r>
      <w:r w:rsidRPr="00FC7C2F">
        <w:rPr>
          <w:rFonts w:ascii="Arial" w:hAnsi="Arial" w:cs="Arial"/>
          <w:szCs w:val="24"/>
        </w:rPr>
        <w:t xml:space="preserve"> pence for the </w:t>
      </w:r>
      <w:proofErr w:type="gramStart"/>
      <w:r w:rsidR="002439E2" w:rsidRPr="00FC7C2F">
        <w:rPr>
          <w:rFonts w:ascii="Arial" w:hAnsi="Arial" w:cs="Arial"/>
          <w:szCs w:val="24"/>
        </w:rPr>
        <w:t>2 year old</w:t>
      </w:r>
      <w:proofErr w:type="gramEnd"/>
      <w:r w:rsidR="002439E2" w:rsidRPr="00FC7C2F">
        <w:rPr>
          <w:rFonts w:ascii="Arial" w:hAnsi="Arial" w:cs="Arial"/>
          <w:szCs w:val="24"/>
        </w:rPr>
        <w:t xml:space="preserve"> </w:t>
      </w:r>
      <w:r w:rsidR="00B37782" w:rsidRPr="00FC7C2F">
        <w:rPr>
          <w:rFonts w:ascii="Arial" w:hAnsi="Arial" w:cs="Arial"/>
          <w:szCs w:val="24"/>
        </w:rPr>
        <w:t>entitlement, taking the</w:t>
      </w:r>
      <w:r w:rsidR="00FD27DE" w:rsidRPr="00FC7C2F">
        <w:rPr>
          <w:rFonts w:ascii="Arial" w:hAnsi="Arial" w:cs="Arial"/>
          <w:szCs w:val="24"/>
        </w:rPr>
        <w:t xml:space="preserve"> rate </w:t>
      </w:r>
      <w:r w:rsidR="00B37782" w:rsidRPr="00FC7C2F">
        <w:rPr>
          <w:rFonts w:ascii="Arial" w:hAnsi="Arial" w:cs="Arial"/>
          <w:szCs w:val="24"/>
        </w:rPr>
        <w:t>to</w:t>
      </w:r>
      <w:r w:rsidR="00FD27DE" w:rsidRPr="00FC7C2F">
        <w:rPr>
          <w:rFonts w:ascii="Arial" w:hAnsi="Arial" w:cs="Arial"/>
          <w:szCs w:val="24"/>
        </w:rPr>
        <w:t xml:space="preserve"> £</w:t>
      </w:r>
      <w:r w:rsidR="009725D5" w:rsidRPr="00FC7C2F">
        <w:rPr>
          <w:rFonts w:ascii="Arial" w:hAnsi="Arial" w:cs="Arial"/>
          <w:szCs w:val="24"/>
        </w:rPr>
        <w:t>8</w:t>
      </w:r>
      <w:r w:rsidR="00FD27DE" w:rsidRPr="00FC7C2F">
        <w:rPr>
          <w:rFonts w:ascii="Arial" w:hAnsi="Arial" w:cs="Arial"/>
          <w:szCs w:val="24"/>
        </w:rPr>
        <w:t>.</w:t>
      </w:r>
      <w:r w:rsidRPr="00FC7C2F">
        <w:rPr>
          <w:rFonts w:ascii="Arial" w:hAnsi="Arial" w:cs="Arial"/>
          <w:szCs w:val="24"/>
        </w:rPr>
        <w:t>48</w:t>
      </w:r>
      <w:r w:rsidR="00FD27DE" w:rsidRPr="00FC7C2F">
        <w:rPr>
          <w:rFonts w:ascii="Arial" w:hAnsi="Arial" w:cs="Arial"/>
          <w:szCs w:val="24"/>
        </w:rPr>
        <w:t xml:space="preserve"> per hour.</w:t>
      </w:r>
    </w:p>
    <w:p w14:paraId="1EFBEC70" w14:textId="1940CAE1" w:rsidR="00FD27DE" w:rsidRPr="000F5152" w:rsidRDefault="005408DD" w:rsidP="00054C2A">
      <w:pPr>
        <w:pStyle w:val="Heading2"/>
        <w:keepNext w:val="0"/>
        <w:numPr>
          <w:ilvl w:val="0"/>
          <w:numId w:val="11"/>
        </w:numPr>
        <w:tabs>
          <w:tab w:val="num" w:pos="1134"/>
        </w:tabs>
        <w:spacing w:after="120"/>
        <w:ind w:left="1134" w:hanging="431"/>
        <w:jc w:val="left"/>
        <w:rPr>
          <w:rFonts w:ascii="Arial" w:hAnsi="Arial" w:cs="Arial"/>
          <w:szCs w:val="24"/>
        </w:rPr>
      </w:pPr>
      <w:r w:rsidRPr="000F5152">
        <w:rPr>
          <w:rFonts w:ascii="Arial" w:hAnsi="Arial" w:cs="Arial"/>
          <w:szCs w:val="24"/>
        </w:rPr>
        <w:t xml:space="preserve">An increase of </w:t>
      </w:r>
      <w:r w:rsidR="000F5152" w:rsidRPr="000F5152">
        <w:rPr>
          <w:rFonts w:ascii="Arial" w:hAnsi="Arial" w:cs="Arial"/>
          <w:szCs w:val="24"/>
        </w:rPr>
        <w:t>18</w:t>
      </w:r>
      <w:r w:rsidR="00FD27DE" w:rsidRPr="000F5152">
        <w:rPr>
          <w:rFonts w:ascii="Arial" w:hAnsi="Arial" w:cs="Arial"/>
          <w:szCs w:val="24"/>
        </w:rPr>
        <w:t xml:space="preserve"> pence for the </w:t>
      </w:r>
      <w:proofErr w:type="gramStart"/>
      <w:r w:rsidR="00FD27DE" w:rsidRPr="000F5152">
        <w:rPr>
          <w:rFonts w:ascii="Arial" w:hAnsi="Arial" w:cs="Arial"/>
          <w:szCs w:val="24"/>
        </w:rPr>
        <w:t>three and four year old</w:t>
      </w:r>
      <w:proofErr w:type="gramEnd"/>
      <w:r w:rsidR="00FD27DE" w:rsidRPr="000F5152">
        <w:rPr>
          <w:rFonts w:ascii="Arial" w:hAnsi="Arial" w:cs="Arial"/>
          <w:szCs w:val="24"/>
        </w:rPr>
        <w:t xml:space="preserve"> universal and extended entitlements, taking the rate to £</w:t>
      </w:r>
      <w:r w:rsidR="000F5152" w:rsidRPr="000F5152">
        <w:rPr>
          <w:rFonts w:ascii="Arial" w:hAnsi="Arial" w:cs="Arial"/>
          <w:szCs w:val="24"/>
        </w:rPr>
        <w:t>6</w:t>
      </w:r>
      <w:r w:rsidR="00FD27DE" w:rsidRPr="000F5152">
        <w:rPr>
          <w:rFonts w:ascii="Arial" w:hAnsi="Arial" w:cs="Arial"/>
          <w:szCs w:val="24"/>
        </w:rPr>
        <w:t>.</w:t>
      </w:r>
      <w:r w:rsidR="000F5152" w:rsidRPr="000F5152">
        <w:rPr>
          <w:rFonts w:ascii="Arial" w:hAnsi="Arial" w:cs="Arial"/>
          <w:szCs w:val="24"/>
        </w:rPr>
        <w:t>16</w:t>
      </w:r>
      <w:r w:rsidR="00FD27DE" w:rsidRPr="000F5152">
        <w:rPr>
          <w:rFonts w:ascii="Arial" w:hAnsi="Arial" w:cs="Arial"/>
          <w:szCs w:val="24"/>
        </w:rPr>
        <w:t xml:space="preserve"> per hour.</w:t>
      </w:r>
    </w:p>
    <w:p w14:paraId="41AA46ED" w14:textId="717B5F4B" w:rsidR="00FD27DE" w:rsidRPr="003C5CF0" w:rsidRDefault="005408DD" w:rsidP="00054C2A">
      <w:pPr>
        <w:pStyle w:val="Heading2"/>
        <w:keepNext w:val="0"/>
        <w:numPr>
          <w:ilvl w:val="0"/>
          <w:numId w:val="11"/>
        </w:numPr>
        <w:tabs>
          <w:tab w:val="num" w:pos="1134"/>
        </w:tabs>
        <w:spacing w:after="120"/>
        <w:ind w:left="1134" w:hanging="431"/>
        <w:jc w:val="left"/>
        <w:rPr>
          <w:rFonts w:ascii="Arial" w:hAnsi="Arial" w:cs="Arial"/>
          <w:szCs w:val="24"/>
        </w:rPr>
      </w:pPr>
      <w:r w:rsidRPr="003C5CF0">
        <w:rPr>
          <w:rFonts w:ascii="Arial" w:hAnsi="Arial" w:cs="Arial"/>
          <w:szCs w:val="24"/>
        </w:rPr>
        <w:t xml:space="preserve">An increase of </w:t>
      </w:r>
      <w:r w:rsidR="003C5CF0" w:rsidRPr="003C5CF0">
        <w:rPr>
          <w:rFonts w:ascii="Arial" w:hAnsi="Arial" w:cs="Arial"/>
          <w:szCs w:val="24"/>
        </w:rPr>
        <w:t>32</w:t>
      </w:r>
      <w:r w:rsidR="00FD27DE" w:rsidRPr="003C5CF0">
        <w:rPr>
          <w:rFonts w:ascii="Arial" w:hAnsi="Arial" w:cs="Arial"/>
          <w:szCs w:val="24"/>
        </w:rPr>
        <w:t xml:space="preserve"> pence for the early </w:t>
      </w:r>
      <w:proofErr w:type="gramStart"/>
      <w:r w:rsidR="00FD27DE" w:rsidRPr="003C5CF0">
        <w:rPr>
          <w:rFonts w:ascii="Arial" w:hAnsi="Arial" w:cs="Arial"/>
          <w:szCs w:val="24"/>
        </w:rPr>
        <w:t>years</w:t>
      </w:r>
      <w:proofErr w:type="gramEnd"/>
      <w:r w:rsidR="00FD27DE" w:rsidRPr="003C5CF0">
        <w:rPr>
          <w:rFonts w:ascii="Arial" w:hAnsi="Arial" w:cs="Arial"/>
          <w:szCs w:val="24"/>
        </w:rPr>
        <w:t xml:space="preserve"> pupil premium, which is equivalent to £</w:t>
      </w:r>
      <w:r w:rsidR="00C771D6" w:rsidRPr="003C5CF0">
        <w:rPr>
          <w:rFonts w:ascii="Arial" w:hAnsi="Arial" w:cs="Arial"/>
          <w:szCs w:val="24"/>
        </w:rPr>
        <w:t>570</w:t>
      </w:r>
      <w:r w:rsidR="00FD27DE" w:rsidRPr="003C5CF0">
        <w:rPr>
          <w:rFonts w:ascii="Arial" w:hAnsi="Arial" w:cs="Arial"/>
          <w:szCs w:val="24"/>
        </w:rPr>
        <w:t xml:space="preserve"> per eligible child per year.</w:t>
      </w:r>
    </w:p>
    <w:p w14:paraId="3C6FBB74" w14:textId="6C076104" w:rsidR="00FD27DE" w:rsidRPr="00582106" w:rsidRDefault="005408DD" w:rsidP="00054C2A">
      <w:pPr>
        <w:pStyle w:val="Heading2"/>
        <w:keepNext w:val="0"/>
        <w:numPr>
          <w:ilvl w:val="0"/>
          <w:numId w:val="11"/>
        </w:numPr>
        <w:tabs>
          <w:tab w:val="num" w:pos="1134"/>
        </w:tabs>
        <w:spacing w:after="120"/>
        <w:ind w:left="1134" w:hanging="431"/>
        <w:jc w:val="left"/>
        <w:rPr>
          <w:rFonts w:ascii="Arial" w:hAnsi="Arial" w:cs="Arial"/>
          <w:szCs w:val="24"/>
        </w:rPr>
      </w:pPr>
      <w:r w:rsidRPr="00582106">
        <w:rPr>
          <w:rFonts w:ascii="Arial" w:hAnsi="Arial" w:cs="Arial"/>
          <w:szCs w:val="24"/>
        </w:rPr>
        <w:t xml:space="preserve">An increase of </w:t>
      </w:r>
      <w:r w:rsidR="00FD27DE" w:rsidRPr="00582106">
        <w:rPr>
          <w:rFonts w:ascii="Arial" w:hAnsi="Arial" w:cs="Arial"/>
          <w:szCs w:val="24"/>
        </w:rPr>
        <w:t>£</w:t>
      </w:r>
      <w:r w:rsidR="00AD7F74" w:rsidRPr="00582106">
        <w:rPr>
          <w:rFonts w:ascii="Arial" w:hAnsi="Arial" w:cs="Arial"/>
          <w:szCs w:val="24"/>
        </w:rPr>
        <w:t>2</w:t>
      </w:r>
      <w:r w:rsidR="00315A15" w:rsidRPr="00582106">
        <w:rPr>
          <w:rFonts w:ascii="Arial" w:hAnsi="Arial" w:cs="Arial"/>
          <w:szCs w:val="24"/>
        </w:rPr>
        <w:t>8</w:t>
      </w:r>
      <w:r w:rsidR="00FD27DE" w:rsidRPr="00582106">
        <w:rPr>
          <w:rFonts w:ascii="Arial" w:hAnsi="Arial" w:cs="Arial"/>
          <w:szCs w:val="24"/>
        </w:rPr>
        <w:t xml:space="preserve"> per eligible child for the disability access fund, which provides an annual allocation per eligible child of £</w:t>
      </w:r>
      <w:r w:rsidR="002B30D6" w:rsidRPr="00582106">
        <w:rPr>
          <w:rFonts w:ascii="Arial" w:hAnsi="Arial" w:cs="Arial"/>
          <w:szCs w:val="24"/>
        </w:rPr>
        <w:t>9</w:t>
      </w:r>
      <w:r w:rsidR="00315A15" w:rsidRPr="00582106">
        <w:rPr>
          <w:rFonts w:ascii="Arial" w:hAnsi="Arial" w:cs="Arial"/>
          <w:szCs w:val="24"/>
        </w:rPr>
        <w:t>38</w:t>
      </w:r>
      <w:r w:rsidR="00FD27DE" w:rsidRPr="00582106">
        <w:rPr>
          <w:rFonts w:ascii="Arial" w:hAnsi="Arial" w:cs="Arial"/>
          <w:szCs w:val="24"/>
        </w:rPr>
        <w:t>.</w:t>
      </w:r>
    </w:p>
    <w:p w14:paraId="56C62A6E" w14:textId="596F005D" w:rsidR="00F973DD" w:rsidRPr="00BD2B9F" w:rsidRDefault="00983322" w:rsidP="00AD3CA6">
      <w:pPr>
        <w:pStyle w:val="Heading2"/>
        <w:keepNext w:val="0"/>
        <w:tabs>
          <w:tab w:val="num" w:pos="426"/>
        </w:tabs>
        <w:ind w:left="426" w:hanging="568"/>
        <w:jc w:val="left"/>
        <w:rPr>
          <w:rFonts w:ascii="Arial" w:hAnsi="Arial" w:cs="Arial"/>
          <w:szCs w:val="24"/>
        </w:rPr>
      </w:pPr>
      <w:r w:rsidRPr="004E1FB1">
        <w:rPr>
          <w:rFonts w:ascii="Arial" w:hAnsi="Arial" w:cs="Arial"/>
          <w:szCs w:val="24"/>
        </w:rPr>
        <w:t xml:space="preserve">The DfE have confirmed supplementary funding </w:t>
      </w:r>
      <w:r w:rsidR="008361CE">
        <w:rPr>
          <w:rFonts w:ascii="Arial" w:hAnsi="Arial" w:cs="Arial"/>
          <w:szCs w:val="24"/>
        </w:rPr>
        <w:t xml:space="preserve">will continue </w:t>
      </w:r>
      <w:r w:rsidRPr="004E1FB1">
        <w:rPr>
          <w:rFonts w:ascii="Arial" w:hAnsi="Arial" w:cs="Arial"/>
          <w:szCs w:val="24"/>
        </w:rPr>
        <w:t>for the 3 maintained nursery schools for financial year 202</w:t>
      </w:r>
      <w:r w:rsidR="008C176B" w:rsidRPr="004E1FB1">
        <w:rPr>
          <w:rFonts w:ascii="Arial" w:hAnsi="Arial" w:cs="Arial"/>
          <w:szCs w:val="24"/>
        </w:rPr>
        <w:t>5</w:t>
      </w:r>
      <w:r w:rsidR="001F75A0" w:rsidRPr="004E1FB1">
        <w:rPr>
          <w:rFonts w:ascii="Arial" w:hAnsi="Arial" w:cs="Arial"/>
          <w:szCs w:val="24"/>
        </w:rPr>
        <w:t>/</w:t>
      </w:r>
      <w:r w:rsidRPr="004E1FB1">
        <w:rPr>
          <w:rFonts w:ascii="Arial" w:hAnsi="Arial" w:cs="Arial"/>
          <w:szCs w:val="24"/>
        </w:rPr>
        <w:t>2</w:t>
      </w:r>
      <w:r w:rsidR="008C176B" w:rsidRPr="004E1FB1">
        <w:rPr>
          <w:rFonts w:ascii="Arial" w:hAnsi="Arial" w:cs="Arial"/>
          <w:szCs w:val="24"/>
        </w:rPr>
        <w:t>6</w:t>
      </w:r>
      <w:r w:rsidRPr="004E1FB1">
        <w:rPr>
          <w:rFonts w:ascii="Arial" w:hAnsi="Arial" w:cs="Arial"/>
          <w:szCs w:val="24"/>
        </w:rPr>
        <w:t xml:space="preserve"> to protect 2016/17 funding rates</w:t>
      </w:r>
      <w:r w:rsidR="00841500" w:rsidRPr="004E1FB1">
        <w:rPr>
          <w:rFonts w:ascii="Arial" w:hAnsi="Arial" w:cs="Arial"/>
          <w:szCs w:val="24"/>
        </w:rPr>
        <w:t>.</w:t>
      </w:r>
      <w:r w:rsidR="00D73784" w:rsidRPr="004E1FB1">
        <w:rPr>
          <w:rFonts w:ascii="Arial" w:hAnsi="Arial" w:cs="Arial"/>
          <w:szCs w:val="24"/>
        </w:rPr>
        <w:t xml:space="preserve"> </w:t>
      </w:r>
      <w:r w:rsidR="00D73784" w:rsidRPr="00BD2B9F">
        <w:rPr>
          <w:rFonts w:ascii="Arial" w:hAnsi="Arial" w:cs="Arial"/>
          <w:szCs w:val="24"/>
        </w:rPr>
        <w:t xml:space="preserve">There has been </w:t>
      </w:r>
      <w:r w:rsidR="00555ADC" w:rsidRPr="00BD2B9F">
        <w:rPr>
          <w:rFonts w:ascii="Arial" w:hAnsi="Arial" w:cs="Arial"/>
          <w:szCs w:val="24"/>
        </w:rPr>
        <w:t>no change</w:t>
      </w:r>
      <w:r w:rsidR="00D73784" w:rsidRPr="00BD2B9F">
        <w:rPr>
          <w:rFonts w:ascii="Arial" w:hAnsi="Arial" w:cs="Arial"/>
          <w:szCs w:val="24"/>
        </w:rPr>
        <w:t xml:space="preserve"> </w:t>
      </w:r>
      <w:r w:rsidR="00041583" w:rsidRPr="00BD2B9F">
        <w:rPr>
          <w:rFonts w:ascii="Arial" w:hAnsi="Arial" w:cs="Arial"/>
          <w:szCs w:val="24"/>
        </w:rPr>
        <w:t xml:space="preserve">in allocation </w:t>
      </w:r>
      <w:r w:rsidR="00D73784" w:rsidRPr="00BD2B9F">
        <w:rPr>
          <w:rFonts w:ascii="Arial" w:hAnsi="Arial" w:cs="Arial"/>
          <w:szCs w:val="24"/>
        </w:rPr>
        <w:t>this year</w:t>
      </w:r>
      <w:r w:rsidR="004C36EC" w:rsidRPr="00BD2B9F">
        <w:rPr>
          <w:rFonts w:ascii="Arial" w:hAnsi="Arial" w:cs="Arial"/>
          <w:szCs w:val="24"/>
        </w:rPr>
        <w:t xml:space="preserve">, due to the </w:t>
      </w:r>
      <w:r w:rsidR="00E61BB2" w:rsidRPr="00BD2B9F">
        <w:rPr>
          <w:rFonts w:ascii="Arial" w:hAnsi="Arial" w:cs="Arial"/>
          <w:szCs w:val="24"/>
        </w:rPr>
        <w:t>£10</w:t>
      </w:r>
      <w:r w:rsidR="00990F5C" w:rsidRPr="00BD2B9F">
        <w:rPr>
          <w:rFonts w:ascii="Arial" w:hAnsi="Arial" w:cs="Arial"/>
          <w:szCs w:val="24"/>
        </w:rPr>
        <w:t xml:space="preserve"> per hour</w:t>
      </w:r>
      <w:r w:rsidR="00E61BB2" w:rsidRPr="00BD2B9F">
        <w:rPr>
          <w:rFonts w:ascii="Arial" w:hAnsi="Arial" w:cs="Arial"/>
          <w:szCs w:val="24"/>
        </w:rPr>
        <w:t xml:space="preserve"> cap, </w:t>
      </w:r>
      <w:r w:rsidR="0005028D" w:rsidRPr="00BD2B9F">
        <w:rPr>
          <w:rFonts w:ascii="Arial" w:hAnsi="Arial" w:cs="Arial"/>
          <w:szCs w:val="24"/>
        </w:rPr>
        <w:t>however</w:t>
      </w:r>
      <w:r w:rsidR="00041583" w:rsidRPr="00BD2B9F">
        <w:rPr>
          <w:rFonts w:ascii="Arial" w:hAnsi="Arial" w:cs="Arial"/>
          <w:szCs w:val="24"/>
        </w:rPr>
        <w:t xml:space="preserve"> </w:t>
      </w:r>
      <w:r w:rsidR="004A683A" w:rsidRPr="00BD2B9F">
        <w:rPr>
          <w:rFonts w:ascii="Arial" w:hAnsi="Arial" w:cs="Arial"/>
          <w:szCs w:val="24"/>
        </w:rPr>
        <w:t>maintained nursery schools continue to receive full protection relating to previous funding/costs incurred</w:t>
      </w:r>
      <w:r w:rsidR="002E6138" w:rsidRPr="00BD2B9F">
        <w:rPr>
          <w:rFonts w:ascii="Arial" w:hAnsi="Arial" w:cs="Arial"/>
          <w:szCs w:val="24"/>
        </w:rPr>
        <w:t>.</w:t>
      </w:r>
    </w:p>
    <w:p w14:paraId="59A06B98" w14:textId="19D2FA21" w:rsidR="00D3756D" w:rsidRPr="006B281D" w:rsidRDefault="007449B8" w:rsidP="006B281D">
      <w:pPr>
        <w:pStyle w:val="Heading2"/>
        <w:keepNext w:val="0"/>
        <w:tabs>
          <w:tab w:val="num" w:pos="426"/>
        </w:tabs>
        <w:ind w:left="426" w:hanging="568"/>
        <w:jc w:val="left"/>
        <w:rPr>
          <w:rFonts w:ascii="Arial" w:hAnsi="Arial" w:cs="Arial"/>
          <w:szCs w:val="24"/>
        </w:rPr>
      </w:pPr>
      <w:r w:rsidRPr="00E932E9">
        <w:rPr>
          <w:rFonts w:ascii="Arial" w:hAnsi="Arial" w:cs="Arial"/>
          <w:szCs w:val="24"/>
        </w:rPr>
        <w:t xml:space="preserve">The budgets have been based on the initial DSG allocations provided. </w:t>
      </w:r>
      <w:proofErr w:type="gramStart"/>
      <w:r w:rsidRPr="00E932E9">
        <w:rPr>
          <w:rFonts w:ascii="Arial" w:hAnsi="Arial" w:cs="Arial"/>
          <w:szCs w:val="24"/>
        </w:rPr>
        <w:t>The majority of</w:t>
      </w:r>
      <w:proofErr w:type="gramEnd"/>
      <w:r w:rsidRPr="00E932E9">
        <w:rPr>
          <w:rFonts w:ascii="Arial" w:hAnsi="Arial" w:cs="Arial"/>
          <w:szCs w:val="24"/>
        </w:rPr>
        <w:t xml:space="preserve"> funding is passed out to providers, with a small percentage retained to fund central early years functions.</w:t>
      </w:r>
      <w:r w:rsidR="00D3756D" w:rsidRPr="00E932E9">
        <w:rPr>
          <w:rFonts w:ascii="Arial" w:hAnsi="Arial" w:cs="Arial"/>
          <w:szCs w:val="24"/>
        </w:rPr>
        <w:t xml:space="preserve"> </w:t>
      </w:r>
    </w:p>
    <w:p w14:paraId="32833779" w14:textId="7A971841" w:rsidR="00A74C58" w:rsidRPr="00304214" w:rsidRDefault="00A74C58" w:rsidP="00AD3CA6">
      <w:pPr>
        <w:pStyle w:val="Heading2"/>
        <w:keepNext w:val="0"/>
        <w:tabs>
          <w:tab w:val="num" w:pos="426"/>
        </w:tabs>
        <w:ind w:left="426" w:hanging="568"/>
        <w:jc w:val="left"/>
        <w:rPr>
          <w:rFonts w:ascii="Arial" w:hAnsi="Arial" w:cs="Arial"/>
          <w:szCs w:val="24"/>
        </w:rPr>
      </w:pPr>
      <w:r w:rsidRPr="00304214">
        <w:rPr>
          <w:rFonts w:ascii="Arial" w:hAnsi="Arial" w:cs="Arial"/>
          <w:szCs w:val="24"/>
        </w:rPr>
        <w:t xml:space="preserve">The early years allocations are currently based on </w:t>
      </w:r>
      <w:r w:rsidR="00563269" w:rsidRPr="00304214">
        <w:rPr>
          <w:rFonts w:ascii="Arial" w:hAnsi="Arial" w:cs="Arial"/>
          <w:szCs w:val="24"/>
        </w:rPr>
        <w:t>the January 202</w:t>
      </w:r>
      <w:r w:rsidR="00304214" w:rsidRPr="00304214">
        <w:rPr>
          <w:rFonts w:ascii="Arial" w:hAnsi="Arial" w:cs="Arial"/>
          <w:szCs w:val="24"/>
        </w:rPr>
        <w:t>4</w:t>
      </w:r>
      <w:r w:rsidR="00563269" w:rsidRPr="00304214">
        <w:rPr>
          <w:rFonts w:ascii="Arial" w:hAnsi="Arial" w:cs="Arial"/>
          <w:szCs w:val="24"/>
        </w:rPr>
        <w:t xml:space="preserve"> pupil census count</w:t>
      </w:r>
      <w:r w:rsidR="00B953F5" w:rsidRPr="00304214">
        <w:rPr>
          <w:rFonts w:ascii="Arial" w:hAnsi="Arial" w:cs="Arial"/>
          <w:szCs w:val="24"/>
        </w:rPr>
        <w:t xml:space="preserve">; </w:t>
      </w:r>
      <w:r w:rsidR="00563269" w:rsidRPr="00304214">
        <w:rPr>
          <w:rFonts w:ascii="Arial" w:hAnsi="Arial" w:cs="Arial"/>
          <w:szCs w:val="24"/>
        </w:rPr>
        <w:t xml:space="preserve">they will be updated </w:t>
      </w:r>
      <w:r w:rsidR="00D8523D" w:rsidRPr="00304214">
        <w:rPr>
          <w:rFonts w:ascii="Arial" w:hAnsi="Arial" w:cs="Arial"/>
          <w:szCs w:val="24"/>
        </w:rPr>
        <w:t>in July 202</w:t>
      </w:r>
      <w:r w:rsidR="00304214" w:rsidRPr="00304214">
        <w:rPr>
          <w:rFonts w:ascii="Arial" w:hAnsi="Arial" w:cs="Arial"/>
          <w:szCs w:val="24"/>
        </w:rPr>
        <w:t>5</w:t>
      </w:r>
      <w:r w:rsidR="00200C8A" w:rsidRPr="00304214">
        <w:rPr>
          <w:rFonts w:ascii="Arial" w:hAnsi="Arial" w:cs="Arial"/>
          <w:szCs w:val="24"/>
        </w:rPr>
        <w:t xml:space="preserve"> to reflect the January 202</w:t>
      </w:r>
      <w:r w:rsidR="00304214" w:rsidRPr="00304214">
        <w:rPr>
          <w:rFonts w:ascii="Arial" w:hAnsi="Arial" w:cs="Arial"/>
          <w:szCs w:val="24"/>
        </w:rPr>
        <w:t>5</w:t>
      </w:r>
      <w:r w:rsidR="00200C8A" w:rsidRPr="00304214">
        <w:rPr>
          <w:rFonts w:ascii="Arial" w:hAnsi="Arial" w:cs="Arial"/>
          <w:szCs w:val="24"/>
        </w:rPr>
        <w:t xml:space="preserve"> pupil census count</w:t>
      </w:r>
      <w:r w:rsidR="0004771F" w:rsidRPr="00304214">
        <w:rPr>
          <w:rFonts w:ascii="Arial" w:hAnsi="Arial" w:cs="Arial"/>
          <w:szCs w:val="24"/>
        </w:rPr>
        <w:t xml:space="preserve"> and again in July 202</w:t>
      </w:r>
      <w:r w:rsidR="00304214" w:rsidRPr="00304214">
        <w:rPr>
          <w:rFonts w:ascii="Arial" w:hAnsi="Arial" w:cs="Arial"/>
          <w:szCs w:val="24"/>
        </w:rPr>
        <w:t>6</w:t>
      </w:r>
      <w:r w:rsidR="0004771F" w:rsidRPr="00304214">
        <w:rPr>
          <w:rFonts w:ascii="Arial" w:hAnsi="Arial" w:cs="Arial"/>
          <w:szCs w:val="24"/>
        </w:rPr>
        <w:t xml:space="preserve"> </w:t>
      </w:r>
      <w:r w:rsidR="00CA7279" w:rsidRPr="00304214">
        <w:rPr>
          <w:rFonts w:ascii="Arial" w:hAnsi="Arial" w:cs="Arial"/>
          <w:szCs w:val="24"/>
        </w:rPr>
        <w:t xml:space="preserve">so that </w:t>
      </w:r>
      <w:r w:rsidR="0004771F" w:rsidRPr="00304214">
        <w:rPr>
          <w:rFonts w:ascii="Arial" w:hAnsi="Arial" w:cs="Arial"/>
          <w:szCs w:val="24"/>
        </w:rPr>
        <w:t>5/12 of the</w:t>
      </w:r>
      <w:r w:rsidR="00CA7279" w:rsidRPr="00304214">
        <w:rPr>
          <w:rFonts w:ascii="Arial" w:hAnsi="Arial" w:cs="Arial"/>
          <w:szCs w:val="24"/>
        </w:rPr>
        <w:t xml:space="preserve"> allocation reflects the</w:t>
      </w:r>
      <w:r w:rsidR="0004771F" w:rsidRPr="00304214">
        <w:rPr>
          <w:rFonts w:ascii="Arial" w:hAnsi="Arial" w:cs="Arial"/>
          <w:szCs w:val="24"/>
        </w:rPr>
        <w:t xml:space="preserve"> January 202</w:t>
      </w:r>
      <w:r w:rsidR="00304214" w:rsidRPr="00304214">
        <w:rPr>
          <w:rFonts w:ascii="Arial" w:hAnsi="Arial" w:cs="Arial"/>
          <w:szCs w:val="24"/>
        </w:rPr>
        <w:t>6</w:t>
      </w:r>
      <w:r w:rsidR="0004771F" w:rsidRPr="00304214">
        <w:rPr>
          <w:rFonts w:ascii="Arial" w:hAnsi="Arial" w:cs="Arial"/>
          <w:szCs w:val="24"/>
        </w:rPr>
        <w:t xml:space="preserve"> pupil census count.</w:t>
      </w:r>
      <w:r w:rsidR="00D3756D" w:rsidRPr="00304214">
        <w:rPr>
          <w:rFonts w:ascii="Arial" w:hAnsi="Arial" w:cs="Arial"/>
          <w:szCs w:val="24"/>
        </w:rPr>
        <w:t xml:space="preserve"> </w:t>
      </w:r>
    </w:p>
    <w:p w14:paraId="0231A5E8" w14:textId="2FEB45B3" w:rsidR="00A6553C" w:rsidRPr="00576A8C" w:rsidRDefault="00CE39A9" w:rsidP="00782CE5">
      <w:pPr>
        <w:pStyle w:val="Heading2"/>
        <w:keepNext w:val="0"/>
        <w:tabs>
          <w:tab w:val="num" w:pos="426"/>
        </w:tabs>
        <w:ind w:left="426" w:hanging="568"/>
        <w:jc w:val="left"/>
        <w:rPr>
          <w:rFonts w:ascii="Arial" w:hAnsi="Arial" w:cs="Arial"/>
          <w:szCs w:val="24"/>
        </w:rPr>
      </w:pPr>
      <w:r w:rsidRPr="00576A8C">
        <w:rPr>
          <w:rFonts w:ascii="Arial" w:hAnsi="Arial" w:cs="Arial"/>
          <w:szCs w:val="24"/>
        </w:rPr>
        <w:t>This is a demand led budget and take-up of the entitlements has been significantly impact</w:t>
      </w:r>
      <w:r w:rsidR="00E966BB" w:rsidRPr="00576A8C">
        <w:rPr>
          <w:rFonts w:ascii="Arial" w:hAnsi="Arial" w:cs="Arial"/>
          <w:szCs w:val="24"/>
        </w:rPr>
        <w:t>ed</w:t>
      </w:r>
      <w:r w:rsidRPr="00576A8C">
        <w:rPr>
          <w:rFonts w:ascii="Arial" w:hAnsi="Arial" w:cs="Arial"/>
          <w:szCs w:val="24"/>
        </w:rPr>
        <w:t xml:space="preserve"> by the Covid-19 pandemic. </w:t>
      </w:r>
      <w:r w:rsidR="00D14784" w:rsidRPr="00576A8C">
        <w:rPr>
          <w:rFonts w:ascii="Arial" w:hAnsi="Arial" w:cs="Arial"/>
          <w:szCs w:val="24"/>
        </w:rPr>
        <w:t>T</w:t>
      </w:r>
      <w:r w:rsidR="007A7F2F" w:rsidRPr="00576A8C">
        <w:rPr>
          <w:rFonts w:ascii="Arial" w:hAnsi="Arial" w:cs="Arial"/>
          <w:szCs w:val="24"/>
        </w:rPr>
        <w:t>his is likely to continue into 202</w:t>
      </w:r>
      <w:r w:rsidR="00576A8C" w:rsidRPr="00576A8C">
        <w:rPr>
          <w:rFonts w:ascii="Arial" w:hAnsi="Arial" w:cs="Arial"/>
          <w:szCs w:val="24"/>
        </w:rPr>
        <w:t>5</w:t>
      </w:r>
      <w:r w:rsidR="007A7F2F" w:rsidRPr="00576A8C">
        <w:rPr>
          <w:rFonts w:ascii="Arial" w:hAnsi="Arial" w:cs="Arial"/>
          <w:szCs w:val="24"/>
        </w:rPr>
        <w:t>/2</w:t>
      </w:r>
      <w:r w:rsidR="00576A8C" w:rsidRPr="00576A8C">
        <w:rPr>
          <w:rFonts w:ascii="Arial" w:hAnsi="Arial" w:cs="Arial"/>
          <w:szCs w:val="24"/>
        </w:rPr>
        <w:t>6</w:t>
      </w:r>
      <w:r w:rsidR="007A7F2F" w:rsidRPr="00576A8C">
        <w:rPr>
          <w:rFonts w:ascii="Arial" w:hAnsi="Arial" w:cs="Arial"/>
          <w:szCs w:val="24"/>
        </w:rPr>
        <w:t xml:space="preserve">, </w:t>
      </w:r>
      <w:r w:rsidR="00094D76" w:rsidRPr="00576A8C">
        <w:rPr>
          <w:rFonts w:ascii="Arial" w:hAnsi="Arial" w:cs="Arial"/>
          <w:szCs w:val="24"/>
        </w:rPr>
        <w:t>which,</w:t>
      </w:r>
      <w:r w:rsidR="002F02E6" w:rsidRPr="00576A8C">
        <w:rPr>
          <w:rFonts w:ascii="Arial" w:hAnsi="Arial" w:cs="Arial"/>
          <w:szCs w:val="24"/>
        </w:rPr>
        <w:t xml:space="preserve"> </w:t>
      </w:r>
      <w:r w:rsidR="000D748E" w:rsidRPr="00576A8C">
        <w:rPr>
          <w:rFonts w:ascii="Arial" w:hAnsi="Arial" w:cs="Arial"/>
          <w:szCs w:val="24"/>
        </w:rPr>
        <w:t xml:space="preserve">along with the impact of </w:t>
      </w:r>
      <w:r w:rsidR="009C57F8" w:rsidRPr="00576A8C">
        <w:rPr>
          <w:rFonts w:ascii="Arial" w:hAnsi="Arial" w:cs="Arial"/>
          <w:szCs w:val="24"/>
        </w:rPr>
        <w:t>decreases in population</w:t>
      </w:r>
      <w:r w:rsidR="005D7A57" w:rsidRPr="00576A8C">
        <w:rPr>
          <w:rFonts w:ascii="Arial" w:hAnsi="Arial" w:cs="Arial"/>
          <w:szCs w:val="24"/>
        </w:rPr>
        <w:t xml:space="preserve">, </w:t>
      </w:r>
      <w:r w:rsidR="0041692F" w:rsidRPr="00576A8C">
        <w:rPr>
          <w:rFonts w:ascii="Arial" w:hAnsi="Arial" w:cs="Arial"/>
          <w:szCs w:val="24"/>
        </w:rPr>
        <w:t xml:space="preserve">cost of living </w:t>
      </w:r>
      <w:r w:rsidR="00A87541" w:rsidRPr="00576A8C">
        <w:rPr>
          <w:rFonts w:ascii="Arial" w:hAnsi="Arial" w:cs="Arial"/>
          <w:szCs w:val="24"/>
        </w:rPr>
        <w:t>increases effecting eligibility</w:t>
      </w:r>
      <w:r w:rsidR="00B32464" w:rsidRPr="00576A8C">
        <w:rPr>
          <w:rFonts w:ascii="Arial" w:hAnsi="Arial" w:cs="Arial"/>
          <w:szCs w:val="24"/>
        </w:rPr>
        <w:t xml:space="preserve"> </w:t>
      </w:r>
      <w:r w:rsidR="00744E48" w:rsidRPr="00576A8C">
        <w:rPr>
          <w:rFonts w:ascii="Arial" w:hAnsi="Arial" w:cs="Arial"/>
          <w:szCs w:val="24"/>
        </w:rPr>
        <w:t>and unknow</w:t>
      </w:r>
      <w:r w:rsidR="007374BA" w:rsidRPr="00576A8C">
        <w:rPr>
          <w:rFonts w:ascii="Arial" w:hAnsi="Arial" w:cs="Arial"/>
          <w:szCs w:val="24"/>
        </w:rPr>
        <w:t>n</w:t>
      </w:r>
      <w:r w:rsidR="00744E48" w:rsidRPr="00576A8C">
        <w:rPr>
          <w:rFonts w:ascii="Arial" w:hAnsi="Arial" w:cs="Arial"/>
          <w:szCs w:val="24"/>
        </w:rPr>
        <w:t xml:space="preserve"> take up of the new entitlements </w:t>
      </w:r>
      <w:r w:rsidR="007A7F2F" w:rsidRPr="00576A8C">
        <w:rPr>
          <w:rFonts w:ascii="Arial" w:hAnsi="Arial" w:cs="Arial"/>
          <w:szCs w:val="24"/>
        </w:rPr>
        <w:t>result</w:t>
      </w:r>
      <w:r w:rsidR="00B32464" w:rsidRPr="00576A8C">
        <w:rPr>
          <w:rFonts w:ascii="Arial" w:hAnsi="Arial" w:cs="Arial"/>
          <w:szCs w:val="24"/>
        </w:rPr>
        <w:t>s</w:t>
      </w:r>
      <w:r w:rsidR="007A7F2F" w:rsidRPr="00576A8C">
        <w:rPr>
          <w:rFonts w:ascii="Arial" w:hAnsi="Arial" w:cs="Arial"/>
          <w:szCs w:val="24"/>
        </w:rPr>
        <w:t xml:space="preserve"> in uncertainty</w:t>
      </w:r>
      <w:r w:rsidR="00A6553C" w:rsidRPr="00576A8C">
        <w:rPr>
          <w:rFonts w:ascii="Arial" w:hAnsi="Arial" w:cs="Arial"/>
          <w:szCs w:val="24"/>
        </w:rPr>
        <w:t xml:space="preserve"> to</w:t>
      </w:r>
      <w:r w:rsidR="007A7F2F" w:rsidRPr="00576A8C">
        <w:rPr>
          <w:rFonts w:ascii="Arial" w:hAnsi="Arial" w:cs="Arial"/>
          <w:szCs w:val="24"/>
        </w:rPr>
        <w:t xml:space="preserve"> the forecasts</w:t>
      </w:r>
      <w:r w:rsidR="00A6553C" w:rsidRPr="00576A8C">
        <w:rPr>
          <w:rFonts w:ascii="Arial" w:hAnsi="Arial" w:cs="Arial"/>
          <w:szCs w:val="24"/>
        </w:rPr>
        <w:t xml:space="preserve"> and allocations. </w:t>
      </w:r>
    </w:p>
    <w:p w14:paraId="4A7AD71A" w14:textId="3A5DC163" w:rsidR="00471269" w:rsidRPr="002D4C3E" w:rsidRDefault="0003584F" w:rsidP="00A6553C">
      <w:pPr>
        <w:pStyle w:val="Heading2"/>
        <w:keepNext w:val="0"/>
        <w:tabs>
          <w:tab w:val="num" w:pos="426"/>
        </w:tabs>
        <w:ind w:left="426" w:hanging="568"/>
        <w:jc w:val="left"/>
        <w:rPr>
          <w:rFonts w:ascii="Arial" w:hAnsi="Arial" w:cs="Arial"/>
          <w:szCs w:val="24"/>
        </w:rPr>
      </w:pPr>
      <w:r>
        <w:rPr>
          <w:rFonts w:ascii="Arial" w:hAnsi="Arial" w:cs="Arial"/>
          <w:szCs w:val="24"/>
        </w:rPr>
        <w:t>Providers</w:t>
      </w:r>
      <w:r w:rsidR="00D06D16" w:rsidRPr="002D4C3E">
        <w:rPr>
          <w:rFonts w:ascii="Arial" w:hAnsi="Arial" w:cs="Arial"/>
          <w:szCs w:val="24"/>
        </w:rPr>
        <w:t xml:space="preserve"> will be </w:t>
      </w:r>
      <w:r>
        <w:rPr>
          <w:rFonts w:ascii="Arial" w:hAnsi="Arial" w:cs="Arial"/>
          <w:szCs w:val="24"/>
        </w:rPr>
        <w:t>consulted</w:t>
      </w:r>
      <w:r w:rsidR="00D06D16" w:rsidRPr="002D4C3E">
        <w:rPr>
          <w:rFonts w:ascii="Arial" w:hAnsi="Arial" w:cs="Arial"/>
          <w:szCs w:val="24"/>
        </w:rPr>
        <w:t xml:space="preserve"> on the detail of </w:t>
      </w:r>
      <w:r w:rsidR="003A35DC" w:rsidRPr="002D4C3E">
        <w:rPr>
          <w:rFonts w:ascii="Arial" w:hAnsi="Arial" w:cs="Arial"/>
          <w:szCs w:val="24"/>
        </w:rPr>
        <w:t xml:space="preserve">the funding formula </w:t>
      </w:r>
      <w:r w:rsidR="00F45F98" w:rsidRPr="002D4C3E">
        <w:rPr>
          <w:rFonts w:ascii="Arial" w:hAnsi="Arial" w:cs="Arial"/>
          <w:szCs w:val="24"/>
        </w:rPr>
        <w:t xml:space="preserve">and potential </w:t>
      </w:r>
      <w:r w:rsidR="00D06D16" w:rsidRPr="002D4C3E">
        <w:rPr>
          <w:rFonts w:ascii="Arial" w:hAnsi="Arial" w:cs="Arial"/>
          <w:szCs w:val="24"/>
        </w:rPr>
        <w:t>changes shortly</w:t>
      </w:r>
      <w:r w:rsidR="00371763" w:rsidRPr="002D4C3E">
        <w:rPr>
          <w:rFonts w:ascii="Arial" w:hAnsi="Arial" w:cs="Arial"/>
          <w:szCs w:val="24"/>
        </w:rPr>
        <w:t>.</w:t>
      </w:r>
      <w:r w:rsidR="00D06D16" w:rsidRPr="002D4C3E">
        <w:rPr>
          <w:rFonts w:ascii="Arial" w:hAnsi="Arial" w:cs="Arial"/>
          <w:szCs w:val="24"/>
        </w:rPr>
        <w:t xml:space="preserve"> </w:t>
      </w:r>
      <w:r w:rsidR="00471269" w:rsidRPr="002D4C3E">
        <w:rPr>
          <w:rFonts w:ascii="Arial" w:hAnsi="Arial" w:cs="Arial"/>
          <w:szCs w:val="24"/>
        </w:rPr>
        <w:t>Th</w:t>
      </w:r>
      <w:r w:rsidR="00E34159" w:rsidRPr="002D4C3E">
        <w:rPr>
          <w:rFonts w:ascii="Arial" w:hAnsi="Arial" w:cs="Arial"/>
          <w:szCs w:val="24"/>
        </w:rPr>
        <w:t xml:space="preserve">e main </w:t>
      </w:r>
      <w:r w:rsidR="00471269" w:rsidRPr="002D4C3E">
        <w:rPr>
          <w:rFonts w:ascii="Arial" w:hAnsi="Arial" w:cs="Arial"/>
          <w:szCs w:val="24"/>
        </w:rPr>
        <w:t>suggest</w:t>
      </w:r>
      <w:r w:rsidR="00E34159" w:rsidRPr="002D4C3E">
        <w:rPr>
          <w:rFonts w:ascii="Arial" w:hAnsi="Arial" w:cs="Arial"/>
          <w:szCs w:val="24"/>
        </w:rPr>
        <w:t xml:space="preserve">ions to providers in the consultation </w:t>
      </w:r>
      <w:r w:rsidR="002C4DE7" w:rsidRPr="002D4C3E">
        <w:rPr>
          <w:rFonts w:ascii="Arial" w:hAnsi="Arial" w:cs="Arial"/>
          <w:szCs w:val="24"/>
        </w:rPr>
        <w:t>are:</w:t>
      </w:r>
    </w:p>
    <w:p w14:paraId="0711CC13" w14:textId="618CBEA6" w:rsidR="00EF5E1D" w:rsidRPr="002D4C3E" w:rsidRDefault="00EF5E1D" w:rsidP="00054C2A">
      <w:pPr>
        <w:pStyle w:val="Heading2"/>
        <w:keepNext w:val="0"/>
        <w:numPr>
          <w:ilvl w:val="0"/>
          <w:numId w:val="12"/>
        </w:numPr>
        <w:spacing w:after="120"/>
        <w:ind w:left="1145" w:hanging="357"/>
        <w:jc w:val="left"/>
        <w:rPr>
          <w:rFonts w:ascii="Arial" w:hAnsi="Arial" w:cs="Arial"/>
          <w:szCs w:val="24"/>
        </w:rPr>
      </w:pPr>
      <w:r w:rsidRPr="002D4C3E">
        <w:rPr>
          <w:rFonts w:ascii="Arial" w:hAnsi="Arial" w:cs="Arial"/>
          <w:szCs w:val="24"/>
        </w:rPr>
        <w:t xml:space="preserve">To </w:t>
      </w:r>
      <w:r w:rsidR="00BF3479" w:rsidRPr="002D4C3E">
        <w:rPr>
          <w:rFonts w:ascii="Arial" w:hAnsi="Arial" w:cs="Arial"/>
          <w:szCs w:val="24"/>
        </w:rPr>
        <w:t>consider two</w:t>
      </w:r>
      <w:r w:rsidR="00F45F98" w:rsidRPr="002D4C3E">
        <w:rPr>
          <w:rFonts w:ascii="Arial" w:hAnsi="Arial" w:cs="Arial"/>
          <w:szCs w:val="24"/>
        </w:rPr>
        <w:t xml:space="preserve"> separate</w:t>
      </w:r>
      <w:r w:rsidRPr="002D4C3E">
        <w:rPr>
          <w:rFonts w:ascii="Arial" w:hAnsi="Arial" w:cs="Arial"/>
          <w:szCs w:val="24"/>
        </w:rPr>
        <w:t xml:space="preserve"> </w:t>
      </w:r>
      <w:r w:rsidR="00E65B67" w:rsidRPr="002D4C3E">
        <w:rPr>
          <w:rFonts w:ascii="Arial" w:hAnsi="Arial" w:cs="Arial"/>
          <w:szCs w:val="24"/>
        </w:rPr>
        <w:t xml:space="preserve">base </w:t>
      </w:r>
      <w:r w:rsidRPr="002D4C3E">
        <w:rPr>
          <w:rFonts w:ascii="Arial" w:hAnsi="Arial" w:cs="Arial"/>
          <w:szCs w:val="24"/>
        </w:rPr>
        <w:t>rate</w:t>
      </w:r>
      <w:r w:rsidR="00F45F98" w:rsidRPr="002D4C3E">
        <w:rPr>
          <w:rFonts w:ascii="Arial" w:hAnsi="Arial" w:cs="Arial"/>
          <w:szCs w:val="24"/>
        </w:rPr>
        <w:t>s</w:t>
      </w:r>
      <w:r w:rsidRPr="002D4C3E">
        <w:rPr>
          <w:rFonts w:ascii="Arial" w:hAnsi="Arial" w:cs="Arial"/>
          <w:szCs w:val="24"/>
        </w:rPr>
        <w:t xml:space="preserve"> for disadvantaged and working parent </w:t>
      </w:r>
      <w:proofErr w:type="gramStart"/>
      <w:r w:rsidRPr="002D4C3E">
        <w:rPr>
          <w:rFonts w:ascii="Arial" w:hAnsi="Arial" w:cs="Arial"/>
          <w:szCs w:val="24"/>
        </w:rPr>
        <w:t>2 year olds</w:t>
      </w:r>
      <w:proofErr w:type="gramEnd"/>
      <w:r w:rsidRPr="002D4C3E">
        <w:rPr>
          <w:rFonts w:ascii="Arial" w:hAnsi="Arial" w:cs="Arial"/>
          <w:szCs w:val="24"/>
        </w:rPr>
        <w:t>.</w:t>
      </w:r>
    </w:p>
    <w:p w14:paraId="073EB652" w14:textId="088A9266" w:rsidR="00286F30" w:rsidRPr="002D4C3E" w:rsidRDefault="00286F30" w:rsidP="00054C2A">
      <w:pPr>
        <w:pStyle w:val="Heading2"/>
        <w:keepNext w:val="0"/>
        <w:numPr>
          <w:ilvl w:val="0"/>
          <w:numId w:val="12"/>
        </w:numPr>
        <w:spacing w:after="120"/>
        <w:ind w:left="1145" w:hanging="357"/>
        <w:jc w:val="left"/>
        <w:rPr>
          <w:rFonts w:ascii="Arial" w:hAnsi="Arial" w:cs="Arial"/>
          <w:szCs w:val="24"/>
        </w:rPr>
      </w:pPr>
      <w:r w:rsidRPr="002D4C3E">
        <w:rPr>
          <w:rFonts w:ascii="Arial" w:hAnsi="Arial" w:cs="Arial"/>
          <w:szCs w:val="24"/>
        </w:rPr>
        <w:t xml:space="preserve">To </w:t>
      </w:r>
      <w:r w:rsidR="009051AC" w:rsidRPr="002D4C3E">
        <w:rPr>
          <w:rFonts w:ascii="Arial" w:hAnsi="Arial" w:cs="Arial"/>
          <w:szCs w:val="24"/>
        </w:rPr>
        <w:t>review</w:t>
      </w:r>
      <w:r w:rsidRPr="002D4C3E">
        <w:rPr>
          <w:rFonts w:ascii="Arial" w:hAnsi="Arial" w:cs="Arial"/>
          <w:szCs w:val="24"/>
        </w:rPr>
        <w:t xml:space="preserve"> the </w:t>
      </w:r>
      <w:r w:rsidR="0021206B">
        <w:rPr>
          <w:rFonts w:ascii="Arial" w:hAnsi="Arial" w:cs="Arial"/>
          <w:szCs w:val="24"/>
        </w:rPr>
        <w:t xml:space="preserve">use of the </w:t>
      </w:r>
      <w:r w:rsidRPr="002D4C3E">
        <w:rPr>
          <w:rFonts w:ascii="Arial" w:hAnsi="Arial" w:cs="Arial"/>
          <w:szCs w:val="24"/>
        </w:rPr>
        <w:t>SEN</w:t>
      </w:r>
      <w:r w:rsidR="00973B43">
        <w:rPr>
          <w:rFonts w:ascii="Arial" w:hAnsi="Arial" w:cs="Arial"/>
          <w:szCs w:val="24"/>
        </w:rPr>
        <w:t xml:space="preserve"> </w:t>
      </w:r>
      <w:r w:rsidRPr="002D4C3E">
        <w:rPr>
          <w:rFonts w:ascii="Arial" w:hAnsi="Arial" w:cs="Arial"/>
          <w:szCs w:val="24"/>
        </w:rPr>
        <w:t>I</w:t>
      </w:r>
      <w:r w:rsidR="00973B43">
        <w:rPr>
          <w:rFonts w:ascii="Arial" w:hAnsi="Arial" w:cs="Arial"/>
          <w:szCs w:val="24"/>
        </w:rPr>
        <w:t xml:space="preserve">nclusion </w:t>
      </w:r>
      <w:r w:rsidRPr="002D4C3E">
        <w:rPr>
          <w:rFonts w:ascii="Arial" w:hAnsi="Arial" w:cs="Arial"/>
          <w:szCs w:val="24"/>
        </w:rPr>
        <w:t>F</w:t>
      </w:r>
      <w:r w:rsidR="00973B43">
        <w:rPr>
          <w:rFonts w:ascii="Arial" w:hAnsi="Arial" w:cs="Arial"/>
          <w:szCs w:val="24"/>
        </w:rPr>
        <w:t>und</w:t>
      </w:r>
      <w:r w:rsidR="0021206B">
        <w:rPr>
          <w:rFonts w:ascii="Arial" w:hAnsi="Arial" w:cs="Arial"/>
          <w:szCs w:val="24"/>
        </w:rPr>
        <w:t xml:space="preserve"> </w:t>
      </w:r>
      <w:r w:rsidR="00690855">
        <w:rPr>
          <w:rFonts w:ascii="Arial" w:hAnsi="Arial" w:cs="Arial"/>
          <w:szCs w:val="24"/>
        </w:rPr>
        <w:t>(</w:t>
      </w:r>
      <w:r w:rsidRPr="002D4C3E">
        <w:rPr>
          <w:rFonts w:ascii="Arial" w:hAnsi="Arial" w:cs="Arial"/>
          <w:szCs w:val="24"/>
        </w:rPr>
        <w:t>SENIF</w:t>
      </w:r>
      <w:r w:rsidR="00690855">
        <w:rPr>
          <w:rFonts w:ascii="Arial" w:hAnsi="Arial" w:cs="Arial"/>
          <w:szCs w:val="24"/>
        </w:rPr>
        <w:t xml:space="preserve">) </w:t>
      </w:r>
      <w:r w:rsidR="0021206B">
        <w:rPr>
          <w:rFonts w:ascii="Arial" w:hAnsi="Arial" w:cs="Arial"/>
          <w:szCs w:val="24"/>
        </w:rPr>
        <w:t xml:space="preserve">and the </w:t>
      </w:r>
      <w:r w:rsidR="00874D8F">
        <w:rPr>
          <w:rFonts w:ascii="Arial" w:hAnsi="Arial" w:cs="Arial"/>
          <w:szCs w:val="24"/>
        </w:rPr>
        <w:t>provider</w:t>
      </w:r>
      <w:r w:rsidRPr="002D4C3E">
        <w:rPr>
          <w:rFonts w:ascii="Arial" w:hAnsi="Arial" w:cs="Arial"/>
          <w:szCs w:val="24"/>
        </w:rPr>
        <w:t xml:space="preserve"> hourly rate, in line with inflation</w:t>
      </w:r>
      <w:r w:rsidR="00F502A0" w:rsidRPr="002D4C3E">
        <w:rPr>
          <w:rFonts w:ascii="Arial" w:hAnsi="Arial" w:cs="Arial"/>
          <w:szCs w:val="24"/>
        </w:rPr>
        <w:t xml:space="preserve">ary </w:t>
      </w:r>
      <w:r w:rsidR="00D33B0A" w:rsidRPr="002D4C3E">
        <w:rPr>
          <w:rFonts w:ascii="Arial" w:hAnsi="Arial" w:cs="Arial"/>
          <w:szCs w:val="24"/>
        </w:rPr>
        <w:t>pressures</w:t>
      </w:r>
      <w:r w:rsidR="00A1452F" w:rsidRPr="002D4C3E">
        <w:rPr>
          <w:rFonts w:ascii="Arial" w:hAnsi="Arial" w:cs="Arial"/>
          <w:szCs w:val="24"/>
        </w:rPr>
        <w:t>.</w:t>
      </w:r>
    </w:p>
    <w:p w14:paraId="42E7D86E" w14:textId="640E9849" w:rsidR="00B16F41" w:rsidRPr="002D4C3E" w:rsidRDefault="00B16F41" w:rsidP="00054C2A">
      <w:pPr>
        <w:pStyle w:val="Heading2"/>
        <w:keepNext w:val="0"/>
        <w:numPr>
          <w:ilvl w:val="0"/>
          <w:numId w:val="12"/>
        </w:numPr>
        <w:spacing w:after="120"/>
        <w:ind w:left="1145" w:hanging="357"/>
        <w:jc w:val="left"/>
        <w:rPr>
          <w:rFonts w:ascii="Arial" w:hAnsi="Arial" w:cs="Arial"/>
          <w:szCs w:val="24"/>
        </w:rPr>
      </w:pPr>
      <w:r w:rsidRPr="002D4C3E">
        <w:rPr>
          <w:rFonts w:ascii="Arial" w:hAnsi="Arial" w:cs="Arial"/>
          <w:szCs w:val="24"/>
        </w:rPr>
        <w:t xml:space="preserve">To consider </w:t>
      </w:r>
      <w:r w:rsidR="00B6780C">
        <w:rPr>
          <w:rFonts w:ascii="Arial" w:hAnsi="Arial" w:cs="Arial"/>
          <w:szCs w:val="24"/>
        </w:rPr>
        <w:t>the treatment of</w:t>
      </w:r>
      <w:r w:rsidR="00290387" w:rsidRPr="002D4C3E">
        <w:rPr>
          <w:rFonts w:ascii="Arial" w:hAnsi="Arial" w:cs="Arial"/>
          <w:szCs w:val="24"/>
        </w:rPr>
        <w:t xml:space="preserve"> additional funding rolled into the E</w:t>
      </w:r>
      <w:r w:rsidR="00086B79">
        <w:rPr>
          <w:rFonts w:ascii="Arial" w:hAnsi="Arial" w:cs="Arial"/>
          <w:szCs w:val="24"/>
        </w:rPr>
        <w:t xml:space="preserve">arly </w:t>
      </w:r>
      <w:r w:rsidR="00290387" w:rsidRPr="002D4C3E">
        <w:rPr>
          <w:rFonts w:ascii="Arial" w:hAnsi="Arial" w:cs="Arial"/>
          <w:szCs w:val="24"/>
        </w:rPr>
        <w:t>Y</w:t>
      </w:r>
      <w:r w:rsidR="00086B79">
        <w:rPr>
          <w:rFonts w:ascii="Arial" w:hAnsi="Arial" w:cs="Arial"/>
          <w:szCs w:val="24"/>
        </w:rPr>
        <w:t>ears</w:t>
      </w:r>
      <w:r w:rsidR="00290387" w:rsidRPr="002D4C3E">
        <w:rPr>
          <w:rFonts w:ascii="Arial" w:hAnsi="Arial" w:cs="Arial"/>
          <w:szCs w:val="24"/>
        </w:rPr>
        <w:t xml:space="preserve"> N</w:t>
      </w:r>
      <w:r w:rsidR="00086B79">
        <w:rPr>
          <w:rFonts w:ascii="Arial" w:hAnsi="Arial" w:cs="Arial"/>
          <w:szCs w:val="24"/>
        </w:rPr>
        <w:t>ational Funding Formula</w:t>
      </w:r>
      <w:r w:rsidR="00290387" w:rsidRPr="002D4C3E">
        <w:rPr>
          <w:rFonts w:ascii="Arial" w:hAnsi="Arial" w:cs="Arial"/>
          <w:szCs w:val="24"/>
        </w:rPr>
        <w:t xml:space="preserve"> in relation to previous </w:t>
      </w:r>
      <w:proofErr w:type="spellStart"/>
      <w:proofErr w:type="gramStart"/>
      <w:r w:rsidR="00BD75D3" w:rsidRPr="002D4C3E">
        <w:rPr>
          <w:rFonts w:ascii="Arial" w:hAnsi="Arial" w:cs="Arial"/>
          <w:szCs w:val="24"/>
        </w:rPr>
        <w:t>stand alone</w:t>
      </w:r>
      <w:proofErr w:type="spellEnd"/>
      <w:proofErr w:type="gramEnd"/>
      <w:r w:rsidR="00BD75D3" w:rsidRPr="002D4C3E">
        <w:rPr>
          <w:rFonts w:ascii="Arial" w:hAnsi="Arial" w:cs="Arial"/>
          <w:szCs w:val="24"/>
        </w:rPr>
        <w:t xml:space="preserve"> grants (such as T</w:t>
      </w:r>
      <w:r w:rsidR="00507F63">
        <w:rPr>
          <w:rFonts w:ascii="Arial" w:hAnsi="Arial" w:cs="Arial"/>
          <w:szCs w:val="24"/>
        </w:rPr>
        <w:t xml:space="preserve">eachers </w:t>
      </w:r>
      <w:r w:rsidR="00BD75D3" w:rsidRPr="002D4C3E">
        <w:rPr>
          <w:rFonts w:ascii="Arial" w:hAnsi="Arial" w:cs="Arial"/>
          <w:szCs w:val="24"/>
        </w:rPr>
        <w:t>P</w:t>
      </w:r>
      <w:r w:rsidR="00507F63">
        <w:rPr>
          <w:rFonts w:ascii="Arial" w:hAnsi="Arial" w:cs="Arial"/>
          <w:szCs w:val="24"/>
        </w:rPr>
        <w:t>ay</w:t>
      </w:r>
      <w:r w:rsidR="00BD75D3" w:rsidRPr="002D4C3E">
        <w:rPr>
          <w:rFonts w:ascii="Arial" w:hAnsi="Arial" w:cs="Arial"/>
          <w:szCs w:val="24"/>
        </w:rPr>
        <w:t xml:space="preserve"> and P</w:t>
      </w:r>
      <w:r w:rsidR="00507F63">
        <w:rPr>
          <w:rFonts w:ascii="Arial" w:hAnsi="Arial" w:cs="Arial"/>
          <w:szCs w:val="24"/>
        </w:rPr>
        <w:t>ension</w:t>
      </w:r>
      <w:r w:rsidR="00BD75D3" w:rsidRPr="002D4C3E">
        <w:rPr>
          <w:rFonts w:ascii="Arial" w:hAnsi="Arial" w:cs="Arial"/>
          <w:szCs w:val="24"/>
        </w:rPr>
        <w:t xml:space="preserve"> and E</w:t>
      </w:r>
      <w:r w:rsidR="00221CD0">
        <w:rPr>
          <w:rFonts w:ascii="Arial" w:hAnsi="Arial" w:cs="Arial"/>
          <w:szCs w:val="24"/>
        </w:rPr>
        <w:t xml:space="preserve">arly </w:t>
      </w:r>
      <w:r w:rsidR="00BD75D3" w:rsidRPr="002D4C3E">
        <w:rPr>
          <w:rFonts w:ascii="Arial" w:hAnsi="Arial" w:cs="Arial"/>
          <w:szCs w:val="24"/>
        </w:rPr>
        <w:t>Y</w:t>
      </w:r>
      <w:r w:rsidR="00221CD0">
        <w:rPr>
          <w:rFonts w:ascii="Arial" w:hAnsi="Arial" w:cs="Arial"/>
          <w:szCs w:val="24"/>
        </w:rPr>
        <w:t xml:space="preserve">ears </w:t>
      </w:r>
      <w:r w:rsidR="00BD75D3" w:rsidRPr="002D4C3E">
        <w:rPr>
          <w:rFonts w:ascii="Arial" w:hAnsi="Arial" w:cs="Arial"/>
          <w:szCs w:val="24"/>
        </w:rPr>
        <w:t>B</w:t>
      </w:r>
      <w:r w:rsidR="00221CD0">
        <w:rPr>
          <w:rFonts w:ascii="Arial" w:hAnsi="Arial" w:cs="Arial"/>
          <w:szCs w:val="24"/>
        </w:rPr>
        <w:t xml:space="preserve">udget </w:t>
      </w:r>
      <w:r w:rsidR="00507F63">
        <w:rPr>
          <w:rFonts w:ascii="Arial" w:hAnsi="Arial" w:cs="Arial"/>
          <w:szCs w:val="24"/>
        </w:rPr>
        <w:t>g</w:t>
      </w:r>
      <w:r w:rsidR="00221CD0">
        <w:rPr>
          <w:rFonts w:ascii="Arial" w:hAnsi="Arial" w:cs="Arial"/>
          <w:szCs w:val="24"/>
        </w:rPr>
        <w:t>rant</w:t>
      </w:r>
      <w:r w:rsidR="00507F63">
        <w:rPr>
          <w:rFonts w:ascii="Arial" w:hAnsi="Arial" w:cs="Arial"/>
          <w:szCs w:val="24"/>
        </w:rPr>
        <w:t>s</w:t>
      </w:r>
      <w:r w:rsidR="00BD75D3" w:rsidRPr="002D4C3E">
        <w:rPr>
          <w:rFonts w:ascii="Arial" w:hAnsi="Arial" w:cs="Arial"/>
          <w:szCs w:val="24"/>
        </w:rPr>
        <w:t>)</w:t>
      </w:r>
      <w:r w:rsidR="00290387" w:rsidRPr="002D4C3E">
        <w:rPr>
          <w:rFonts w:ascii="Arial" w:hAnsi="Arial" w:cs="Arial"/>
          <w:szCs w:val="24"/>
        </w:rPr>
        <w:t>.</w:t>
      </w:r>
    </w:p>
    <w:p w14:paraId="61E46C1A" w14:textId="5006A886" w:rsidR="00D33D57" w:rsidRPr="002D4C3E" w:rsidRDefault="00D33D57" w:rsidP="00054C2A">
      <w:pPr>
        <w:pStyle w:val="Heading2"/>
        <w:keepNext w:val="0"/>
        <w:numPr>
          <w:ilvl w:val="0"/>
          <w:numId w:val="12"/>
        </w:numPr>
        <w:spacing w:after="120"/>
        <w:jc w:val="left"/>
        <w:rPr>
          <w:rFonts w:ascii="Arial" w:hAnsi="Arial" w:cs="Arial"/>
          <w:szCs w:val="24"/>
        </w:rPr>
      </w:pPr>
      <w:r w:rsidRPr="002D4C3E">
        <w:rPr>
          <w:rFonts w:ascii="Arial" w:hAnsi="Arial" w:cs="Arial"/>
          <w:szCs w:val="24"/>
        </w:rPr>
        <w:t xml:space="preserve">To </w:t>
      </w:r>
      <w:r w:rsidR="00E3509D" w:rsidRPr="002D4C3E">
        <w:rPr>
          <w:rFonts w:ascii="Arial" w:hAnsi="Arial" w:cs="Arial"/>
          <w:szCs w:val="24"/>
        </w:rPr>
        <w:t xml:space="preserve">move to </w:t>
      </w:r>
      <w:r w:rsidR="00EF695F" w:rsidRPr="002D4C3E">
        <w:rPr>
          <w:rFonts w:ascii="Arial" w:hAnsi="Arial" w:cs="Arial"/>
          <w:szCs w:val="24"/>
        </w:rPr>
        <w:t xml:space="preserve">97% pass through to providers from 2025/26, rather than the DfE </w:t>
      </w:r>
      <w:r w:rsidR="002D4C3E" w:rsidRPr="002D4C3E">
        <w:rPr>
          <w:rFonts w:ascii="Arial" w:hAnsi="Arial" w:cs="Arial"/>
          <w:szCs w:val="24"/>
        </w:rPr>
        <w:t>mandatory</w:t>
      </w:r>
      <w:r w:rsidR="00EF695F" w:rsidRPr="002D4C3E">
        <w:rPr>
          <w:rFonts w:ascii="Arial" w:hAnsi="Arial" w:cs="Arial"/>
          <w:szCs w:val="24"/>
        </w:rPr>
        <w:t xml:space="preserve"> 96% in 2025/26 and 97% in 2026/</w:t>
      </w:r>
      <w:r w:rsidR="00C10C78" w:rsidRPr="002D4C3E">
        <w:rPr>
          <w:rFonts w:ascii="Arial" w:hAnsi="Arial" w:cs="Arial"/>
          <w:szCs w:val="24"/>
        </w:rPr>
        <w:t>27.</w:t>
      </w:r>
    </w:p>
    <w:p w14:paraId="70690D00" w14:textId="420CCE76" w:rsidR="00580944" w:rsidRPr="00C135D0" w:rsidRDefault="00454589" w:rsidP="00070B48">
      <w:pPr>
        <w:pStyle w:val="Heading2"/>
        <w:keepNext w:val="0"/>
        <w:tabs>
          <w:tab w:val="num" w:pos="426"/>
        </w:tabs>
        <w:ind w:left="426" w:hanging="568"/>
        <w:jc w:val="left"/>
        <w:rPr>
          <w:rFonts w:ascii="Arial" w:hAnsi="Arial" w:cs="Arial"/>
          <w:szCs w:val="24"/>
        </w:rPr>
      </w:pPr>
      <w:r w:rsidRPr="00C135D0">
        <w:rPr>
          <w:rFonts w:ascii="Arial" w:hAnsi="Arial" w:cs="Arial"/>
          <w:szCs w:val="24"/>
        </w:rPr>
        <w:t xml:space="preserve">The </w:t>
      </w:r>
      <w:r w:rsidR="003D1D30" w:rsidRPr="003D1D30">
        <w:rPr>
          <w:rFonts w:ascii="Arial" w:hAnsi="Arial" w:cs="Arial"/>
          <w:szCs w:val="24"/>
        </w:rPr>
        <w:t xml:space="preserve">DSG allocations for the Under </w:t>
      </w:r>
      <w:proofErr w:type="gramStart"/>
      <w:r w:rsidR="003D1D30" w:rsidRPr="003D1D30">
        <w:rPr>
          <w:rFonts w:ascii="Arial" w:hAnsi="Arial" w:cs="Arial"/>
          <w:szCs w:val="24"/>
        </w:rPr>
        <w:t>two year</w:t>
      </w:r>
      <w:proofErr w:type="gramEnd"/>
      <w:r w:rsidR="003D1D30" w:rsidRPr="003D1D30">
        <w:rPr>
          <w:rFonts w:ascii="Arial" w:hAnsi="Arial" w:cs="Arial"/>
          <w:szCs w:val="24"/>
        </w:rPr>
        <w:t xml:space="preserve"> old’s, Disadvantaged two year old’s</w:t>
      </w:r>
      <w:r w:rsidR="003D1D30">
        <w:rPr>
          <w:rFonts w:ascii="Arial" w:hAnsi="Arial" w:cs="Arial"/>
          <w:szCs w:val="24"/>
        </w:rPr>
        <w:t xml:space="preserve">, </w:t>
      </w:r>
      <w:r w:rsidR="003D1D30" w:rsidRPr="003D1D30">
        <w:rPr>
          <w:rFonts w:ascii="Arial" w:hAnsi="Arial" w:cs="Arial"/>
          <w:szCs w:val="24"/>
        </w:rPr>
        <w:t xml:space="preserve">Working parent two year old’s </w:t>
      </w:r>
      <w:r w:rsidR="003D1D30">
        <w:rPr>
          <w:rFonts w:ascii="Arial" w:hAnsi="Arial" w:cs="Arial"/>
          <w:szCs w:val="24"/>
        </w:rPr>
        <w:t>and T</w:t>
      </w:r>
      <w:r w:rsidRPr="00C135D0">
        <w:rPr>
          <w:rFonts w:ascii="Arial" w:hAnsi="Arial" w:cs="Arial"/>
          <w:szCs w:val="24"/>
        </w:rPr>
        <w:t xml:space="preserve">hree and four year olds </w:t>
      </w:r>
      <w:r w:rsidR="00F10E19" w:rsidRPr="00C135D0">
        <w:rPr>
          <w:rFonts w:ascii="Arial" w:hAnsi="Arial" w:cs="Arial"/>
          <w:szCs w:val="24"/>
        </w:rPr>
        <w:t xml:space="preserve">universal and extended </w:t>
      </w:r>
      <w:r w:rsidRPr="00C135D0">
        <w:rPr>
          <w:rFonts w:ascii="Arial" w:hAnsi="Arial" w:cs="Arial"/>
          <w:szCs w:val="24"/>
        </w:rPr>
        <w:t xml:space="preserve">entitlement </w:t>
      </w:r>
      <w:r w:rsidR="006460E8">
        <w:rPr>
          <w:rFonts w:ascii="Arial" w:hAnsi="Arial" w:cs="Arial"/>
          <w:szCs w:val="24"/>
        </w:rPr>
        <w:t>funding</w:t>
      </w:r>
      <w:r w:rsidRPr="00C135D0">
        <w:rPr>
          <w:rFonts w:ascii="Arial" w:hAnsi="Arial" w:cs="Arial"/>
          <w:szCs w:val="24"/>
        </w:rPr>
        <w:t xml:space="preserve"> </w:t>
      </w:r>
      <w:r w:rsidR="00FC3D6E">
        <w:rPr>
          <w:rFonts w:ascii="Arial" w:hAnsi="Arial" w:cs="Arial"/>
          <w:szCs w:val="24"/>
        </w:rPr>
        <w:t xml:space="preserve">are </w:t>
      </w:r>
      <w:r w:rsidR="00C41C0E" w:rsidRPr="00C135D0">
        <w:rPr>
          <w:rFonts w:ascii="Arial" w:hAnsi="Arial" w:cs="Arial"/>
          <w:szCs w:val="24"/>
        </w:rPr>
        <w:t>used as follows:</w:t>
      </w:r>
    </w:p>
    <w:p w14:paraId="6EADC995" w14:textId="5B69A094" w:rsidR="00C41C0E" w:rsidRPr="00A74EDE" w:rsidRDefault="00C41C0E" w:rsidP="008361CE">
      <w:pPr>
        <w:pStyle w:val="Heading2"/>
        <w:keepNext w:val="0"/>
        <w:numPr>
          <w:ilvl w:val="0"/>
          <w:numId w:val="19"/>
        </w:numPr>
        <w:spacing w:after="120"/>
        <w:ind w:left="1145"/>
        <w:jc w:val="left"/>
        <w:rPr>
          <w:rFonts w:ascii="Arial" w:hAnsi="Arial" w:cs="Arial"/>
          <w:szCs w:val="24"/>
        </w:rPr>
      </w:pPr>
      <w:r w:rsidRPr="00C135D0">
        <w:rPr>
          <w:rFonts w:ascii="Arial" w:hAnsi="Arial" w:cs="Arial"/>
          <w:szCs w:val="24"/>
        </w:rPr>
        <w:t xml:space="preserve">To </w:t>
      </w:r>
      <w:r w:rsidRPr="00A74EDE">
        <w:rPr>
          <w:rFonts w:ascii="Arial" w:hAnsi="Arial" w:cs="Arial"/>
          <w:szCs w:val="24"/>
        </w:rPr>
        <w:t xml:space="preserve">provide a contribution of </w:t>
      </w:r>
      <w:r w:rsidR="003B6571" w:rsidRPr="00A74EDE">
        <w:rPr>
          <w:rFonts w:ascii="Arial" w:hAnsi="Arial" w:cs="Arial"/>
          <w:szCs w:val="24"/>
        </w:rPr>
        <w:t>3</w:t>
      </w:r>
      <w:r w:rsidRPr="00A74EDE">
        <w:rPr>
          <w:rFonts w:ascii="Arial" w:hAnsi="Arial" w:cs="Arial"/>
          <w:szCs w:val="24"/>
        </w:rPr>
        <w:t xml:space="preserve">% to the central early </w:t>
      </w:r>
      <w:proofErr w:type="gramStart"/>
      <w:r w:rsidRPr="00A74EDE">
        <w:rPr>
          <w:rFonts w:ascii="Arial" w:hAnsi="Arial" w:cs="Arial"/>
          <w:szCs w:val="24"/>
        </w:rPr>
        <w:t>years</w:t>
      </w:r>
      <w:proofErr w:type="gramEnd"/>
      <w:r w:rsidRPr="00A74EDE">
        <w:rPr>
          <w:rFonts w:ascii="Arial" w:hAnsi="Arial" w:cs="Arial"/>
          <w:szCs w:val="24"/>
        </w:rPr>
        <w:t xml:space="preserve"> functions.</w:t>
      </w:r>
    </w:p>
    <w:p w14:paraId="4CD21C13" w14:textId="2DE886B3" w:rsidR="004443F3" w:rsidRPr="00A74EDE" w:rsidRDefault="00C41C0E" w:rsidP="008361CE">
      <w:pPr>
        <w:pStyle w:val="Heading2"/>
        <w:keepNext w:val="0"/>
        <w:numPr>
          <w:ilvl w:val="0"/>
          <w:numId w:val="0"/>
        </w:numPr>
        <w:spacing w:after="120"/>
        <w:ind w:left="1145"/>
        <w:jc w:val="left"/>
        <w:rPr>
          <w:rFonts w:ascii="Arial" w:hAnsi="Arial" w:cs="Arial"/>
          <w:szCs w:val="24"/>
        </w:rPr>
      </w:pPr>
      <w:r w:rsidRPr="00A74EDE">
        <w:rPr>
          <w:rFonts w:ascii="Arial" w:hAnsi="Arial" w:cs="Arial"/>
          <w:szCs w:val="24"/>
        </w:rPr>
        <w:t xml:space="preserve">To provide an SEN Inclusion Fund </w:t>
      </w:r>
      <w:r w:rsidR="006C3149" w:rsidRPr="00A74EDE">
        <w:rPr>
          <w:rFonts w:ascii="Arial" w:hAnsi="Arial" w:cs="Arial"/>
          <w:szCs w:val="24"/>
        </w:rPr>
        <w:t xml:space="preserve">of £3.1m, an increase of </w:t>
      </w:r>
      <w:r w:rsidR="00C35770" w:rsidRPr="00A74EDE">
        <w:rPr>
          <w:rFonts w:ascii="Arial" w:hAnsi="Arial" w:cs="Arial"/>
          <w:szCs w:val="24"/>
        </w:rPr>
        <w:t xml:space="preserve">£1.5m </w:t>
      </w:r>
      <w:r w:rsidR="004443F3" w:rsidRPr="00A74EDE">
        <w:rPr>
          <w:rFonts w:ascii="Arial" w:hAnsi="Arial" w:cs="Arial"/>
          <w:szCs w:val="24"/>
        </w:rPr>
        <w:t>compared to 202</w:t>
      </w:r>
      <w:r w:rsidR="00C35770" w:rsidRPr="00A74EDE">
        <w:rPr>
          <w:rFonts w:ascii="Arial" w:hAnsi="Arial" w:cs="Arial"/>
          <w:szCs w:val="24"/>
        </w:rPr>
        <w:t>4</w:t>
      </w:r>
      <w:r w:rsidR="004443F3" w:rsidRPr="00A74EDE">
        <w:rPr>
          <w:rFonts w:ascii="Arial" w:hAnsi="Arial" w:cs="Arial"/>
          <w:szCs w:val="24"/>
        </w:rPr>
        <w:t>/2</w:t>
      </w:r>
      <w:r w:rsidR="00C35770" w:rsidRPr="00A74EDE">
        <w:rPr>
          <w:rFonts w:ascii="Arial" w:hAnsi="Arial" w:cs="Arial"/>
          <w:szCs w:val="24"/>
        </w:rPr>
        <w:t>5</w:t>
      </w:r>
      <w:r w:rsidR="00A74EDE" w:rsidRPr="00A74EDE">
        <w:rPr>
          <w:rFonts w:ascii="Arial" w:hAnsi="Arial" w:cs="Arial"/>
          <w:szCs w:val="24"/>
        </w:rPr>
        <w:t xml:space="preserve"> due to further costs which have been identified as relating to supporting children with lower/emerging needs</w:t>
      </w:r>
      <w:r w:rsidR="005100B3" w:rsidRPr="00A74EDE">
        <w:rPr>
          <w:rFonts w:ascii="Arial" w:hAnsi="Arial" w:cs="Arial"/>
          <w:szCs w:val="24"/>
        </w:rPr>
        <w:t>.</w:t>
      </w:r>
      <w:r w:rsidR="00E52471">
        <w:rPr>
          <w:rFonts w:ascii="Arial" w:hAnsi="Arial" w:cs="Arial"/>
          <w:szCs w:val="24"/>
        </w:rPr>
        <w:t xml:space="preserve"> </w:t>
      </w:r>
    </w:p>
    <w:p w14:paraId="6DD868A2" w14:textId="22FF0ED3" w:rsidR="00C41C0E" w:rsidRPr="00C135D0" w:rsidRDefault="004443F3" w:rsidP="008361CE">
      <w:pPr>
        <w:pStyle w:val="Heading2"/>
        <w:keepNext w:val="0"/>
        <w:numPr>
          <w:ilvl w:val="0"/>
          <w:numId w:val="19"/>
        </w:numPr>
        <w:spacing w:after="120"/>
        <w:ind w:left="1145"/>
        <w:jc w:val="left"/>
        <w:rPr>
          <w:rFonts w:ascii="Arial" w:hAnsi="Arial" w:cs="Arial"/>
          <w:szCs w:val="24"/>
        </w:rPr>
      </w:pPr>
      <w:r w:rsidRPr="00C135D0">
        <w:rPr>
          <w:rFonts w:ascii="Arial" w:hAnsi="Arial" w:cs="Arial"/>
          <w:szCs w:val="24"/>
        </w:rPr>
        <w:t>The remaining funding is allocated to providers through the local funding formula</w:t>
      </w:r>
      <w:r w:rsidR="00B26219" w:rsidRPr="00C135D0">
        <w:rPr>
          <w:rFonts w:ascii="Arial" w:hAnsi="Arial" w:cs="Arial"/>
          <w:szCs w:val="24"/>
        </w:rPr>
        <w:t xml:space="preserve">, </w:t>
      </w:r>
      <w:r w:rsidR="00B26219" w:rsidRPr="00C937A4">
        <w:rPr>
          <w:rFonts w:ascii="Arial" w:hAnsi="Arial" w:cs="Arial"/>
          <w:szCs w:val="24"/>
        </w:rPr>
        <w:t xml:space="preserve">which </w:t>
      </w:r>
      <w:r w:rsidR="000365D2" w:rsidRPr="00C937A4">
        <w:rPr>
          <w:rFonts w:ascii="Arial" w:hAnsi="Arial" w:cs="Arial"/>
          <w:szCs w:val="24"/>
        </w:rPr>
        <w:t xml:space="preserve">currently </w:t>
      </w:r>
      <w:r w:rsidR="00B26219" w:rsidRPr="00C937A4">
        <w:rPr>
          <w:rFonts w:ascii="Arial" w:hAnsi="Arial" w:cs="Arial"/>
          <w:szCs w:val="24"/>
        </w:rPr>
        <w:t>consists of a base rate</w:t>
      </w:r>
      <w:r w:rsidR="00C937A4" w:rsidRPr="00C937A4">
        <w:rPr>
          <w:rFonts w:ascii="Arial" w:hAnsi="Arial" w:cs="Arial"/>
          <w:szCs w:val="24"/>
        </w:rPr>
        <w:t xml:space="preserve"> and</w:t>
      </w:r>
      <w:r w:rsidR="00C41C0E" w:rsidRPr="00C937A4">
        <w:rPr>
          <w:rFonts w:ascii="Arial" w:hAnsi="Arial" w:cs="Arial"/>
          <w:szCs w:val="24"/>
        </w:rPr>
        <w:t xml:space="preserve"> </w:t>
      </w:r>
      <w:r w:rsidR="00B26219" w:rsidRPr="00C937A4">
        <w:rPr>
          <w:rFonts w:ascii="Arial" w:hAnsi="Arial" w:cs="Arial"/>
          <w:szCs w:val="24"/>
        </w:rPr>
        <w:t>a mandatory deprivation supplement</w:t>
      </w:r>
      <w:r w:rsidR="00BB0CBF">
        <w:rPr>
          <w:rFonts w:ascii="Arial" w:hAnsi="Arial" w:cs="Arial"/>
          <w:szCs w:val="24"/>
        </w:rPr>
        <w:t>.</w:t>
      </w:r>
      <w:r w:rsidR="00F27B2D">
        <w:rPr>
          <w:rFonts w:ascii="Arial" w:hAnsi="Arial" w:cs="Arial"/>
          <w:szCs w:val="24"/>
        </w:rPr>
        <w:t xml:space="preserve"> </w:t>
      </w:r>
      <w:r w:rsidR="00F27B2D" w:rsidRPr="00C135D0">
        <w:rPr>
          <w:rFonts w:ascii="Arial" w:hAnsi="Arial" w:cs="Arial"/>
          <w:szCs w:val="24"/>
        </w:rPr>
        <w:t xml:space="preserve">The </w:t>
      </w:r>
      <w:r w:rsidR="00891083" w:rsidRPr="00C135D0">
        <w:rPr>
          <w:rFonts w:ascii="Arial" w:hAnsi="Arial" w:cs="Arial"/>
          <w:szCs w:val="24"/>
        </w:rPr>
        <w:t xml:space="preserve">local funding formula and </w:t>
      </w:r>
      <w:r w:rsidR="00F27B2D" w:rsidRPr="00C135D0">
        <w:rPr>
          <w:rFonts w:ascii="Arial" w:hAnsi="Arial" w:cs="Arial"/>
          <w:szCs w:val="24"/>
        </w:rPr>
        <w:t>rate</w:t>
      </w:r>
      <w:r w:rsidR="00815E72">
        <w:rPr>
          <w:rFonts w:ascii="Arial" w:hAnsi="Arial" w:cs="Arial"/>
          <w:szCs w:val="24"/>
        </w:rPr>
        <w:t>s, including SENIF,</w:t>
      </w:r>
      <w:r w:rsidR="00F27B2D" w:rsidRPr="00C135D0">
        <w:rPr>
          <w:rFonts w:ascii="Arial" w:hAnsi="Arial" w:cs="Arial"/>
          <w:szCs w:val="24"/>
        </w:rPr>
        <w:t xml:space="preserve"> </w:t>
      </w:r>
      <w:r w:rsidR="004F7147">
        <w:rPr>
          <w:rFonts w:ascii="Arial" w:hAnsi="Arial" w:cs="Arial"/>
          <w:szCs w:val="24"/>
        </w:rPr>
        <w:t xml:space="preserve">will </w:t>
      </w:r>
      <w:r w:rsidR="00F27B2D" w:rsidRPr="00C135D0">
        <w:rPr>
          <w:rFonts w:ascii="Arial" w:hAnsi="Arial" w:cs="Arial"/>
          <w:szCs w:val="24"/>
        </w:rPr>
        <w:t xml:space="preserve">be confirmed following consultation. </w:t>
      </w:r>
    </w:p>
    <w:p w14:paraId="1D51B5E8" w14:textId="0420ACF6" w:rsidR="001B48AA" w:rsidRPr="00C135D0" w:rsidRDefault="001B48AA" w:rsidP="008361CE">
      <w:pPr>
        <w:pStyle w:val="Heading2"/>
        <w:keepNext w:val="0"/>
        <w:numPr>
          <w:ilvl w:val="0"/>
          <w:numId w:val="12"/>
        </w:numPr>
        <w:spacing w:after="120"/>
        <w:ind w:left="1145"/>
        <w:jc w:val="left"/>
        <w:rPr>
          <w:rFonts w:ascii="Arial" w:hAnsi="Arial" w:cs="Arial"/>
          <w:szCs w:val="24"/>
        </w:rPr>
      </w:pPr>
      <w:r w:rsidRPr="00C135D0">
        <w:rPr>
          <w:rFonts w:ascii="Arial" w:hAnsi="Arial" w:cs="Arial"/>
          <w:szCs w:val="24"/>
        </w:rPr>
        <w:t>Due to the level of uncertainty and to fund any additional children that take-up the entitlement during the year, a contingency will be included within the budget.</w:t>
      </w:r>
    </w:p>
    <w:p w14:paraId="578AAD59" w14:textId="607466AB" w:rsidR="00A74EDE" w:rsidRPr="0008076D" w:rsidRDefault="00A5728D" w:rsidP="00DB6F4D">
      <w:pPr>
        <w:pStyle w:val="Heading2"/>
        <w:keepNext w:val="0"/>
        <w:numPr>
          <w:ilvl w:val="0"/>
          <w:numId w:val="0"/>
        </w:numPr>
        <w:tabs>
          <w:tab w:val="num" w:pos="426"/>
          <w:tab w:val="num" w:pos="2702"/>
        </w:tabs>
        <w:jc w:val="left"/>
        <w:rPr>
          <w:rFonts w:ascii="Arial" w:hAnsi="Arial" w:cs="Arial"/>
          <w:szCs w:val="24"/>
        </w:rPr>
      </w:pPr>
      <w:r w:rsidRPr="0008076D">
        <w:rPr>
          <w:rFonts w:ascii="Arial" w:hAnsi="Arial" w:cs="Arial"/>
          <w:szCs w:val="24"/>
        </w:rPr>
        <w:t xml:space="preserve">Providers will be notified of their funding rate by </w:t>
      </w:r>
      <w:r w:rsidR="00E746AE" w:rsidRPr="0008076D">
        <w:rPr>
          <w:rFonts w:ascii="Arial" w:hAnsi="Arial" w:cs="Arial"/>
          <w:szCs w:val="24"/>
        </w:rPr>
        <w:t>the statu</w:t>
      </w:r>
      <w:r w:rsidR="006A11B4" w:rsidRPr="0008076D">
        <w:rPr>
          <w:rFonts w:ascii="Arial" w:hAnsi="Arial" w:cs="Arial"/>
          <w:szCs w:val="24"/>
        </w:rPr>
        <w:t>t</w:t>
      </w:r>
      <w:r w:rsidR="00E746AE" w:rsidRPr="0008076D">
        <w:rPr>
          <w:rFonts w:ascii="Arial" w:hAnsi="Arial" w:cs="Arial"/>
          <w:szCs w:val="24"/>
        </w:rPr>
        <w:t xml:space="preserve">ory deadline of </w:t>
      </w:r>
      <w:r w:rsidRPr="0008076D">
        <w:rPr>
          <w:rFonts w:ascii="Arial" w:hAnsi="Arial" w:cs="Arial"/>
          <w:szCs w:val="24"/>
        </w:rPr>
        <w:t>31</w:t>
      </w:r>
      <w:r w:rsidRPr="0008076D">
        <w:rPr>
          <w:rFonts w:ascii="Arial" w:hAnsi="Arial" w:cs="Arial"/>
          <w:szCs w:val="24"/>
          <w:vertAlign w:val="superscript"/>
        </w:rPr>
        <w:t>st</w:t>
      </w:r>
      <w:r w:rsidRPr="0008076D">
        <w:rPr>
          <w:rFonts w:ascii="Arial" w:hAnsi="Arial" w:cs="Arial"/>
          <w:szCs w:val="24"/>
        </w:rPr>
        <w:t xml:space="preserve"> March 202</w:t>
      </w:r>
      <w:r w:rsidR="00C135D0" w:rsidRPr="0008076D">
        <w:rPr>
          <w:rFonts w:ascii="Arial" w:hAnsi="Arial" w:cs="Arial"/>
          <w:szCs w:val="24"/>
        </w:rPr>
        <w:t>5</w:t>
      </w:r>
      <w:r w:rsidR="006A11B4" w:rsidRPr="0008076D">
        <w:rPr>
          <w:rFonts w:ascii="Arial" w:hAnsi="Arial" w:cs="Arial"/>
          <w:szCs w:val="24"/>
        </w:rPr>
        <w:t xml:space="preserve"> however, </w:t>
      </w:r>
      <w:r w:rsidR="002D01DB" w:rsidRPr="0008076D">
        <w:rPr>
          <w:rFonts w:ascii="Arial" w:hAnsi="Arial" w:cs="Arial"/>
          <w:szCs w:val="24"/>
        </w:rPr>
        <w:t>the County Council wi</w:t>
      </w:r>
      <w:r w:rsidR="009E412E" w:rsidRPr="0008076D">
        <w:rPr>
          <w:rFonts w:ascii="Arial" w:hAnsi="Arial" w:cs="Arial"/>
          <w:szCs w:val="24"/>
        </w:rPr>
        <w:t xml:space="preserve">ll aim to </w:t>
      </w:r>
      <w:r w:rsidR="005C5177" w:rsidRPr="0008076D">
        <w:rPr>
          <w:rFonts w:ascii="Arial" w:hAnsi="Arial" w:cs="Arial"/>
          <w:szCs w:val="24"/>
        </w:rPr>
        <w:t xml:space="preserve">make rates available </w:t>
      </w:r>
      <w:r w:rsidR="008B34D5" w:rsidRPr="0008076D">
        <w:rPr>
          <w:rFonts w:ascii="Arial" w:hAnsi="Arial" w:cs="Arial"/>
          <w:szCs w:val="24"/>
        </w:rPr>
        <w:t>earlier if possible</w:t>
      </w:r>
      <w:r w:rsidRPr="0008076D">
        <w:rPr>
          <w:rFonts w:ascii="Arial" w:hAnsi="Arial" w:cs="Arial"/>
          <w:szCs w:val="24"/>
        </w:rPr>
        <w:t xml:space="preserve">. </w:t>
      </w:r>
    </w:p>
    <w:p w14:paraId="6D48AFD1" w14:textId="77777777" w:rsidR="00054C2A" w:rsidRPr="0008076D" w:rsidRDefault="00054C2A" w:rsidP="00DB6F4D">
      <w:pPr>
        <w:pStyle w:val="Heading2"/>
        <w:keepNext w:val="0"/>
        <w:numPr>
          <w:ilvl w:val="0"/>
          <w:numId w:val="0"/>
        </w:numPr>
        <w:tabs>
          <w:tab w:val="num" w:pos="426"/>
          <w:tab w:val="num" w:pos="2702"/>
        </w:tabs>
        <w:jc w:val="left"/>
        <w:rPr>
          <w:rFonts w:ascii="Arial" w:hAnsi="Arial" w:cs="Arial"/>
          <w:szCs w:val="24"/>
        </w:rPr>
      </w:pPr>
    </w:p>
    <w:p w14:paraId="7EE8DEFC" w14:textId="6F438055" w:rsidR="00DA4487" w:rsidRPr="0033457D" w:rsidRDefault="00DA4487" w:rsidP="00CF480E">
      <w:pPr>
        <w:pStyle w:val="Heading2"/>
        <w:keepNext w:val="0"/>
        <w:numPr>
          <w:ilvl w:val="0"/>
          <w:numId w:val="0"/>
        </w:numPr>
        <w:ind w:firstLine="426"/>
        <w:jc w:val="left"/>
        <w:rPr>
          <w:rFonts w:ascii="Arial" w:hAnsi="Arial" w:cs="Arial"/>
          <w:color w:val="FF0000"/>
          <w:szCs w:val="24"/>
          <w:u w:val="single"/>
        </w:rPr>
      </w:pPr>
      <w:r w:rsidRPr="00C135D0">
        <w:rPr>
          <w:rFonts w:ascii="Arial" w:hAnsi="Arial" w:cs="Arial"/>
          <w:szCs w:val="24"/>
          <w:u w:val="single"/>
        </w:rPr>
        <w:t xml:space="preserve">Central </w:t>
      </w:r>
      <w:r w:rsidR="005A2FF5" w:rsidRPr="00C135D0">
        <w:rPr>
          <w:rFonts w:ascii="Arial" w:hAnsi="Arial" w:cs="Arial"/>
          <w:szCs w:val="24"/>
          <w:u w:val="single"/>
        </w:rPr>
        <w:t>Early Years Budget</w:t>
      </w:r>
    </w:p>
    <w:p w14:paraId="4B1293A3" w14:textId="77777777" w:rsidR="00BC6976" w:rsidRPr="00176448" w:rsidRDefault="00DA4487" w:rsidP="004F08E8">
      <w:pPr>
        <w:pStyle w:val="Heading2"/>
        <w:keepNext w:val="0"/>
        <w:tabs>
          <w:tab w:val="num" w:pos="426"/>
        </w:tabs>
        <w:ind w:left="426" w:hanging="568"/>
        <w:jc w:val="left"/>
        <w:rPr>
          <w:rFonts w:ascii="Arial" w:hAnsi="Arial" w:cs="Arial"/>
          <w:szCs w:val="24"/>
        </w:rPr>
      </w:pPr>
      <w:r w:rsidRPr="00176448">
        <w:rPr>
          <w:rFonts w:ascii="Arial" w:hAnsi="Arial" w:cs="Arial"/>
          <w:szCs w:val="24"/>
        </w:rPr>
        <w:t>The</w:t>
      </w:r>
      <w:r w:rsidR="00463EEA" w:rsidRPr="00176448">
        <w:rPr>
          <w:rFonts w:ascii="Arial" w:hAnsi="Arial" w:cs="Arial"/>
          <w:szCs w:val="24"/>
        </w:rPr>
        <w:t xml:space="preserve"> central budget</w:t>
      </w:r>
      <w:r w:rsidR="006F36BA" w:rsidRPr="00176448">
        <w:rPr>
          <w:rFonts w:ascii="Arial" w:hAnsi="Arial" w:cs="Arial"/>
          <w:szCs w:val="24"/>
        </w:rPr>
        <w:t xml:space="preserve"> </w:t>
      </w:r>
      <w:r w:rsidR="006357D2" w:rsidRPr="00176448">
        <w:rPr>
          <w:rFonts w:ascii="Arial" w:hAnsi="Arial" w:cs="Arial"/>
          <w:szCs w:val="24"/>
        </w:rPr>
        <w:t>fund</w:t>
      </w:r>
      <w:r w:rsidR="00AD63B2" w:rsidRPr="00176448">
        <w:rPr>
          <w:rFonts w:ascii="Arial" w:hAnsi="Arial" w:cs="Arial"/>
          <w:szCs w:val="24"/>
        </w:rPr>
        <w:t>s</w:t>
      </w:r>
      <w:r w:rsidR="006357D2" w:rsidRPr="00176448">
        <w:rPr>
          <w:rFonts w:ascii="Arial" w:hAnsi="Arial" w:cs="Arial"/>
          <w:szCs w:val="24"/>
        </w:rPr>
        <w:t xml:space="preserve"> the </w:t>
      </w:r>
      <w:r w:rsidR="001102E3" w:rsidRPr="00176448">
        <w:rPr>
          <w:rFonts w:ascii="Arial" w:hAnsi="Arial" w:cs="Arial"/>
          <w:szCs w:val="24"/>
        </w:rPr>
        <w:t>Early Years District Advisory Teachers</w:t>
      </w:r>
      <w:r w:rsidR="00AD22DD" w:rsidRPr="00176448">
        <w:rPr>
          <w:rFonts w:ascii="Arial" w:hAnsi="Arial" w:cs="Arial"/>
          <w:szCs w:val="24"/>
        </w:rPr>
        <w:t xml:space="preserve">, </w:t>
      </w:r>
      <w:r w:rsidR="001102E3" w:rsidRPr="00176448">
        <w:rPr>
          <w:rFonts w:ascii="Arial" w:hAnsi="Arial" w:cs="Arial"/>
          <w:szCs w:val="24"/>
        </w:rPr>
        <w:t>Early Years Inclusion and Portage Services</w:t>
      </w:r>
      <w:r w:rsidR="00AD22DD" w:rsidRPr="00176448">
        <w:rPr>
          <w:rFonts w:ascii="Arial" w:hAnsi="Arial" w:cs="Arial"/>
          <w:szCs w:val="24"/>
        </w:rPr>
        <w:t xml:space="preserve"> and a contribution to </w:t>
      </w:r>
      <w:r w:rsidR="00E966BB" w:rsidRPr="00176448">
        <w:rPr>
          <w:rFonts w:ascii="Arial" w:hAnsi="Arial" w:cs="Arial"/>
          <w:szCs w:val="24"/>
        </w:rPr>
        <w:t>supporting the administration function</w:t>
      </w:r>
      <w:r w:rsidR="00681D5F" w:rsidRPr="00176448">
        <w:rPr>
          <w:rFonts w:ascii="Arial" w:hAnsi="Arial" w:cs="Arial"/>
          <w:szCs w:val="24"/>
        </w:rPr>
        <w:t xml:space="preserve">. </w:t>
      </w:r>
    </w:p>
    <w:p w14:paraId="7441DB3C" w14:textId="48F4A108" w:rsidR="00507B98" w:rsidRPr="00625E98" w:rsidRDefault="007F161B" w:rsidP="004F08E8">
      <w:pPr>
        <w:pStyle w:val="Heading2"/>
        <w:keepNext w:val="0"/>
        <w:tabs>
          <w:tab w:val="num" w:pos="426"/>
        </w:tabs>
        <w:ind w:left="426" w:hanging="568"/>
        <w:jc w:val="left"/>
        <w:rPr>
          <w:rFonts w:ascii="Arial" w:hAnsi="Arial" w:cs="Arial"/>
          <w:szCs w:val="24"/>
        </w:rPr>
      </w:pPr>
      <w:r w:rsidRPr="00176448">
        <w:rPr>
          <w:rFonts w:ascii="Arial" w:hAnsi="Arial" w:cs="Arial"/>
          <w:szCs w:val="24"/>
        </w:rPr>
        <w:t>The budget</w:t>
      </w:r>
      <w:r w:rsidR="00287D70" w:rsidRPr="00176448">
        <w:rPr>
          <w:rFonts w:ascii="Arial" w:hAnsi="Arial" w:cs="Arial"/>
          <w:szCs w:val="24"/>
        </w:rPr>
        <w:t xml:space="preserve"> also</w:t>
      </w:r>
      <w:r w:rsidRPr="00176448">
        <w:rPr>
          <w:rFonts w:ascii="Arial" w:hAnsi="Arial" w:cs="Arial"/>
          <w:szCs w:val="24"/>
        </w:rPr>
        <w:t xml:space="preserve"> includes a contingency</w:t>
      </w:r>
      <w:r w:rsidR="00F20877" w:rsidRPr="00176448">
        <w:rPr>
          <w:rFonts w:ascii="Arial" w:hAnsi="Arial" w:cs="Arial"/>
          <w:szCs w:val="24"/>
        </w:rPr>
        <w:t xml:space="preserve"> to help </w:t>
      </w:r>
      <w:r w:rsidR="00A07390" w:rsidRPr="00176448">
        <w:rPr>
          <w:rFonts w:ascii="Arial" w:hAnsi="Arial" w:cs="Arial"/>
          <w:szCs w:val="24"/>
        </w:rPr>
        <w:t xml:space="preserve">mitigate </w:t>
      </w:r>
      <w:r w:rsidR="00602DD2" w:rsidRPr="00176448">
        <w:rPr>
          <w:rFonts w:ascii="Arial" w:hAnsi="Arial" w:cs="Arial"/>
          <w:szCs w:val="24"/>
        </w:rPr>
        <w:t xml:space="preserve">against risks of </w:t>
      </w:r>
      <w:r w:rsidR="00075709" w:rsidRPr="00176448">
        <w:rPr>
          <w:rFonts w:ascii="Arial" w:hAnsi="Arial" w:cs="Arial"/>
          <w:szCs w:val="24"/>
        </w:rPr>
        <w:t xml:space="preserve">over commitment </w:t>
      </w:r>
      <w:r w:rsidR="00E65211" w:rsidRPr="00176448">
        <w:rPr>
          <w:rFonts w:ascii="Arial" w:hAnsi="Arial" w:cs="Arial"/>
          <w:szCs w:val="24"/>
        </w:rPr>
        <w:t>against a variable level of funding</w:t>
      </w:r>
      <w:r w:rsidR="00B82D1A" w:rsidRPr="00176448">
        <w:rPr>
          <w:rFonts w:ascii="Arial" w:hAnsi="Arial" w:cs="Arial"/>
          <w:szCs w:val="24"/>
        </w:rPr>
        <w:t>.</w:t>
      </w:r>
      <w:r w:rsidR="00CF482F" w:rsidRPr="00176448">
        <w:rPr>
          <w:rFonts w:ascii="Arial" w:hAnsi="Arial" w:cs="Arial"/>
          <w:szCs w:val="24"/>
        </w:rPr>
        <w:t xml:space="preserve"> </w:t>
      </w:r>
      <w:r w:rsidR="00176448">
        <w:rPr>
          <w:rFonts w:ascii="Arial" w:hAnsi="Arial" w:cs="Arial"/>
          <w:szCs w:val="24"/>
        </w:rPr>
        <w:t>As per 24/25, f</w:t>
      </w:r>
      <w:r w:rsidR="00350240" w:rsidRPr="00625E98">
        <w:rPr>
          <w:rFonts w:ascii="Arial" w:hAnsi="Arial" w:cs="Arial"/>
          <w:szCs w:val="24"/>
        </w:rPr>
        <w:t>or</w:t>
      </w:r>
      <w:r w:rsidR="00CF482F" w:rsidRPr="00625E98">
        <w:rPr>
          <w:rFonts w:ascii="Arial" w:hAnsi="Arial" w:cs="Arial"/>
          <w:szCs w:val="24"/>
        </w:rPr>
        <w:t xml:space="preserve"> 2</w:t>
      </w:r>
      <w:r w:rsidR="00176448" w:rsidRPr="00625E98">
        <w:rPr>
          <w:rFonts w:ascii="Arial" w:hAnsi="Arial" w:cs="Arial"/>
          <w:szCs w:val="24"/>
        </w:rPr>
        <w:t>5</w:t>
      </w:r>
      <w:r w:rsidR="00CF482F" w:rsidRPr="00625E98">
        <w:rPr>
          <w:rFonts w:ascii="Arial" w:hAnsi="Arial" w:cs="Arial"/>
          <w:szCs w:val="24"/>
        </w:rPr>
        <w:t>/2</w:t>
      </w:r>
      <w:r w:rsidR="00176448" w:rsidRPr="00625E98">
        <w:rPr>
          <w:rFonts w:ascii="Arial" w:hAnsi="Arial" w:cs="Arial"/>
          <w:szCs w:val="24"/>
        </w:rPr>
        <w:t>6</w:t>
      </w:r>
      <w:r w:rsidR="00CF482F" w:rsidRPr="00625E98">
        <w:rPr>
          <w:rFonts w:ascii="Arial" w:hAnsi="Arial" w:cs="Arial"/>
          <w:szCs w:val="24"/>
        </w:rPr>
        <w:t xml:space="preserve"> </w:t>
      </w:r>
      <w:r w:rsidR="00350240" w:rsidRPr="00625E98">
        <w:rPr>
          <w:rFonts w:ascii="Arial" w:hAnsi="Arial" w:cs="Arial"/>
          <w:szCs w:val="24"/>
        </w:rPr>
        <w:t xml:space="preserve">the risk </w:t>
      </w:r>
      <w:r w:rsidR="00FA753F" w:rsidRPr="00625E98">
        <w:rPr>
          <w:rFonts w:ascii="Arial" w:hAnsi="Arial" w:cs="Arial"/>
          <w:szCs w:val="24"/>
        </w:rPr>
        <w:t xml:space="preserve">around </w:t>
      </w:r>
      <w:proofErr w:type="gramStart"/>
      <w:r w:rsidR="00FA753F" w:rsidRPr="00625E98">
        <w:rPr>
          <w:rFonts w:ascii="Arial" w:hAnsi="Arial" w:cs="Arial"/>
          <w:szCs w:val="24"/>
        </w:rPr>
        <w:t>take</w:t>
      </w:r>
      <w:proofErr w:type="gramEnd"/>
      <w:r w:rsidR="00FA753F" w:rsidRPr="00625E98">
        <w:rPr>
          <w:rFonts w:ascii="Arial" w:hAnsi="Arial" w:cs="Arial"/>
          <w:szCs w:val="24"/>
        </w:rPr>
        <w:t xml:space="preserve"> up and funding levels is greater </w:t>
      </w:r>
      <w:r w:rsidR="00CF482F" w:rsidRPr="00625E98">
        <w:rPr>
          <w:rFonts w:ascii="Arial" w:hAnsi="Arial" w:cs="Arial"/>
          <w:szCs w:val="24"/>
        </w:rPr>
        <w:t xml:space="preserve">than previous years as there is </w:t>
      </w:r>
      <w:r w:rsidR="00176448" w:rsidRPr="00625E98">
        <w:rPr>
          <w:rFonts w:ascii="Arial" w:hAnsi="Arial" w:cs="Arial"/>
          <w:szCs w:val="24"/>
        </w:rPr>
        <w:t xml:space="preserve">little to </w:t>
      </w:r>
      <w:r w:rsidR="00CF482F" w:rsidRPr="00625E98">
        <w:rPr>
          <w:rFonts w:ascii="Arial" w:hAnsi="Arial" w:cs="Arial"/>
          <w:szCs w:val="24"/>
        </w:rPr>
        <w:t xml:space="preserve">no like-for-like historic data to base </w:t>
      </w:r>
      <w:r w:rsidR="000D6DFF" w:rsidRPr="00625E98">
        <w:rPr>
          <w:rFonts w:ascii="Arial" w:hAnsi="Arial" w:cs="Arial"/>
          <w:szCs w:val="24"/>
        </w:rPr>
        <w:t xml:space="preserve">the </w:t>
      </w:r>
      <w:r w:rsidR="00CF482F" w:rsidRPr="00625E98">
        <w:rPr>
          <w:rFonts w:ascii="Arial" w:hAnsi="Arial" w:cs="Arial"/>
          <w:szCs w:val="24"/>
        </w:rPr>
        <w:t>foreca</w:t>
      </w:r>
      <w:r w:rsidR="002A5892" w:rsidRPr="00625E98">
        <w:rPr>
          <w:rFonts w:ascii="Arial" w:hAnsi="Arial" w:cs="Arial"/>
          <w:szCs w:val="24"/>
        </w:rPr>
        <w:t>st</w:t>
      </w:r>
      <w:r w:rsidR="000D6DFF" w:rsidRPr="00625E98">
        <w:rPr>
          <w:rFonts w:ascii="Arial" w:hAnsi="Arial" w:cs="Arial"/>
          <w:szCs w:val="24"/>
        </w:rPr>
        <w:t xml:space="preserve">s </w:t>
      </w:r>
      <w:r w:rsidR="004827E4" w:rsidRPr="00625E98">
        <w:rPr>
          <w:rFonts w:ascii="Arial" w:hAnsi="Arial" w:cs="Arial"/>
          <w:szCs w:val="24"/>
        </w:rPr>
        <w:t>due t</w:t>
      </w:r>
      <w:r w:rsidR="007A4B47" w:rsidRPr="00625E98">
        <w:rPr>
          <w:rFonts w:ascii="Arial" w:hAnsi="Arial" w:cs="Arial"/>
          <w:szCs w:val="24"/>
        </w:rPr>
        <w:t>o the</w:t>
      </w:r>
      <w:r w:rsidR="000D6DFF" w:rsidRPr="00625E98">
        <w:rPr>
          <w:rFonts w:ascii="Arial" w:hAnsi="Arial" w:cs="Arial"/>
          <w:szCs w:val="24"/>
        </w:rPr>
        <w:t xml:space="preserve"> </w:t>
      </w:r>
      <w:r w:rsidR="00E4381C" w:rsidRPr="00625E98">
        <w:rPr>
          <w:rFonts w:ascii="Arial" w:hAnsi="Arial" w:cs="Arial"/>
          <w:szCs w:val="24"/>
        </w:rPr>
        <w:t xml:space="preserve">uncertainty of </w:t>
      </w:r>
      <w:r w:rsidR="000D6DFF" w:rsidRPr="00625E98">
        <w:rPr>
          <w:rFonts w:ascii="Arial" w:hAnsi="Arial" w:cs="Arial"/>
          <w:szCs w:val="24"/>
        </w:rPr>
        <w:t>take</w:t>
      </w:r>
      <w:r w:rsidR="002A5892" w:rsidRPr="00625E98">
        <w:rPr>
          <w:rFonts w:ascii="Arial" w:hAnsi="Arial" w:cs="Arial"/>
          <w:szCs w:val="24"/>
        </w:rPr>
        <w:t xml:space="preserve"> up of the new entitlements</w:t>
      </w:r>
      <w:r w:rsidR="00A042E0" w:rsidRPr="00625E98">
        <w:rPr>
          <w:rFonts w:ascii="Arial" w:hAnsi="Arial" w:cs="Arial"/>
          <w:szCs w:val="24"/>
        </w:rPr>
        <w:t>.</w:t>
      </w:r>
      <w:r w:rsidR="00A84B58" w:rsidRPr="00625E98">
        <w:rPr>
          <w:rFonts w:ascii="Arial" w:hAnsi="Arial" w:cs="Arial"/>
          <w:szCs w:val="24"/>
        </w:rPr>
        <w:t xml:space="preserve"> </w:t>
      </w:r>
    </w:p>
    <w:p w14:paraId="1EF66A5C" w14:textId="7C888F56" w:rsidR="00690795" w:rsidRPr="00F2072E" w:rsidRDefault="00690795" w:rsidP="00690795">
      <w:pPr>
        <w:pStyle w:val="Heading2"/>
        <w:keepNext w:val="0"/>
        <w:numPr>
          <w:ilvl w:val="0"/>
          <w:numId w:val="0"/>
        </w:numPr>
        <w:ind w:left="426"/>
        <w:jc w:val="left"/>
        <w:rPr>
          <w:rFonts w:ascii="Arial" w:hAnsi="Arial" w:cs="Arial"/>
          <w:szCs w:val="24"/>
          <w:u w:val="single"/>
        </w:rPr>
      </w:pPr>
      <w:r w:rsidRPr="00F2072E">
        <w:rPr>
          <w:rFonts w:ascii="Arial" w:hAnsi="Arial" w:cs="Arial"/>
          <w:szCs w:val="24"/>
          <w:u w:val="single"/>
        </w:rPr>
        <w:t>Other early years funding</w:t>
      </w:r>
    </w:p>
    <w:p w14:paraId="781CC22A" w14:textId="590667C6" w:rsidR="00A16292" w:rsidRPr="00F2072E" w:rsidRDefault="00A16292" w:rsidP="00070B48">
      <w:pPr>
        <w:pStyle w:val="Heading2"/>
        <w:keepNext w:val="0"/>
        <w:tabs>
          <w:tab w:val="num" w:pos="426"/>
        </w:tabs>
        <w:ind w:left="426" w:hanging="568"/>
        <w:jc w:val="left"/>
        <w:rPr>
          <w:rFonts w:ascii="Arial" w:hAnsi="Arial" w:cs="Arial"/>
          <w:szCs w:val="24"/>
        </w:rPr>
      </w:pPr>
      <w:r w:rsidRPr="00F2072E">
        <w:rPr>
          <w:rFonts w:ascii="Arial" w:hAnsi="Arial" w:cs="Arial"/>
          <w:szCs w:val="24"/>
        </w:rPr>
        <w:t>The budgets for Early Years Pupil Premium and Disability Access Fund are set in line with the DSG allocations</w:t>
      </w:r>
      <w:r w:rsidR="00C30E76" w:rsidRPr="00F2072E">
        <w:rPr>
          <w:rFonts w:ascii="Arial" w:hAnsi="Arial" w:cs="Arial"/>
          <w:szCs w:val="24"/>
        </w:rPr>
        <w:t xml:space="preserve"> and statutory guidance.</w:t>
      </w:r>
    </w:p>
    <w:p w14:paraId="356A785D" w14:textId="5CB74E06" w:rsidR="00E54379" w:rsidRPr="00020BF6" w:rsidRDefault="00E215BE" w:rsidP="004F08E8">
      <w:pPr>
        <w:pStyle w:val="Heading2"/>
        <w:keepNext w:val="0"/>
        <w:tabs>
          <w:tab w:val="num" w:pos="426"/>
        </w:tabs>
        <w:ind w:left="426" w:hanging="568"/>
        <w:jc w:val="left"/>
        <w:rPr>
          <w:rFonts w:ascii="Arial" w:hAnsi="Arial" w:cs="Arial"/>
          <w:szCs w:val="24"/>
        </w:rPr>
      </w:pPr>
      <w:r w:rsidRPr="00355854">
        <w:rPr>
          <w:rFonts w:ascii="Arial" w:hAnsi="Arial" w:cs="Arial"/>
          <w:szCs w:val="24"/>
        </w:rPr>
        <w:t>The maintained nursery schools will continue to receive</w:t>
      </w:r>
      <w:r w:rsidR="001D6CED" w:rsidRPr="00355854">
        <w:rPr>
          <w:rFonts w:ascii="Arial" w:hAnsi="Arial" w:cs="Arial"/>
          <w:szCs w:val="24"/>
        </w:rPr>
        <w:t xml:space="preserve"> additional funding to protect their 2016/17 funding rates.</w:t>
      </w:r>
      <w:r w:rsidR="002F6A8B" w:rsidRPr="00355854">
        <w:rPr>
          <w:rFonts w:ascii="Arial" w:hAnsi="Arial" w:cs="Arial"/>
          <w:szCs w:val="24"/>
        </w:rPr>
        <w:t xml:space="preserve"> </w:t>
      </w:r>
      <w:r w:rsidR="003138B4" w:rsidRPr="00355854">
        <w:rPr>
          <w:rFonts w:ascii="Arial" w:hAnsi="Arial" w:cs="Arial"/>
          <w:szCs w:val="24"/>
        </w:rPr>
        <w:t xml:space="preserve">The maintained nursery school lump sums, which are currently </w:t>
      </w:r>
      <w:r w:rsidR="003138B4" w:rsidRPr="00020BF6">
        <w:rPr>
          <w:rFonts w:ascii="Arial" w:hAnsi="Arial" w:cs="Arial"/>
          <w:szCs w:val="24"/>
        </w:rPr>
        <w:t>£13</w:t>
      </w:r>
      <w:r w:rsidR="00A2640D" w:rsidRPr="00020BF6">
        <w:rPr>
          <w:rFonts w:ascii="Arial" w:hAnsi="Arial" w:cs="Arial"/>
          <w:szCs w:val="24"/>
        </w:rPr>
        <w:t>5</w:t>
      </w:r>
      <w:r w:rsidR="003138B4" w:rsidRPr="00020BF6">
        <w:rPr>
          <w:rFonts w:ascii="Arial" w:hAnsi="Arial" w:cs="Arial"/>
          <w:szCs w:val="24"/>
        </w:rPr>
        <w:t>,000 per school</w:t>
      </w:r>
      <w:r w:rsidR="0057570D" w:rsidRPr="00020BF6">
        <w:rPr>
          <w:rFonts w:ascii="Arial" w:hAnsi="Arial" w:cs="Arial"/>
          <w:szCs w:val="24"/>
        </w:rPr>
        <w:t xml:space="preserve">, will </w:t>
      </w:r>
      <w:r w:rsidR="002B2462" w:rsidRPr="00020BF6">
        <w:rPr>
          <w:rFonts w:ascii="Arial" w:hAnsi="Arial" w:cs="Arial"/>
          <w:szCs w:val="24"/>
        </w:rPr>
        <w:t>remain</w:t>
      </w:r>
      <w:r w:rsidR="00D22152" w:rsidRPr="00020BF6">
        <w:rPr>
          <w:rFonts w:ascii="Arial" w:hAnsi="Arial" w:cs="Arial"/>
          <w:szCs w:val="24"/>
        </w:rPr>
        <w:t>.</w:t>
      </w:r>
    </w:p>
    <w:p w14:paraId="10CCA96B" w14:textId="77777777" w:rsidR="00982751" w:rsidRPr="00F2072E" w:rsidRDefault="00F04005" w:rsidP="00F04005">
      <w:pPr>
        <w:pStyle w:val="Heading1"/>
        <w:keepNext w:val="0"/>
        <w:ind w:left="431" w:hanging="431"/>
        <w:jc w:val="left"/>
        <w:rPr>
          <w:rFonts w:ascii="Arial" w:hAnsi="Arial" w:cs="Arial"/>
          <w:bCs/>
          <w:szCs w:val="24"/>
        </w:rPr>
      </w:pPr>
      <w:r w:rsidRPr="00F2072E">
        <w:rPr>
          <w:rFonts w:ascii="Arial" w:hAnsi="Arial" w:cs="Arial"/>
          <w:bCs/>
          <w:szCs w:val="24"/>
        </w:rPr>
        <w:t>School Block</w:t>
      </w:r>
    </w:p>
    <w:p w14:paraId="2DD05F7A" w14:textId="47FFEA96" w:rsidR="00816B26" w:rsidRPr="009D641C" w:rsidRDefault="00F960B1" w:rsidP="00070B48">
      <w:pPr>
        <w:pStyle w:val="Heading2"/>
        <w:keepNext w:val="0"/>
        <w:tabs>
          <w:tab w:val="num" w:pos="426"/>
        </w:tabs>
        <w:ind w:left="426" w:hanging="568"/>
        <w:jc w:val="left"/>
        <w:rPr>
          <w:rFonts w:ascii="Arial" w:hAnsi="Arial" w:cs="Arial"/>
          <w:szCs w:val="24"/>
        </w:rPr>
      </w:pPr>
      <w:r w:rsidRPr="00F2072E">
        <w:rPr>
          <w:rFonts w:ascii="Arial" w:hAnsi="Arial" w:cs="Arial"/>
          <w:szCs w:val="24"/>
        </w:rPr>
        <w:t xml:space="preserve">The initial DSG allocation provides an </w:t>
      </w:r>
      <w:r w:rsidRPr="00E847F3">
        <w:rPr>
          <w:rFonts w:ascii="Arial" w:hAnsi="Arial" w:cs="Arial"/>
          <w:szCs w:val="24"/>
        </w:rPr>
        <w:t>increase of £</w:t>
      </w:r>
      <w:r w:rsidR="00BC5A18" w:rsidRPr="00E847F3">
        <w:rPr>
          <w:rFonts w:ascii="Arial" w:hAnsi="Arial" w:cs="Arial"/>
          <w:szCs w:val="24"/>
        </w:rPr>
        <w:t>75</w:t>
      </w:r>
      <w:r w:rsidR="00CB279A" w:rsidRPr="00E847F3">
        <w:rPr>
          <w:rFonts w:ascii="Arial" w:hAnsi="Arial" w:cs="Arial"/>
          <w:szCs w:val="24"/>
        </w:rPr>
        <w:t>.</w:t>
      </w:r>
      <w:r w:rsidR="00BC5A18" w:rsidRPr="00E847F3">
        <w:rPr>
          <w:rFonts w:ascii="Arial" w:hAnsi="Arial" w:cs="Arial"/>
          <w:szCs w:val="24"/>
        </w:rPr>
        <w:t>7</w:t>
      </w:r>
      <w:r w:rsidR="000E7C54" w:rsidRPr="00E847F3">
        <w:rPr>
          <w:rFonts w:ascii="Arial" w:hAnsi="Arial" w:cs="Arial"/>
          <w:szCs w:val="24"/>
        </w:rPr>
        <w:t>m (</w:t>
      </w:r>
      <w:r w:rsidR="00E847F3" w:rsidRPr="00E847F3">
        <w:rPr>
          <w:rFonts w:ascii="Arial" w:hAnsi="Arial" w:cs="Arial"/>
          <w:szCs w:val="24"/>
        </w:rPr>
        <w:t>7.6</w:t>
      </w:r>
      <w:r w:rsidR="000E7C54" w:rsidRPr="00E847F3">
        <w:rPr>
          <w:rFonts w:ascii="Arial" w:hAnsi="Arial" w:cs="Arial"/>
          <w:szCs w:val="24"/>
        </w:rPr>
        <w:t>%)</w:t>
      </w:r>
      <w:r w:rsidR="000E7C54" w:rsidRPr="00F2072E">
        <w:rPr>
          <w:rFonts w:ascii="Arial" w:hAnsi="Arial" w:cs="Arial"/>
          <w:szCs w:val="24"/>
        </w:rPr>
        <w:t xml:space="preserve"> for the Schools </w:t>
      </w:r>
      <w:r w:rsidR="000E7C54" w:rsidRPr="009D641C">
        <w:rPr>
          <w:rFonts w:ascii="Arial" w:hAnsi="Arial" w:cs="Arial"/>
          <w:szCs w:val="24"/>
        </w:rPr>
        <w:t>Block</w:t>
      </w:r>
      <w:r w:rsidR="00CC4C9D" w:rsidRPr="009D641C">
        <w:rPr>
          <w:rFonts w:ascii="Arial" w:hAnsi="Arial" w:cs="Arial"/>
          <w:szCs w:val="24"/>
        </w:rPr>
        <w:t xml:space="preserve"> compared to the 202</w:t>
      </w:r>
      <w:r w:rsidR="00F2072E" w:rsidRPr="009D641C">
        <w:rPr>
          <w:rFonts w:ascii="Arial" w:hAnsi="Arial" w:cs="Arial"/>
          <w:szCs w:val="24"/>
        </w:rPr>
        <w:t>4</w:t>
      </w:r>
      <w:r w:rsidR="00CC4C9D" w:rsidRPr="009D641C">
        <w:rPr>
          <w:rFonts w:ascii="Arial" w:hAnsi="Arial" w:cs="Arial"/>
          <w:szCs w:val="24"/>
        </w:rPr>
        <w:t>/2</w:t>
      </w:r>
      <w:r w:rsidR="00F2072E" w:rsidRPr="009D641C">
        <w:rPr>
          <w:rFonts w:ascii="Arial" w:hAnsi="Arial" w:cs="Arial"/>
          <w:szCs w:val="24"/>
        </w:rPr>
        <w:t>5</w:t>
      </w:r>
      <w:r w:rsidR="00CC4C9D" w:rsidRPr="009D641C">
        <w:rPr>
          <w:rFonts w:ascii="Arial" w:hAnsi="Arial" w:cs="Arial"/>
          <w:szCs w:val="24"/>
        </w:rPr>
        <w:t xml:space="preserve"> allocation. </w:t>
      </w:r>
      <w:r w:rsidR="00BF7A6B" w:rsidRPr="00BA59D3">
        <w:rPr>
          <w:rFonts w:ascii="Arial" w:hAnsi="Arial" w:cs="Arial"/>
          <w:szCs w:val="24"/>
          <w:lang w:eastAsia="en-GB"/>
        </w:rPr>
        <w:t>Th</w:t>
      </w:r>
      <w:r w:rsidR="00B74619">
        <w:rPr>
          <w:rFonts w:ascii="Arial" w:hAnsi="Arial" w:cs="Arial"/>
          <w:szCs w:val="24"/>
          <w:lang w:eastAsia="en-GB"/>
        </w:rPr>
        <w:t>is</w:t>
      </w:r>
      <w:r w:rsidR="00BF7A6B" w:rsidRPr="00BA59D3">
        <w:rPr>
          <w:rFonts w:ascii="Arial" w:hAnsi="Arial" w:cs="Arial"/>
          <w:szCs w:val="24"/>
          <w:lang w:eastAsia="en-GB"/>
        </w:rPr>
        <w:t xml:space="preserve"> </w:t>
      </w:r>
      <w:r w:rsidR="00BF7A6B">
        <w:rPr>
          <w:rFonts w:ascii="Arial" w:hAnsi="Arial" w:cs="Arial"/>
          <w:szCs w:val="24"/>
          <w:lang w:eastAsia="en-GB"/>
        </w:rPr>
        <w:t xml:space="preserve">increase </w:t>
      </w:r>
      <w:r w:rsidR="007710E0">
        <w:rPr>
          <w:rFonts w:ascii="Arial" w:hAnsi="Arial" w:cs="Arial"/>
          <w:szCs w:val="24"/>
          <w:lang w:eastAsia="en-GB"/>
        </w:rPr>
        <w:t>mostly relates to</w:t>
      </w:r>
      <w:r w:rsidR="00BF7A6B">
        <w:rPr>
          <w:rFonts w:ascii="Arial" w:hAnsi="Arial" w:cs="Arial"/>
          <w:szCs w:val="24"/>
          <w:lang w:eastAsia="en-GB"/>
        </w:rPr>
        <w:t xml:space="preserve"> the </w:t>
      </w:r>
      <w:r w:rsidR="00F01A7A">
        <w:rPr>
          <w:rFonts w:ascii="Arial" w:hAnsi="Arial" w:cs="Arial"/>
          <w:szCs w:val="24"/>
          <w:lang w:eastAsia="en-GB"/>
        </w:rPr>
        <w:t>rolling in of</w:t>
      </w:r>
      <w:r w:rsidR="00BF7A6B">
        <w:rPr>
          <w:rFonts w:ascii="Arial" w:hAnsi="Arial" w:cs="Arial"/>
          <w:szCs w:val="24"/>
          <w:lang w:eastAsia="en-GB"/>
        </w:rPr>
        <w:t xml:space="preserve"> </w:t>
      </w:r>
      <w:r w:rsidR="007C52E2">
        <w:rPr>
          <w:rFonts w:ascii="Arial" w:hAnsi="Arial" w:cs="Arial"/>
          <w:szCs w:val="24"/>
          <w:lang w:eastAsia="en-GB"/>
        </w:rPr>
        <w:t xml:space="preserve">separate grants into the </w:t>
      </w:r>
      <w:r w:rsidR="00BF7A6B" w:rsidRPr="00BA59D3">
        <w:rPr>
          <w:rFonts w:ascii="Arial" w:hAnsi="Arial" w:cs="Arial"/>
          <w:szCs w:val="24"/>
          <w:lang w:eastAsia="en-GB"/>
        </w:rPr>
        <w:t>schools NFF for 2025 to 2026</w:t>
      </w:r>
      <w:r w:rsidR="00864383">
        <w:rPr>
          <w:rFonts w:ascii="Arial" w:hAnsi="Arial" w:cs="Arial"/>
          <w:szCs w:val="24"/>
          <w:lang w:eastAsia="en-GB"/>
        </w:rPr>
        <w:t xml:space="preserve"> with only a small increase to factor values</w:t>
      </w:r>
      <w:r w:rsidR="00DF6B91" w:rsidRPr="0089219E">
        <w:rPr>
          <w:rFonts w:ascii="Arial" w:hAnsi="Arial" w:cs="Arial"/>
          <w:szCs w:val="24"/>
          <w:lang w:eastAsia="en-GB"/>
        </w:rPr>
        <w:t xml:space="preserve"> </w:t>
      </w:r>
      <w:r w:rsidR="0089219E" w:rsidRPr="0089219E">
        <w:rPr>
          <w:rFonts w:ascii="Arial" w:hAnsi="Arial" w:cs="Arial"/>
          <w:szCs w:val="24"/>
          <w:lang w:eastAsia="en-GB"/>
        </w:rPr>
        <w:t>available</w:t>
      </w:r>
      <w:r w:rsidR="00BF7A6B" w:rsidRPr="00BA59D3">
        <w:rPr>
          <w:rFonts w:ascii="Arial" w:hAnsi="Arial" w:cs="Arial"/>
          <w:szCs w:val="24"/>
          <w:lang w:eastAsia="en-GB"/>
        </w:rPr>
        <w:t xml:space="preserve"> to </w:t>
      </w:r>
      <w:r w:rsidR="0089219E" w:rsidRPr="0089219E">
        <w:rPr>
          <w:rFonts w:ascii="Arial" w:hAnsi="Arial" w:cs="Arial"/>
          <w:szCs w:val="24"/>
          <w:lang w:eastAsia="en-GB"/>
        </w:rPr>
        <w:t>meet new pressures.</w:t>
      </w:r>
    </w:p>
    <w:p w14:paraId="772380E1" w14:textId="1CDCBDAE" w:rsidR="00164C67" w:rsidRPr="009D641C" w:rsidRDefault="005D039C" w:rsidP="00070B48">
      <w:pPr>
        <w:pStyle w:val="Heading2"/>
        <w:keepNext w:val="0"/>
        <w:tabs>
          <w:tab w:val="num" w:pos="426"/>
        </w:tabs>
        <w:ind w:left="426" w:hanging="568"/>
        <w:jc w:val="left"/>
        <w:rPr>
          <w:rFonts w:ascii="Arial" w:hAnsi="Arial" w:cs="Arial"/>
          <w:szCs w:val="24"/>
        </w:rPr>
      </w:pPr>
      <w:r w:rsidRPr="009D641C">
        <w:rPr>
          <w:rFonts w:ascii="Arial" w:hAnsi="Arial" w:cs="Arial"/>
          <w:szCs w:val="24"/>
        </w:rPr>
        <w:t>Th</w:t>
      </w:r>
      <w:r w:rsidR="00FD1B90" w:rsidRPr="009D641C">
        <w:rPr>
          <w:rFonts w:ascii="Arial" w:hAnsi="Arial" w:cs="Arial"/>
          <w:szCs w:val="24"/>
        </w:rPr>
        <w:t>is</w:t>
      </w:r>
      <w:r w:rsidRPr="009D641C">
        <w:rPr>
          <w:rFonts w:ascii="Arial" w:hAnsi="Arial" w:cs="Arial"/>
          <w:szCs w:val="24"/>
        </w:rPr>
        <w:t xml:space="preserve"> ha</w:t>
      </w:r>
      <w:r w:rsidR="00FD1B90" w:rsidRPr="009D641C">
        <w:rPr>
          <w:rFonts w:ascii="Arial" w:hAnsi="Arial" w:cs="Arial"/>
          <w:szCs w:val="24"/>
        </w:rPr>
        <w:t>s</w:t>
      </w:r>
      <w:r w:rsidRPr="009D641C">
        <w:rPr>
          <w:rFonts w:ascii="Arial" w:hAnsi="Arial" w:cs="Arial"/>
          <w:szCs w:val="24"/>
        </w:rPr>
        <w:t xml:space="preserve"> been updated from the provisional allocation published </w:t>
      </w:r>
      <w:r w:rsidR="009D641C" w:rsidRPr="009D641C">
        <w:rPr>
          <w:rFonts w:ascii="Arial" w:hAnsi="Arial" w:cs="Arial"/>
          <w:szCs w:val="24"/>
        </w:rPr>
        <w:t xml:space="preserve">at the end of November </w:t>
      </w:r>
      <w:r w:rsidR="003A308D" w:rsidRPr="009D641C">
        <w:rPr>
          <w:rFonts w:ascii="Arial" w:hAnsi="Arial" w:cs="Arial"/>
          <w:szCs w:val="24"/>
        </w:rPr>
        <w:t>for the</w:t>
      </w:r>
      <w:r w:rsidR="00164C67" w:rsidRPr="009D641C">
        <w:rPr>
          <w:rFonts w:ascii="Arial" w:hAnsi="Arial" w:cs="Arial"/>
          <w:szCs w:val="24"/>
        </w:rPr>
        <w:t>:</w:t>
      </w:r>
    </w:p>
    <w:p w14:paraId="5FBE33DB" w14:textId="15F0B625" w:rsidR="00F960B1" w:rsidRPr="009D641C" w:rsidRDefault="005D039C" w:rsidP="00054C2A">
      <w:pPr>
        <w:pStyle w:val="Heading2"/>
        <w:keepNext w:val="0"/>
        <w:numPr>
          <w:ilvl w:val="0"/>
          <w:numId w:val="13"/>
        </w:numPr>
        <w:spacing w:after="120"/>
        <w:ind w:left="1208" w:hanging="357"/>
        <w:jc w:val="left"/>
        <w:rPr>
          <w:rFonts w:ascii="Arial" w:hAnsi="Arial" w:cs="Arial"/>
          <w:szCs w:val="24"/>
        </w:rPr>
      </w:pPr>
      <w:r w:rsidRPr="009D641C">
        <w:rPr>
          <w:rFonts w:ascii="Arial" w:hAnsi="Arial" w:cs="Arial"/>
          <w:szCs w:val="24"/>
        </w:rPr>
        <w:t xml:space="preserve">October </w:t>
      </w:r>
      <w:r w:rsidR="007669E5" w:rsidRPr="009D641C">
        <w:rPr>
          <w:rFonts w:ascii="Arial" w:hAnsi="Arial" w:cs="Arial"/>
          <w:szCs w:val="24"/>
        </w:rPr>
        <w:t>202</w:t>
      </w:r>
      <w:r w:rsidR="00F2072E" w:rsidRPr="009D641C">
        <w:rPr>
          <w:rFonts w:ascii="Arial" w:hAnsi="Arial" w:cs="Arial"/>
          <w:szCs w:val="24"/>
        </w:rPr>
        <w:t>4</w:t>
      </w:r>
      <w:r w:rsidR="007669E5" w:rsidRPr="009D641C">
        <w:rPr>
          <w:rFonts w:ascii="Arial" w:hAnsi="Arial" w:cs="Arial"/>
          <w:szCs w:val="24"/>
        </w:rPr>
        <w:t xml:space="preserve"> census numbers, which have </w:t>
      </w:r>
      <w:r w:rsidR="00945D9C" w:rsidRPr="009D641C">
        <w:rPr>
          <w:rFonts w:ascii="Arial" w:hAnsi="Arial" w:cs="Arial"/>
          <w:szCs w:val="24"/>
        </w:rPr>
        <w:t>de</w:t>
      </w:r>
      <w:r w:rsidR="007669E5" w:rsidRPr="009D641C">
        <w:rPr>
          <w:rFonts w:ascii="Arial" w:hAnsi="Arial" w:cs="Arial"/>
          <w:szCs w:val="24"/>
        </w:rPr>
        <w:t xml:space="preserve">creased by </w:t>
      </w:r>
      <w:r w:rsidR="00270D09" w:rsidRPr="009D641C">
        <w:rPr>
          <w:rFonts w:ascii="Arial" w:hAnsi="Arial" w:cs="Arial"/>
          <w:szCs w:val="24"/>
        </w:rPr>
        <w:t>909</w:t>
      </w:r>
      <w:r w:rsidR="00243082" w:rsidRPr="009D641C">
        <w:rPr>
          <w:rFonts w:ascii="Arial" w:hAnsi="Arial" w:cs="Arial"/>
          <w:szCs w:val="24"/>
        </w:rPr>
        <w:t xml:space="preserve"> (</w:t>
      </w:r>
      <w:r w:rsidR="00945D9C" w:rsidRPr="009D641C">
        <w:rPr>
          <w:rFonts w:ascii="Arial" w:hAnsi="Arial" w:cs="Arial"/>
          <w:szCs w:val="24"/>
        </w:rPr>
        <w:t>0.</w:t>
      </w:r>
      <w:r w:rsidR="004978C4" w:rsidRPr="009D641C">
        <w:rPr>
          <w:rFonts w:ascii="Arial" w:hAnsi="Arial" w:cs="Arial"/>
          <w:szCs w:val="24"/>
        </w:rPr>
        <w:t>5</w:t>
      </w:r>
      <w:r w:rsidR="00243082" w:rsidRPr="009D641C">
        <w:rPr>
          <w:rFonts w:ascii="Arial" w:hAnsi="Arial" w:cs="Arial"/>
          <w:szCs w:val="24"/>
        </w:rPr>
        <w:t>%)</w:t>
      </w:r>
      <w:r w:rsidR="007669E5" w:rsidRPr="009D641C">
        <w:rPr>
          <w:rFonts w:ascii="Arial" w:hAnsi="Arial" w:cs="Arial"/>
          <w:szCs w:val="24"/>
        </w:rPr>
        <w:t xml:space="preserve"> from October 202</w:t>
      </w:r>
      <w:r w:rsidR="00F2072E" w:rsidRPr="009D641C">
        <w:rPr>
          <w:rFonts w:ascii="Arial" w:hAnsi="Arial" w:cs="Arial"/>
          <w:szCs w:val="24"/>
        </w:rPr>
        <w:t>3</w:t>
      </w:r>
      <w:r w:rsidR="00E621BE" w:rsidRPr="009D641C">
        <w:rPr>
          <w:rFonts w:ascii="Arial" w:hAnsi="Arial" w:cs="Arial"/>
          <w:szCs w:val="24"/>
        </w:rPr>
        <w:t>.</w:t>
      </w:r>
    </w:p>
    <w:p w14:paraId="06C56CA9" w14:textId="4BA78DD3" w:rsidR="003A308D" w:rsidRPr="009D641C" w:rsidRDefault="003A308D" w:rsidP="00054C2A">
      <w:pPr>
        <w:pStyle w:val="Heading2"/>
        <w:keepNext w:val="0"/>
        <w:numPr>
          <w:ilvl w:val="0"/>
          <w:numId w:val="13"/>
        </w:numPr>
        <w:spacing w:after="120"/>
        <w:ind w:left="1208" w:hanging="357"/>
        <w:jc w:val="left"/>
        <w:rPr>
          <w:rFonts w:ascii="Arial" w:hAnsi="Arial" w:cs="Arial"/>
          <w:szCs w:val="24"/>
        </w:rPr>
      </w:pPr>
      <w:r w:rsidRPr="009D641C">
        <w:rPr>
          <w:rFonts w:ascii="Arial" w:hAnsi="Arial" w:cs="Arial"/>
          <w:szCs w:val="24"/>
        </w:rPr>
        <w:t>Growth Fund</w:t>
      </w:r>
      <w:r w:rsidR="00415BF4" w:rsidRPr="009D641C">
        <w:rPr>
          <w:rFonts w:ascii="Arial" w:hAnsi="Arial" w:cs="Arial"/>
          <w:szCs w:val="24"/>
        </w:rPr>
        <w:t xml:space="preserve"> National Funding Formula, which </w:t>
      </w:r>
      <w:r w:rsidR="00592A88" w:rsidRPr="009D641C">
        <w:rPr>
          <w:rFonts w:ascii="Arial" w:hAnsi="Arial" w:cs="Arial"/>
          <w:szCs w:val="24"/>
        </w:rPr>
        <w:t>uses growth in pupil numbers</w:t>
      </w:r>
      <w:r w:rsidR="0005432C" w:rsidRPr="009D641C">
        <w:rPr>
          <w:rFonts w:ascii="Arial" w:hAnsi="Arial" w:cs="Arial"/>
          <w:szCs w:val="24"/>
        </w:rPr>
        <w:t xml:space="preserve"> at middle layer super output area (small geographical areas)</w:t>
      </w:r>
      <w:r w:rsidR="00592A88" w:rsidRPr="009D641C">
        <w:rPr>
          <w:rFonts w:ascii="Arial" w:hAnsi="Arial" w:cs="Arial"/>
          <w:szCs w:val="24"/>
        </w:rPr>
        <w:t xml:space="preserve"> between the October 202</w:t>
      </w:r>
      <w:r w:rsidR="00837468" w:rsidRPr="009D641C">
        <w:rPr>
          <w:rFonts w:ascii="Arial" w:hAnsi="Arial" w:cs="Arial"/>
          <w:szCs w:val="24"/>
        </w:rPr>
        <w:t>4</w:t>
      </w:r>
      <w:r w:rsidR="00592A88" w:rsidRPr="009D641C">
        <w:rPr>
          <w:rFonts w:ascii="Arial" w:hAnsi="Arial" w:cs="Arial"/>
          <w:szCs w:val="24"/>
        </w:rPr>
        <w:t xml:space="preserve"> and October 202</w:t>
      </w:r>
      <w:r w:rsidR="00837468" w:rsidRPr="009D641C">
        <w:rPr>
          <w:rFonts w:ascii="Arial" w:hAnsi="Arial" w:cs="Arial"/>
          <w:szCs w:val="24"/>
        </w:rPr>
        <w:t>3</w:t>
      </w:r>
      <w:r w:rsidR="00592A88" w:rsidRPr="009D641C">
        <w:rPr>
          <w:rFonts w:ascii="Arial" w:hAnsi="Arial" w:cs="Arial"/>
          <w:szCs w:val="24"/>
        </w:rPr>
        <w:t xml:space="preserve"> pupil census</w:t>
      </w:r>
      <w:r w:rsidR="0012543D" w:rsidRPr="009D641C">
        <w:rPr>
          <w:rFonts w:ascii="Arial" w:hAnsi="Arial" w:cs="Arial"/>
          <w:szCs w:val="24"/>
        </w:rPr>
        <w:t>.</w:t>
      </w:r>
    </w:p>
    <w:p w14:paraId="3234560B" w14:textId="6A4C675B" w:rsidR="00C64FD2" w:rsidRPr="00837468" w:rsidRDefault="002A20C8" w:rsidP="00B5601B">
      <w:pPr>
        <w:pStyle w:val="Heading2"/>
        <w:keepNext w:val="0"/>
        <w:tabs>
          <w:tab w:val="num" w:pos="426"/>
        </w:tabs>
        <w:ind w:left="426" w:hanging="568"/>
        <w:jc w:val="left"/>
        <w:rPr>
          <w:rFonts w:ascii="Arial" w:hAnsi="Arial" w:cs="Arial"/>
          <w:szCs w:val="24"/>
        </w:rPr>
      </w:pPr>
      <w:r w:rsidRPr="00837468">
        <w:rPr>
          <w:rFonts w:ascii="Arial" w:hAnsi="Arial" w:cs="Arial"/>
          <w:szCs w:val="24"/>
        </w:rPr>
        <w:t xml:space="preserve">It has been agreed by Schools Forum that the local funding formula for mainstream schools will follow the same approach as the previous </w:t>
      </w:r>
      <w:r w:rsidR="008801A0" w:rsidRPr="00837468">
        <w:rPr>
          <w:rFonts w:ascii="Arial" w:hAnsi="Arial" w:cs="Arial"/>
          <w:szCs w:val="24"/>
        </w:rPr>
        <w:t>few</w:t>
      </w:r>
      <w:r w:rsidRPr="00837468">
        <w:rPr>
          <w:rFonts w:ascii="Arial" w:hAnsi="Arial" w:cs="Arial"/>
          <w:szCs w:val="24"/>
        </w:rPr>
        <w:t xml:space="preserve"> years</w:t>
      </w:r>
      <w:r w:rsidR="00837604" w:rsidRPr="00837468">
        <w:rPr>
          <w:rFonts w:ascii="Arial" w:hAnsi="Arial" w:cs="Arial"/>
          <w:szCs w:val="24"/>
        </w:rPr>
        <w:t>, which is to mirror the DfE’s national funding formula</w:t>
      </w:r>
      <w:r w:rsidR="00DD0A0B" w:rsidRPr="00837468">
        <w:rPr>
          <w:rFonts w:ascii="Arial" w:hAnsi="Arial" w:cs="Arial"/>
          <w:szCs w:val="24"/>
        </w:rPr>
        <w:t xml:space="preserve"> </w:t>
      </w:r>
      <w:r w:rsidR="00C2048A" w:rsidRPr="00837468">
        <w:rPr>
          <w:rFonts w:ascii="Arial" w:hAnsi="Arial" w:cs="Arial"/>
          <w:szCs w:val="24"/>
        </w:rPr>
        <w:t xml:space="preserve">as closely as possible, with an </w:t>
      </w:r>
      <w:r w:rsidR="00DD0A0B" w:rsidRPr="00837468">
        <w:rPr>
          <w:rFonts w:ascii="Arial" w:hAnsi="Arial" w:cs="Arial"/>
          <w:szCs w:val="24"/>
        </w:rPr>
        <w:t>adjust</w:t>
      </w:r>
      <w:r w:rsidR="00C2048A" w:rsidRPr="00837468">
        <w:rPr>
          <w:rFonts w:ascii="Arial" w:hAnsi="Arial" w:cs="Arial"/>
          <w:szCs w:val="24"/>
        </w:rPr>
        <w:t>ment to</w:t>
      </w:r>
      <w:r w:rsidR="00DD0A0B" w:rsidRPr="00837468">
        <w:rPr>
          <w:rFonts w:ascii="Arial" w:hAnsi="Arial" w:cs="Arial"/>
          <w:szCs w:val="24"/>
        </w:rPr>
        <w:t xml:space="preserve"> either the growth fund or unit values</w:t>
      </w:r>
      <w:r w:rsidR="00F31C3C" w:rsidRPr="00837468">
        <w:rPr>
          <w:rFonts w:ascii="Arial" w:hAnsi="Arial" w:cs="Arial"/>
          <w:szCs w:val="24"/>
        </w:rPr>
        <w:t xml:space="preserve"> within the formula</w:t>
      </w:r>
      <w:r w:rsidR="00DD0A0B" w:rsidRPr="00837468">
        <w:rPr>
          <w:rFonts w:ascii="Arial" w:hAnsi="Arial" w:cs="Arial"/>
          <w:szCs w:val="24"/>
        </w:rPr>
        <w:t xml:space="preserve"> </w:t>
      </w:r>
      <w:r w:rsidR="00381CCC" w:rsidRPr="00837468">
        <w:rPr>
          <w:rFonts w:ascii="Arial" w:hAnsi="Arial" w:cs="Arial"/>
          <w:szCs w:val="24"/>
        </w:rPr>
        <w:t>where there is an affordability gap.</w:t>
      </w:r>
      <w:r w:rsidR="00B5601B" w:rsidRPr="00837468">
        <w:rPr>
          <w:rFonts w:ascii="Arial" w:hAnsi="Arial" w:cs="Arial"/>
          <w:szCs w:val="24"/>
        </w:rPr>
        <w:t xml:space="preserve"> </w:t>
      </w:r>
      <w:r w:rsidR="00F967EB" w:rsidRPr="00837468">
        <w:rPr>
          <w:rFonts w:ascii="Arial" w:hAnsi="Arial" w:cs="Arial"/>
          <w:szCs w:val="24"/>
        </w:rPr>
        <w:t>Now that t</w:t>
      </w:r>
      <w:r w:rsidR="00C64FD2" w:rsidRPr="00837468">
        <w:rPr>
          <w:rFonts w:ascii="Arial" w:hAnsi="Arial" w:cs="Arial"/>
          <w:szCs w:val="24"/>
        </w:rPr>
        <w:t xml:space="preserve">he DSG allocations have been </w:t>
      </w:r>
      <w:r w:rsidR="000C5318" w:rsidRPr="00837468">
        <w:rPr>
          <w:rFonts w:ascii="Arial" w:hAnsi="Arial" w:cs="Arial"/>
          <w:szCs w:val="24"/>
        </w:rPr>
        <w:t>updated and the DfE have provided the school budget share tool</w:t>
      </w:r>
      <w:r w:rsidR="006D6D46" w:rsidRPr="00837468">
        <w:rPr>
          <w:rFonts w:ascii="Arial" w:hAnsi="Arial" w:cs="Arial"/>
          <w:szCs w:val="24"/>
        </w:rPr>
        <w:t xml:space="preserve"> </w:t>
      </w:r>
      <w:r w:rsidR="000C5318" w:rsidRPr="00837468">
        <w:rPr>
          <w:rFonts w:ascii="Arial" w:hAnsi="Arial" w:cs="Arial"/>
          <w:szCs w:val="24"/>
        </w:rPr>
        <w:t>with update</w:t>
      </w:r>
      <w:r w:rsidR="00C14AC4" w:rsidRPr="00837468">
        <w:rPr>
          <w:rFonts w:ascii="Arial" w:hAnsi="Arial" w:cs="Arial"/>
          <w:szCs w:val="24"/>
        </w:rPr>
        <w:t>d</w:t>
      </w:r>
      <w:r w:rsidR="000C5318" w:rsidRPr="00837468">
        <w:rPr>
          <w:rFonts w:ascii="Arial" w:hAnsi="Arial" w:cs="Arial"/>
          <w:szCs w:val="24"/>
        </w:rPr>
        <w:t xml:space="preserve"> pupil numbers and characteristics, </w:t>
      </w:r>
      <w:r w:rsidR="00F967EB" w:rsidRPr="00837468">
        <w:rPr>
          <w:rFonts w:ascii="Arial" w:hAnsi="Arial" w:cs="Arial"/>
          <w:szCs w:val="24"/>
        </w:rPr>
        <w:t>the</w:t>
      </w:r>
      <w:r w:rsidR="00A043F5" w:rsidRPr="00837468">
        <w:rPr>
          <w:rFonts w:ascii="Arial" w:hAnsi="Arial" w:cs="Arial"/>
          <w:szCs w:val="24"/>
        </w:rPr>
        <w:t xml:space="preserve"> affordability gap has been calculated.</w:t>
      </w:r>
    </w:p>
    <w:p w14:paraId="1CD5ACAE" w14:textId="320F091B" w:rsidR="00F32F69" w:rsidRDefault="001024E0" w:rsidP="00F32F69">
      <w:pPr>
        <w:pStyle w:val="Heading2"/>
        <w:keepNext w:val="0"/>
        <w:tabs>
          <w:tab w:val="num" w:pos="426"/>
        </w:tabs>
        <w:ind w:left="426" w:hanging="568"/>
        <w:jc w:val="left"/>
        <w:rPr>
          <w:rFonts w:ascii="Arial" w:hAnsi="Arial" w:cs="Arial"/>
          <w:szCs w:val="24"/>
        </w:rPr>
      </w:pPr>
      <w:r w:rsidRPr="00837468">
        <w:rPr>
          <w:rFonts w:ascii="Arial" w:hAnsi="Arial" w:cs="Arial"/>
          <w:szCs w:val="24"/>
        </w:rPr>
        <w:t>The</w:t>
      </w:r>
      <w:r w:rsidR="00E64B87" w:rsidRPr="00837468">
        <w:rPr>
          <w:rFonts w:ascii="Arial" w:hAnsi="Arial" w:cs="Arial"/>
          <w:szCs w:val="24"/>
        </w:rPr>
        <w:t>re</w:t>
      </w:r>
      <w:r w:rsidR="00437A5D" w:rsidRPr="00837468">
        <w:rPr>
          <w:rFonts w:ascii="Arial" w:hAnsi="Arial" w:cs="Arial"/>
          <w:szCs w:val="24"/>
        </w:rPr>
        <w:t xml:space="preserve"> is a </w:t>
      </w:r>
      <w:r w:rsidR="00437A5D" w:rsidRPr="00B54431">
        <w:rPr>
          <w:rFonts w:ascii="Arial" w:hAnsi="Arial" w:cs="Arial"/>
          <w:szCs w:val="24"/>
        </w:rPr>
        <w:t xml:space="preserve">shortfall </w:t>
      </w:r>
      <w:r w:rsidR="00437A5D" w:rsidRPr="0033282E">
        <w:rPr>
          <w:rFonts w:ascii="Arial" w:hAnsi="Arial" w:cs="Arial"/>
          <w:szCs w:val="24"/>
        </w:rPr>
        <w:t>of £</w:t>
      </w:r>
      <w:r w:rsidR="00B54431" w:rsidRPr="0033282E">
        <w:rPr>
          <w:rFonts w:ascii="Arial" w:hAnsi="Arial" w:cs="Arial"/>
          <w:szCs w:val="24"/>
        </w:rPr>
        <w:t>4</w:t>
      </w:r>
      <w:r w:rsidR="00E64B87" w:rsidRPr="0033282E">
        <w:rPr>
          <w:rFonts w:ascii="Arial" w:hAnsi="Arial" w:cs="Arial"/>
          <w:szCs w:val="24"/>
        </w:rPr>
        <w:t>.</w:t>
      </w:r>
      <w:r w:rsidR="00895373" w:rsidRPr="0033282E">
        <w:rPr>
          <w:rFonts w:ascii="Arial" w:hAnsi="Arial" w:cs="Arial"/>
          <w:szCs w:val="24"/>
        </w:rPr>
        <w:t>8</w:t>
      </w:r>
      <w:r w:rsidR="00437A5D" w:rsidRPr="0033282E">
        <w:rPr>
          <w:rFonts w:ascii="Arial" w:hAnsi="Arial" w:cs="Arial"/>
          <w:szCs w:val="24"/>
        </w:rPr>
        <w:t>m</w:t>
      </w:r>
      <w:r w:rsidR="00986E34" w:rsidRPr="0033282E">
        <w:rPr>
          <w:rFonts w:ascii="Arial" w:hAnsi="Arial" w:cs="Arial"/>
          <w:szCs w:val="24"/>
        </w:rPr>
        <w:t xml:space="preserve"> (0.</w:t>
      </w:r>
      <w:r w:rsidR="00B54431" w:rsidRPr="0033282E">
        <w:rPr>
          <w:rFonts w:ascii="Arial" w:hAnsi="Arial" w:cs="Arial"/>
          <w:szCs w:val="24"/>
        </w:rPr>
        <w:t>4</w:t>
      </w:r>
      <w:r w:rsidR="00895373" w:rsidRPr="0033282E">
        <w:rPr>
          <w:rFonts w:ascii="Arial" w:hAnsi="Arial" w:cs="Arial"/>
          <w:szCs w:val="24"/>
        </w:rPr>
        <w:t>5</w:t>
      </w:r>
      <w:r w:rsidR="00986E34" w:rsidRPr="0033282E">
        <w:rPr>
          <w:rFonts w:ascii="Arial" w:hAnsi="Arial" w:cs="Arial"/>
          <w:szCs w:val="24"/>
        </w:rPr>
        <w:t>%)</w:t>
      </w:r>
      <w:r w:rsidR="00437A5D" w:rsidRPr="0033282E">
        <w:rPr>
          <w:rFonts w:ascii="Arial" w:hAnsi="Arial" w:cs="Arial"/>
          <w:szCs w:val="24"/>
        </w:rPr>
        <w:t xml:space="preserve"> </w:t>
      </w:r>
      <w:r w:rsidR="00443A6E" w:rsidRPr="0033282E">
        <w:rPr>
          <w:rFonts w:ascii="Arial" w:hAnsi="Arial" w:cs="Arial"/>
          <w:szCs w:val="24"/>
        </w:rPr>
        <w:t xml:space="preserve">between the </w:t>
      </w:r>
      <w:r w:rsidR="00443A6E" w:rsidRPr="00B54431">
        <w:rPr>
          <w:rFonts w:ascii="Arial" w:hAnsi="Arial" w:cs="Arial"/>
          <w:szCs w:val="24"/>
        </w:rPr>
        <w:t xml:space="preserve">budget </w:t>
      </w:r>
      <w:r w:rsidR="00443A6E" w:rsidRPr="00837468">
        <w:rPr>
          <w:rFonts w:ascii="Arial" w:hAnsi="Arial" w:cs="Arial"/>
          <w:szCs w:val="24"/>
        </w:rPr>
        <w:t>and the cost of the school budget shares based on the national funding formula unit values</w:t>
      </w:r>
      <w:r w:rsidR="00F32F69" w:rsidRPr="00837468">
        <w:rPr>
          <w:rFonts w:ascii="Arial" w:hAnsi="Arial" w:cs="Arial"/>
          <w:szCs w:val="24"/>
        </w:rPr>
        <w:t>:</w:t>
      </w:r>
    </w:p>
    <w:p w14:paraId="05DD0D48" w14:textId="77777777" w:rsidR="00054C2A" w:rsidRDefault="00054C2A">
      <w:pPr>
        <w:spacing w:after="0"/>
        <w:jc w:val="left"/>
        <w:rPr>
          <w:rFonts w:ascii="Arial" w:hAnsi="Arial" w:cs="Arial"/>
          <w:szCs w:val="24"/>
        </w:rPr>
      </w:pPr>
      <w:r>
        <w:rPr>
          <w:rFonts w:ascii="Arial" w:hAnsi="Arial" w:cs="Arial"/>
          <w:szCs w:val="24"/>
        </w:rPr>
        <w:br w:type="page"/>
      </w:r>
    </w:p>
    <w:tbl>
      <w:tblPr>
        <w:tblW w:w="0" w:type="auto"/>
        <w:tblInd w:w="426" w:type="dxa"/>
        <w:tblLook w:val="04A0" w:firstRow="1" w:lastRow="0" w:firstColumn="1" w:lastColumn="0" w:noHBand="0" w:noVBand="1"/>
      </w:tblPr>
      <w:tblGrid>
        <w:gridCol w:w="5211"/>
        <w:gridCol w:w="2126"/>
      </w:tblGrid>
      <w:tr w:rsidR="0033457D" w:rsidRPr="0033457D" w14:paraId="7214BCFB" w14:textId="77777777" w:rsidTr="0031310A">
        <w:tc>
          <w:tcPr>
            <w:tcW w:w="5211" w:type="dxa"/>
            <w:shd w:val="clear" w:color="auto" w:fill="auto"/>
          </w:tcPr>
          <w:p w14:paraId="727ADEEF" w14:textId="77777777" w:rsidR="009659E2" w:rsidRPr="005E4729" w:rsidRDefault="009659E2" w:rsidP="0031310A">
            <w:pPr>
              <w:pStyle w:val="Heading2"/>
              <w:keepNext w:val="0"/>
              <w:numPr>
                <w:ilvl w:val="0"/>
                <w:numId w:val="0"/>
              </w:numPr>
              <w:jc w:val="left"/>
              <w:rPr>
                <w:rFonts w:ascii="Arial" w:hAnsi="Arial" w:cs="Arial"/>
                <w:szCs w:val="24"/>
              </w:rPr>
            </w:pPr>
          </w:p>
        </w:tc>
        <w:tc>
          <w:tcPr>
            <w:tcW w:w="2126" w:type="dxa"/>
            <w:shd w:val="clear" w:color="auto" w:fill="auto"/>
          </w:tcPr>
          <w:p w14:paraId="6EC76258" w14:textId="77777777" w:rsidR="009659E2" w:rsidRPr="005E4729" w:rsidRDefault="002A0929" w:rsidP="0031310A">
            <w:pPr>
              <w:pStyle w:val="Heading2"/>
              <w:keepNext w:val="0"/>
              <w:numPr>
                <w:ilvl w:val="0"/>
                <w:numId w:val="0"/>
              </w:numPr>
              <w:jc w:val="right"/>
              <w:rPr>
                <w:rFonts w:ascii="Arial" w:hAnsi="Arial" w:cs="Arial"/>
                <w:szCs w:val="24"/>
              </w:rPr>
            </w:pPr>
            <w:r w:rsidRPr="005E4729">
              <w:rPr>
                <w:rFonts w:ascii="Arial" w:hAnsi="Arial" w:cs="Arial"/>
                <w:szCs w:val="24"/>
              </w:rPr>
              <w:t>£000</w:t>
            </w:r>
          </w:p>
        </w:tc>
      </w:tr>
      <w:tr w:rsidR="0033457D" w:rsidRPr="0033457D" w14:paraId="2A9DB489" w14:textId="77777777" w:rsidTr="0031310A">
        <w:tc>
          <w:tcPr>
            <w:tcW w:w="5211" w:type="dxa"/>
            <w:shd w:val="clear" w:color="auto" w:fill="auto"/>
          </w:tcPr>
          <w:p w14:paraId="20A2E27F" w14:textId="77777777" w:rsidR="009659E2" w:rsidRPr="005E4729" w:rsidRDefault="009659E2" w:rsidP="0031310A">
            <w:pPr>
              <w:pStyle w:val="Heading2"/>
              <w:keepNext w:val="0"/>
              <w:numPr>
                <w:ilvl w:val="0"/>
                <w:numId w:val="0"/>
              </w:numPr>
              <w:spacing w:after="0"/>
              <w:jc w:val="left"/>
              <w:rPr>
                <w:rFonts w:ascii="Arial" w:hAnsi="Arial" w:cs="Arial"/>
                <w:szCs w:val="24"/>
              </w:rPr>
            </w:pPr>
            <w:r w:rsidRPr="005E4729">
              <w:rPr>
                <w:rFonts w:ascii="Arial" w:hAnsi="Arial" w:cs="Arial"/>
                <w:szCs w:val="24"/>
              </w:rPr>
              <w:t>Schools Block allocation</w:t>
            </w:r>
          </w:p>
        </w:tc>
        <w:tc>
          <w:tcPr>
            <w:tcW w:w="2126" w:type="dxa"/>
            <w:shd w:val="clear" w:color="auto" w:fill="auto"/>
          </w:tcPr>
          <w:p w14:paraId="23D7D89D" w14:textId="76B0C1F2" w:rsidR="009659E2" w:rsidRPr="005E4729" w:rsidRDefault="009E32C7" w:rsidP="0031310A">
            <w:pPr>
              <w:pStyle w:val="Heading2"/>
              <w:keepNext w:val="0"/>
              <w:numPr>
                <w:ilvl w:val="0"/>
                <w:numId w:val="0"/>
              </w:numPr>
              <w:spacing w:after="0"/>
              <w:jc w:val="right"/>
              <w:rPr>
                <w:rFonts w:ascii="Arial" w:hAnsi="Arial" w:cs="Arial"/>
                <w:szCs w:val="24"/>
              </w:rPr>
            </w:pPr>
            <w:r w:rsidRPr="005E4729">
              <w:rPr>
                <w:rFonts w:ascii="Arial" w:hAnsi="Arial" w:cs="Arial"/>
                <w:szCs w:val="24"/>
              </w:rPr>
              <w:t>1</w:t>
            </w:r>
            <w:r w:rsidR="005E4729" w:rsidRPr="005E4729">
              <w:rPr>
                <w:rFonts w:ascii="Arial" w:hAnsi="Arial" w:cs="Arial"/>
                <w:szCs w:val="24"/>
              </w:rPr>
              <w:t>,067</w:t>
            </w:r>
            <w:r w:rsidR="00C5761E" w:rsidRPr="005E4729">
              <w:rPr>
                <w:rFonts w:ascii="Arial" w:hAnsi="Arial" w:cs="Arial"/>
                <w:szCs w:val="24"/>
              </w:rPr>
              <w:t>,</w:t>
            </w:r>
            <w:r w:rsidR="005E4729" w:rsidRPr="005E4729">
              <w:rPr>
                <w:rFonts w:ascii="Arial" w:hAnsi="Arial" w:cs="Arial"/>
                <w:szCs w:val="24"/>
              </w:rPr>
              <w:t>679</w:t>
            </w:r>
          </w:p>
        </w:tc>
      </w:tr>
      <w:tr w:rsidR="0033457D" w:rsidRPr="00B2073E" w14:paraId="7DBD85A1" w14:textId="77777777" w:rsidTr="0031310A">
        <w:tc>
          <w:tcPr>
            <w:tcW w:w="5211" w:type="dxa"/>
            <w:shd w:val="clear" w:color="auto" w:fill="auto"/>
          </w:tcPr>
          <w:p w14:paraId="7F23B9C4" w14:textId="77777777" w:rsidR="009659E2" w:rsidRPr="005E4729" w:rsidRDefault="002A0929" w:rsidP="0031310A">
            <w:pPr>
              <w:pStyle w:val="Heading2"/>
              <w:keepNext w:val="0"/>
              <w:numPr>
                <w:ilvl w:val="0"/>
                <w:numId w:val="0"/>
              </w:numPr>
              <w:spacing w:after="0"/>
              <w:jc w:val="left"/>
              <w:rPr>
                <w:rFonts w:ascii="Arial" w:hAnsi="Arial" w:cs="Arial"/>
                <w:szCs w:val="24"/>
              </w:rPr>
            </w:pPr>
            <w:r w:rsidRPr="005E4729">
              <w:rPr>
                <w:rFonts w:ascii="Arial" w:hAnsi="Arial" w:cs="Arial"/>
                <w:szCs w:val="24"/>
              </w:rPr>
              <w:t>Less Growth Fund</w:t>
            </w:r>
          </w:p>
        </w:tc>
        <w:tc>
          <w:tcPr>
            <w:tcW w:w="2126" w:type="dxa"/>
            <w:tcBorders>
              <w:bottom w:val="single" w:sz="4" w:space="0" w:color="auto"/>
            </w:tcBorders>
            <w:shd w:val="clear" w:color="auto" w:fill="auto"/>
          </w:tcPr>
          <w:p w14:paraId="189A97C8" w14:textId="6C480A56" w:rsidR="009659E2" w:rsidRPr="00E80AA6" w:rsidRDefault="002A0929" w:rsidP="0031310A">
            <w:pPr>
              <w:pStyle w:val="Heading2"/>
              <w:keepNext w:val="0"/>
              <w:numPr>
                <w:ilvl w:val="0"/>
                <w:numId w:val="0"/>
              </w:numPr>
              <w:spacing w:after="0"/>
              <w:jc w:val="right"/>
              <w:rPr>
                <w:rFonts w:ascii="Arial" w:hAnsi="Arial" w:cs="Arial"/>
                <w:szCs w:val="24"/>
              </w:rPr>
            </w:pPr>
            <w:r w:rsidRPr="00E80AA6">
              <w:rPr>
                <w:rFonts w:ascii="Arial" w:hAnsi="Arial" w:cs="Arial"/>
                <w:szCs w:val="24"/>
              </w:rPr>
              <w:t>(</w:t>
            </w:r>
            <w:r w:rsidR="00B2073E" w:rsidRPr="00E80AA6">
              <w:rPr>
                <w:rFonts w:ascii="Arial" w:hAnsi="Arial" w:cs="Arial"/>
                <w:szCs w:val="24"/>
              </w:rPr>
              <w:t>4</w:t>
            </w:r>
            <w:r w:rsidRPr="00E80AA6">
              <w:rPr>
                <w:rFonts w:ascii="Arial" w:hAnsi="Arial" w:cs="Arial"/>
                <w:szCs w:val="24"/>
              </w:rPr>
              <w:t>,</w:t>
            </w:r>
            <w:r w:rsidR="00B2073E" w:rsidRPr="00E80AA6">
              <w:rPr>
                <w:rFonts w:ascii="Arial" w:hAnsi="Arial" w:cs="Arial"/>
                <w:szCs w:val="24"/>
              </w:rPr>
              <w:t>148</w:t>
            </w:r>
            <w:r w:rsidR="00027C59" w:rsidRPr="00E80AA6">
              <w:rPr>
                <w:rFonts w:ascii="Arial" w:hAnsi="Arial" w:cs="Arial"/>
                <w:szCs w:val="24"/>
              </w:rPr>
              <w:t>)</w:t>
            </w:r>
          </w:p>
        </w:tc>
      </w:tr>
      <w:tr w:rsidR="0033457D" w:rsidRPr="0033457D" w14:paraId="1388EAF4" w14:textId="77777777" w:rsidTr="0031310A">
        <w:tc>
          <w:tcPr>
            <w:tcW w:w="5211" w:type="dxa"/>
            <w:shd w:val="clear" w:color="auto" w:fill="auto"/>
          </w:tcPr>
          <w:p w14:paraId="6ABC779C" w14:textId="77777777" w:rsidR="009659E2" w:rsidRPr="005E4729" w:rsidRDefault="00027C59" w:rsidP="0031310A">
            <w:pPr>
              <w:pStyle w:val="Heading2"/>
              <w:keepNext w:val="0"/>
              <w:numPr>
                <w:ilvl w:val="0"/>
                <w:numId w:val="0"/>
              </w:numPr>
              <w:spacing w:after="0"/>
              <w:jc w:val="left"/>
              <w:rPr>
                <w:rFonts w:ascii="Arial" w:hAnsi="Arial" w:cs="Arial"/>
                <w:szCs w:val="24"/>
              </w:rPr>
            </w:pPr>
            <w:r w:rsidRPr="005E4729">
              <w:rPr>
                <w:rFonts w:ascii="Arial" w:hAnsi="Arial" w:cs="Arial"/>
                <w:szCs w:val="24"/>
              </w:rPr>
              <w:t>Funding available for individual school budgets</w:t>
            </w:r>
          </w:p>
        </w:tc>
        <w:tc>
          <w:tcPr>
            <w:tcW w:w="2126" w:type="dxa"/>
            <w:tcBorders>
              <w:top w:val="single" w:sz="4" w:space="0" w:color="auto"/>
            </w:tcBorders>
            <w:shd w:val="clear" w:color="auto" w:fill="auto"/>
          </w:tcPr>
          <w:p w14:paraId="5B457AE8" w14:textId="5D7389B2" w:rsidR="009659E2" w:rsidRPr="00895373" w:rsidRDefault="00E80AA6" w:rsidP="0031310A">
            <w:pPr>
              <w:pStyle w:val="Heading2"/>
              <w:keepNext w:val="0"/>
              <w:numPr>
                <w:ilvl w:val="0"/>
                <w:numId w:val="0"/>
              </w:numPr>
              <w:spacing w:after="0"/>
              <w:jc w:val="right"/>
              <w:rPr>
                <w:rFonts w:ascii="Arial" w:hAnsi="Arial" w:cs="Arial"/>
                <w:szCs w:val="24"/>
              </w:rPr>
            </w:pPr>
            <w:r w:rsidRPr="00895373">
              <w:rPr>
                <w:rFonts w:ascii="Arial" w:hAnsi="Arial" w:cs="Arial"/>
                <w:szCs w:val="24"/>
              </w:rPr>
              <w:t>1,063</w:t>
            </w:r>
            <w:r w:rsidR="00873388" w:rsidRPr="00895373">
              <w:rPr>
                <w:rFonts w:ascii="Arial" w:hAnsi="Arial" w:cs="Arial"/>
                <w:szCs w:val="24"/>
              </w:rPr>
              <w:t>,5</w:t>
            </w:r>
            <w:r w:rsidRPr="00895373">
              <w:rPr>
                <w:rFonts w:ascii="Arial" w:hAnsi="Arial" w:cs="Arial"/>
                <w:szCs w:val="24"/>
              </w:rPr>
              <w:t>3</w:t>
            </w:r>
            <w:r w:rsidR="009B127B">
              <w:rPr>
                <w:rFonts w:ascii="Arial" w:hAnsi="Arial" w:cs="Arial"/>
                <w:szCs w:val="24"/>
              </w:rPr>
              <w:t>1</w:t>
            </w:r>
          </w:p>
        </w:tc>
      </w:tr>
      <w:tr w:rsidR="0033457D" w:rsidRPr="0033457D" w14:paraId="2D6D8637" w14:textId="77777777" w:rsidTr="0031310A">
        <w:tc>
          <w:tcPr>
            <w:tcW w:w="5211" w:type="dxa"/>
            <w:shd w:val="clear" w:color="auto" w:fill="auto"/>
          </w:tcPr>
          <w:p w14:paraId="06AA4FDC" w14:textId="77777777" w:rsidR="00EB5965" w:rsidRPr="005E4729" w:rsidRDefault="00C34B28" w:rsidP="0031310A">
            <w:pPr>
              <w:pStyle w:val="Heading2"/>
              <w:keepNext w:val="0"/>
              <w:numPr>
                <w:ilvl w:val="0"/>
                <w:numId w:val="0"/>
              </w:numPr>
              <w:spacing w:after="0"/>
              <w:jc w:val="left"/>
              <w:rPr>
                <w:rFonts w:ascii="Arial" w:hAnsi="Arial" w:cs="Arial"/>
                <w:szCs w:val="24"/>
              </w:rPr>
            </w:pPr>
            <w:r w:rsidRPr="005E4729">
              <w:rPr>
                <w:rFonts w:ascii="Arial" w:hAnsi="Arial" w:cs="Arial"/>
                <w:szCs w:val="24"/>
              </w:rPr>
              <w:t>Funding required using national funding formula unit values</w:t>
            </w:r>
          </w:p>
        </w:tc>
        <w:tc>
          <w:tcPr>
            <w:tcW w:w="2126" w:type="dxa"/>
            <w:tcBorders>
              <w:bottom w:val="single" w:sz="4" w:space="0" w:color="auto"/>
            </w:tcBorders>
            <w:shd w:val="clear" w:color="auto" w:fill="auto"/>
          </w:tcPr>
          <w:p w14:paraId="4EC66DC2" w14:textId="6A7A3021" w:rsidR="00EB5965" w:rsidRPr="009A4728" w:rsidRDefault="00BA50A1" w:rsidP="0031310A">
            <w:pPr>
              <w:pStyle w:val="Heading2"/>
              <w:keepNext w:val="0"/>
              <w:numPr>
                <w:ilvl w:val="0"/>
                <w:numId w:val="0"/>
              </w:numPr>
              <w:spacing w:after="0"/>
              <w:jc w:val="right"/>
              <w:rPr>
                <w:rFonts w:ascii="Arial" w:hAnsi="Arial" w:cs="Arial"/>
                <w:szCs w:val="24"/>
              </w:rPr>
            </w:pPr>
            <w:r w:rsidRPr="009A4728">
              <w:rPr>
                <w:rFonts w:ascii="Arial" w:hAnsi="Arial" w:cs="Arial"/>
                <w:szCs w:val="24"/>
              </w:rPr>
              <w:t>1,068,317</w:t>
            </w:r>
          </w:p>
        </w:tc>
      </w:tr>
      <w:tr w:rsidR="00A05D1C" w:rsidRPr="0033457D" w14:paraId="1ECEE09E" w14:textId="77777777" w:rsidTr="0031310A">
        <w:tc>
          <w:tcPr>
            <w:tcW w:w="5211" w:type="dxa"/>
            <w:shd w:val="clear" w:color="auto" w:fill="auto"/>
          </w:tcPr>
          <w:p w14:paraId="5DC2C48B" w14:textId="77777777" w:rsidR="00EB5965" w:rsidRPr="005E4729" w:rsidRDefault="003235B7" w:rsidP="0031310A">
            <w:pPr>
              <w:pStyle w:val="Heading2"/>
              <w:keepNext w:val="0"/>
              <w:numPr>
                <w:ilvl w:val="0"/>
                <w:numId w:val="0"/>
              </w:numPr>
              <w:spacing w:after="0"/>
              <w:jc w:val="left"/>
              <w:rPr>
                <w:rFonts w:ascii="Arial" w:hAnsi="Arial" w:cs="Arial"/>
                <w:szCs w:val="24"/>
              </w:rPr>
            </w:pPr>
            <w:r w:rsidRPr="005E4729">
              <w:rPr>
                <w:rFonts w:ascii="Arial" w:hAnsi="Arial" w:cs="Arial"/>
                <w:szCs w:val="24"/>
              </w:rPr>
              <w:t>Shortfall</w:t>
            </w:r>
          </w:p>
        </w:tc>
        <w:tc>
          <w:tcPr>
            <w:tcW w:w="2126" w:type="dxa"/>
            <w:tcBorders>
              <w:top w:val="single" w:sz="4" w:space="0" w:color="auto"/>
              <w:bottom w:val="single" w:sz="4" w:space="0" w:color="auto"/>
            </w:tcBorders>
            <w:shd w:val="clear" w:color="auto" w:fill="auto"/>
          </w:tcPr>
          <w:p w14:paraId="13FAFD2A" w14:textId="3CB6019C" w:rsidR="00EB5965" w:rsidRPr="009A4728" w:rsidRDefault="00374C0D" w:rsidP="0031310A">
            <w:pPr>
              <w:pStyle w:val="Heading2"/>
              <w:keepNext w:val="0"/>
              <w:numPr>
                <w:ilvl w:val="0"/>
                <w:numId w:val="0"/>
              </w:numPr>
              <w:spacing w:after="0"/>
              <w:jc w:val="right"/>
              <w:rPr>
                <w:rFonts w:ascii="Arial" w:hAnsi="Arial" w:cs="Arial"/>
                <w:szCs w:val="24"/>
              </w:rPr>
            </w:pPr>
            <w:r w:rsidRPr="009A4728">
              <w:rPr>
                <w:rFonts w:ascii="Arial" w:hAnsi="Arial" w:cs="Arial"/>
                <w:szCs w:val="24"/>
              </w:rPr>
              <w:t>4</w:t>
            </w:r>
            <w:r w:rsidR="00F26B14" w:rsidRPr="009A4728">
              <w:rPr>
                <w:rFonts w:ascii="Arial" w:hAnsi="Arial" w:cs="Arial"/>
                <w:szCs w:val="24"/>
              </w:rPr>
              <w:t>,78</w:t>
            </w:r>
            <w:r w:rsidR="009A4728" w:rsidRPr="009A4728">
              <w:rPr>
                <w:rFonts w:ascii="Arial" w:hAnsi="Arial" w:cs="Arial"/>
                <w:szCs w:val="24"/>
              </w:rPr>
              <w:t>6</w:t>
            </w:r>
          </w:p>
        </w:tc>
      </w:tr>
    </w:tbl>
    <w:p w14:paraId="54C10EED" w14:textId="77777777" w:rsidR="00D11802" w:rsidRPr="0033457D" w:rsidRDefault="00D11802" w:rsidP="00D11802">
      <w:pPr>
        <w:pStyle w:val="Heading2"/>
        <w:keepNext w:val="0"/>
        <w:numPr>
          <w:ilvl w:val="0"/>
          <w:numId w:val="0"/>
        </w:numPr>
        <w:spacing w:after="0"/>
        <w:ind w:left="426"/>
        <w:jc w:val="left"/>
        <w:rPr>
          <w:rFonts w:ascii="Arial" w:hAnsi="Arial" w:cs="Arial"/>
          <w:color w:val="FF0000"/>
          <w:szCs w:val="24"/>
        </w:rPr>
      </w:pPr>
    </w:p>
    <w:p w14:paraId="6C80FFDE" w14:textId="058BADD0" w:rsidR="00B423E6" w:rsidRPr="003616BC" w:rsidRDefault="009A651C" w:rsidP="00070B48">
      <w:pPr>
        <w:pStyle w:val="Heading2"/>
        <w:keepNext w:val="0"/>
        <w:tabs>
          <w:tab w:val="num" w:pos="426"/>
        </w:tabs>
        <w:ind w:left="426" w:hanging="568"/>
        <w:jc w:val="left"/>
        <w:rPr>
          <w:rFonts w:ascii="Arial" w:hAnsi="Arial" w:cs="Arial"/>
          <w:szCs w:val="24"/>
        </w:rPr>
      </w:pPr>
      <w:r w:rsidRPr="002C25A4">
        <w:rPr>
          <w:rFonts w:ascii="Arial" w:hAnsi="Arial" w:cs="Arial"/>
          <w:szCs w:val="24"/>
        </w:rPr>
        <w:t xml:space="preserve">The shortfall in funding is </w:t>
      </w:r>
      <w:r w:rsidR="00D1686B" w:rsidRPr="002C25A4">
        <w:rPr>
          <w:rFonts w:ascii="Arial" w:hAnsi="Arial" w:cs="Arial"/>
          <w:szCs w:val="24"/>
        </w:rPr>
        <w:t xml:space="preserve">mostly </w:t>
      </w:r>
      <w:r w:rsidRPr="002C25A4">
        <w:rPr>
          <w:rFonts w:ascii="Arial" w:hAnsi="Arial" w:cs="Arial"/>
          <w:szCs w:val="24"/>
        </w:rPr>
        <w:t xml:space="preserve">due to </w:t>
      </w:r>
      <w:r w:rsidR="00130EFF" w:rsidRPr="002C25A4">
        <w:rPr>
          <w:rFonts w:ascii="Arial" w:hAnsi="Arial" w:cs="Arial"/>
          <w:szCs w:val="24"/>
        </w:rPr>
        <w:t xml:space="preserve">a change in pupil characteristics. </w:t>
      </w:r>
      <w:r w:rsidR="00B423E6" w:rsidRPr="002C25A4">
        <w:rPr>
          <w:rFonts w:ascii="Arial" w:hAnsi="Arial" w:cs="Arial"/>
          <w:szCs w:val="24"/>
        </w:rPr>
        <w:t>Funding will be provided to schools in 202</w:t>
      </w:r>
      <w:r w:rsidR="002C25A4" w:rsidRPr="002C25A4">
        <w:rPr>
          <w:rFonts w:ascii="Arial" w:hAnsi="Arial" w:cs="Arial"/>
          <w:szCs w:val="24"/>
        </w:rPr>
        <w:t>5</w:t>
      </w:r>
      <w:r w:rsidR="00B423E6" w:rsidRPr="002C25A4">
        <w:rPr>
          <w:rFonts w:ascii="Arial" w:hAnsi="Arial" w:cs="Arial"/>
          <w:szCs w:val="24"/>
        </w:rPr>
        <w:t>/2</w:t>
      </w:r>
      <w:r w:rsidR="002C25A4" w:rsidRPr="002C25A4">
        <w:rPr>
          <w:rFonts w:ascii="Arial" w:hAnsi="Arial" w:cs="Arial"/>
          <w:szCs w:val="24"/>
        </w:rPr>
        <w:t>6</w:t>
      </w:r>
      <w:r w:rsidR="00B423E6" w:rsidRPr="002C25A4">
        <w:rPr>
          <w:rFonts w:ascii="Arial" w:hAnsi="Arial" w:cs="Arial"/>
          <w:szCs w:val="24"/>
        </w:rPr>
        <w:t xml:space="preserve"> based on the characteristics of pupils on the October 202</w:t>
      </w:r>
      <w:r w:rsidR="002C25A4" w:rsidRPr="002C25A4">
        <w:rPr>
          <w:rFonts w:ascii="Arial" w:hAnsi="Arial" w:cs="Arial"/>
          <w:szCs w:val="24"/>
        </w:rPr>
        <w:t xml:space="preserve">4 </w:t>
      </w:r>
      <w:r w:rsidR="00B423E6" w:rsidRPr="002C25A4">
        <w:rPr>
          <w:rFonts w:ascii="Arial" w:hAnsi="Arial" w:cs="Arial"/>
          <w:szCs w:val="24"/>
        </w:rPr>
        <w:t xml:space="preserve">pupil census, however the </w:t>
      </w:r>
      <w:r w:rsidR="00200C1F" w:rsidRPr="002C25A4">
        <w:rPr>
          <w:rFonts w:ascii="Arial" w:hAnsi="Arial" w:cs="Arial"/>
          <w:szCs w:val="24"/>
        </w:rPr>
        <w:t xml:space="preserve">DfE’s national funding formula provides funding based on the characteristics of pupils on the October </w:t>
      </w:r>
      <w:r w:rsidR="00200C1F" w:rsidRPr="003616BC">
        <w:rPr>
          <w:rFonts w:ascii="Arial" w:hAnsi="Arial" w:cs="Arial"/>
          <w:szCs w:val="24"/>
        </w:rPr>
        <w:t>20</w:t>
      </w:r>
      <w:r w:rsidR="00EC05F9" w:rsidRPr="003616BC">
        <w:rPr>
          <w:rFonts w:ascii="Arial" w:hAnsi="Arial" w:cs="Arial"/>
          <w:szCs w:val="24"/>
        </w:rPr>
        <w:t>2</w:t>
      </w:r>
      <w:r w:rsidR="002C25A4" w:rsidRPr="003616BC">
        <w:rPr>
          <w:rFonts w:ascii="Arial" w:hAnsi="Arial" w:cs="Arial"/>
          <w:szCs w:val="24"/>
        </w:rPr>
        <w:t>3</w:t>
      </w:r>
      <w:r w:rsidR="00200C1F" w:rsidRPr="003616BC">
        <w:rPr>
          <w:rFonts w:ascii="Arial" w:hAnsi="Arial" w:cs="Arial"/>
          <w:szCs w:val="24"/>
        </w:rPr>
        <w:t xml:space="preserve"> pupil census.</w:t>
      </w:r>
    </w:p>
    <w:p w14:paraId="53026EB3" w14:textId="3A66AB17" w:rsidR="00710B12" w:rsidRPr="003616BC" w:rsidRDefault="00710B12" w:rsidP="004F08E8">
      <w:pPr>
        <w:pStyle w:val="Heading2"/>
        <w:keepNext w:val="0"/>
        <w:tabs>
          <w:tab w:val="num" w:pos="426"/>
        </w:tabs>
        <w:ind w:left="426" w:hanging="568"/>
        <w:jc w:val="left"/>
        <w:rPr>
          <w:rFonts w:ascii="Arial" w:hAnsi="Arial" w:cs="Arial"/>
          <w:szCs w:val="24"/>
        </w:rPr>
      </w:pPr>
      <w:r w:rsidRPr="003616BC">
        <w:rPr>
          <w:rFonts w:ascii="Arial" w:hAnsi="Arial" w:cs="Arial"/>
          <w:szCs w:val="24"/>
        </w:rPr>
        <w:t xml:space="preserve">The overall number of mainstream pupils has </w:t>
      </w:r>
      <w:r w:rsidR="004C7910" w:rsidRPr="003616BC">
        <w:rPr>
          <w:rFonts w:ascii="Arial" w:hAnsi="Arial" w:cs="Arial"/>
          <w:szCs w:val="24"/>
        </w:rPr>
        <w:t>de</w:t>
      </w:r>
      <w:r w:rsidRPr="003616BC">
        <w:rPr>
          <w:rFonts w:ascii="Arial" w:hAnsi="Arial" w:cs="Arial"/>
          <w:szCs w:val="24"/>
        </w:rPr>
        <w:t xml:space="preserve">creased by </w:t>
      </w:r>
      <w:r w:rsidR="00915468" w:rsidRPr="003616BC">
        <w:rPr>
          <w:rFonts w:ascii="Arial" w:hAnsi="Arial" w:cs="Arial"/>
          <w:szCs w:val="24"/>
        </w:rPr>
        <w:t>0.</w:t>
      </w:r>
      <w:r w:rsidR="00514026" w:rsidRPr="003616BC">
        <w:rPr>
          <w:rFonts w:ascii="Arial" w:hAnsi="Arial" w:cs="Arial"/>
          <w:szCs w:val="24"/>
        </w:rPr>
        <w:t>46</w:t>
      </w:r>
      <w:r w:rsidR="00C77783" w:rsidRPr="003616BC">
        <w:rPr>
          <w:rFonts w:ascii="Arial" w:hAnsi="Arial" w:cs="Arial"/>
          <w:szCs w:val="24"/>
        </w:rPr>
        <w:t>%, howe</w:t>
      </w:r>
      <w:r w:rsidR="009F1173" w:rsidRPr="003616BC">
        <w:rPr>
          <w:rFonts w:ascii="Arial" w:hAnsi="Arial" w:cs="Arial"/>
          <w:szCs w:val="24"/>
        </w:rPr>
        <w:t>ver</w:t>
      </w:r>
      <w:r w:rsidR="00C77783" w:rsidRPr="003616BC">
        <w:rPr>
          <w:rFonts w:ascii="Arial" w:hAnsi="Arial" w:cs="Arial"/>
          <w:szCs w:val="24"/>
        </w:rPr>
        <w:t xml:space="preserve"> </w:t>
      </w:r>
      <w:r w:rsidR="001A5588" w:rsidRPr="003616BC">
        <w:rPr>
          <w:rFonts w:ascii="Arial" w:hAnsi="Arial" w:cs="Arial"/>
          <w:szCs w:val="24"/>
        </w:rPr>
        <w:t xml:space="preserve">the number of </w:t>
      </w:r>
      <w:r w:rsidR="00A975AA" w:rsidRPr="003616BC">
        <w:rPr>
          <w:rFonts w:ascii="Arial" w:hAnsi="Arial" w:cs="Arial"/>
          <w:szCs w:val="24"/>
        </w:rPr>
        <w:t>pupils</w:t>
      </w:r>
      <w:r w:rsidR="001A5588" w:rsidRPr="003616BC">
        <w:rPr>
          <w:rFonts w:ascii="Arial" w:hAnsi="Arial" w:cs="Arial"/>
          <w:szCs w:val="24"/>
        </w:rPr>
        <w:t xml:space="preserve"> eligible for free school meals has increased by </w:t>
      </w:r>
      <w:r w:rsidR="006367DE" w:rsidRPr="003616BC">
        <w:rPr>
          <w:rFonts w:ascii="Arial" w:hAnsi="Arial" w:cs="Arial"/>
          <w:szCs w:val="24"/>
        </w:rPr>
        <w:t>5</w:t>
      </w:r>
      <w:r w:rsidR="00F00225" w:rsidRPr="003616BC">
        <w:rPr>
          <w:rFonts w:ascii="Arial" w:hAnsi="Arial" w:cs="Arial"/>
          <w:szCs w:val="24"/>
        </w:rPr>
        <w:t>.71</w:t>
      </w:r>
      <w:r w:rsidR="001A5588" w:rsidRPr="003616BC">
        <w:rPr>
          <w:rFonts w:ascii="Arial" w:hAnsi="Arial" w:cs="Arial"/>
          <w:szCs w:val="24"/>
        </w:rPr>
        <w:t>%</w:t>
      </w:r>
      <w:r w:rsidR="00986BC9" w:rsidRPr="003616BC">
        <w:rPr>
          <w:rFonts w:ascii="Arial" w:hAnsi="Arial" w:cs="Arial"/>
          <w:szCs w:val="24"/>
        </w:rPr>
        <w:t xml:space="preserve"> </w:t>
      </w:r>
      <w:r w:rsidR="003E60F6" w:rsidRPr="003616BC">
        <w:rPr>
          <w:rFonts w:ascii="Arial" w:hAnsi="Arial" w:cs="Arial"/>
          <w:szCs w:val="24"/>
        </w:rPr>
        <w:t xml:space="preserve">and the number of pupils eligible for free school meals </w:t>
      </w:r>
      <w:r w:rsidR="00015FD6" w:rsidRPr="003616BC">
        <w:rPr>
          <w:rFonts w:ascii="Arial" w:hAnsi="Arial" w:cs="Arial"/>
          <w:szCs w:val="24"/>
        </w:rPr>
        <w:t>o</w:t>
      </w:r>
      <w:r w:rsidR="003E60F6" w:rsidRPr="003616BC">
        <w:rPr>
          <w:rFonts w:ascii="Arial" w:hAnsi="Arial" w:cs="Arial"/>
          <w:szCs w:val="24"/>
        </w:rPr>
        <w:t xml:space="preserve">ver 6 has increased by </w:t>
      </w:r>
      <w:r w:rsidR="002C1F32" w:rsidRPr="003616BC">
        <w:rPr>
          <w:rFonts w:ascii="Arial" w:hAnsi="Arial" w:cs="Arial"/>
          <w:szCs w:val="24"/>
        </w:rPr>
        <w:t>4.3</w:t>
      </w:r>
      <w:r w:rsidR="00D81E84" w:rsidRPr="003616BC">
        <w:rPr>
          <w:rFonts w:ascii="Arial" w:hAnsi="Arial" w:cs="Arial"/>
          <w:szCs w:val="24"/>
        </w:rPr>
        <w:t>2</w:t>
      </w:r>
      <w:r w:rsidR="003E60F6" w:rsidRPr="003616BC">
        <w:rPr>
          <w:rFonts w:ascii="Arial" w:hAnsi="Arial" w:cs="Arial"/>
          <w:szCs w:val="24"/>
        </w:rPr>
        <w:t>%.</w:t>
      </w:r>
      <w:r w:rsidR="009A6A6C" w:rsidRPr="003616BC">
        <w:rPr>
          <w:rFonts w:ascii="Arial" w:hAnsi="Arial" w:cs="Arial"/>
          <w:szCs w:val="24"/>
        </w:rPr>
        <w:t xml:space="preserve">  There have also been increases to the number of pupils with English as an additional language (</w:t>
      </w:r>
      <w:r w:rsidR="00A771F3" w:rsidRPr="003616BC">
        <w:rPr>
          <w:rFonts w:ascii="Arial" w:hAnsi="Arial" w:cs="Arial"/>
          <w:szCs w:val="24"/>
        </w:rPr>
        <w:t>8.62</w:t>
      </w:r>
      <w:r w:rsidR="009A6A6C" w:rsidRPr="003616BC">
        <w:rPr>
          <w:rFonts w:ascii="Arial" w:hAnsi="Arial" w:cs="Arial"/>
          <w:szCs w:val="24"/>
        </w:rPr>
        <w:t>%) and mobility (</w:t>
      </w:r>
      <w:r w:rsidR="003616BC" w:rsidRPr="003616BC">
        <w:rPr>
          <w:rFonts w:ascii="Arial" w:hAnsi="Arial" w:cs="Arial"/>
          <w:szCs w:val="24"/>
        </w:rPr>
        <w:t>6.85</w:t>
      </w:r>
      <w:r w:rsidR="009A6A6C" w:rsidRPr="003616BC">
        <w:rPr>
          <w:rFonts w:ascii="Arial" w:hAnsi="Arial" w:cs="Arial"/>
          <w:szCs w:val="24"/>
        </w:rPr>
        <w:t>%)</w:t>
      </w:r>
      <w:r w:rsidR="00EF473D" w:rsidRPr="003616BC">
        <w:rPr>
          <w:rFonts w:ascii="Arial" w:hAnsi="Arial" w:cs="Arial"/>
          <w:szCs w:val="24"/>
        </w:rPr>
        <w:t>.</w:t>
      </w:r>
    </w:p>
    <w:p w14:paraId="63FA23E3" w14:textId="7A2FDF99" w:rsidR="007D66D5" w:rsidRPr="00B33C93" w:rsidRDefault="00BA22AB" w:rsidP="00E739A5">
      <w:pPr>
        <w:pStyle w:val="Heading2"/>
        <w:keepNext w:val="0"/>
        <w:tabs>
          <w:tab w:val="num" w:pos="426"/>
        </w:tabs>
        <w:ind w:left="426" w:hanging="568"/>
        <w:jc w:val="left"/>
        <w:rPr>
          <w:rFonts w:ascii="Arial" w:hAnsi="Arial" w:cs="Arial"/>
          <w:szCs w:val="24"/>
        </w:rPr>
      </w:pPr>
      <w:r w:rsidRPr="00F34311">
        <w:rPr>
          <w:rFonts w:ascii="Arial" w:hAnsi="Arial" w:cs="Arial"/>
          <w:szCs w:val="24"/>
        </w:rPr>
        <w:t xml:space="preserve">The shortfall </w:t>
      </w:r>
      <w:r w:rsidRPr="009A4728">
        <w:rPr>
          <w:rFonts w:ascii="Arial" w:hAnsi="Arial" w:cs="Arial"/>
          <w:szCs w:val="24"/>
        </w:rPr>
        <w:t>of £</w:t>
      </w:r>
      <w:r w:rsidR="003D5A84" w:rsidRPr="009A4728">
        <w:rPr>
          <w:rFonts w:ascii="Arial" w:hAnsi="Arial" w:cs="Arial"/>
          <w:szCs w:val="24"/>
        </w:rPr>
        <w:t>4</w:t>
      </w:r>
      <w:r w:rsidR="00BF0751" w:rsidRPr="009A4728">
        <w:rPr>
          <w:rFonts w:ascii="Arial" w:hAnsi="Arial" w:cs="Arial"/>
          <w:szCs w:val="24"/>
        </w:rPr>
        <w:t>.</w:t>
      </w:r>
      <w:r w:rsidR="00B33C93" w:rsidRPr="009A4728">
        <w:rPr>
          <w:rFonts w:ascii="Arial" w:hAnsi="Arial" w:cs="Arial"/>
          <w:szCs w:val="24"/>
        </w:rPr>
        <w:t>8</w:t>
      </w:r>
      <w:r w:rsidR="00BF0751" w:rsidRPr="009A4728">
        <w:rPr>
          <w:rFonts w:ascii="Arial" w:hAnsi="Arial" w:cs="Arial"/>
          <w:szCs w:val="24"/>
        </w:rPr>
        <w:t xml:space="preserve">m </w:t>
      </w:r>
      <w:r w:rsidRPr="009A4728">
        <w:rPr>
          <w:rFonts w:ascii="Arial" w:hAnsi="Arial" w:cs="Arial"/>
          <w:szCs w:val="24"/>
        </w:rPr>
        <w:t xml:space="preserve">cannot </w:t>
      </w:r>
      <w:r w:rsidRPr="00F34311">
        <w:rPr>
          <w:rFonts w:ascii="Arial" w:hAnsi="Arial" w:cs="Arial"/>
          <w:szCs w:val="24"/>
        </w:rPr>
        <w:t>be met from the Growth Fund allocation</w:t>
      </w:r>
      <w:r w:rsidR="00591C84" w:rsidRPr="00F34311">
        <w:rPr>
          <w:rFonts w:ascii="Arial" w:hAnsi="Arial" w:cs="Arial"/>
          <w:szCs w:val="24"/>
        </w:rPr>
        <w:t>, so it will be necessary</w:t>
      </w:r>
      <w:r w:rsidR="000805AE" w:rsidRPr="00F34311">
        <w:rPr>
          <w:rFonts w:ascii="Arial" w:hAnsi="Arial" w:cs="Arial"/>
          <w:szCs w:val="24"/>
        </w:rPr>
        <w:t>,</w:t>
      </w:r>
      <w:r w:rsidR="00591C84" w:rsidRPr="00F34311">
        <w:rPr>
          <w:rFonts w:ascii="Arial" w:hAnsi="Arial" w:cs="Arial"/>
          <w:szCs w:val="24"/>
        </w:rPr>
        <w:t xml:space="preserve"> </w:t>
      </w:r>
      <w:r w:rsidR="004A1A01" w:rsidRPr="00F34311">
        <w:rPr>
          <w:rFonts w:ascii="Arial" w:hAnsi="Arial" w:cs="Arial"/>
          <w:szCs w:val="24"/>
        </w:rPr>
        <w:t>as in previous years,</w:t>
      </w:r>
      <w:r w:rsidR="00591C84" w:rsidRPr="00F34311">
        <w:rPr>
          <w:rFonts w:ascii="Arial" w:hAnsi="Arial" w:cs="Arial"/>
          <w:szCs w:val="24"/>
        </w:rPr>
        <w:t xml:space="preserve"> to apply an adjustment to</w:t>
      </w:r>
      <w:r w:rsidR="002539F8" w:rsidRPr="00F34311">
        <w:rPr>
          <w:rFonts w:ascii="Arial" w:hAnsi="Arial" w:cs="Arial"/>
          <w:szCs w:val="24"/>
        </w:rPr>
        <w:t xml:space="preserve"> the unit values in the local schools funding formula</w:t>
      </w:r>
      <w:r w:rsidR="00A61786" w:rsidRPr="00F34311">
        <w:rPr>
          <w:rFonts w:ascii="Arial" w:hAnsi="Arial" w:cs="Arial"/>
          <w:szCs w:val="24"/>
        </w:rPr>
        <w:t xml:space="preserve"> to address the shortfall.</w:t>
      </w:r>
      <w:r w:rsidR="00ED34B4" w:rsidRPr="00F34311">
        <w:rPr>
          <w:rFonts w:ascii="Arial" w:hAnsi="Arial" w:cs="Arial"/>
          <w:szCs w:val="24"/>
        </w:rPr>
        <w:t xml:space="preserve"> </w:t>
      </w:r>
      <w:r w:rsidR="00D15D17" w:rsidRPr="00F34311">
        <w:rPr>
          <w:rFonts w:ascii="Arial" w:hAnsi="Arial" w:cs="Arial"/>
          <w:szCs w:val="24"/>
        </w:rPr>
        <w:t>The adjustment required to the national funding formula unit values, excluding the</w:t>
      </w:r>
      <w:r w:rsidR="00B568FC" w:rsidRPr="00F34311">
        <w:rPr>
          <w:rFonts w:ascii="Arial" w:hAnsi="Arial" w:cs="Arial"/>
          <w:szCs w:val="24"/>
        </w:rPr>
        <w:t xml:space="preserve"> </w:t>
      </w:r>
      <w:r w:rsidR="00304151" w:rsidRPr="00F34311">
        <w:rPr>
          <w:rFonts w:ascii="Arial" w:hAnsi="Arial" w:cs="Arial"/>
          <w:szCs w:val="24"/>
        </w:rPr>
        <w:t xml:space="preserve">protection factors is </w:t>
      </w:r>
      <w:r w:rsidR="00304151" w:rsidRPr="009469F2">
        <w:rPr>
          <w:rFonts w:ascii="Arial" w:hAnsi="Arial" w:cs="Arial"/>
          <w:szCs w:val="24"/>
        </w:rPr>
        <w:t>-0.</w:t>
      </w:r>
      <w:r w:rsidR="003D5A84" w:rsidRPr="009469F2">
        <w:rPr>
          <w:rFonts w:ascii="Arial" w:hAnsi="Arial" w:cs="Arial"/>
          <w:szCs w:val="24"/>
        </w:rPr>
        <w:t>6</w:t>
      </w:r>
      <w:r w:rsidR="00365780" w:rsidRPr="009469F2">
        <w:rPr>
          <w:rFonts w:ascii="Arial" w:hAnsi="Arial" w:cs="Arial"/>
          <w:szCs w:val="24"/>
        </w:rPr>
        <w:t>6</w:t>
      </w:r>
      <w:r w:rsidR="00304151" w:rsidRPr="00F34311">
        <w:rPr>
          <w:rFonts w:ascii="Arial" w:hAnsi="Arial" w:cs="Arial"/>
          <w:szCs w:val="24"/>
        </w:rPr>
        <w:t>%</w:t>
      </w:r>
      <w:r w:rsidR="00432486" w:rsidRPr="00F34311">
        <w:rPr>
          <w:rFonts w:ascii="Arial" w:hAnsi="Arial" w:cs="Arial"/>
          <w:szCs w:val="24"/>
        </w:rPr>
        <w:t>.</w:t>
      </w:r>
      <w:r w:rsidR="007A1FBA" w:rsidRPr="00F34311">
        <w:rPr>
          <w:rFonts w:ascii="Arial" w:hAnsi="Arial" w:cs="Arial"/>
          <w:szCs w:val="24"/>
        </w:rPr>
        <w:t xml:space="preserve"> </w:t>
      </w:r>
      <w:r w:rsidR="00817BAA" w:rsidRPr="00F34311">
        <w:rPr>
          <w:rFonts w:ascii="Arial" w:hAnsi="Arial" w:cs="Arial"/>
          <w:szCs w:val="24"/>
        </w:rPr>
        <w:t>The</w:t>
      </w:r>
      <w:r w:rsidR="00D15D17" w:rsidRPr="00F34311">
        <w:rPr>
          <w:rFonts w:ascii="Arial" w:hAnsi="Arial" w:cs="Arial"/>
          <w:szCs w:val="24"/>
        </w:rPr>
        <w:t xml:space="preserve"> minimum per pupil funding levels</w:t>
      </w:r>
      <w:r w:rsidR="00775ADD" w:rsidRPr="00F34311">
        <w:rPr>
          <w:rFonts w:ascii="Arial" w:hAnsi="Arial" w:cs="Arial"/>
          <w:szCs w:val="24"/>
        </w:rPr>
        <w:t xml:space="preserve"> (</w:t>
      </w:r>
      <w:r w:rsidR="005C1552" w:rsidRPr="00F34311">
        <w:rPr>
          <w:rFonts w:ascii="Arial" w:hAnsi="Arial" w:cs="Arial"/>
          <w:szCs w:val="24"/>
        </w:rPr>
        <w:t>£</w:t>
      </w:r>
      <w:r w:rsidR="00B70F33" w:rsidRPr="00F34311">
        <w:rPr>
          <w:rFonts w:ascii="Arial" w:hAnsi="Arial" w:cs="Arial"/>
          <w:szCs w:val="24"/>
        </w:rPr>
        <w:t>4,</w:t>
      </w:r>
      <w:r w:rsidR="0030791C" w:rsidRPr="00F34311">
        <w:rPr>
          <w:rFonts w:ascii="Arial" w:hAnsi="Arial" w:cs="Arial"/>
          <w:szCs w:val="24"/>
        </w:rPr>
        <w:t>955</w:t>
      </w:r>
      <w:r w:rsidR="003916D9" w:rsidRPr="00F34311">
        <w:rPr>
          <w:rFonts w:ascii="Arial" w:hAnsi="Arial" w:cs="Arial"/>
          <w:szCs w:val="24"/>
        </w:rPr>
        <w:t xml:space="preserve"> for Primary</w:t>
      </w:r>
      <w:r w:rsidR="00691BD0" w:rsidRPr="00F34311">
        <w:rPr>
          <w:rFonts w:ascii="Arial" w:hAnsi="Arial" w:cs="Arial"/>
          <w:szCs w:val="24"/>
        </w:rPr>
        <w:t>, £</w:t>
      </w:r>
      <w:r w:rsidR="0030791C" w:rsidRPr="00F34311">
        <w:rPr>
          <w:rFonts w:ascii="Arial" w:hAnsi="Arial" w:cs="Arial"/>
          <w:szCs w:val="24"/>
        </w:rPr>
        <w:t>6,221</w:t>
      </w:r>
      <w:r w:rsidR="003916D9" w:rsidRPr="00F34311">
        <w:rPr>
          <w:rFonts w:ascii="Arial" w:hAnsi="Arial" w:cs="Arial"/>
          <w:szCs w:val="24"/>
        </w:rPr>
        <w:t xml:space="preserve"> for KS3</w:t>
      </w:r>
      <w:r w:rsidR="00691BD0" w:rsidRPr="00F34311">
        <w:rPr>
          <w:rFonts w:ascii="Arial" w:hAnsi="Arial" w:cs="Arial"/>
          <w:szCs w:val="24"/>
        </w:rPr>
        <w:t xml:space="preserve"> and £6,</w:t>
      </w:r>
      <w:r w:rsidR="0030791C" w:rsidRPr="00F34311">
        <w:rPr>
          <w:rFonts w:ascii="Arial" w:hAnsi="Arial" w:cs="Arial"/>
          <w:szCs w:val="24"/>
        </w:rPr>
        <w:t>831</w:t>
      </w:r>
      <w:r w:rsidR="003916D9" w:rsidRPr="00F34311">
        <w:rPr>
          <w:rFonts w:ascii="Arial" w:hAnsi="Arial" w:cs="Arial"/>
          <w:szCs w:val="24"/>
        </w:rPr>
        <w:t xml:space="preserve"> for KS4</w:t>
      </w:r>
      <w:r w:rsidR="00691BD0" w:rsidRPr="00F34311">
        <w:rPr>
          <w:rFonts w:ascii="Arial" w:hAnsi="Arial" w:cs="Arial"/>
          <w:szCs w:val="24"/>
        </w:rPr>
        <w:t xml:space="preserve">) </w:t>
      </w:r>
      <w:r w:rsidR="00DF07D8" w:rsidRPr="00F34311">
        <w:rPr>
          <w:rFonts w:ascii="Arial" w:hAnsi="Arial" w:cs="Arial"/>
          <w:szCs w:val="24"/>
        </w:rPr>
        <w:t>and t</w:t>
      </w:r>
      <w:r w:rsidR="00FC3985" w:rsidRPr="00F34311">
        <w:rPr>
          <w:rFonts w:ascii="Arial" w:hAnsi="Arial" w:cs="Arial"/>
          <w:szCs w:val="24"/>
        </w:rPr>
        <w:t xml:space="preserve">he minimum funding guarantee </w:t>
      </w:r>
      <w:r w:rsidR="000C5F09" w:rsidRPr="00F34311">
        <w:rPr>
          <w:rFonts w:ascii="Arial" w:hAnsi="Arial" w:cs="Arial"/>
          <w:szCs w:val="24"/>
        </w:rPr>
        <w:t>(0.</w:t>
      </w:r>
      <w:r w:rsidR="00F34311" w:rsidRPr="00F34311">
        <w:rPr>
          <w:rFonts w:ascii="Arial" w:hAnsi="Arial" w:cs="Arial"/>
          <w:szCs w:val="24"/>
        </w:rPr>
        <w:t>0</w:t>
      </w:r>
      <w:r w:rsidR="000C5F09" w:rsidRPr="00F34311">
        <w:rPr>
          <w:rFonts w:ascii="Arial" w:hAnsi="Arial" w:cs="Arial"/>
          <w:szCs w:val="24"/>
        </w:rPr>
        <w:t xml:space="preserve">%) </w:t>
      </w:r>
      <w:r w:rsidR="00FC3985" w:rsidRPr="00F34311">
        <w:rPr>
          <w:rFonts w:ascii="Arial" w:hAnsi="Arial" w:cs="Arial"/>
          <w:szCs w:val="24"/>
        </w:rPr>
        <w:t xml:space="preserve">will </w:t>
      </w:r>
      <w:r w:rsidR="006F4039" w:rsidRPr="00F34311">
        <w:rPr>
          <w:rFonts w:ascii="Arial" w:hAnsi="Arial" w:cs="Arial"/>
          <w:szCs w:val="24"/>
        </w:rPr>
        <w:t>remain as stated</w:t>
      </w:r>
      <w:r w:rsidR="00F35C4D" w:rsidRPr="00B33C93">
        <w:rPr>
          <w:rFonts w:ascii="Arial" w:hAnsi="Arial" w:cs="Arial"/>
          <w:szCs w:val="24"/>
        </w:rPr>
        <w:t>.</w:t>
      </w:r>
    </w:p>
    <w:p w14:paraId="1A8FB4B0" w14:textId="7DEFC4C3" w:rsidR="003356AD" w:rsidRPr="00B33C93" w:rsidRDefault="007605A5" w:rsidP="0076265A">
      <w:pPr>
        <w:pStyle w:val="Heading2"/>
        <w:tabs>
          <w:tab w:val="num" w:pos="426"/>
        </w:tabs>
        <w:ind w:left="426" w:hanging="568"/>
        <w:rPr>
          <w:rFonts w:ascii="Arial" w:hAnsi="Arial" w:cs="Arial"/>
          <w:lang w:val="en-GB"/>
        </w:rPr>
      </w:pPr>
      <w:r w:rsidRPr="00B33C93">
        <w:rPr>
          <w:rFonts w:ascii="Arial" w:hAnsi="Arial" w:cs="Arial"/>
          <w:szCs w:val="24"/>
        </w:rPr>
        <w:t xml:space="preserve">Overall, </w:t>
      </w:r>
      <w:r w:rsidR="00093EFD" w:rsidRPr="00B33C93">
        <w:rPr>
          <w:rFonts w:ascii="Arial" w:hAnsi="Arial" w:cs="Arial"/>
          <w:szCs w:val="24"/>
        </w:rPr>
        <w:t>and</w:t>
      </w:r>
      <w:r w:rsidRPr="00B33C93">
        <w:rPr>
          <w:rFonts w:ascii="Arial" w:hAnsi="Arial" w:cs="Arial"/>
          <w:szCs w:val="24"/>
        </w:rPr>
        <w:t xml:space="preserve"> after the adjustment above, Hampshire ha</w:t>
      </w:r>
      <w:r w:rsidR="00093EFD" w:rsidRPr="00B33C93">
        <w:rPr>
          <w:rFonts w:ascii="Arial" w:hAnsi="Arial" w:cs="Arial"/>
          <w:szCs w:val="24"/>
        </w:rPr>
        <w:t>s</w:t>
      </w:r>
      <w:r w:rsidRPr="00B33C93">
        <w:rPr>
          <w:rFonts w:ascii="Arial" w:hAnsi="Arial" w:cs="Arial"/>
          <w:szCs w:val="24"/>
        </w:rPr>
        <w:t xml:space="preserve"> been able to pass on the national increases in rates to Schools</w:t>
      </w:r>
      <w:r w:rsidR="002B3CD9" w:rsidRPr="00B33C93">
        <w:rPr>
          <w:rFonts w:ascii="Arial" w:hAnsi="Arial" w:cs="Arial"/>
          <w:szCs w:val="24"/>
        </w:rPr>
        <w:t xml:space="preserve">. </w:t>
      </w:r>
      <w:r w:rsidR="00DD23A5" w:rsidRPr="00B33C93">
        <w:rPr>
          <w:rFonts w:ascii="Arial" w:hAnsi="Arial" w:cs="Arial"/>
          <w:szCs w:val="24"/>
        </w:rPr>
        <w:t>After the rolling in of several grants (TPAG, TPECG and CSBG)</w:t>
      </w:r>
      <w:r w:rsidR="009C79E4" w:rsidRPr="00B33C93">
        <w:rPr>
          <w:rFonts w:ascii="Arial" w:hAnsi="Arial" w:cs="Arial"/>
          <w:szCs w:val="24"/>
        </w:rPr>
        <w:t>,</w:t>
      </w:r>
      <w:r w:rsidR="00DD23A5" w:rsidRPr="00B33C93">
        <w:rPr>
          <w:rFonts w:ascii="Arial" w:hAnsi="Arial" w:cs="Arial"/>
          <w:szCs w:val="24"/>
        </w:rPr>
        <w:t xml:space="preserve"> these are between 0.6%-1.0</w:t>
      </w:r>
      <w:r w:rsidRPr="00B33C93">
        <w:rPr>
          <w:rFonts w:ascii="Arial" w:hAnsi="Arial" w:cs="Arial"/>
          <w:szCs w:val="24"/>
        </w:rPr>
        <w:t>%</w:t>
      </w:r>
      <w:r w:rsidR="002B3CD9" w:rsidRPr="00B33C93">
        <w:rPr>
          <w:rFonts w:ascii="Arial" w:hAnsi="Arial" w:cs="Arial"/>
          <w:lang w:val="en-GB"/>
        </w:rPr>
        <w:t xml:space="preserve"> to the factors</w:t>
      </w:r>
      <w:r w:rsidR="009C79E4" w:rsidRPr="00B33C93">
        <w:rPr>
          <w:rFonts w:ascii="Arial" w:hAnsi="Arial" w:cs="Arial"/>
          <w:lang w:val="en-GB"/>
        </w:rPr>
        <w:t>.</w:t>
      </w:r>
    </w:p>
    <w:p w14:paraId="1FD7B2C4" w14:textId="395C38E6" w:rsidR="00297669" w:rsidRPr="00A81FB1" w:rsidRDefault="00297669" w:rsidP="00B40D25">
      <w:pPr>
        <w:pStyle w:val="Heading2"/>
        <w:keepNext w:val="0"/>
        <w:tabs>
          <w:tab w:val="num" w:pos="426"/>
        </w:tabs>
        <w:ind w:left="426" w:hanging="568"/>
        <w:jc w:val="left"/>
        <w:rPr>
          <w:rFonts w:ascii="Arial" w:hAnsi="Arial" w:cs="Arial"/>
          <w:szCs w:val="24"/>
        </w:rPr>
      </w:pPr>
      <w:r w:rsidRPr="00B615C9">
        <w:rPr>
          <w:rFonts w:ascii="Arial" w:hAnsi="Arial" w:cs="Arial"/>
          <w:szCs w:val="24"/>
        </w:rPr>
        <w:t>Hampshire</w:t>
      </w:r>
      <w:r w:rsidR="00AE7B5F" w:rsidRPr="00B615C9">
        <w:rPr>
          <w:rFonts w:ascii="Arial" w:hAnsi="Arial" w:cs="Arial"/>
          <w:szCs w:val="24"/>
        </w:rPr>
        <w:t xml:space="preserve"> is the </w:t>
      </w:r>
      <w:r w:rsidR="00B615C9" w:rsidRPr="00B615C9">
        <w:rPr>
          <w:rFonts w:ascii="Arial" w:hAnsi="Arial" w:cs="Arial"/>
          <w:szCs w:val="24"/>
        </w:rPr>
        <w:t>7</w:t>
      </w:r>
      <w:r w:rsidR="00AE7B5F" w:rsidRPr="00B615C9">
        <w:rPr>
          <w:rFonts w:ascii="Arial" w:hAnsi="Arial" w:cs="Arial"/>
          <w:szCs w:val="24"/>
          <w:vertAlign w:val="superscript"/>
        </w:rPr>
        <w:t>th</w:t>
      </w:r>
      <w:r w:rsidR="00AE7B5F" w:rsidRPr="00B615C9">
        <w:rPr>
          <w:rFonts w:ascii="Arial" w:hAnsi="Arial" w:cs="Arial"/>
          <w:szCs w:val="24"/>
        </w:rPr>
        <w:t xml:space="preserve"> lowest funded local authority for the </w:t>
      </w:r>
      <w:proofErr w:type="gramStart"/>
      <w:r w:rsidR="00AE7B5F" w:rsidRPr="00B615C9">
        <w:rPr>
          <w:rFonts w:ascii="Arial" w:hAnsi="Arial" w:cs="Arial"/>
          <w:szCs w:val="24"/>
        </w:rPr>
        <w:t>schools</w:t>
      </w:r>
      <w:proofErr w:type="gramEnd"/>
      <w:r w:rsidR="00AE7B5F" w:rsidRPr="00B615C9">
        <w:rPr>
          <w:rFonts w:ascii="Arial" w:hAnsi="Arial" w:cs="Arial"/>
          <w:szCs w:val="24"/>
        </w:rPr>
        <w:t xml:space="preserve"> block on </w:t>
      </w:r>
      <w:r w:rsidR="000D40A5" w:rsidRPr="00B615C9">
        <w:rPr>
          <w:rFonts w:ascii="Arial" w:hAnsi="Arial" w:cs="Arial"/>
          <w:szCs w:val="24"/>
        </w:rPr>
        <w:t>a</w:t>
      </w:r>
      <w:r w:rsidR="00AE7B5F" w:rsidRPr="00B615C9">
        <w:rPr>
          <w:rFonts w:ascii="Arial" w:hAnsi="Arial" w:cs="Arial"/>
          <w:szCs w:val="24"/>
        </w:rPr>
        <w:t xml:space="preserve"> per pupil basis</w:t>
      </w:r>
      <w:r w:rsidR="00E15BAE" w:rsidRPr="00B615C9">
        <w:rPr>
          <w:rFonts w:ascii="Arial" w:hAnsi="Arial" w:cs="Arial"/>
          <w:szCs w:val="24"/>
        </w:rPr>
        <w:t xml:space="preserve"> and as a result, </w:t>
      </w:r>
      <w:r w:rsidR="00F26424" w:rsidRPr="00A81FB1">
        <w:rPr>
          <w:rFonts w:ascii="Arial" w:hAnsi="Arial" w:cs="Arial"/>
          <w:szCs w:val="24"/>
        </w:rPr>
        <w:t xml:space="preserve">there are </w:t>
      </w:r>
      <w:r w:rsidR="00E22652" w:rsidRPr="00A81FB1">
        <w:rPr>
          <w:rFonts w:ascii="Arial" w:hAnsi="Arial" w:cs="Arial"/>
          <w:szCs w:val="24"/>
        </w:rPr>
        <w:t>2</w:t>
      </w:r>
      <w:r w:rsidR="004C6A05">
        <w:rPr>
          <w:rFonts w:ascii="Arial" w:hAnsi="Arial" w:cs="Arial"/>
          <w:szCs w:val="24"/>
        </w:rPr>
        <w:t>1</w:t>
      </w:r>
      <w:r w:rsidR="00F26424" w:rsidRPr="00A81FB1">
        <w:rPr>
          <w:rFonts w:ascii="Arial" w:hAnsi="Arial" w:cs="Arial"/>
          <w:szCs w:val="24"/>
        </w:rPr>
        <w:t>% of schools receiving funding through the minimum per pupil funding level factor</w:t>
      </w:r>
      <w:r w:rsidR="00CD73F4" w:rsidRPr="00A81FB1">
        <w:rPr>
          <w:rFonts w:ascii="Arial" w:hAnsi="Arial" w:cs="Arial"/>
          <w:szCs w:val="24"/>
        </w:rPr>
        <w:t xml:space="preserve"> (</w:t>
      </w:r>
      <w:r w:rsidR="00DE48DD" w:rsidRPr="00A81FB1">
        <w:rPr>
          <w:rFonts w:ascii="Arial" w:hAnsi="Arial" w:cs="Arial"/>
          <w:szCs w:val="24"/>
        </w:rPr>
        <w:t>MPPL</w:t>
      </w:r>
      <w:r w:rsidR="00CD73F4" w:rsidRPr="00A81FB1">
        <w:rPr>
          <w:rFonts w:ascii="Arial" w:hAnsi="Arial" w:cs="Arial"/>
          <w:szCs w:val="24"/>
        </w:rPr>
        <w:t>)</w:t>
      </w:r>
      <w:r w:rsidR="00F26424" w:rsidRPr="00A81FB1">
        <w:rPr>
          <w:rFonts w:ascii="Arial" w:hAnsi="Arial" w:cs="Arial"/>
          <w:szCs w:val="24"/>
        </w:rPr>
        <w:t xml:space="preserve"> at a cost of £</w:t>
      </w:r>
      <w:r w:rsidR="008955B9" w:rsidRPr="00A81FB1">
        <w:rPr>
          <w:rFonts w:ascii="Arial" w:hAnsi="Arial" w:cs="Arial"/>
          <w:szCs w:val="24"/>
        </w:rPr>
        <w:t>8</w:t>
      </w:r>
      <w:r w:rsidR="00D244E1" w:rsidRPr="00A81FB1">
        <w:rPr>
          <w:rFonts w:ascii="Arial" w:hAnsi="Arial" w:cs="Arial"/>
          <w:szCs w:val="24"/>
        </w:rPr>
        <w:t>.1</w:t>
      </w:r>
      <w:r w:rsidR="00F26424" w:rsidRPr="00A81FB1">
        <w:rPr>
          <w:rFonts w:ascii="Arial" w:hAnsi="Arial" w:cs="Arial"/>
          <w:szCs w:val="24"/>
        </w:rPr>
        <w:t>m.</w:t>
      </w:r>
      <w:r w:rsidR="00ED6150" w:rsidRPr="00A81FB1">
        <w:rPr>
          <w:rFonts w:ascii="Arial" w:hAnsi="Arial" w:cs="Arial"/>
          <w:szCs w:val="24"/>
        </w:rPr>
        <w:t xml:space="preserve"> </w:t>
      </w:r>
      <w:r w:rsidR="00CD73F4" w:rsidRPr="00A81FB1">
        <w:rPr>
          <w:rFonts w:ascii="Arial" w:hAnsi="Arial" w:cs="Arial"/>
          <w:szCs w:val="24"/>
        </w:rPr>
        <w:t>However</w:t>
      </w:r>
      <w:r w:rsidR="00E31CFC" w:rsidRPr="00A81FB1">
        <w:rPr>
          <w:rFonts w:ascii="Arial" w:hAnsi="Arial" w:cs="Arial"/>
          <w:szCs w:val="24"/>
        </w:rPr>
        <w:t xml:space="preserve">, </w:t>
      </w:r>
      <w:proofErr w:type="gramStart"/>
      <w:r w:rsidR="00E31CFC" w:rsidRPr="00A81FB1">
        <w:rPr>
          <w:rFonts w:ascii="Arial" w:hAnsi="Arial" w:cs="Arial"/>
          <w:szCs w:val="24"/>
        </w:rPr>
        <w:t>as a result of</w:t>
      </w:r>
      <w:proofErr w:type="gramEnd"/>
      <w:r w:rsidR="00E31CFC" w:rsidRPr="00A81FB1">
        <w:rPr>
          <w:rFonts w:ascii="Arial" w:hAnsi="Arial" w:cs="Arial"/>
          <w:szCs w:val="24"/>
        </w:rPr>
        <w:t xml:space="preserve"> </w:t>
      </w:r>
      <w:r w:rsidR="0057449F">
        <w:rPr>
          <w:rFonts w:ascii="Arial" w:hAnsi="Arial" w:cs="Arial"/>
          <w:szCs w:val="24"/>
        </w:rPr>
        <w:t xml:space="preserve">the </w:t>
      </w:r>
      <w:r w:rsidR="007D3CA3">
        <w:rPr>
          <w:rFonts w:ascii="Arial" w:hAnsi="Arial" w:cs="Arial"/>
          <w:szCs w:val="24"/>
        </w:rPr>
        <w:t>changes</w:t>
      </w:r>
      <w:r w:rsidR="00E31CFC" w:rsidRPr="00A81FB1">
        <w:rPr>
          <w:rFonts w:ascii="Arial" w:hAnsi="Arial" w:cs="Arial"/>
          <w:szCs w:val="24"/>
        </w:rPr>
        <w:t xml:space="preserve"> to the core NFF factor values,</w:t>
      </w:r>
      <w:r w:rsidR="00CD73F4" w:rsidRPr="00A81FB1">
        <w:rPr>
          <w:rFonts w:ascii="Arial" w:hAnsi="Arial" w:cs="Arial"/>
          <w:szCs w:val="24"/>
        </w:rPr>
        <w:t xml:space="preserve"> this has reduced from 202</w:t>
      </w:r>
      <w:r w:rsidR="009A4E50" w:rsidRPr="00A81FB1">
        <w:rPr>
          <w:rFonts w:ascii="Arial" w:hAnsi="Arial" w:cs="Arial"/>
          <w:szCs w:val="24"/>
        </w:rPr>
        <w:t>4</w:t>
      </w:r>
      <w:r w:rsidR="00CD73F4" w:rsidRPr="00A81FB1">
        <w:rPr>
          <w:rFonts w:ascii="Arial" w:hAnsi="Arial" w:cs="Arial"/>
          <w:szCs w:val="24"/>
        </w:rPr>
        <w:t>/2</w:t>
      </w:r>
      <w:r w:rsidR="009A4E50" w:rsidRPr="00A81FB1">
        <w:rPr>
          <w:rFonts w:ascii="Arial" w:hAnsi="Arial" w:cs="Arial"/>
          <w:szCs w:val="24"/>
        </w:rPr>
        <w:t>5</w:t>
      </w:r>
      <w:r w:rsidR="00CD73F4" w:rsidRPr="00A81FB1">
        <w:rPr>
          <w:rFonts w:ascii="Arial" w:hAnsi="Arial" w:cs="Arial"/>
          <w:szCs w:val="24"/>
        </w:rPr>
        <w:t xml:space="preserve"> where there were </w:t>
      </w:r>
      <w:r w:rsidR="00D70C9B" w:rsidRPr="00A81FB1">
        <w:rPr>
          <w:rFonts w:ascii="Arial" w:hAnsi="Arial" w:cs="Arial"/>
          <w:szCs w:val="24"/>
        </w:rPr>
        <w:t>2</w:t>
      </w:r>
      <w:r w:rsidR="00D244E1" w:rsidRPr="00A81FB1">
        <w:rPr>
          <w:rFonts w:ascii="Arial" w:hAnsi="Arial" w:cs="Arial"/>
          <w:szCs w:val="24"/>
        </w:rPr>
        <w:t>4</w:t>
      </w:r>
      <w:r w:rsidR="00CD73F4" w:rsidRPr="00A81FB1">
        <w:rPr>
          <w:rFonts w:ascii="Arial" w:hAnsi="Arial" w:cs="Arial"/>
          <w:szCs w:val="24"/>
        </w:rPr>
        <w:t xml:space="preserve">% of schools receiving </w:t>
      </w:r>
      <w:r w:rsidR="00EE014F" w:rsidRPr="00A81FB1">
        <w:rPr>
          <w:rFonts w:ascii="Arial" w:hAnsi="Arial" w:cs="Arial"/>
          <w:szCs w:val="24"/>
        </w:rPr>
        <w:t>MPPL</w:t>
      </w:r>
      <w:r w:rsidR="00DE48DD" w:rsidRPr="00A81FB1">
        <w:rPr>
          <w:rFonts w:ascii="Arial" w:hAnsi="Arial" w:cs="Arial"/>
          <w:szCs w:val="24"/>
        </w:rPr>
        <w:t xml:space="preserve"> funding at a cost of £</w:t>
      </w:r>
      <w:r w:rsidR="00D244E1" w:rsidRPr="00A81FB1">
        <w:rPr>
          <w:rFonts w:ascii="Arial" w:hAnsi="Arial" w:cs="Arial"/>
          <w:szCs w:val="24"/>
        </w:rPr>
        <w:t>9</w:t>
      </w:r>
      <w:r w:rsidR="00DE48DD" w:rsidRPr="00A81FB1">
        <w:rPr>
          <w:rFonts w:ascii="Arial" w:hAnsi="Arial" w:cs="Arial"/>
          <w:szCs w:val="24"/>
        </w:rPr>
        <w:t>m</w:t>
      </w:r>
      <w:r w:rsidR="00E31CFC" w:rsidRPr="00A81FB1">
        <w:rPr>
          <w:rFonts w:ascii="Arial" w:hAnsi="Arial" w:cs="Arial"/>
          <w:szCs w:val="24"/>
        </w:rPr>
        <w:t>.</w:t>
      </w:r>
    </w:p>
    <w:p w14:paraId="6B89C540" w14:textId="72315A8D" w:rsidR="00376F17" w:rsidRPr="00C40B88" w:rsidRDefault="00B3458F" w:rsidP="00B40D25">
      <w:pPr>
        <w:pStyle w:val="Heading2"/>
        <w:keepNext w:val="0"/>
        <w:tabs>
          <w:tab w:val="num" w:pos="426"/>
        </w:tabs>
        <w:ind w:left="426" w:hanging="568"/>
        <w:jc w:val="left"/>
        <w:rPr>
          <w:rFonts w:ascii="Arial" w:hAnsi="Arial" w:cs="Arial"/>
          <w:szCs w:val="24"/>
        </w:rPr>
      </w:pPr>
      <w:r w:rsidRPr="00C40B88">
        <w:rPr>
          <w:rFonts w:ascii="Arial" w:hAnsi="Arial" w:cs="Arial"/>
          <w:szCs w:val="24"/>
        </w:rPr>
        <w:t>26</w:t>
      </w:r>
      <w:r w:rsidR="00F92C5C" w:rsidRPr="00C40B88">
        <w:rPr>
          <w:rFonts w:ascii="Arial" w:hAnsi="Arial" w:cs="Arial"/>
          <w:szCs w:val="24"/>
        </w:rPr>
        <w:t>%</w:t>
      </w:r>
      <w:r w:rsidR="00074DBE" w:rsidRPr="00C40B88">
        <w:rPr>
          <w:rFonts w:ascii="Arial" w:hAnsi="Arial" w:cs="Arial"/>
          <w:szCs w:val="24"/>
        </w:rPr>
        <w:t xml:space="preserve"> of mainstream schools</w:t>
      </w:r>
      <w:r w:rsidR="00376F17" w:rsidRPr="00C40B88">
        <w:rPr>
          <w:rFonts w:ascii="Arial" w:hAnsi="Arial" w:cs="Arial"/>
          <w:szCs w:val="24"/>
        </w:rPr>
        <w:t xml:space="preserve"> </w:t>
      </w:r>
      <w:r w:rsidR="00074DBE" w:rsidRPr="00C40B88">
        <w:rPr>
          <w:rFonts w:ascii="Arial" w:hAnsi="Arial" w:cs="Arial"/>
          <w:szCs w:val="24"/>
        </w:rPr>
        <w:t xml:space="preserve">will </w:t>
      </w:r>
      <w:r w:rsidR="00376F17" w:rsidRPr="00C40B88">
        <w:rPr>
          <w:rFonts w:ascii="Arial" w:hAnsi="Arial" w:cs="Arial"/>
          <w:szCs w:val="24"/>
        </w:rPr>
        <w:t>receiv</w:t>
      </w:r>
      <w:r w:rsidR="00074DBE" w:rsidRPr="00C40B88">
        <w:rPr>
          <w:rFonts w:ascii="Arial" w:hAnsi="Arial" w:cs="Arial"/>
          <w:szCs w:val="24"/>
        </w:rPr>
        <w:t>e</w:t>
      </w:r>
      <w:r w:rsidR="00376F17" w:rsidRPr="00C40B88">
        <w:rPr>
          <w:rFonts w:ascii="Arial" w:hAnsi="Arial" w:cs="Arial"/>
          <w:szCs w:val="24"/>
        </w:rPr>
        <w:t xml:space="preserve"> protection through the minimum funding guarantee, </w:t>
      </w:r>
      <w:r w:rsidR="00376F17" w:rsidRPr="00895373">
        <w:rPr>
          <w:rFonts w:ascii="Arial" w:hAnsi="Arial" w:cs="Arial"/>
          <w:szCs w:val="24"/>
        </w:rPr>
        <w:t xml:space="preserve">which ensures schools get a per pupil increase of at least </w:t>
      </w:r>
      <w:r w:rsidR="009F1CD7" w:rsidRPr="00895373">
        <w:rPr>
          <w:rFonts w:ascii="Arial" w:hAnsi="Arial" w:cs="Arial"/>
          <w:szCs w:val="24"/>
        </w:rPr>
        <w:t>0.</w:t>
      </w:r>
      <w:r w:rsidR="00895373" w:rsidRPr="00895373">
        <w:rPr>
          <w:rFonts w:ascii="Arial" w:hAnsi="Arial" w:cs="Arial"/>
          <w:szCs w:val="24"/>
        </w:rPr>
        <w:t>0</w:t>
      </w:r>
      <w:r w:rsidR="00376F17" w:rsidRPr="00895373">
        <w:rPr>
          <w:rFonts w:ascii="Arial" w:hAnsi="Arial" w:cs="Arial"/>
          <w:szCs w:val="24"/>
        </w:rPr>
        <w:t>% in 202</w:t>
      </w:r>
      <w:r w:rsidR="00895373" w:rsidRPr="00895373">
        <w:rPr>
          <w:rFonts w:ascii="Arial" w:hAnsi="Arial" w:cs="Arial"/>
          <w:szCs w:val="24"/>
        </w:rPr>
        <w:t>5</w:t>
      </w:r>
      <w:r w:rsidR="00376F17" w:rsidRPr="00895373">
        <w:rPr>
          <w:rFonts w:ascii="Arial" w:hAnsi="Arial" w:cs="Arial"/>
          <w:szCs w:val="24"/>
        </w:rPr>
        <w:t>/2</w:t>
      </w:r>
      <w:r w:rsidR="00895373" w:rsidRPr="00895373">
        <w:rPr>
          <w:rFonts w:ascii="Arial" w:hAnsi="Arial" w:cs="Arial"/>
          <w:szCs w:val="24"/>
        </w:rPr>
        <w:t>6</w:t>
      </w:r>
      <w:r w:rsidR="00376F17" w:rsidRPr="00895373">
        <w:rPr>
          <w:rFonts w:ascii="Arial" w:hAnsi="Arial" w:cs="Arial"/>
          <w:szCs w:val="24"/>
        </w:rPr>
        <w:t xml:space="preserve"> compared to 202</w:t>
      </w:r>
      <w:r w:rsidR="00895373" w:rsidRPr="00895373">
        <w:rPr>
          <w:rFonts w:ascii="Arial" w:hAnsi="Arial" w:cs="Arial"/>
          <w:szCs w:val="24"/>
        </w:rPr>
        <w:t>4</w:t>
      </w:r>
      <w:r w:rsidR="00376F17" w:rsidRPr="00895373">
        <w:rPr>
          <w:rFonts w:ascii="Arial" w:hAnsi="Arial" w:cs="Arial"/>
          <w:szCs w:val="24"/>
        </w:rPr>
        <w:t>/2</w:t>
      </w:r>
      <w:r w:rsidR="00895373" w:rsidRPr="00895373">
        <w:rPr>
          <w:rFonts w:ascii="Arial" w:hAnsi="Arial" w:cs="Arial"/>
          <w:szCs w:val="24"/>
        </w:rPr>
        <w:t>5</w:t>
      </w:r>
      <w:r w:rsidR="00376F17" w:rsidRPr="00895373">
        <w:rPr>
          <w:rFonts w:ascii="Arial" w:hAnsi="Arial" w:cs="Arial"/>
          <w:szCs w:val="24"/>
        </w:rPr>
        <w:t>.</w:t>
      </w:r>
      <w:r w:rsidR="00BE347C" w:rsidRPr="00895373">
        <w:rPr>
          <w:rFonts w:ascii="Arial" w:hAnsi="Arial" w:cs="Arial"/>
          <w:szCs w:val="24"/>
        </w:rPr>
        <w:t xml:space="preserve"> </w:t>
      </w:r>
      <w:r w:rsidR="00BE347C" w:rsidRPr="00C40B88">
        <w:rPr>
          <w:rFonts w:ascii="Arial" w:hAnsi="Arial" w:cs="Arial"/>
          <w:szCs w:val="24"/>
        </w:rPr>
        <w:t xml:space="preserve">This is </w:t>
      </w:r>
      <w:r w:rsidR="00C43107" w:rsidRPr="00C40B88">
        <w:rPr>
          <w:rFonts w:ascii="Arial" w:hAnsi="Arial" w:cs="Arial"/>
          <w:szCs w:val="24"/>
        </w:rPr>
        <w:t>a</w:t>
      </w:r>
      <w:r w:rsidRPr="00C40B88">
        <w:rPr>
          <w:rFonts w:ascii="Arial" w:hAnsi="Arial" w:cs="Arial"/>
          <w:szCs w:val="24"/>
        </w:rPr>
        <w:t>n increase</w:t>
      </w:r>
      <w:r w:rsidR="00C43107" w:rsidRPr="00C40B88">
        <w:rPr>
          <w:rFonts w:ascii="Arial" w:hAnsi="Arial" w:cs="Arial"/>
          <w:szCs w:val="24"/>
        </w:rPr>
        <w:t xml:space="preserve"> </w:t>
      </w:r>
      <w:r w:rsidR="0050445D" w:rsidRPr="00C40B88">
        <w:rPr>
          <w:rFonts w:ascii="Arial" w:hAnsi="Arial" w:cs="Arial"/>
          <w:szCs w:val="24"/>
        </w:rPr>
        <w:t xml:space="preserve">from </w:t>
      </w:r>
      <w:r w:rsidR="008F1F3E" w:rsidRPr="00C40B88">
        <w:rPr>
          <w:rFonts w:ascii="Arial" w:hAnsi="Arial" w:cs="Arial"/>
          <w:szCs w:val="24"/>
        </w:rPr>
        <w:t>t</w:t>
      </w:r>
      <w:r w:rsidR="00BE347C" w:rsidRPr="00C40B88">
        <w:rPr>
          <w:rFonts w:ascii="Arial" w:hAnsi="Arial" w:cs="Arial"/>
          <w:szCs w:val="24"/>
        </w:rPr>
        <w:t>he number of schools with MFG in 202</w:t>
      </w:r>
      <w:r w:rsidR="007F72A6" w:rsidRPr="00C40B88">
        <w:rPr>
          <w:rFonts w:ascii="Arial" w:hAnsi="Arial" w:cs="Arial"/>
          <w:szCs w:val="24"/>
        </w:rPr>
        <w:t>4</w:t>
      </w:r>
      <w:r w:rsidR="00BE347C" w:rsidRPr="00C40B88">
        <w:rPr>
          <w:rFonts w:ascii="Arial" w:hAnsi="Arial" w:cs="Arial"/>
          <w:szCs w:val="24"/>
        </w:rPr>
        <w:t>/2</w:t>
      </w:r>
      <w:r w:rsidR="007F72A6" w:rsidRPr="00C40B88">
        <w:rPr>
          <w:rFonts w:ascii="Arial" w:hAnsi="Arial" w:cs="Arial"/>
          <w:szCs w:val="24"/>
        </w:rPr>
        <w:t>5</w:t>
      </w:r>
      <w:r w:rsidR="006B6D1A" w:rsidRPr="00C40B88">
        <w:rPr>
          <w:rFonts w:ascii="Arial" w:hAnsi="Arial" w:cs="Arial"/>
          <w:szCs w:val="24"/>
        </w:rPr>
        <w:t xml:space="preserve"> which stood at </w:t>
      </w:r>
      <w:r w:rsidR="007F72A6" w:rsidRPr="00C40B88">
        <w:rPr>
          <w:rFonts w:ascii="Arial" w:hAnsi="Arial" w:cs="Arial"/>
          <w:szCs w:val="24"/>
        </w:rPr>
        <w:t>12</w:t>
      </w:r>
      <w:r w:rsidR="006B6D1A" w:rsidRPr="00C40B88">
        <w:rPr>
          <w:rFonts w:ascii="Arial" w:hAnsi="Arial" w:cs="Arial"/>
          <w:szCs w:val="24"/>
        </w:rPr>
        <w:t>%</w:t>
      </w:r>
      <w:r w:rsidR="007A2D62" w:rsidRPr="00C40B88">
        <w:rPr>
          <w:rFonts w:ascii="Arial" w:hAnsi="Arial" w:cs="Arial"/>
          <w:szCs w:val="24"/>
        </w:rPr>
        <w:t>.</w:t>
      </w:r>
    </w:p>
    <w:p w14:paraId="58CF978F" w14:textId="3FA420FB" w:rsidR="00F94DB3" w:rsidRPr="00715D93" w:rsidRDefault="00F94DB3" w:rsidP="00E6384A">
      <w:pPr>
        <w:pStyle w:val="Heading2"/>
        <w:keepNext w:val="0"/>
        <w:tabs>
          <w:tab w:val="num" w:pos="426"/>
        </w:tabs>
        <w:ind w:left="426" w:hanging="568"/>
        <w:jc w:val="left"/>
        <w:rPr>
          <w:rFonts w:ascii="Arial" w:hAnsi="Arial" w:cs="Arial"/>
          <w:szCs w:val="24"/>
        </w:rPr>
      </w:pPr>
      <w:r w:rsidRPr="00715D93">
        <w:rPr>
          <w:rFonts w:ascii="Arial" w:hAnsi="Arial" w:cs="Arial"/>
          <w:szCs w:val="24"/>
        </w:rPr>
        <w:t xml:space="preserve">Individual school budget shares are still being </w:t>
      </w:r>
      <w:proofErr w:type="spellStart"/>
      <w:r w:rsidRPr="00715D93">
        <w:rPr>
          <w:rFonts w:ascii="Arial" w:hAnsi="Arial" w:cs="Arial"/>
          <w:szCs w:val="24"/>
        </w:rPr>
        <w:t>finalised</w:t>
      </w:r>
      <w:proofErr w:type="spellEnd"/>
      <w:r w:rsidRPr="00715D93">
        <w:rPr>
          <w:rFonts w:ascii="Arial" w:hAnsi="Arial" w:cs="Arial"/>
          <w:szCs w:val="24"/>
        </w:rPr>
        <w:t xml:space="preserve"> and any further adjustments may have an impact on the final unit values and budgets set.</w:t>
      </w:r>
      <w:r w:rsidR="0000470C" w:rsidRPr="00715D93">
        <w:rPr>
          <w:rFonts w:ascii="Arial" w:hAnsi="Arial" w:cs="Arial"/>
          <w:szCs w:val="24"/>
        </w:rPr>
        <w:t xml:space="preserve"> The current proposed unit values are shown in appendix 2.</w:t>
      </w:r>
    </w:p>
    <w:p w14:paraId="7DB1C868" w14:textId="45836717" w:rsidR="00E01723" w:rsidRPr="00715D93" w:rsidRDefault="00CC0D0D" w:rsidP="00185A7D">
      <w:pPr>
        <w:pStyle w:val="Heading2"/>
        <w:keepNext w:val="0"/>
        <w:tabs>
          <w:tab w:val="num" w:pos="426"/>
        </w:tabs>
        <w:ind w:left="426" w:hanging="568"/>
        <w:jc w:val="left"/>
        <w:rPr>
          <w:rFonts w:ascii="Arial" w:hAnsi="Arial" w:cs="Arial"/>
          <w:szCs w:val="24"/>
        </w:rPr>
      </w:pPr>
      <w:r w:rsidRPr="00715D93">
        <w:rPr>
          <w:rFonts w:ascii="Arial" w:hAnsi="Arial" w:cs="Arial"/>
          <w:szCs w:val="24"/>
        </w:rPr>
        <w:t>The budget for growth</w:t>
      </w:r>
      <w:r w:rsidR="001E54D6" w:rsidRPr="00715D93">
        <w:rPr>
          <w:rFonts w:ascii="Arial" w:hAnsi="Arial" w:cs="Arial"/>
          <w:szCs w:val="24"/>
        </w:rPr>
        <w:t xml:space="preserve"> will be set</w:t>
      </w:r>
      <w:r w:rsidRPr="00715D93">
        <w:rPr>
          <w:rFonts w:ascii="Arial" w:hAnsi="Arial" w:cs="Arial"/>
          <w:szCs w:val="24"/>
        </w:rPr>
        <w:t xml:space="preserve"> in line with the allocation</w:t>
      </w:r>
      <w:r w:rsidR="00A02AC7" w:rsidRPr="00715D93">
        <w:rPr>
          <w:rFonts w:ascii="Arial" w:hAnsi="Arial" w:cs="Arial"/>
          <w:szCs w:val="24"/>
        </w:rPr>
        <w:t xml:space="preserve"> and</w:t>
      </w:r>
      <w:r w:rsidRPr="00715D93">
        <w:rPr>
          <w:rFonts w:ascii="Arial" w:hAnsi="Arial" w:cs="Arial"/>
          <w:szCs w:val="24"/>
        </w:rPr>
        <w:t xml:space="preserve"> will include implicit and explicit growth funding for schools. </w:t>
      </w:r>
      <w:r w:rsidR="00617825" w:rsidRPr="00715D93">
        <w:rPr>
          <w:rFonts w:ascii="Arial" w:hAnsi="Arial" w:cs="Arial"/>
          <w:szCs w:val="24"/>
        </w:rPr>
        <w:t>Growth relating to academies will be recouped so will not form part of the budget.</w:t>
      </w:r>
      <w:r w:rsidR="00E01723" w:rsidRPr="00715D93">
        <w:rPr>
          <w:rFonts w:ascii="Arial" w:hAnsi="Arial" w:cs="Arial"/>
          <w:szCs w:val="24"/>
        </w:rPr>
        <w:t xml:space="preserve"> </w:t>
      </w:r>
    </w:p>
    <w:p w14:paraId="1979CBF9" w14:textId="6532A49F" w:rsidR="00DC59B2" w:rsidRPr="00BE21E4" w:rsidRDefault="001049D6" w:rsidP="007B1063">
      <w:pPr>
        <w:pStyle w:val="Heading2"/>
        <w:keepNext w:val="0"/>
        <w:tabs>
          <w:tab w:val="num" w:pos="426"/>
        </w:tabs>
        <w:ind w:left="426" w:hanging="568"/>
        <w:jc w:val="left"/>
        <w:rPr>
          <w:rFonts w:ascii="Arial" w:hAnsi="Arial" w:cs="Arial"/>
          <w:szCs w:val="24"/>
        </w:rPr>
      </w:pPr>
      <w:r w:rsidRPr="00BE21E4">
        <w:rPr>
          <w:rFonts w:ascii="Arial" w:hAnsi="Arial" w:cs="Arial"/>
          <w:szCs w:val="24"/>
        </w:rPr>
        <w:t xml:space="preserve">Following the DfE changes to </w:t>
      </w:r>
      <w:r w:rsidR="00327FD6" w:rsidRPr="00BE21E4">
        <w:rPr>
          <w:rFonts w:ascii="Arial" w:hAnsi="Arial" w:cs="Arial"/>
          <w:szCs w:val="24"/>
        </w:rPr>
        <w:t>Falling Rolls</w:t>
      </w:r>
      <w:r w:rsidR="00273545" w:rsidRPr="00BE21E4">
        <w:rPr>
          <w:rFonts w:ascii="Arial" w:hAnsi="Arial" w:cs="Arial"/>
          <w:szCs w:val="24"/>
        </w:rPr>
        <w:t xml:space="preserve"> </w:t>
      </w:r>
      <w:r w:rsidR="00124A32" w:rsidRPr="00BE21E4">
        <w:rPr>
          <w:rFonts w:ascii="Arial" w:hAnsi="Arial" w:cs="Arial"/>
          <w:szCs w:val="24"/>
        </w:rPr>
        <w:t>guidance</w:t>
      </w:r>
      <w:r w:rsidR="00021284" w:rsidRPr="00BE21E4">
        <w:rPr>
          <w:rFonts w:ascii="Arial" w:hAnsi="Arial" w:cs="Arial"/>
          <w:szCs w:val="24"/>
        </w:rPr>
        <w:t xml:space="preserve"> </w:t>
      </w:r>
      <w:r w:rsidR="0033166F" w:rsidRPr="00BE21E4">
        <w:rPr>
          <w:rFonts w:ascii="Arial" w:hAnsi="Arial" w:cs="Arial"/>
          <w:szCs w:val="24"/>
        </w:rPr>
        <w:t xml:space="preserve">in </w:t>
      </w:r>
      <w:r w:rsidR="0032674B" w:rsidRPr="00BE21E4">
        <w:rPr>
          <w:rFonts w:ascii="Arial" w:hAnsi="Arial" w:cs="Arial"/>
          <w:szCs w:val="24"/>
        </w:rPr>
        <w:t xml:space="preserve">2024/25 </w:t>
      </w:r>
      <w:r w:rsidR="00021284" w:rsidRPr="00BE21E4">
        <w:rPr>
          <w:rFonts w:ascii="Arial" w:hAnsi="Arial" w:cs="Arial"/>
          <w:szCs w:val="24"/>
        </w:rPr>
        <w:t xml:space="preserve">and </w:t>
      </w:r>
      <w:r w:rsidR="009E49D8" w:rsidRPr="00BE21E4">
        <w:rPr>
          <w:rFonts w:ascii="Arial" w:hAnsi="Arial" w:cs="Arial"/>
          <w:szCs w:val="24"/>
        </w:rPr>
        <w:t>again in 2025/26</w:t>
      </w:r>
      <w:r w:rsidR="00124A32" w:rsidRPr="00BE21E4">
        <w:rPr>
          <w:rFonts w:ascii="Arial" w:hAnsi="Arial" w:cs="Arial"/>
          <w:szCs w:val="24"/>
        </w:rPr>
        <w:t xml:space="preserve">, </w:t>
      </w:r>
      <w:r w:rsidR="00FB49CF" w:rsidRPr="00BE21E4">
        <w:rPr>
          <w:rFonts w:ascii="Arial" w:hAnsi="Arial" w:cs="Arial"/>
          <w:szCs w:val="24"/>
        </w:rPr>
        <w:t xml:space="preserve">as per the </w:t>
      </w:r>
      <w:r w:rsidR="00EE66E8" w:rsidRPr="00BE21E4">
        <w:rPr>
          <w:rFonts w:ascii="Arial" w:hAnsi="Arial" w:cs="Arial"/>
          <w:szCs w:val="24"/>
        </w:rPr>
        <w:t xml:space="preserve">agreement at </w:t>
      </w:r>
      <w:r w:rsidR="00FB49CF" w:rsidRPr="00BE21E4">
        <w:rPr>
          <w:rFonts w:ascii="Arial" w:hAnsi="Arial" w:cs="Arial"/>
          <w:szCs w:val="24"/>
        </w:rPr>
        <w:t>December</w:t>
      </w:r>
      <w:r w:rsidR="00EE66E8" w:rsidRPr="00BE21E4">
        <w:rPr>
          <w:rFonts w:ascii="Arial" w:hAnsi="Arial" w:cs="Arial"/>
          <w:szCs w:val="24"/>
        </w:rPr>
        <w:t xml:space="preserve">’s Forum </w:t>
      </w:r>
      <w:r w:rsidR="00EE66E8" w:rsidRPr="00BE21E4">
        <w:rPr>
          <w:rFonts w:ascii="Arial" w:hAnsi="Arial" w:cs="Arial"/>
          <w:szCs w:val="24"/>
          <w:lang w:eastAsia="en-GB"/>
        </w:rPr>
        <w:t xml:space="preserve">the decision to </w:t>
      </w:r>
      <w:r w:rsidR="00BE21E4" w:rsidRPr="00BE21E4">
        <w:rPr>
          <w:rFonts w:ascii="Arial" w:hAnsi="Arial" w:cs="Arial"/>
          <w:szCs w:val="24"/>
          <w:lang w:eastAsia="en-GB"/>
        </w:rPr>
        <w:t>fund</w:t>
      </w:r>
      <w:r w:rsidR="00EE66E8" w:rsidRPr="00BE21E4">
        <w:rPr>
          <w:rFonts w:ascii="Arial" w:hAnsi="Arial" w:cs="Arial"/>
          <w:szCs w:val="24"/>
          <w:lang w:eastAsia="en-GB"/>
        </w:rPr>
        <w:t xml:space="preserve"> transitional protection for impacted maintained schools</w:t>
      </w:r>
      <w:r w:rsidR="00EE66E8" w:rsidRPr="00BE21E4">
        <w:rPr>
          <w:rFonts w:ascii="Arial" w:hAnsi="Arial" w:cs="Arial"/>
          <w:szCs w:val="24"/>
        </w:rPr>
        <w:t xml:space="preserve"> </w:t>
      </w:r>
      <w:r w:rsidR="00BE21E4" w:rsidRPr="00BE21E4">
        <w:rPr>
          <w:rFonts w:ascii="Arial" w:hAnsi="Arial" w:cs="Arial"/>
          <w:szCs w:val="24"/>
        </w:rPr>
        <w:t>(</w:t>
      </w:r>
      <w:r w:rsidR="00DB6F4D">
        <w:rPr>
          <w:rFonts w:ascii="Arial" w:hAnsi="Arial" w:cs="Arial"/>
          <w:szCs w:val="24"/>
        </w:rPr>
        <w:t>at</w:t>
      </w:r>
      <w:r w:rsidR="00BE21E4" w:rsidRPr="00BE21E4">
        <w:rPr>
          <w:rFonts w:ascii="Arial" w:hAnsi="Arial" w:cs="Arial"/>
          <w:szCs w:val="24"/>
        </w:rPr>
        <w:t xml:space="preserve"> 50%</w:t>
      </w:r>
      <w:r w:rsidR="00DB6F4D">
        <w:rPr>
          <w:rFonts w:ascii="Arial" w:hAnsi="Arial" w:cs="Arial"/>
          <w:szCs w:val="24"/>
        </w:rPr>
        <w:t xml:space="preserve"> of historical funding</w:t>
      </w:r>
      <w:r w:rsidR="00BE21E4" w:rsidRPr="00BE21E4">
        <w:rPr>
          <w:rFonts w:ascii="Arial" w:hAnsi="Arial" w:cs="Arial"/>
          <w:szCs w:val="24"/>
        </w:rPr>
        <w:t>) remains.</w:t>
      </w:r>
    </w:p>
    <w:p w14:paraId="49741837" w14:textId="77777777" w:rsidR="007E21CB" w:rsidRPr="00131B9A" w:rsidRDefault="007E21CB" w:rsidP="007E21CB">
      <w:pPr>
        <w:pStyle w:val="Heading1"/>
        <w:keepNext w:val="0"/>
        <w:ind w:left="431" w:hanging="431"/>
        <w:jc w:val="left"/>
        <w:rPr>
          <w:rFonts w:ascii="Arial" w:hAnsi="Arial" w:cs="Arial"/>
          <w:szCs w:val="24"/>
        </w:rPr>
      </w:pPr>
      <w:r w:rsidRPr="00131B9A">
        <w:rPr>
          <w:rFonts w:ascii="Arial" w:hAnsi="Arial" w:cs="Arial"/>
          <w:szCs w:val="24"/>
        </w:rPr>
        <w:t>High Needs</w:t>
      </w:r>
    </w:p>
    <w:p w14:paraId="41B97F9D" w14:textId="0EAC1490" w:rsidR="00F13420" w:rsidRPr="00AD5EC8" w:rsidRDefault="005E743E" w:rsidP="504D0C88">
      <w:pPr>
        <w:pStyle w:val="Heading2"/>
        <w:keepNext w:val="0"/>
        <w:tabs>
          <w:tab w:val="num" w:pos="426"/>
        </w:tabs>
        <w:ind w:left="426" w:hanging="568"/>
        <w:jc w:val="left"/>
        <w:rPr>
          <w:rFonts w:ascii="Arial" w:hAnsi="Arial" w:cs="Arial"/>
        </w:rPr>
      </w:pPr>
      <w:r w:rsidRPr="504D0C88">
        <w:rPr>
          <w:rFonts w:ascii="Arial" w:hAnsi="Arial" w:cs="Arial"/>
        </w:rPr>
        <w:t xml:space="preserve">The initial DSG allocation provides an increase </w:t>
      </w:r>
      <w:r w:rsidRPr="0080191C">
        <w:rPr>
          <w:rFonts w:ascii="Arial" w:hAnsi="Arial" w:cs="Arial"/>
        </w:rPr>
        <w:t xml:space="preserve">of </w:t>
      </w:r>
      <w:r w:rsidR="005A23D3" w:rsidRPr="0080191C">
        <w:rPr>
          <w:rFonts w:ascii="Arial" w:hAnsi="Arial" w:cs="Arial"/>
        </w:rPr>
        <w:t>£</w:t>
      </w:r>
      <w:r w:rsidR="00DA6FE9" w:rsidRPr="0080191C">
        <w:rPr>
          <w:rFonts w:ascii="Arial" w:hAnsi="Arial" w:cs="Arial"/>
        </w:rPr>
        <w:t>17.</w:t>
      </w:r>
      <w:r w:rsidR="00B2311F" w:rsidRPr="0080191C">
        <w:rPr>
          <w:rFonts w:ascii="Arial" w:hAnsi="Arial" w:cs="Arial"/>
        </w:rPr>
        <w:t>67</w:t>
      </w:r>
      <w:r w:rsidR="0080191C" w:rsidRPr="0080191C">
        <w:rPr>
          <w:rFonts w:ascii="Arial" w:hAnsi="Arial" w:cs="Arial"/>
        </w:rPr>
        <w:t>m</w:t>
      </w:r>
      <w:r w:rsidR="005A23D3" w:rsidRPr="0080191C">
        <w:rPr>
          <w:rFonts w:ascii="Arial" w:hAnsi="Arial" w:cs="Arial"/>
        </w:rPr>
        <w:t xml:space="preserve"> compared to </w:t>
      </w:r>
      <w:r w:rsidR="00FB31B7" w:rsidRPr="0080191C">
        <w:rPr>
          <w:rFonts w:ascii="Arial" w:hAnsi="Arial" w:cs="Arial"/>
        </w:rPr>
        <w:t>2024</w:t>
      </w:r>
      <w:r w:rsidR="00F65CA9" w:rsidRPr="0080191C">
        <w:rPr>
          <w:rFonts w:ascii="Arial" w:hAnsi="Arial" w:cs="Arial"/>
        </w:rPr>
        <w:t>/25</w:t>
      </w:r>
      <w:r w:rsidR="00B203FA" w:rsidRPr="0080191C">
        <w:rPr>
          <w:rFonts w:ascii="Arial" w:hAnsi="Arial" w:cs="Arial"/>
        </w:rPr>
        <w:t xml:space="preserve"> and an increase of £</w:t>
      </w:r>
      <w:r w:rsidR="006E45C8" w:rsidRPr="0080191C">
        <w:rPr>
          <w:rFonts w:ascii="Arial" w:hAnsi="Arial" w:cs="Arial"/>
        </w:rPr>
        <w:t>2.</w:t>
      </w:r>
      <w:r w:rsidR="00DA67DA" w:rsidRPr="0080191C">
        <w:rPr>
          <w:rFonts w:ascii="Arial" w:hAnsi="Arial" w:cs="Arial"/>
        </w:rPr>
        <w:t>3</w:t>
      </w:r>
      <w:r w:rsidR="00B203FA" w:rsidRPr="0080191C">
        <w:rPr>
          <w:rFonts w:ascii="Arial" w:hAnsi="Arial" w:cs="Arial"/>
        </w:rPr>
        <w:t xml:space="preserve">m compared to the provisional allocation published in </w:t>
      </w:r>
      <w:r w:rsidR="008E6151" w:rsidRPr="00AD5EC8">
        <w:rPr>
          <w:rFonts w:ascii="Arial" w:hAnsi="Arial" w:cs="Arial"/>
        </w:rPr>
        <w:t>November</w:t>
      </w:r>
      <w:r w:rsidR="00D213AE" w:rsidRPr="00AD5EC8">
        <w:rPr>
          <w:rFonts w:ascii="Arial" w:hAnsi="Arial" w:cs="Arial"/>
        </w:rPr>
        <w:t xml:space="preserve"> in relation to adjusted special school pupil numbers</w:t>
      </w:r>
      <w:r w:rsidR="00393326" w:rsidRPr="00AD5EC8">
        <w:rPr>
          <w:rFonts w:ascii="Arial" w:hAnsi="Arial" w:cs="Arial"/>
        </w:rPr>
        <w:t>.</w:t>
      </w:r>
    </w:p>
    <w:p w14:paraId="292FFB07" w14:textId="3054C2D8" w:rsidR="00F13420" w:rsidRPr="00AD5EC8" w:rsidRDefault="00F13420" w:rsidP="00070B48">
      <w:pPr>
        <w:pStyle w:val="Heading2"/>
        <w:keepNext w:val="0"/>
        <w:tabs>
          <w:tab w:val="num" w:pos="426"/>
        </w:tabs>
        <w:ind w:left="426" w:hanging="568"/>
        <w:jc w:val="left"/>
        <w:rPr>
          <w:rFonts w:ascii="Arial" w:hAnsi="Arial" w:cs="Arial"/>
          <w:szCs w:val="24"/>
        </w:rPr>
      </w:pPr>
      <w:r w:rsidRPr="00AD5EC8">
        <w:rPr>
          <w:rFonts w:ascii="Arial" w:hAnsi="Arial" w:cs="Arial"/>
          <w:szCs w:val="24"/>
        </w:rPr>
        <w:t>Th</w:t>
      </w:r>
      <w:r w:rsidR="004639E8" w:rsidRPr="00AD5EC8">
        <w:rPr>
          <w:rFonts w:ascii="Arial" w:hAnsi="Arial" w:cs="Arial"/>
          <w:szCs w:val="24"/>
        </w:rPr>
        <w:t xml:space="preserve">e allocation includes an update to the </w:t>
      </w:r>
      <w:r w:rsidR="00305A04" w:rsidRPr="00AD5EC8">
        <w:rPr>
          <w:rFonts w:ascii="Arial" w:hAnsi="Arial" w:cs="Arial"/>
          <w:szCs w:val="24"/>
        </w:rPr>
        <w:t xml:space="preserve">import export adjustment </w:t>
      </w:r>
      <w:r w:rsidR="00F74D77" w:rsidRPr="00AD5EC8">
        <w:rPr>
          <w:rFonts w:ascii="Arial" w:hAnsi="Arial" w:cs="Arial"/>
          <w:szCs w:val="24"/>
        </w:rPr>
        <w:t>to reflect</w:t>
      </w:r>
      <w:r w:rsidR="00C718DC" w:rsidRPr="00AD5EC8">
        <w:rPr>
          <w:rFonts w:ascii="Arial" w:hAnsi="Arial" w:cs="Arial"/>
          <w:szCs w:val="24"/>
        </w:rPr>
        <w:t xml:space="preserve"> a reduction of £</w:t>
      </w:r>
      <w:r w:rsidR="00AD5EC8" w:rsidRPr="00AD5EC8">
        <w:rPr>
          <w:rFonts w:ascii="Arial" w:hAnsi="Arial" w:cs="Arial"/>
          <w:szCs w:val="24"/>
        </w:rPr>
        <w:t>24</w:t>
      </w:r>
      <w:r w:rsidR="00C718DC" w:rsidRPr="00AD5EC8">
        <w:rPr>
          <w:rFonts w:ascii="Arial" w:hAnsi="Arial" w:cs="Arial"/>
          <w:szCs w:val="24"/>
        </w:rPr>
        <w:t>,000.</w:t>
      </w:r>
    </w:p>
    <w:p w14:paraId="045E5651" w14:textId="2F55F1C4" w:rsidR="003E30AF" w:rsidRPr="0004272D" w:rsidRDefault="00FD2C74" w:rsidP="003E30AF">
      <w:pPr>
        <w:pStyle w:val="Heading2"/>
        <w:keepNext w:val="0"/>
        <w:tabs>
          <w:tab w:val="num" w:pos="426"/>
        </w:tabs>
        <w:ind w:left="426" w:hanging="568"/>
        <w:jc w:val="left"/>
        <w:rPr>
          <w:rFonts w:ascii="Arial" w:hAnsi="Arial" w:cs="Arial"/>
          <w:szCs w:val="24"/>
        </w:rPr>
      </w:pPr>
      <w:r w:rsidRPr="00131B9A">
        <w:rPr>
          <w:rFonts w:ascii="Arial" w:hAnsi="Arial" w:cs="Arial"/>
          <w:szCs w:val="24"/>
        </w:rPr>
        <w:t xml:space="preserve">The proposed High Needs budget for </w:t>
      </w:r>
      <w:r w:rsidR="00D45934" w:rsidRPr="00131B9A">
        <w:rPr>
          <w:rFonts w:ascii="Arial" w:hAnsi="Arial" w:cs="Arial"/>
          <w:szCs w:val="24"/>
        </w:rPr>
        <w:t>202</w:t>
      </w:r>
      <w:r w:rsidR="00131B9A" w:rsidRPr="00131B9A">
        <w:rPr>
          <w:rFonts w:ascii="Arial" w:hAnsi="Arial" w:cs="Arial"/>
          <w:szCs w:val="24"/>
        </w:rPr>
        <w:t>5</w:t>
      </w:r>
      <w:r w:rsidR="00D45934" w:rsidRPr="00131B9A">
        <w:rPr>
          <w:rFonts w:ascii="Arial" w:hAnsi="Arial" w:cs="Arial"/>
          <w:szCs w:val="24"/>
        </w:rPr>
        <w:t>/2</w:t>
      </w:r>
      <w:r w:rsidR="00131B9A" w:rsidRPr="00131B9A">
        <w:rPr>
          <w:rFonts w:ascii="Arial" w:hAnsi="Arial" w:cs="Arial"/>
          <w:szCs w:val="24"/>
        </w:rPr>
        <w:t>6</w:t>
      </w:r>
      <w:r w:rsidRPr="00131B9A">
        <w:rPr>
          <w:rFonts w:ascii="Arial" w:hAnsi="Arial" w:cs="Arial"/>
          <w:szCs w:val="24"/>
        </w:rPr>
        <w:t xml:space="preserve"> has been </w:t>
      </w:r>
      <w:r w:rsidR="003C6FE2" w:rsidRPr="00131B9A">
        <w:rPr>
          <w:rFonts w:ascii="Arial" w:hAnsi="Arial" w:cs="Arial"/>
          <w:szCs w:val="24"/>
        </w:rPr>
        <w:t>derived by:</w:t>
      </w:r>
      <w:r w:rsidR="00A35D10" w:rsidRPr="00A35D10">
        <w:rPr>
          <w:rFonts w:ascii="Arial" w:hAnsi="Arial" w:cs="Arial"/>
        </w:rPr>
        <w:t xml:space="preserve"> </w:t>
      </w:r>
    </w:p>
    <w:p w14:paraId="1FAF0B6F" w14:textId="67E7648A" w:rsidR="009A6784" w:rsidRPr="00FD5566" w:rsidRDefault="003A7E6D" w:rsidP="00345006">
      <w:pPr>
        <w:pStyle w:val="Heading3"/>
        <w:keepNext w:val="0"/>
        <w:ind w:left="1179" w:hanging="391"/>
        <w:jc w:val="left"/>
        <w:rPr>
          <w:rFonts w:ascii="Arial" w:hAnsi="Arial" w:cs="Arial"/>
          <w:szCs w:val="24"/>
        </w:rPr>
      </w:pPr>
      <w:r w:rsidRPr="00E86CD4">
        <w:rPr>
          <w:rFonts w:ascii="Arial" w:hAnsi="Arial" w:cs="Arial"/>
          <w:szCs w:val="24"/>
        </w:rPr>
        <w:t>I</w:t>
      </w:r>
      <w:r w:rsidR="009A6784" w:rsidRPr="00E86CD4">
        <w:rPr>
          <w:rFonts w:ascii="Arial" w:hAnsi="Arial" w:cs="Arial"/>
          <w:szCs w:val="24"/>
        </w:rPr>
        <w:t>ncreas</w:t>
      </w:r>
      <w:r w:rsidRPr="00E86CD4">
        <w:rPr>
          <w:rFonts w:ascii="Arial" w:hAnsi="Arial" w:cs="Arial"/>
          <w:szCs w:val="24"/>
        </w:rPr>
        <w:t>ing</w:t>
      </w:r>
      <w:r w:rsidR="009A6784" w:rsidRPr="00E86CD4">
        <w:rPr>
          <w:rFonts w:ascii="Arial" w:hAnsi="Arial" w:cs="Arial"/>
          <w:szCs w:val="24"/>
        </w:rPr>
        <w:t xml:space="preserve"> top-up funding unit values </w:t>
      </w:r>
      <w:r w:rsidR="00EE36C8" w:rsidRPr="00E86CD4">
        <w:rPr>
          <w:rFonts w:ascii="Arial" w:hAnsi="Arial" w:cs="Arial"/>
          <w:szCs w:val="24"/>
        </w:rPr>
        <w:t xml:space="preserve">to provide a </w:t>
      </w:r>
      <w:r w:rsidR="02EC2D57" w:rsidRPr="00E86CD4">
        <w:rPr>
          <w:rFonts w:ascii="Arial" w:hAnsi="Arial" w:cs="Arial"/>
          <w:szCs w:val="24"/>
        </w:rPr>
        <w:t>2.5</w:t>
      </w:r>
      <w:r w:rsidR="00EE36C8" w:rsidRPr="00E86CD4">
        <w:rPr>
          <w:rFonts w:ascii="Arial" w:hAnsi="Arial" w:cs="Arial"/>
          <w:szCs w:val="24"/>
        </w:rPr>
        <w:t xml:space="preserve">% increase </w:t>
      </w:r>
      <w:r w:rsidR="001D179F" w:rsidRPr="00E86CD4">
        <w:rPr>
          <w:rFonts w:ascii="Arial" w:hAnsi="Arial" w:cs="Arial"/>
          <w:szCs w:val="24"/>
        </w:rPr>
        <w:t xml:space="preserve">to support </w:t>
      </w:r>
      <w:r w:rsidR="00BF2B0A" w:rsidRPr="00E86CD4">
        <w:rPr>
          <w:rFonts w:ascii="Arial" w:hAnsi="Arial" w:cs="Arial"/>
          <w:szCs w:val="24"/>
        </w:rPr>
        <w:t>with inflationary pressures</w:t>
      </w:r>
      <w:r w:rsidR="002C58F9" w:rsidRPr="00E86CD4">
        <w:rPr>
          <w:rFonts w:ascii="Arial" w:hAnsi="Arial" w:cs="Arial"/>
          <w:szCs w:val="24"/>
        </w:rPr>
        <w:t xml:space="preserve">. </w:t>
      </w:r>
    </w:p>
    <w:p w14:paraId="22F9CBE0" w14:textId="2FC2F752" w:rsidR="0004272D" w:rsidRPr="00AC7DC2" w:rsidRDefault="0004272D" w:rsidP="004F0825">
      <w:pPr>
        <w:pStyle w:val="Heading3"/>
        <w:keepNext w:val="0"/>
        <w:ind w:left="1179" w:hanging="391"/>
        <w:jc w:val="left"/>
        <w:rPr>
          <w:rFonts w:ascii="Arial" w:hAnsi="Arial" w:cs="Arial"/>
          <w:szCs w:val="24"/>
        </w:rPr>
      </w:pPr>
      <w:r w:rsidRPr="00144336">
        <w:rPr>
          <w:rFonts w:ascii="Arial" w:hAnsi="Arial" w:cs="Arial"/>
          <w:szCs w:val="24"/>
        </w:rPr>
        <w:t xml:space="preserve">Increasing top-up funding budgets in line with </w:t>
      </w:r>
      <w:r w:rsidR="00EC6D2B" w:rsidRPr="00144336">
        <w:rPr>
          <w:rFonts w:ascii="Arial" w:hAnsi="Arial" w:cs="Arial"/>
          <w:szCs w:val="24"/>
        </w:rPr>
        <w:t>gro</w:t>
      </w:r>
      <w:r w:rsidR="00FA656F" w:rsidRPr="00144336">
        <w:rPr>
          <w:rFonts w:ascii="Arial" w:hAnsi="Arial" w:cs="Arial"/>
          <w:szCs w:val="24"/>
        </w:rPr>
        <w:t xml:space="preserve">wth trends </w:t>
      </w:r>
      <w:r w:rsidR="00844713" w:rsidRPr="004F0825">
        <w:rPr>
          <w:rFonts w:ascii="Arial" w:hAnsi="Arial" w:cs="Arial"/>
          <w:szCs w:val="24"/>
        </w:rPr>
        <w:t xml:space="preserve">and planned expansion of </w:t>
      </w:r>
      <w:r w:rsidR="002B7D7C" w:rsidRPr="004F0825">
        <w:rPr>
          <w:rFonts w:ascii="Arial" w:hAnsi="Arial" w:cs="Arial"/>
          <w:szCs w:val="24"/>
        </w:rPr>
        <w:t>specialist provision</w:t>
      </w:r>
      <w:r w:rsidR="007372C1" w:rsidRPr="004F0825">
        <w:rPr>
          <w:rFonts w:ascii="Arial" w:hAnsi="Arial" w:cs="Arial"/>
          <w:szCs w:val="24"/>
        </w:rPr>
        <w:t>s</w:t>
      </w:r>
      <w:r w:rsidR="00FA656F" w:rsidRPr="004F0825">
        <w:rPr>
          <w:rFonts w:ascii="Arial" w:hAnsi="Arial" w:cs="Arial"/>
          <w:szCs w:val="24"/>
        </w:rPr>
        <w:t xml:space="preserve"> </w:t>
      </w:r>
      <w:r w:rsidR="009669EA" w:rsidRPr="00144336">
        <w:rPr>
          <w:rFonts w:ascii="Arial" w:hAnsi="Arial" w:cs="Arial"/>
          <w:szCs w:val="24"/>
        </w:rPr>
        <w:t xml:space="preserve">expected </w:t>
      </w:r>
      <w:r w:rsidR="00144336" w:rsidRPr="00144336">
        <w:rPr>
          <w:rFonts w:ascii="Arial" w:hAnsi="Arial" w:cs="Arial"/>
          <w:szCs w:val="24"/>
        </w:rPr>
        <w:t>in 2025/26.</w:t>
      </w:r>
      <w:r w:rsidRPr="00144336">
        <w:rPr>
          <w:rFonts w:ascii="Arial" w:hAnsi="Arial" w:cs="Arial"/>
          <w:szCs w:val="24"/>
        </w:rPr>
        <w:t xml:space="preserve">  In total, top-up budgets have been increased by </w:t>
      </w:r>
      <w:r w:rsidRPr="004F0825">
        <w:rPr>
          <w:rFonts w:ascii="Arial" w:hAnsi="Arial" w:cs="Arial"/>
          <w:szCs w:val="24"/>
        </w:rPr>
        <w:t>£</w:t>
      </w:r>
      <w:r w:rsidR="00F60E88" w:rsidRPr="004F0825">
        <w:rPr>
          <w:rFonts w:ascii="Arial" w:hAnsi="Arial" w:cs="Arial"/>
          <w:szCs w:val="24"/>
        </w:rPr>
        <w:t>58.8</w:t>
      </w:r>
      <w:r w:rsidRPr="004F0825">
        <w:rPr>
          <w:rFonts w:ascii="Arial" w:hAnsi="Arial" w:cs="Arial"/>
          <w:szCs w:val="24"/>
        </w:rPr>
        <w:t>m</w:t>
      </w:r>
      <w:r w:rsidR="00F83438" w:rsidRPr="004F0825">
        <w:rPr>
          <w:rFonts w:ascii="Arial" w:hAnsi="Arial" w:cs="Arial"/>
          <w:szCs w:val="24"/>
        </w:rPr>
        <w:t xml:space="preserve"> </w:t>
      </w:r>
      <w:r w:rsidR="00F83438" w:rsidRPr="00273CA6">
        <w:rPr>
          <w:rFonts w:ascii="Arial" w:hAnsi="Arial" w:cs="Arial"/>
          <w:szCs w:val="24"/>
        </w:rPr>
        <w:t xml:space="preserve">in relation to </w:t>
      </w:r>
      <w:r w:rsidR="00F83438" w:rsidRPr="004F0825">
        <w:rPr>
          <w:rFonts w:ascii="Arial" w:hAnsi="Arial" w:cs="Arial"/>
          <w:szCs w:val="24"/>
        </w:rPr>
        <w:t>m</w:t>
      </w:r>
      <w:r w:rsidR="7CF7F4E3" w:rsidRPr="004F0825">
        <w:rPr>
          <w:rFonts w:ascii="Arial" w:hAnsi="Arial" w:cs="Arial"/>
          <w:szCs w:val="24"/>
        </w:rPr>
        <w:t>aintained</w:t>
      </w:r>
      <w:r w:rsidR="00F83438" w:rsidRPr="00273CA6">
        <w:rPr>
          <w:rFonts w:ascii="Arial" w:hAnsi="Arial" w:cs="Arial"/>
          <w:szCs w:val="24"/>
        </w:rPr>
        <w:t xml:space="preserve"> provision and</w:t>
      </w:r>
      <w:r w:rsidR="00F83438" w:rsidRPr="004F0825">
        <w:rPr>
          <w:rFonts w:ascii="Arial" w:hAnsi="Arial" w:cs="Arial"/>
          <w:szCs w:val="24"/>
        </w:rPr>
        <w:t xml:space="preserve"> £</w:t>
      </w:r>
      <w:r w:rsidR="000969DD" w:rsidRPr="004F0825">
        <w:rPr>
          <w:rFonts w:ascii="Arial" w:hAnsi="Arial" w:cs="Arial"/>
          <w:szCs w:val="24"/>
        </w:rPr>
        <w:t>65.2</w:t>
      </w:r>
      <w:r w:rsidR="00147EDD" w:rsidRPr="004F0825">
        <w:rPr>
          <w:rFonts w:ascii="Arial" w:hAnsi="Arial" w:cs="Arial"/>
          <w:szCs w:val="24"/>
        </w:rPr>
        <w:t xml:space="preserve">m </w:t>
      </w:r>
      <w:r w:rsidR="00147EDD" w:rsidRPr="00273CA6">
        <w:rPr>
          <w:rFonts w:ascii="Arial" w:hAnsi="Arial" w:cs="Arial"/>
          <w:szCs w:val="24"/>
        </w:rPr>
        <w:t>in relation to independent providers</w:t>
      </w:r>
      <w:r w:rsidRPr="00273CA6">
        <w:rPr>
          <w:rFonts w:ascii="Arial" w:hAnsi="Arial" w:cs="Arial"/>
          <w:szCs w:val="24"/>
        </w:rPr>
        <w:t xml:space="preserve">, </w:t>
      </w:r>
      <w:r w:rsidRPr="00E658C5">
        <w:rPr>
          <w:rFonts w:ascii="Arial" w:hAnsi="Arial" w:cs="Arial"/>
          <w:szCs w:val="24"/>
        </w:rPr>
        <w:t xml:space="preserve">however </w:t>
      </w:r>
      <w:r w:rsidR="00FC6DFF" w:rsidRPr="00E658C5">
        <w:rPr>
          <w:rFonts w:ascii="Arial" w:hAnsi="Arial" w:cs="Arial"/>
          <w:szCs w:val="24"/>
        </w:rPr>
        <w:t xml:space="preserve">it is </w:t>
      </w:r>
      <w:proofErr w:type="spellStart"/>
      <w:r w:rsidR="00FC6DFF" w:rsidRPr="00E658C5">
        <w:rPr>
          <w:rFonts w:ascii="Arial" w:hAnsi="Arial" w:cs="Arial"/>
          <w:szCs w:val="24"/>
        </w:rPr>
        <w:t>recognised</w:t>
      </w:r>
      <w:proofErr w:type="spellEnd"/>
      <w:r w:rsidR="00FC6DFF" w:rsidRPr="00E658C5">
        <w:rPr>
          <w:rFonts w:ascii="Arial" w:hAnsi="Arial" w:cs="Arial"/>
          <w:szCs w:val="24"/>
        </w:rPr>
        <w:t xml:space="preserve"> that the 2024/25</w:t>
      </w:r>
      <w:r w:rsidRPr="00E658C5">
        <w:rPr>
          <w:rFonts w:ascii="Arial" w:hAnsi="Arial" w:cs="Arial"/>
          <w:szCs w:val="24"/>
        </w:rPr>
        <w:t xml:space="preserve"> budget</w:t>
      </w:r>
      <w:r w:rsidR="00FC6DFF" w:rsidRPr="00E658C5">
        <w:rPr>
          <w:rFonts w:ascii="Arial" w:hAnsi="Arial" w:cs="Arial"/>
          <w:szCs w:val="24"/>
        </w:rPr>
        <w:t xml:space="preserve"> represented a suppressed </w:t>
      </w:r>
      <w:r w:rsidR="00E6146E" w:rsidRPr="00E658C5">
        <w:rPr>
          <w:rFonts w:ascii="Arial" w:hAnsi="Arial" w:cs="Arial"/>
          <w:szCs w:val="24"/>
        </w:rPr>
        <w:t>position</w:t>
      </w:r>
      <w:r w:rsidR="004170C6">
        <w:rPr>
          <w:rFonts w:ascii="Arial" w:hAnsi="Arial" w:cs="Arial"/>
          <w:szCs w:val="24"/>
        </w:rPr>
        <w:t xml:space="preserve"> due to the limitation of fu</w:t>
      </w:r>
      <w:r w:rsidR="00E52667">
        <w:rPr>
          <w:rFonts w:ascii="Arial" w:hAnsi="Arial" w:cs="Arial"/>
          <w:szCs w:val="24"/>
        </w:rPr>
        <w:t>nding available. I</w:t>
      </w:r>
      <w:r w:rsidR="00E6146E" w:rsidRPr="00E658C5">
        <w:rPr>
          <w:rFonts w:ascii="Arial" w:hAnsi="Arial" w:cs="Arial"/>
          <w:szCs w:val="24"/>
        </w:rPr>
        <w:t xml:space="preserve">n relation to the period 8 </w:t>
      </w:r>
      <w:r w:rsidR="00083F92" w:rsidRPr="00E658C5">
        <w:rPr>
          <w:rFonts w:ascii="Arial" w:hAnsi="Arial" w:cs="Arial"/>
          <w:szCs w:val="24"/>
        </w:rPr>
        <w:t xml:space="preserve">forecast this budget represents an increase of </w:t>
      </w:r>
      <w:r w:rsidR="00083F92" w:rsidRPr="004F0825">
        <w:rPr>
          <w:rFonts w:ascii="Arial" w:hAnsi="Arial" w:cs="Arial"/>
          <w:szCs w:val="24"/>
        </w:rPr>
        <w:t>£</w:t>
      </w:r>
      <w:r w:rsidR="00A92736" w:rsidRPr="004F0825">
        <w:rPr>
          <w:rFonts w:ascii="Arial" w:hAnsi="Arial" w:cs="Arial"/>
          <w:szCs w:val="24"/>
        </w:rPr>
        <w:t>23.4</w:t>
      </w:r>
      <w:r w:rsidR="00E4286E" w:rsidRPr="004F0825">
        <w:rPr>
          <w:rFonts w:ascii="Arial" w:hAnsi="Arial" w:cs="Arial"/>
          <w:szCs w:val="24"/>
        </w:rPr>
        <w:t xml:space="preserve">m </w:t>
      </w:r>
      <w:r w:rsidR="00E4286E" w:rsidRPr="00273CA6">
        <w:rPr>
          <w:rFonts w:ascii="Arial" w:hAnsi="Arial" w:cs="Arial"/>
          <w:szCs w:val="24"/>
        </w:rPr>
        <w:t xml:space="preserve">in relation to mainstream provision and </w:t>
      </w:r>
      <w:r w:rsidR="00E4286E" w:rsidRPr="004F0825">
        <w:rPr>
          <w:rFonts w:ascii="Arial" w:hAnsi="Arial" w:cs="Arial"/>
          <w:szCs w:val="24"/>
        </w:rPr>
        <w:t>£</w:t>
      </w:r>
      <w:r w:rsidR="00A92736" w:rsidRPr="004F0825">
        <w:rPr>
          <w:rFonts w:ascii="Arial" w:hAnsi="Arial" w:cs="Arial"/>
          <w:szCs w:val="24"/>
        </w:rPr>
        <w:t>17</w:t>
      </w:r>
      <w:r w:rsidR="00E01F8C" w:rsidRPr="004F0825">
        <w:rPr>
          <w:rFonts w:ascii="Arial" w:hAnsi="Arial" w:cs="Arial"/>
          <w:szCs w:val="24"/>
        </w:rPr>
        <w:t>.4</w:t>
      </w:r>
      <w:r w:rsidR="00E4286E" w:rsidRPr="004F0825">
        <w:rPr>
          <w:rFonts w:ascii="Arial" w:hAnsi="Arial" w:cs="Arial"/>
          <w:szCs w:val="24"/>
        </w:rPr>
        <w:t xml:space="preserve">m </w:t>
      </w:r>
      <w:r w:rsidR="00E4286E" w:rsidRPr="00273CA6">
        <w:rPr>
          <w:rFonts w:ascii="Arial" w:hAnsi="Arial" w:cs="Arial"/>
          <w:szCs w:val="24"/>
        </w:rPr>
        <w:t xml:space="preserve">in relation to </w:t>
      </w:r>
      <w:r w:rsidR="00E4286E" w:rsidRPr="00AC7DC2">
        <w:rPr>
          <w:rFonts w:ascii="Arial" w:hAnsi="Arial" w:cs="Arial"/>
          <w:szCs w:val="24"/>
        </w:rPr>
        <w:t>independent providers</w:t>
      </w:r>
      <w:r w:rsidR="00E658C5" w:rsidRPr="00AC7DC2">
        <w:rPr>
          <w:rFonts w:ascii="Arial" w:hAnsi="Arial" w:cs="Arial"/>
          <w:szCs w:val="24"/>
        </w:rPr>
        <w:t>.</w:t>
      </w:r>
      <w:r w:rsidRPr="00AC7DC2">
        <w:rPr>
          <w:rFonts w:ascii="Arial" w:hAnsi="Arial" w:cs="Arial"/>
          <w:szCs w:val="24"/>
        </w:rPr>
        <w:t xml:space="preserve"> </w:t>
      </w:r>
    </w:p>
    <w:p w14:paraId="1EF94285" w14:textId="0850F6CB" w:rsidR="004F3B82" w:rsidRPr="00C32E24" w:rsidRDefault="004F3B82" w:rsidP="00054C2A">
      <w:pPr>
        <w:pStyle w:val="Heading2"/>
        <w:keepNext w:val="0"/>
        <w:numPr>
          <w:ilvl w:val="0"/>
          <w:numId w:val="9"/>
        </w:numPr>
        <w:spacing w:after="120"/>
        <w:jc w:val="left"/>
        <w:rPr>
          <w:rFonts w:ascii="Arial" w:hAnsi="Arial" w:cs="Arial"/>
          <w:szCs w:val="24"/>
        </w:rPr>
      </w:pPr>
      <w:r>
        <w:rPr>
          <w:rFonts w:ascii="Arial" w:hAnsi="Arial" w:cs="Arial"/>
          <w:szCs w:val="24"/>
        </w:rPr>
        <w:t>Dis</w:t>
      </w:r>
      <w:r w:rsidR="00C2644A">
        <w:rPr>
          <w:rFonts w:ascii="Arial" w:hAnsi="Arial" w:cs="Arial"/>
          <w:szCs w:val="24"/>
        </w:rPr>
        <w:t>cretionary funding</w:t>
      </w:r>
      <w:r w:rsidR="00787F1D">
        <w:rPr>
          <w:rFonts w:ascii="Arial" w:hAnsi="Arial" w:cs="Arial"/>
          <w:szCs w:val="24"/>
        </w:rPr>
        <w:t xml:space="preserve"> has been projected based on </w:t>
      </w:r>
      <w:r w:rsidR="00D125DE">
        <w:rPr>
          <w:rFonts w:ascii="Arial" w:hAnsi="Arial" w:cs="Arial"/>
          <w:szCs w:val="24"/>
        </w:rPr>
        <w:t>historic trends</w:t>
      </w:r>
      <w:r w:rsidR="00206599">
        <w:rPr>
          <w:rFonts w:ascii="Arial" w:hAnsi="Arial" w:cs="Arial"/>
          <w:szCs w:val="24"/>
        </w:rPr>
        <w:t xml:space="preserve"> </w:t>
      </w:r>
      <w:r w:rsidR="00C32E24" w:rsidRPr="00C32E24">
        <w:rPr>
          <w:rFonts w:ascii="Arial" w:hAnsi="Arial" w:cs="Arial"/>
          <w:szCs w:val="24"/>
        </w:rPr>
        <w:t>and as such requires significant additional funding in 2025/26</w:t>
      </w:r>
      <w:r w:rsidR="0062789E" w:rsidRPr="00C32E24">
        <w:rPr>
          <w:rFonts w:ascii="Arial" w:hAnsi="Arial" w:cs="Arial"/>
          <w:szCs w:val="24"/>
        </w:rPr>
        <w:t>.</w:t>
      </w:r>
    </w:p>
    <w:p w14:paraId="4A393C5A" w14:textId="79D4C2CA" w:rsidR="00DD6FBF" w:rsidRPr="00AC7DC2" w:rsidRDefault="0004272D" w:rsidP="00054C2A">
      <w:pPr>
        <w:pStyle w:val="Heading2"/>
        <w:keepNext w:val="0"/>
        <w:numPr>
          <w:ilvl w:val="0"/>
          <w:numId w:val="9"/>
        </w:numPr>
        <w:spacing w:after="120"/>
        <w:jc w:val="left"/>
        <w:rPr>
          <w:rFonts w:ascii="Arial" w:hAnsi="Arial" w:cs="Arial"/>
          <w:szCs w:val="24"/>
        </w:rPr>
      </w:pPr>
      <w:r w:rsidRPr="00AC7DC2">
        <w:rPr>
          <w:rFonts w:ascii="Arial" w:hAnsi="Arial" w:cs="Arial"/>
          <w:szCs w:val="24"/>
        </w:rPr>
        <w:t xml:space="preserve">Staffing related budgets have been set in line with budget requirements. </w:t>
      </w:r>
      <w:r w:rsidR="00F64F97" w:rsidRPr="00AC7DC2">
        <w:rPr>
          <w:rFonts w:ascii="Arial" w:hAnsi="Arial" w:cs="Arial"/>
          <w:szCs w:val="24"/>
        </w:rPr>
        <w:t>S</w:t>
      </w:r>
      <w:r w:rsidR="00F46BF6" w:rsidRPr="00AC7DC2">
        <w:rPr>
          <w:rFonts w:ascii="Arial" w:hAnsi="Arial" w:cs="Arial"/>
          <w:szCs w:val="24"/>
        </w:rPr>
        <w:t>avings have been identified</w:t>
      </w:r>
      <w:r w:rsidR="00F64F97" w:rsidRPr="00AC7DC2">
        <w:rPr>
          <w:rFonts w:ascii="Arial" w:hAnsi="Arial" w:cs="Arial"/>
          <w:szCs w:val="24"/>
        </w:rPr>
        <w:t xml:space="preserve"> across the services in relation</w:t>
      </w:r>
      <w:r w:rsidR="00AF4352" w:rsidRPr="00AC7DC2">
        <w:rPr>
          <w:rFonts w:ascii="Arial" w:hAnsi="Arial" w:cs="Arial"/>
          <w:szCs w:val="24"/>
        </w:rPr>
        <w:t xml:space="preserve"> to </w:t>
      </w:r>
      <w:r w:rsidR="00350FC1" w:rsidRPr="00AC7DC2">
        <w:rPr>
          <w:rFonts w:ascii="Arial" w:hAnsi="Arial" w:cs="Arial"/>
          <w:szCs w:val="24"/>
        </w:rPr>
        <w:t xml:space="preserve">flexible working </w:t>
      </w:r>
      <w:r w:rsidR="0011298B" w:rsidRPr="00AC7DC2">
        <w:rPr>
          <w:rFonts w:ascii="Arial" w:hAnsi="Arial" w:cs="Arial"/>
          <w:szCs w:val="24"/>
        </w:rPr>
        <w:t xml:space="preserve">practices, </w:t>
      </w:r>
      <w:r w:rsidR="00EA2D78" w:rsidRPr="00AC7DC2">
        <w:rPr>
          <w:rFonts w:ascii="Arial" w:hAnsi="Arial" w:cs="Arial"/>
          <w:szCs w:val="24"/>
        </w:rPr>
        <w:t>travel and office related costs</w:t>
      </w:r>
      <w:r w:rsidR="00F46BF6" w:rsidRPr="00AC7DC2">
        <w:rPr>
          <w:rFonts w:ascii="Arial" w:hAnsi="Arial" w:cs="Arial"/>
          <w:szCs w:val="24"/>
        </w:rPr>
        <w:t xml:space="preserve"> to reduce the </w:t>
      </w:r>
      <w:r w:rsidR="00C67FEB" w:rsidRPr="00AC7DC2">
        <w:rPr>
          <w:rFonts w:ascii="Arial" w:hAnsi="Arial" w:cs="Arial"/>
          <w:szCs w:val="24"/>
        </w:rPr>
        <w:t>impact of pay infl</w:t>
      </w:r>
      <w:r w:rsidR="00B925FA" w:rsidRPr="00AC7DC2">
        <w:rPr>
          <w:rFonts w:ascii="Arial" w:hAnsi="Arial" w:cs="Arial"/>
          <w:szCs w:val="24"/>
        </w:rPr>
        <w:t>ation</w:t>
      </w:r>
      <w:r w:rsidR="0005138A">
        <w:rPr>
          <w:rFonts w:ascii="Arial" w:hAnsi="Arial" w:cs="Arial"/>
          <w:szCs w:val="24"/>
        </w:rPr>
        <w:t xml:space="preserve"> and other pressures</w:t>
      </w:r>
      <w:r w:rsidR="00802F65" w:rsidRPr="00AC7DC2">
        <w:rPr>
          <w:rFonts w:ascii="Arial" w:hAnsi="Arial" w:cs="Arial"/>
          <w:szCs w:val="24"/>
        </w:rPr>
        <w:t>.</w:t>
      </w:r>
      <w:r w:rsidR="00D67B52" w:rsidRPr="00AC7DC2">
        <w:rPr>
          <w:rFonts w:ascii="Arial" w:hAnsi="Arial" w:cs="Arial"/>
          <w:szCs w:val="24"/>
        </w:rPr>
        <w:t xml:space="preserve">  </w:t>
      </w:r>
      <w:r w:rsidR="008C462B" w:rsidRPr="00AC7DC2">
        <w:rPr>
          <w:rFonts w:ascii="Arial" w:hAnsi="Arial" w:cs="Arial"/>
          <w:szCs w:val="24"/>
        </w:rPr>
        <w:t>Following a review t</w:t>
      </w:r>
      <w:r w:rsidR="00D67B52" w:rsidRPr="00AC7DC2">
        <w:rPr>
          <w:rFonts w:ascii="Arial" w:hAnsi="Arial" w:cs="Arial"/>
          <w:szCs w:val="24"/>
        </w:rPr>
        <w:t>he t</w:t>
      </w:r>
      <w:r w:rsidRPr="00AC7DC2">
        <w:rPr>
          <w:rFonts w:ascii="Arial" w:hAnsi="Arial" w:cs="Arial"/>
          <w:szCs w:val="24"/>
        </w:rPr>
        <w:t>herap</w:t>
      </w:r>
      <w:r w:rsidR="00D67B52" w:rsidRPr="00AC7DC2">
        <w:rPr>
          <w:rFonts w:ascii="Arial" w:hAnsi="Arial" w:cs="Arial"/>
          <w:szCs w:val="24"/>
        </w:rPr>
        <w:t>y ser</w:t>
      </w:r>
      <w:r w:rsidR="0024348C" w:rsidRPr="00AC7DC2">
        <w:rPr>
          <w:rFonts w:ascii="Arial" w:hAnsi="Arial" w:cs="Arial"/>
          <w:szCs w:val="24"/>
        </w:rPr>
        <w:t xml:space="preserve">vice </w:t>
      </w:r>
      <w:r w:rsidR="008C462B" w:rsidRPr="00AC7DC2">
        <w:rPr>
          <w:rFonts w:ascii="Arial" w:hAnsi="Arial" w:cs="Arial"/>
          <w:szCs w:val="24"/>
        </w:rPr>
        <w:t>has</w:t>
      </w:r>
      <w:r w:rsidR="00F21D21" w:rsidRPr="00AC7DC2">
        <w:rPr>
          <w:rFonts w:ascii="Arial" w:hAnsi="Arial" w:cs="Arial"/>
          <w:szCs w:val="24"/>
        </w:rPr>
        <w:t xml:space="preserve"> </w:t>
      </w:r>
      <w:r w:rsidR="00E1195F" w:rsidRPr="00AC7DC2">
        <w:rPr>
          <w:rFonts w:ascii="Arial" w:hAnsi="Arial" w:cs="Arial"/>
          <w:szCs w:val="24"/>
        </w:rPr>
        <w:t xml:space="preserve">expanded to </w:t>
      </w:r>
      <w:r w:rsidR="005C4155" w:rsidRPr="00AC7DC2">
        <w:rPr>
          <w:rFonts w:ascii="Arial" w:hAnsi="Arial" w:cs="Arial"/>
          <w:szCs w:val="24"/>
        </w:rPr>
        <w:t xml:space="preserve">create capacity to </w:t>
      </w:r>
      <w:r w:rsidR="00FA35BC" w:rsidRPr="00AC7DC2">
        <w:rPr>
          <w:rFonts w:ascii="Arial" w:hAnsi="Arial" w:cs="Arial"/>
          <w:szCs w:val="24"/>
        </w:rPr>
        <w:t>support growth in demand</w:t>
      </w:r>
      <w:r w:rsidR="00870BE5" w:rsidRPr="00AC7DC2">
        <w:rPr>
          <w:rFonts w:ascii="Arial" w:hAnsi="Arial" w:cs="Arial"/>
          <w:szCs w:val="24"/>
        </w:rPr>
        <w:t xml:space="preserve"> and is expected to reduce the </w:t>
      </w:r>
      <w:r w:rsidR="009E0A6A" w:rsidRPr="00AC7DC2">
        <w:rPr>
          <w:rFonts w:ascii="Arial" w:hAnsi="Arial" w:cs="Arial"/>
          <w:szCs w:val="24"/>
        </w:rPr>
        <w:t>need to commission external providers via the discretionary funding budget</w:t>
      </w:r>
      <w:r w:rsidR="00FA35BC" w:rsidRPr="00AC7DC2">
        <w:rPr>
          <w:rFonts w:ascii="Arial" w:hAnsi="Arial" w:cs="Arial"/>
          <w:szCs w:val="24"/>
        </w:rPr>
        <w:t>.</w:t>
      </w:r>
      <w:r w:rsidR="00D91382" w:rsidRPr="00AC7DC2">
        <w:rPr>
          <w:rFonts w:ascii="Arial" w:hAnsi="Arial" w:cs="Arial"/>
          <w:szCs w:val="24"/>
        </w:rPr>
        <w:t xml:space="preserve">  Future </w:t>
      </w:r>
      <w:r w:rsidR="00976034" w:rsidRPr="00AC7DC2">
        <w:rPr>
          <w:rFonts w:ascii="Arial" w:hAnsi="Arial" w:cs="Arial"/>
          <w:szCs w:val="24"/>
        </w:rPr>
        <w:t>Y</w:t>
      </w:r>
      <w:r w:rsidR="00D91382" w:rsidRPr="00AC7DC2">
        <w:rPr>
          <w:rFonts w:ascii="Arial" w:hAnsi="Arial" w:cs="Arial"/>
          <w:szCs w:val="24"/>
        </w:rPr>
        <w:t xml:space="preserve">ou </w:t>
      </w:r>
      <w:r w:rsidR="005B2CC9" w:rsidRPr="00AC7DC2">
        <w:rPr>
          <w:rFonts w:ascii="Arial" w:hAnsi="Arial" w:cs="Arial"/>
          <w:szCs w:val="24"/>
        </w:rPr>
        <w:t>includes</w:t>
      </w:r>
      <w:r w:rsidR="0071505B" w:rsidRPr="00AC7DC2">
        <w:rPr>
          <w:rFonts w:ascii="Arial" w:hAnsi="Arial" w:cs="Arial"/>
          <w:szCs w:val="24"/>
        </w:rPr>
        <w:t xml:space="preserve"> an additional post to support </w:t>
      </w:r>
      <w:r w:rsidR="00995D78" w:rsidRPr="00AC7DC2">
        <w:rPr>
          <w:rFonts w:ascii="Arial" w:hAnsi="Arial" w:cs="Arial"/>
          <w:szCs w:val="24"/>
        </w:rPr>
        <w:t xml:space="preserve">a broader curriculum offer. </w:t>
      </w:r>
      <w:r w:rsidR="00581505" w:rsidRPr="00AC7DC2">
        <w:rPr>
          <w:rFonts w:ascii="Arial" w:hAnsi="Arial" w:cs="Arial"/>
          <w:szCs w:val="24"/>
        </w:rPr>
        <w:t xml:space="preserve"> The complex admissions team </w:t>
      </w:r>
      <w:r w:rsidR="00D90B79" w:rsidRPr="00AC7DC2">
        <w:rPr>
          <w:rFonts w:ascii="Arial" w:hAnsi="Arial" w:cs="Arial"/>
          <w:szCs w:val="24"/>
        </w:rPr>
        <w:t xml:space="preserve">budget </w:t>
      </w:r>
      <w:r w:rsidR="001E5360" w:rsidRPr="00AC7DC2">
        <w:rPr>
          <w:rFonts w:ascii="Arial" w:hAnsi="Arial" w:cs="Arial"/>
          <w:szCs w:val="24"/>
        </w:rPr>
        <w:t xml:space="preserve">supports an additional </w:t>
      </w:r>
      <w:r w:rsidR="00ED45FE" w:rsidRPr="00AC7DC2">
        <w:rPr>
          <w:rFonts w:ascii="Arial" w:hAnsi="Arial" w:cs="Arial"/>
          <w:szCs w:val="24"/>
        </w:rPr>
        <w:t xml:space="preserve">senior </w:t>
      </w:r>
      <w:r w:rsidR="004F7275" w:rsidRPr="00AC7DC2">
        <w:rPr>
          <w:rFonts w:ascii="Arial" w:hAnsi="Arial" w:cs="Arial"/>
          <w:szCs w:val="24"/>
        </w:rPr>
        <w:t>reintegration</w:t>
      </w:r>
      <w:r w:rsidR="00ED45FE" w:rsidRPr="00AC7DC2">
        <w:rPr>
          <w:rFonts w:ascii="Arial" w:hAnsi="Arial" w:cs="Arial"/>
          <w:szCs w:val="24"/>
        </w:rPr>
        <w:t xml:space="preserve"> post</w:t>
      </w:r>
      <w:r w:rsidR="00466DE9" w:rsidRPr="00AC7DC2">
        <w:rPr>
          <w:rFonts w:ascii="Arial" w:hAnsi="Arial" w:cs="Arial"/>
          <w:szCs w:val="24"/>
        </w:rPr>
        <w:t xml:space="preserve"> </w:t>
      </w:r>
      <w:r w:rsidR="00C40095" w:rsidRPr="00AC7DC2">
        <w:rPr>
          <w:rFonts w:ascii="Arial" w:hAnsi="Arial" w:cs="Arial"/>
          <w:szCs w:val="24"/>
        </w:rPr>
        <w:t xml:space="preserve">in 2025/26 </w:t>
      </w:r>
      <w:r w:rsidR="00466DE9" w:rsidRPr="00AC7DC2">
        <w:rPr>
          <w:rFonts w:ascii="Arial" w:hAnsi="Arial" w:cs="Arial"/>
          <w:szCs w:val="24"/>
        </w:rPr>
        <w:t>in line with demand seen this year.</w:t>
      </w:r>
    </w:p>
    <w:p w14:paraId="640F17DB" w14:textId="1DB90C3C" w:rsidR="003A7E6D" w:rsidRPr="00F659FD" w:rsidRDefault="0004272D" w:rsidP="00054C2A">
      <w:pPr>
        <w:pStyle w:val="Heading2"/>
        <w:keepNext w:val="0"/>
        <w:numPr>
          <w:ilvl w:val="0"/>
          <w:numId w:val="9"/>
        </w:numPr>
        <w:spacing w:after="120"/>
        <w:jc w:val="left"/>
        <w:rPr>
          <w:rFonts w:ascii="Arial" w:hAnsi="Arial" w:cs="Arial"/>
          <w:szCs w:val="24"/>
        </w:rPr>
      </w:pPr>
      <w:r w:rsidRPr="00F4767C">
        <w:rPr>
          <w:rFonts w:ascii="Arial" w:hAnsi="Arial" w:cs="Arial"/>
          <w:szCs w:val="24"/>
        </w:rPr>
        <w:t xml:space="preserve">Transforming SEND Hampshire </w:t>
      </w:r>
      <w:r w:rsidR="00472268" w:rsidRPr="00F4767C">
        <w:rPr>
          <w:rFonts w:ascii="Arial" w:hAnsi="Arial" w:cs="Arial"/>
          <w:szCs w:val="24"/>
        </w:rPr>
        <w:t xml:space="preserve">spend to save funding </w:t>
      </w:r>
      <w:r w:rsidR="0092277D" w:rsidRPr="00F4767C">
        <w:rPr>
          <w:rFonts w:ascii="Arial" w:hAnsi="Arial" w:cs="Arial"/>
          <w:szCs w:val="24"/>
        </w:rPr>
        <w:t xml:space="preserve">has </w:t>
      </w:r>
      <w:r w:rsidR="001C3638" w:rsidRPr="00F659FD">
        <w:rPr>
          <w:rFonts w:ascii="Arial" w:hAnsi="Arial" w:cs="Arial"/>
          <w:szCs w:val="24"/>
        </w:rPr>
        <w:t xml:space="preserve">been allocated in line with the </w:t>
      </w:r>
      <w:r w:rsidR="00557466" w:rsidRPr="00F659FD">
        <w:rPr>
          <w:rFonts w:ascii="Arial" w:hAnsi="Arial" w:cs="Arial"/>
          <w:szCs w:val="24"/>
        </w:rPr>
        <w:t xml:space="preserve">work outlined </w:t>
      </w:r>
      <w:r w:rsidR="0018015F" w:rsidRPr="00F659FD">
        <w:rPr>
          <w:rFonts w:ascii="Arial" w:hAnsi="Arial" w:cs="Arial"/>
          <w:szCs w:val="24"/>
        </w:rPr>
        <w:t xml:space="preserve">at the December </w:t>
      </w:r>
      <w:proofErr w:type="gramStart"/>
      <w:r w:rsidR="0018015F" w:rsidRPr="00F659FD">
        <w:rPr>
          <w:rFonts w:ascii="Arial" w:hAnsi="Arial" w:cs="Arial"/>
          <w:szCs w:val="24"/>
        </w:rPr>
        <w:t>schools</w:t>
      </w:r>
      <w:proofErr w:type="gramEnd"/>
      <w:r w:rsidR="0018015F" w:rsidRPr="00F659FD">
        <w:rPr>
          <w:rFonts w:ascii="Arial" w:hAnsi="Arial" w:cs="Arial"/>
          <w:szCs w:val="24"/>
        </w:rPr>
        <w:t xml:space="preserve"> forum</w:t>
      </w:r>
      <w:r w:rsidR="00C872BA" w:rsidRPr="00F659FD">
        <w:rPr>
          <w:rFonts w:ascii="Arial" w:hAnsi="Arial" w:cs="Arial"/>
          <w:szCs w:val="24"/>
        </w:rPr>
        <w:t xml:space="preserve"> meeting</w:t>
      </w:r>
      <w:r w:rsidRPr="00F659FD">
        <w:rPr>
          <w:rFonts w:ascii="Arial" w:hAnsi="Arial" w:cs="Arial"/>
          <w:szCs w:val="24"/>
        </w:rPr>
        <w:t>.</w:t>
      </w:r>
    </w:p>
    <w:p w14:paraId="32131157" w14:textId="353978D1" w:rsidR="004A5B77" w:rsidRPr="00F659FD" w:rsidRDefault="00372EA4" w:rsidP="00054C2A">
      <w:pPr>
        <w:pStyle w:val="Heading2"/>
        <w:keepNext w:val="0"/>
        <w:numPr>
          <w:ilvl w:val="0"/>
          <w:numId w:val="9"/>
        </w:numPr>
        <w:spacing w:after="120"/>
        <w:jc w:val="left"/>
        <w:rPr>
          <w:rFonts w:ascii="Arial" w:hAnsi="Arial" w:cs="Arial"/>
          <w:szCs w:val="24"/>
        </w:rPr>
      </w:pPr>
      <w:r w:rsidRPr="00F659FD">
        <w:rPr>
          <w:rFonts w:ascii="Arial" w:hAnsi="Arial" w:cs="Arial"/>
          <w:szCs w:val="24"/>
        </w:rPr>
        <w:t>Realigning the budget</w:t>
      </w:r>
      <w:r w:rsidR="004A5B77" w:rsidRPr="00F659FD">
        <w:rPr>
          <w:rFonts w:ascii="Arial" w:hAnsi="Arial" w:cs="Arial"/>
          <w:szCs w:val="24"/>
        </w:rPr>
        <w:t xml:space="preserve">s as required. This includes </w:t>
      </w:r>
      <w:r w:rsidR="0004272D" w:rsidRPr="00F659FD">
        <w:rPr>
          <w:rFonts w:ascii="Arial" w:hAnsi="Arial" w:cs="Arial"/>
          <w:szCs w:val="24"/>
        </w:rPr>
        <w:t>re</w:t>
      </w:r>
      <w:r w:rsidR="001A1001" w:rsidRPr="00F659FD">
        <w:rPr>
          <w:rFonts w:ascii="Arial" w:hAnsi="Arial" w:cs="Arial"/>
          <w:szCs w:val="24"/>
        </w:rPr>
        <w:t>introducing</w:t>
      </w:r>
      <w:r w:rsidR="00DE595B" w:rsidRPr="00F659FD">
        <w:rPr>
          <w:rFonts w:ascii="Arial" w:hAnsi="Arial" w:cs="Arial"/>
          <w:szCs w:val="24"/>
        </w:rPr>
        <w:t xml:space="preserve"> the High Needs contingency budget</w:t>
      </w:r>
      <w:r w:rsidR="00334367" w:rsidRPr="00F659FD">
        <w:rPr>
          <w:rFonts w:ascii="Arial" w:hAnsi="Arial" w:cs="Arial"/>
          <w:szCs w:val="24"/>
        </w:rPr>
        <w:t xml:space="preserve"> </w:t>
      </w:r>
      <w:r w:rsidR="00B35D34" w:rsidRPr="00F659FD">
        <w:rPr>
          <w:rFonts w:ascii="Arial" w:hAnsi="Arial" w:cs="Arial"/>
          <w:szCs w:val="24"/>
        </w:rPr>
        <w:t xml:space="preserve">as </w:t>
      </w:r>
      <w:r w:rsidR="00334367" w:rsidRPr="00F659FD">
        <w:rPr>
          <w:rFonts w:ascii="Arial" w:hAnsi="Arial" w:cs="Arial"/>
          <w:szCs w:val="24"/>
        </w:rPr>
        <w:t xml:space="preserve">an </w:t>
      </w:r>
      <w:r w:rsidR="00B35D34" w:rsidRPr="00F659FD">
        <w:rPr>
          <w:rFonts w:ascii="Arial" w:hAnsi="Arial" w:cs="Arial"/>
          <w:szCs w:val="24"/>
        </w:rPr>
        <w:t>offsetting entry</w:t>
      </w:r>
      <w:r w:rsidR="00765BD9" w:rsidRPr="00F659FD">
        <w:rPr>
          <w:rFonts w:ascii="Arial" w:hAnsi="Arial" w:cs="Arial"/>
          <w:szCs w:val="24"/>
        </w:rPr>
        <w:t xml:space="preserve"> to </w:t>
      </w:r>
      <w:r w:rsidR="00B35D34" w:rsidRPr="00F659FD">
        <w:rPr>
          <w:rFonts w:ascii="Arial" w:hAnsi="Arial" w:cs="Arial"/>
          <w:szCs w:val="24"/>
        </w:rPr>
        <w:t xml:space="preserve">enable meaningful budgets </w:t>
      </w:r>
      <w:r w:rsidR="00110254" w:rsidRPr="00F659FD">
        <w:rPr>
          <w:rFonts w:ascii="Arial" w:hAnsi="Arial" w:cs="Arial"/>
          <w:szCs w:val="24"/>
        </w:rPr>
        <w:t>to be set</w:t>
      </w:r>
      <w:r w:rsidR="00F659FD" w:rsidRPr="00F659FD">
        <w:rPr>
          <w:rFonts w:ascii="Arial" w:hAnsi="Arial" w:cs="Arial"/>
          <w:szCs w:val="24"/>
        </w:rPr>
        <w:t xml:space="preserve"> and remain within the funding </w:t>
      </w:r>
      <w:r w:rsidR="00765BD9" w:rsidRPr="00F659FD">
        <w:rPr>
          <w:rFonts w:ascii="Arial" w:hAnsi="Arial" w:cs="Arial"/>
          <w:szCs w:val="24"/>
        </w:rPr>
        <w:t>allocation</w:t>
      </w:r>
      <w:r w:rsidR="007301F2" w:rsidRPr="00F659FD">
        <w:rPr>
          <w:rFonts w:ascii="Arial" w:hAnsi="Arial" w:cs="Arial"/>
          <w:szCs w:val="24"/>
        </w:rPr>
        <w:t>.</w:t>
      </w:r>
    </w:p>
    <w:p w14:paraId="21B89E1A" w14:textId="40250F4C" w:rsidR="00E0424A" w:rsidRPr="00A35D10" w:rsidRDefault="009C05B8" w:rsidP="00070B48">
      <w:pPr>
        <w:pStyle w:val="Heading2"/>
        <w:keepNext w:val="0"/>
        <w:tabs>
          <w:tab w:val="num" w:pos="426"/>
        </w:tabs>
        <w:ind w:left="426" w:hanging="568"/>
        <w:jc w:val="left"/>
        <w:rPr>
          <w:rFonts w:ascii="Arial" w:hAnsi="Arial" w:cs="Arial"/>
          <w:szCs w:val="24"/>
        </w:rPr>
      </w:pPr>
      <w:r w:rsidRPr="006A10B4">
        <w:rPr>
          <w:rFonts w:ascii="Arial" w:hAnsi="Arial" w:cs="Arial"/>
          <w:szCs w:val="24"/>
        </w:rPr>
        <w:t>There continues to be growth in both demand and complexity of need</w:t>
      </w:r>
      <w:r w:rsidR="007A655B" w:rsidRPr="006A10B4">
        <w:rPr>
          <w:rFonts w:ascii="Arial" w:hAnsi="Arial" w:cs="Arial"/>
          <w:szCs w:val="24"/>
        </w:rPr>
        <w:t xml:space="preserve"> which has been </w:t>
      </w:r>
      <w:r w:rsidR="00A57F51" w:rsidRPr="006A10B4">
        <w:rPr>
          <w:rFonts w:ascii="Arial" w:hAnsi="Arial" w:cs="Arial"/>
          <w:szCs w:val="24"/>
        </w:rPr>
        <w:t xml:space="preserve">considered during </w:t>
      </w:r>
      <w:r w:rsidR="00A93F5D" w:rsidRPr="006A10B4">
        <w:rPr>
          <w:rFonts w:ascii="Arial" w:hAnsi="Arial" w:cs="Arial"/>
          <w:szCs w:val="24"/>
        </w:rPr>
        <w:t>budget setting</w:t>
      </w:r>
      <w:r w:rsidR="00E45BAD" w:rsidRPr="006A10B4">
        <w:rPr>
          <w:rFonts w:ascii="Arial" w:hAnsi="Arial" w:cs="Arial"/>
          <w:szCs w:val="24"/>
        </w:rPr>
        <w:t xml:space="preserve"> and the expected</w:t>
      </w:r>
      <w:r w:rsidR="00A21081" w:rsidRPr="006A10B4">
        <w:rPr>
          <w:rFonts w:ascii="Arial" w:hAnsi="Arial" w:cs="Arial"/>
          <w:szCs w:val="24"/>
        </w:rPr>
        <w:t xml:space="preserve"> shortfall in </w:t>
      </w:r>
      <w:r w:rsidRPr="006A10B4">
        <w:rPr>
          <w:rFonts w:ascii="Arial" w:hAnsi="Arial" w:cs="Arial"/>
          <w:szCs w:val="24"/>
        </w:rPr>
        <w:t>High Needs Block</w:t>
      </w:r>
      <w:r w:rsidR="002944E6" w:rsidRPr="006A10B4">
        <w:rPr>
          <w:rFonts w:ascii="Arial" w:hAnsi="Arial" w:cs="Arial"/>
          <w:szCs w:val="24"/>
        </w:rPr>
        <w:t xml:space="preserve"> funding can be seen on the SEN contingency offsetting budget</w:t>
      </w:r>
      <w:r w:rsidR="00873153" w:rsidRPr="00D46BD8">
        <w:rPr>
          <w:rFonts w:ascii="Arial" w:hAnsi="Arial" w:cs="Arial"/>
          <w:szCs w:val="24"/>
        </w:rPr>
        <w:t>.</w:t>
      </w:r>
      <w:r w:rsidR="001129F0" w:rsidRPr="00D46BD8">
        <w:rPr>
          <w:rFonts w:ascii="Arial" w:hAnsi="Arial" w:cs="Arial"/>
          <w:szCs w:val="24"/>
        </w:rPr>
        <w:t xml:space="preserve"> </w:t>
      </w:r>
      <w:r w:rsidR="002B5402" w:rsidRPr="002B5402">
        <w:rPr>
          <w:rFonts w:ascii="Arial" w:hAnsi="Arial" w:cs="Arial"/>
          <w:szCs w:val="24"/>
        </w:rPr>
        <w:t>The local authority continues to work closely with the local area partnership to develop strategies and capacity for improving the outcomes of children and young people with SEND in Hampshire with the impact recorded and monitored through the DSG Management Plan.</w:t>
      </w:r>
    </w:p>
    <w:p w14:paraId="5C3784C7" w14:textId="77777777" w:rsidR="00970DAF" w:rsidRPr="00131B9A" w:rsidRDefault="00970DAF" w:rsidP="00BF56F3">
      <w:pPr>
        <w:pStyle w:val="Heading1"/>
        <w:keepNext w:val="0"/>
        <w:ind w:left="431" w:hanging="573"/>
        <w:jc w:val="left"/>
        <w:rPr>
          <w:rFonts w:ascii="Arial" w:hAnsi="Arial" w:cs="Arial"/>
          <w:bCs/>
          <w:szCs w:val="24"/>
        </w:rPr>
      </w:pPr>
      <w:r w:rsidRPr="00131B9A">
        <w:rPr>
          <w:rFonts w:ascii="Arial" w:hAnsi="Arial" w:cs="Arial"/>
          <w:bCs/>
          <w:szCs w:val="24"/>
        </w:rPr>
        <w:t>Central School Services Block</w:t>
      </w:r>
    </w:p>
    <w:p w14:paraId="64023F4A" w14:textId="6698F5D0" w:rsidR="00B10310" w:rsidRPr="00131B9A" w:rsidRDefault="00970DAF" w:rsidP="00054C2A">
      <w:pPr>
        <w:pStyle w:val="Heading2"/>
        <w:keepNext w:val="0"/>
        <w:tabs>
          <w:tab w:val="num" w:pos="426"/>
        </w:tabs>
        <w:ind w:left="425" w:hanging="567"/>
        <w:jc w:val="left"/>
        <w:rPr>
          <w:rFonts w:ascii="Arial" w:hAnsi="Arial" w:cs="Arial"/>
          <w:szCs w:val="24"/>
        </w:rPr>
      </w:pPr>
      <w:r w:rsidRPr="00131B9A">
        <w:rPr>
          <w:rFonts w:ascii="Arial" w:hAnsi="Arial" w:cs="Arial"/>
          <w:szCs w:val="24"/>
        </w:rPr>
        <w:t xml:space="preserve">The overall change to the Central </w:t>
      </w:r>
      <w:r w:rsidRPr="00D111D7">
        <w:rPr>
          <w:rFonts w:ascii="Arial" w:hAnsi="Arial" w:cs="Arial"/>
          <w:szCs w:val="24"/>
        </w:rPr>
        <w:t>School Services Block (CSSB) is</w:t>
      </w:r>
      <w:r w:rsidR="007F1E13" w:rsidRPr="00D111D7">
        <w:rPr>
          <w:rFonts w:ascii="Arial" w:hAnsi="Arial" w:cs="Arial"/>
          <w:szCs w:val="24"/>
        </w:rPr>
        <w:t xml:space="preserve"> a</w:t>
      </w:r>
      <w:r w:rsidR="00131B9A" w:rsidRPr="00D111D7">
        <w:rPr>
          <w:rFonts w:ascii="Arial" w:hAnsi="Arial" w:cs="Arial"/>
          <w:szCs w:val="24"/>
        </w:rPr>
        <w:t>n increase of</w:t>
      </w:r>
      <w:r w:rsidR="007F1E13" w:rsidRPr="00D111D7">
        <w:rPr>
          <w:rFonts w:ascii="Arial" w:hAnsi="Arial" w:cs="Arial"/>
          <w:szCs w:val="24"/>
        </w:rPr>
        <w:t xml:space="preserve"> £</w:t>
      </w:r>
      <w:r w:rsidR="00C90D40" w:rsidRPr="00D111D7">
        <w:rPr>
          <w:rFonts w:ascii="Arial" w:hAnsi="Arial" w:cs="Arial"/>
          <w:szCs w:val="24"/>
        </w:rPr>
        <w:t>909</w:t>
      </w:r>
      <w:r w:rsidR="007F1E13" w:rsidRPr="00D111D7">
        <w:rPr>
          <w:rFonts w:ascii="Arial" w:hAnsi="Arial" w:cs="Arial"/>
          <w:szCs w:val="24"/>
        </w:rPr>
        <w:t>,000.</w:t>
      </w:r>
      <w:r w:rsidR="009D34D2" w:rsidRPr="00D111D7">
        <w:rPr>
          <w:rFonts w:ascii="Arial" w:hAnsi="Arial" w:cs="Arial"/>
          <w:szCs w:val="24"/>
        </w:rPr>
        <w:t xml:space="preserve"> Funding for on-going functions has increased by </w:t>
      </w:r>
      <w:r w:rsidR="001D328D" w:rsidRPr="00D111D7">
        <w:rPr>
          <w:rFonts w:ascii="Arial" w:hAnsi="Arial" w:cs="Arial"/>
          <w:szCs w:val="24"/>
        </w:rPr>
        <w:t>£</w:t>
      </w:r>
      <w:r w:rsidR="006B7645" w:rsidRPr="00D111D7">
        <w:rPr>
          <w:rFonts w:ascii="Arial" w:hAnsi="Arial" w:cs="Arial"/>
          <w:szCs w:val="24"/>
        </w:rPr>
        <w:t>1</w:t>
      </w:r>
      <w:r w:rsidR="00682AAC" w:rsidRPr="00D111D7">
        <w:rPr>
          <w:rFonts w:ascii="Arial" w:hAnsi="Arial" w:cs="Arial"/>
          <w:szCs w:val="24"/>
        </w:rPr>
        <w:t>.</w:t>
      </w:r>
      <w:r w:rsidR="006B7645" w:rsidRPr="00D111D7">
        <w:rPr>
          <w:rFonts w:ascii="Arial" w:hAnsi="Arial" w:cs="Arial"/>
          <w:szCs w:val="24"/>
        </w:rPr>
        <w:t>10</w:t>
      </w:r>
      <w:r w:rsidR="00D111D7" w:rsidRPr="00D111D7">
        <w:rPr>
          <w:rFonts w:ascii="Arial" w:hAnsi="Arial" w:cs="Arial"/>
          <w:szCs w:val="24"/>
        </w:rPr>
        <w:t>6</w:t>
      </w:r>
      <w:r w:rsidR="00682AAC" w:rsidRPr="00D111D7">
        <w:rPr>
          <w:rFonts w:ascii="Arial" w:hAnsi="Arial" w:cs="Arial"/>
          <w:szCs w:val="24"/>
        </w:rPr>
        <w:t>m</w:t>
      </w:r>
      <w:r w:rsidR="001D328D" w:rsidRPr="00D111D7">
        <w:rPr>
          <w:rFonts w:ascii="Arial" w:hAnsi="Arial" w:cs="Arial"/>
          <w:szCs w:val="24"/>
        </w:rPr>
        <w:t xml:space="preserve"> but </w:t>
      </w:r>
      <w:r w:rsidR="001D328D" w:rsidRPr="00CD12CE">
        <w:rPr>
          <w:rFonts w:ascii="Arial" w:hAnsi="Arial" w:cs="Arial"/>
          <w:szCs w:val="24"/>
        </w:rPr>
        <w:t>funding for historic commitments has reduced by £</w:t>
      </w:r>
      <w:r w:rsidR="00CD12CE" w:rsidRPr="00CD12CE">
        <w:rPr>
          <w:rFonts w:ascii="Arial" w:hAnsi="Arial" w:cs="Arial"/>
          <w:szCs w:val="24"/>
        </w:rPr>
        <w:t>197</w:t>
      </w:r>
      <w:r w:rsidR="00445C37" w:rsidRPr="00CD12CE">
        <w:rPr>
          <w:rFonts w:ascii="Arial" w:hAnsi="Arial" w:cs="Arial"/>
          <w:szCs w:val="24"/>
        </w:rPr>
        <w:t>,000 due to a further 20% reduction to the allocation.</w:t>
      </w:r>
    </w:p>
    <w:p w14:paraId="4FFCF9AE" w14:textId="72203DF9" w:rsidR="00B10310" w:rsidRPr="00B37CED" w:rsidRDefault="00B10310" w:rsidP="00054C2A">
      <w:pPr>
        <w:pStyle w:val="Heading2"/>
        <w:keepNext w:val="0"/>
        <w:tabs>
          <w:tab w:val="num" w:pos="426"/>
        </w:tabs>
        <w:ind w:left="425" w:hanging="567"/>
        <w:jc w:val="left"/>
        <w:rPr>
          <w:rFonts w:ascii="Arial" w:hAnsi="Arial" w:cs="Arial"/>
          <w:szCs w:val="24"/>
        </w:rPr>
      </w:pPr>
      <w:r w:rsidRPr="00B37CED">
        <w:rPr>
          <w:rFonts w:ascii="Arial" w:hAnsi="Arial" w:cs="Arial"/>
          <w:szCs w:val="24"/>
        </w:rPr>
        <w:t xml:space="preserve">A </w:t>
      </w:r>
      <w:r w:rsidR="00B95D01" w:rsidRPr="00B37CED">
        <w:rPr>
          <w:rFonts w:ascii="Arial" w:hAnsi="Arial" w:cs="Arial"/>
          <w:szCs w:val="24"/>
        </w:rPr>
        <w:t>de</w:t>
      </w:r>
      <w:r w:rsidRPr="00B37CED">
        <w:rPr>
          <w:rFonts w:ascii="Arial" w:hAnsi="Arial" w:cs="Arial"/>
          <w:szCs w:val="24"/>
        </w:rPr>
        <w:t>crease to the number of pupils in mainstream schools</w:t>
      </w:r>
      <w:r w:rsidR="00A04663" w:rsidRPr="00B37CED">
        <w:rPr>
          <w:rFonts w:ascii="Arial" w:hAnsi="Arial" w:cs="Arial"/>
          <w:szCs w:val="24"/>
        </w:rPr>
        <w:t>, as per the</w:t>
      </w:r>
      <w:r w:rsidRPr="00B37CED">
        <w:rPr>
          <w:rFonts w:ascii="Arial" w:hAnsi="Arial" w:cs="Arial"/>
          <w:szCs w:val="24"/>
        </w:rPr>
        <w:t xml:space="preserve"> October 202</w:t>
      </w:r>
      <w:r w:rsidR="008462F5" w:rsidRPr="00B37CED">
        <w:rPr>
          <w:rFonts w:ascii="Arial" w:hAnsi="Arial" w:cs="Arial"/>
          <w:szCs w:val="24"/>
        </w:rPr>
        <w:t>4</w:t>
      </w:r>
      <w:r w:rsidRPr="00B37CED">
        <w:rPr>
          <w:rFonts w:ascii="Arial" w:hAnsi="Arial" w:cs="Arial"/>
          <w:szCs w:val="24"/>
        </w:rPr>
        <w:t xml:space="preserve"> census</w:t>
      </w:r>
      <w:r w:rsidR="00A04663" w:rsidRPr="00B37CED">
        <w:rPr>
          <w:rFonts w:ascii="Arial" w:hAnsi="Arial" w:cs="Arial"/>
          <w:szCs w:val="24"/>
        </w:rPr>
        <w:t>,</w:t>
      </w:r>
      <w:r w:rsidRPr="00B37CED">
        <w:rPr>
          <w:rFonts w:ascii="Arial" w:hAnsi="Arial" w:cs="Arial"/>
          <w:szCs w:val="24"/>
        </w:rPr>
        <w:t xml:space="preserve"> </w:t>
      </w:r>
      <w:r w:rsidR="00D130CA" w:rsidRPr="00B37CED">
        <w:rPr>
          <w:rFonts w:ascii="Arial" w:hAnsi="Arial" w:cs="Arial"/>
          <w:szCs w:val="24"/>
        </w:rPr>
        <w:t xml:space="preserve">has resulted in a </w:t>
      </w:r>
      <w:r w:rsidR="0006691F" w:rsidRPr="00B37CED">
        <w:rPr>
          <w:rFonts w:ascii="Arial" w:hAnsi="Arial" w:cs="Arial"/>
          <w:szCs w:val="24"/>
        </w:rPr>
        <w:t>decrease</w:t>
      </w:r>
      <w:r w:rsidR="00D130CA" w:rsidRPr="00B37CED">
        <w:rPr>
          <w:rFonts w:ascii="Arial" w:hAnsi="Arial" w:cs="Arial"/>
          <w:szCs w:val="24"/>
        </w:rPr>
        <w:t xml:space="preserve"> of £</w:t>
      </w:r>
      <w:r w:rsidR="00B37CED" w:rsidRPr="00B37CED">
        <w:rPr>
          <w:rFonts w:ascii="Arial" w:hAnsi="Arial" w:cs="Arial"/>
          <w:szCs w:val="24"/>
        </w:rPr>
        <w:t>43</w:t>
      </w:r>
      <w:r w:rsidR="00D130CA" w:rsidRPr="00B37CED">
        <w:rPr>
          <w:rFonts w:ascii="Arial" w:hAnsi="Arial" w:cs="Arial"/>
          <w:szCs w:val="24"/>
        </w:rPr>
        <w:t xml:space="preserve">,000 compared to the provisional allocation provided </w:t>
      </w:r>
      <w:r w:rsidR="008462F5" w:rsidRPr="00B37CED">
        <w:rPr>
          <w:rFonts w:ascii="Arial" w:hAnsi="Arial" w:cs="Arial"/>
          <w:szCs w:val="24"/>
        </w:rPr>
        <w:t>at</w:t>
      </w:r>
      <w:r w:rsidR="00D130CA" w:rsidRPr="00B37CED">
        <w:rPr>
          <w:rFonts w:ascii="Arial" w:hAnsi="Arial" w:cs="Arial"/>
          <w:szCs w:val="24"/>
        </w:rPr>
        <w:t xml:space="preserve"> the </w:t>
      </w:r>
      <w:r w:rsidR="008462F5" w:rsidRPr="00B37CED">
        <w:rPr>
          <w:rFonts w:ascii="Arial" w:hAnsi="Arial" w:cs="Arial"/>
          <w:szCs w:val="24"/>
        </w:rPr>
        <w:t>end of November</w:t>
      </w:r>
      <w:r w:rsidR="00D130CA" w:rsidRPr="00B37CED">
        <w:rPr>
          <w:rFonts w:ascii="Arial" w:hAnsi="Arial" w:cs="Arial"/>
          <w:szCs w:val="24"/>
        </w:rPr>
        <w:t>.</w:t>
      </w:r>
    </w:p>
    <w:p w14:paraId="331BCA4C" w14:textId="2602577C" w:rsidR="009B1A42" w:rsidRPr="00B37CED" w:rsidRDefault="00CF76F4" w:rsidP="00122393">
      <w:pPr>
        <w:pStyle w:val="Heading2"/>
        <w:keepNext w:val="0"/>
        <w:tabs>
          <w:tab w:val="num" w:pos="426"/>
        </w:tabs>
        <w:ind w:left="426" w:hanging="568"/>
        <w:jc w:val="left"/>
        <w:rPr>
          <w:rFonts w:ascii="Arial" w:hAnsi="Arial" w:cs="Arial"/>
          <w:szCs w:val="24"/>
        </w:rPr>
      </w:pPr>
      <w:r>
        <w:rPr>
          <w:rFonts w:ascii="Arial" w:hAnsi="Arial" w:cs="Arial"/>
          <w:szCs w:val="24"/>
        </w:rPr>
        <w:t xml:space="preserve">The overall increase in funding relates to the </w:t>
      </w:r>
      <w:r w:rsidR="00137C00">
        <w:rPr>
          <w:rFonts w:ascii="Arial" w:hAnsi="Arial" w:cs="Arial"/>
          <w:szCs w:val="24"/>
        </w:rPr>
        <w:t xml:space="preserve">rolling in of </w:t>
      </w:r>
      <w:r w:rsidR="001E0D6A">
        <w:rPr>
          <w:rFonts w:ascii="Arial" w:hAnsi="Arial" w:cs="Arial"/>
          <w:szCs w:val="24"/>
        </w:rPr>
        <w:t xml:space="preserve">grants </w:t>
      </w:r>
      <w:r w:rsidR="001E0D6A" w:rsidRPr="00C74CB0">
        <w:rPr>
          <w:rFonts w:ascii="Arial" w:hAnsi="Arial" w:cs="Arial"/>
          <w:szCs w:val="24"/>
        </w:rPr>
        <w:t xml:space="preserve">relating to </w:t>
      </w:r>
      <w:r w:rsidR="00352F7E">
        <w:rPr>
          <w:rFonts w:ascii="Arial" w:hAnsi="Arial" w:cs="Arial"/>
          <w:szCs w:val="24"/>
        </w:rPr>
        <w:t xml:space="preserve">additional </w:t>
      </w:r>
      <w:r w:rsidR="001E0D6A" w:rsidRPr="00C74CB0">
        <w:rPr>
          <w:rFonts w:ascii="Arial" w:hAnsi="Arial" w:cs="Arial"/>
          <w:szCs w:val="24"/>
        </w:rPr>
        <w:t xml:space="preserve">centrally employed </w:t>
      </w:r>
      <w:proofErr w:type="spellStart"/>
      <w:r w:rsidR="001E0D6A" w:rsidRPr="00C74CB0">
        <w:rPr>
          <w:rFonts w:ascii="Arial" w:hAnsi="Arial" w:cs="Arial"/>
          <w:szCs w:val="24"/>
        </w:rPr>
        <w:t>teachers</w:t>
      </w:r>
      <w:proofErr w:type="spellEnd"/>
      <w:r w:rsidR="001E0D6A" w:rsidRPr="00C74CB0">
        <w:rPr>
          <w:rFonts w:ascii="Arial" w:hAnsi="Arial" w:cs="Arial"/>
          <w:szCs w:val="24"/>
        </w:rPr>
        <w:t xml:space="preserve"> pay and pensions</w:t>
      </w:r>
      <w:r w:rsidR="00352F7E">
        <w:rPr>
          <w:rFonts w:ascii="Arial" w:hAnsi="Arial" w:cs="Arial"/>
          <w:szCs w:val="24"/>
        </w:rPr>
        <w:t xml:space="preserve"> costs</w:t>
      </w:r>
      <w:r w:rsidR="00380D69">
        <w:rPr>
          <w:rFonts w:ascii="Arial" w:hAnsi="Arial" w:cs="Arial"/>
          <w:szCs w:val="24"/>
        </w:rPr>
        <w:t xml:space="preserve"> </w:t>
      </w:r>
      <w:r w:rsidR="00380D69" w:rsidRPr="00C74CB0">
        <w:rPr>
          <w:rFonts w:ascii="Arial" w:hAnsi="Arial" w:cs="Arial"/>
          <w:szCs w:val="24"/>
        </w:rPr>
        <w:t>(TPECG and CSBG)</w:t>
      </w:r>
      <w:r w:rsidR="00380D69">
        <w:rPr>
          <w:rFonts w:ascii="Arial" w:hAnsi="Arial" w:cs="Arial"/>
          <w:szCs w:val="24"/>
        </w:rPr>
        <w:t>.</w:t>
      </w:r>
      <w:r w:rsidR="00B36193">
        <w:rPr>
          <w:rFonts w:ascii="Arial" w:hAnsi="Arial" w:cs="Arial"/>
          <w:szCs w:val="24"/>
        </w:rPr>
        <w:t xml:space="preserve"> </w:t>
      </w:r>
      <w:r w:rsidR="001749CD">
        <w:rPr>
          <w:rFonts w:ascii="Arial" w:hAnsi="Arial" w:cs="Arial"/>
          <w:szCs w:val="24"/>
        </w:rPr>
        <w:t xml:space="preserve">As </w:t>
      </w:r>
      <w:r w:rsidR="00F12DC9">
        <w:rPr>
          <w:rFonts w:ascii="Arial" w:hAnsi="Arial" w:cs="Arial"/>
          <w:szCs w:val="24"/>
        </w:rPr>
        <w:t xml:space="preserve">the </w:t>
      </w:r>
      <w:r w:rsidR="001749CD">
        <w:rPr>
          <w:rFonts w:ascii="Arial" w:hAnsi="Arial" w:cs="Arial"/>
          <w:szCs w:val="24"/>
        </w:rPr>
        <w:t>fun</w:t>
      </w:r>
      <w:r w:rsidR="0070221E">
        <w:rPr>
          <w:rFonts w:ascii="Arial" w:hAnsi="Arial" w:cs="Arial"/>
          <w:szCs w:val="24"/>
        </w:rPr>
        <w:t xml:space="preserve">ding </w:t>
      </w:r>
      <w:r w:rsidR="00F12DC9">
        <w:rPr>
          <w:rFonts w:ascii="Arial" w:hAnsi="Arial" w:cs="Arial"/>
          <w:szCs w:val="24"/>
        </w:rPr>
        <w:t>relating to these former grants</w:t>
      </w:r>
      <w:r w:rsidR="0070221E">
        <w:rPr>
          <w:rFonts w:ascii="Arial" w:hAnsi="Arial" w:cs="Arial"/>
          <w:szCs w:val="24"/>
        </w:rPr>
        <w:t xml:space="preserve"> will now be based on a national funding formula rather than actual costs, </w:t>
      </w:r>
      <w:r w:rsidR="00620465">
        <w:rPr>
          <w:rFonts w:ascii="Arial" w:hAnsi="Arial" w:cs="Arial"/>
          <w:szCs w:val="24"/>
        </w:rPr>
        <w:t xml:space="preserve">the Hampshire funding rate </w:t>
      </w:r>
      <w:r w:rsidR="00E705FB">
        <w:rPr>
          <w:rFonts w:ascii="Arial" w:hAnsi="Arial" w:cs="Arial"/>
          <w:szCs w:val="24"/>
        </w:rPr>
        <w:t xml:space="preserve">is now above the </w:t>
      </w:r>
      <w:r w:rsidR="005A4A18">
        <w:rPr>
          <w:rFonts w:ascii="Arial" w:hAnsi="Arial" w:cs="Arial"/>
          <w:szCs w:val="24"/>
        </w:rPr>
        <w:t xml:space="preserve">national standard </w:t>
      </w:r>
      <w:r w:rsidR="00CA6ED1">
        <w:rPr>
          <w:rFonts w:ascii="Arial" w:hAnsi="Arial" w:cs="Arial"/>
          <w:szCs w:val="24"/>
        </w:rPr>
        <w:t xml:space="preserve">resulting in </w:t>
      </w:r>
      <w:r w:rsidR="00A83D66">
        <w:rPr>
          <w:rFonts w:ascii="Arial" w:hAnsi="Arial" w:cs="Arial"/>
          <w:szCs w:val="24"/>
        </w:rPr>
        <w:t xml:space="preserve">a reduced allocation in 2025-26 </w:t>
      </w:r>
      <w:r w:rsidR="00A513FE">
        <w:rPr>
          <w:rFonts w:ascii="Arial" w:hAnsi="Arial" w:cs="Arial"/>
          <w:szCs w:val="24"/>
        </w:rPr>
        <w:t>with the loss capped at -2.5%</w:t>
      </w:r>
      <w:r w:rsidR="00691BDC">
        <w:rPr>
          <w:rFonts w:ascii="Arial" w:hAnsi="Arial" w:cs="Arial"/>
          <w:szCs w:val="24"/>
        </w:rPr>
        <w:t>. F</w:t>
      </w:r>
      <w:r w:rsidR="00A83D66">
        <w:rPr>
          <w:rFonts w:ascii="Arial" w:hAnsi="Arial" w:cs="Arial"/>
          <w:szCs w:val="24"/>
        </w:rPr>
        <w:t>uture year</w:t>
      </w:r>
      <w:r w:rsidR="00691BDC">
        <w:rPr>
          <w:rFonts w:ascii="Arial" w:hAnsi="Arial" w:cs="Arial"/>
          <w:szCs w:val="24"/>
        </w:rPr>
        <w:t xml:space="preserve"> allocations will also be reduced</w:t>
      </w:r>
      <w:r w:rsidR="00A83D66">
        <w:rPr>
          <w:rFonts w:ascii="Arial" w:hAnsi="Arial" w:cs="Arial"/>
          <w:szCs w:val="24"/>
        </w:rPr>
        <w:t xml:space="preserve"> </w:t>
      </w:r>
      <w:r w:rsidR="00D524C4">
        <w:rPr>
          <w:rFonts w:ascii="Arial" w:hAnsi="Arial" w:cs="Arial"/>
          <w:szCs w:val="24"/>
        </w:rPr>
        <w:t xml:space="preserve">until the </w:t>
      </w:r>
      <w:r w:rsidR="009126A7">
        <w:rPr>
          <w:rFonts w:ascii="Arial" w:hAnsi="Arial" w:cs="Arial"/>
          <w:szCs w:val="24"/>
        </w:rPr>
        <w:t>Hampshire rate aligns with the nationally set figure.</w:t>
      </w:r>
    </w:p>
    <w:p w14:paraId="4DEEFA6E" w14:textId="77777777" w:rsidR="00970DAF" w:rsidRPr="0045375B" w:rsidRDefault="00970DAF" w:rsidP="00054C2A">
      <w:pPr>
        <w:pStyle w:val="Heading2"/>
        <w:keepNext w:val="0"/>
        <w:tabs>
          <w:tab w:val="num" w:pos="426"/>
        </w:tabs>
        <w:ind w:left="425" w:hanging="567"/>
        <w:jc w:val="left"/>
        <w:rPr>
          <w:rFonts w:ascii="Arial" w:hAnsi="Arial" w:cs="Arial"/>
          <w:szCs w:val="24"/>
        </w:rPr>
      </w:pPr>
      <w:r w:rsidRPr="0045375B">
        <w:rPr>
          <w:rFonts w:ascii="Arial" w:hAnsi="Arial" w:cs="Arial"/>
          <w:szCs w:val="24"/>
        </w:rPr>
        <w:t>The CSSB funds the statutory duties the local authority holds for both maintained schools and academies:</w:t>
      </w:r>
    </w:p>
    <w:p w14:paraId="640A2E64" w14:textId="77777777" w:rsidR="00970DAF" w:rsidRPr="0045375B" w:rsidRDefault="00970DAF" w:rsidP="00054C2A">
      <w:pPr>
        <w:pStyle w:val="Heading2"/>
        <w:keepNext w:val="0"/>
        <w:numPr>
          <w:ilvl w:val="0"/>
          <w:numId w:val="10"/>
        </w:numPr>
        <w:spacing w:after="120"/>
        <w:ind w:left="1145" w:hanging="357"/>
        <w:jc w:val="left"/>
        <w:rPr>
          <w:rFonts w:ascii="Arial" w:hAnsi="Arial" w:cs="Arial"/>
          <w:szCs w:val="24"/>
        </w:rPr>
      </w:pPr>
      <w:r w:rsidRPr="0045375B">
        <w:rPr>
          <w:rFonts w:ascii="Arial" w:hAnsi="Arial" w:cs="Arial"/>
          <w:szCs w:val="24"/>
        </w:rPr>
        <w:t>Funding for on-going responsibilities</w:t>
      </w:r>
    </w:p>
    <w:p w14:paraId="75A2A9C3" w14:textId="77777777" w:rsidR="00970DAF" w:rsidRPr="0045375B" w:rsidRDefault="00970DAF" w:rsidP="00054C2A">
      <w:pPr>
        <w:pStyle w:val="Heading2"/>
        <w:keepNext w:val="0"/>
        <w:numPr>
          <w:ilvl w:val="0"/>
          <w:numId w:val="10"/>
        </w:numPr>
        <w:spacing w:after="120"/>
        <w:ind w:left="1145" w:hanging="357"/>
        <w:jc w:val="left"/>
        <w:rPr>
          <w:rFonts w:ascii="Arial" w:hAnsi="Arial" w:cs="Arial"/>
          <w:szCs w:val="24"/>
        </w:rPr>
      </w:pPr>
      <w:r w:rsidRPr="0045375B">
        <w:rPr>
          <w:rFonts w:ascii="Arial" w:hAnsi="Arial" w:cs="Arial"/>
          <w:szCs w:val="24"/>
        </w:rPr>
        <w:t>Residual funding for historic commitments</w:t>
      </w:r>
    </w:p>
    <w:p w14:paraId="7C578C35" w14:textId="77777777" w:rsidR="00970DAF" w:rsidRPr="0033457D" w:rsidRDefault="00970DAF" w:rsidP="00970DAF">
      <w:pPr>
        <w:pStyle w:val="Heading2"/>
        <w:keepNext w:val="0"/>
        <w:numPr>
          <w:ilvl w:val="0"/>
          <w:numId w:val="0"/>
        </w:numPr>
        <w:spacing w:after="0"/>
        <w:ind w:left="1146"/>
        <w:jc w:val="left"/>
        <w:rPr>
          <w:rFonts w:ascii="Arial" w:hAnsi="Arial" w:cs="Arial"/>
          <w:color w:val="FF0000"/>
          <w:szCs w:val="24"/>
        </w:rPr>
      </w:pPr>
    </w:p>
    <w:p w14:paraId="33227EB8" w14:textId="38C0EF9E" w:rsidR="00C15010" w:rsidRPr="0045375B" w:rsidRDefault="00970DAF" w:rsidP="000236B8">
      <w:pPr>
        <w:pStyle w:val="Heading2"/>
        <w:keepNext w:val="0"/>
        <w:numPr>
          <w:ilvl w:val="0"/>
          <w:numId w:val="0"/>
        </w:numPr>
        <w:tabs>
          <w:tab w:val="num" w:pos="426"/>
        </w:tabs>
        <w:ind w:left="425"/>
        <w:jc w:val="left"/>
        <w:rPr>
          <w:rFonts w:ascii="Arial" w:hAnsi="Arial" w:cs="Arial"/>
          <w:szCs w:val="24"/>
        </w:rPr>
      </w:pPr>
      <w:proofErr w:type="gramStart"/>
      <w:r w:rsidRPr="0045375B">
        <w:rPr>
          <w:rFonts w:ascii="Arial" w:hAnsi="Arial" w:cs="Arial"/>
          <w:szCs w:val="24"/>
        </w:rPr>
        <w:t>Schools</w:t>
      </w:r>
      <w:proofErr w:type="gramEnd"/>
      <w:r w:rsidRPr="0045375B">
        <w:rPr>
          <w:rFonts w:ascii="Arial" w:hAnsi="Arial" w:cs="Arial"/>
          <w:szCs w:val="24"/>
        </w:rPr>
        <w:t xml:space="preserve"> Forum approval is required each year </w:t>
      </w:r>
      <w:r w:rsidR="00834F4B" w:rsidRPr="0045375B">
        <w:rPr>
          <w:rFonts w:ascii="Arial" w:hAnsi="Arial" w:cs="Arial"/>
          <w:szCs w:val="24"/>
        </w:rPr>
        <w:t>for the budgets held centrally</w:t>
      </w:r>
      <w:r w:rsidRPr="0045375B">
        <w:rPr>
          <w:rFonts w:ascii="Arial" w:hAnsi="Arial" w:cs="Arial"/>
          <w:szCs w:val="24"/>
        </w:rPr>
        <w:t>. The proposed budgets have been set in line with the overall allocation for the CSSB, as agreed at the previous meeting.</w:t>
      </w:r>
    </w:p>
    <w:p w14:paraId="6BDC762E" w14:textId="77777777" w:rsidR="006720D9" w:rsidRDefault="006720D9">
      <w:pPr>
        <w:spacing w:after="0"/>
        <w:jc w:val="left"/>
        <w:rPr>
          <w:rFonts w:ascii="Arial" w:hAnsi="Arial" w:cs="Arial"/>
          <w:szCs w:val="24"/>
        </w:rPr>
      </w:pPr>
      <w:r>
        <w:rPr>
          <w:rFonts w:ascii="Arial" w:hAnsi="Arial" w:cs="Arial"/>
          <w:szCs w:val="24"/>
        </w:rPr>
        <w:br w:type="page"/>
      </w:r>
    </w:p>
    <w:p w14:paraId="1EA46251" w14:textId="36126186" w:rsidR="001A6C94" w:rsidRPr="0033457D" w:rsidRDefault="00C15010" w:rsidP="006720D9">
      <w:pPr>
        <w:pStyle w:val="Heading2"/>
        <w:keepNext w:val="0"/>
        <w:numPr>
          <w:ilvl w:val="0"/>
          <w:numId w:val="0"/>
        </w:numPr>
        <w:tabs>
          <w:tab w:val="num" w:pos="426"/>
        </w:tabs>
        <w:spacing w:after="100" w:afterAutospacing="1"/>
        <w:ind w:left="431"/>
        <w:jc w:val="left"/>
        <w:rPr>
          <w:rFonts w:ascii="Arial" w:hAnsi="Arial" w:cs="Arial"/>
          <w:color w:val="FF0000"/>
        </w:rPr>
      </w:pPr>
      <w:r w:rsidRPr="0045375B">
        <w:rPr>
          <w:rFonts w:ascii="Arial" w:hAnsi="Arial" w:cs="Arial"/>
          <w:szCs w:val="24"/>
        </w:rPr>
        <w:t>The following table provides a breakdown of on-going responsibilities:</w:t>
      </w:r>
    </w:p>
    <w:tbl>
      <w:tblPr>
        <w:tblW w:w="8489" w:type="dxa"/>
        <w:tblInd w:w="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4"/>
        <w:gridCol w:w="1325"/>
        <w:gridCol w:w="1510"/>
      </w:tblGrid>
      <w:tr w:rsidR="0033457D" w:rsidRPr="0033457D" w14:paraId="76EDDC81" w14:textId="77777777" w:rsidTr="00685DAE">
        <w:trPr>
          <w:trHeight w:val="454"/>
        </w:trPr>
        <w:tc>
          <w:tcPr>
            <w:tcW w:w="5654" w:type="dxa"/>
            <w:shd w:val="clear" w:color="auto" w:fill="auto"/>
          </w:tcPr>
          <w:p w14:paraId="285AB09A" w14:textId="77777777" w:rsidR="000F55A5" w:rsidRPr="00106E73" w:rsidRDefault="000F55A5" w:rsidP="00A75A17">
            <w:pPr>
              <w:pStyle w:val="Heading2"/>
              <w:keepNext w:val="0"/>
              <w:keepLines/>
              <w:widowControl w:val="0"/>
              <w:numPr>
                <w:ilvl w:val="0"/>
                <w:numId w:val="0"/>
              </w:numPr>
              <w:spacing w:after="0"/>
              <w:jc w:val="center"/>
              <w:rPr>
                <w:rFonts w:ascii="Arial" w:hAnsi="Arial" w:cs="Arial"/>
                <w:b/>
                <w:iCs/>
                <w:szCs w:val="24"/>
              </w:rPr>
            </w:pPr>
            <w:r w:rsidRPr="00106E73">
              <w:rPr>
                <w:rFonts w:ascii="Arial" w:hAnsi="Arial" w:cs="Arial"/>
                <w:b/>
                <w:iCs/>
                <w:szCs w:val="24"/>
              </w:rPr>
              <w:t>Service</w:t>
            </w:r>
          </w:p>
        </w:tc>
        <w:tc>
          <w:tcPr>
            <w:tcW w:w="1325" w:type="dxa"/>
          </w:tcPr>
          <w:p w14:paraId="3A35C79B" w14:textId="18D1FC40" w:rsidR="000F55A5" w:rsidRPr="00106E73" w:rsidRDefault="000F55A5" w:rsidP="00A75A17">
            <w:pPr>
              <w:pStyle w:val="Heading2"/>
              <w:keepNext w:val="0"/>
              <w:keepLines/>
              <w:widowControl w:val="0"/>
              <w:numPr>
                <w:ilvl w:val="0"/>
                <w:numId w:val="0"/>
              </w:numPr>
              <w:spacing w:after="0"/>
              <w:jc w:val="center"/>
              <w:rPr>
                <w:rFonts w:ascii="Arial" w:hAnsi="Arial" w:cs="Arial"/>
                <w:b/>
                <w:iCs/>
                <w:szCs w:val="24"/>
              </w:rPr>
            </w:pPr>
            <w:r w:rsidRPr="00106E73">
              <w:rPr>
                <w:rFonts w:ascii="Arial" w:hAnsi="Arial" w:cs="Arial"/>
                <w:b/>
                <w:iCs/>
                <w:szCs w:val="24"/>
              </w:rPr>
              <w:t>202</w:t>
            </w:r>
            <w:r w:rsidR="00106E73" w:rsidRPr="00106E73">
              <w:rPr>
                <w:rFonts w:ascii="Arial" w:hAnsi="Arial" w:cs="Arial"/>
                <w:b/>
                <w:iCs/>
                <w:szCs w:val="24"/>
              </w:rPr>
              <w:t>4</w:t>
            </w:r>
            <w:r w:rsidRPr="00106E73">
              <w:rPr>
                <w:rFonts w:ascii="Arial" w:hAnsi="Arial" w:cs="Arial"/>
                <w:b/>
                <w:iCs/>
                <w:szCs w:val="24"/>
              </w:rPr>
              <w:t>/2</w:t>
            </w:r>
            <w:r w:rsidR="00106E73" w:rsidRPr="00106E73">
              <w:rPr>
                <w:rFonts w:ascii="Arial" w:hAnsi="Arial" w:cs="Arial"/>
                <w:b/>
                <w:iCs/>
                <w:szCs w:val="24"/>
              </w:rPr>
              <w:t>5</w:t>
            </w:r>
            <w:r w:rsidRPr="00106E73">
              <w:rPr>
                <w:rFonts w:ascii="Arial" w:hAnsi="Arial" w:cs="Arial"/>
                <w:b/>
                <w:iCs/>
                <w:szCs w:val="24"/>
              </w:rPr>
              <w:t xml:space="preserve"> </w:t>
            </w:r>
            <w:r w:rsidR="00FC442B" w:rsidRPr="00106E73">
              <w:rPr>
                <w:rFonts w:ascii="Arial" w:hAnsi="Arial" w:cs="Arial"/>
                <w:b/>
                <w:iCs/>
                <w:szCs w:val="24"/>
              </w:rPr>
              <w:t>B</w:t>
            </w:r>
            <w:r w:rsidRPr="00106E73">
              <w:rPr>
                <w:rFonts w:ascii="Arial" w:hAnsi="Arial" w:cs="Arial"/>
                <w:b/>
                <w:iCs/>
                <w:szCs w:val="24"/>
              </w:rPr>
              <w:t xml:space="preserve">udget </w:t>
            </w:r>
          </w:p>
          <w:p w14:paraId="3C375FF9" w14:textId="77777777" w:rsidR="000F55A5" w:rsidRPr="00106E73" w:rsidRDefault="000F55A5" w:rsidP="00A75A17">
            <w:pPr>
              <w:pStyle w:val="Heading2"/>
              <w:keepNext w:val="0"/>
              <w:keepLines/>
              <w:widowControl w:val="0"/>
              <w:numPr>
                <w:ilvl w:val="0"/>
                <w:numId w:val="0"/>
              </w:numPr>
              <w:spacing w:after="0"/>
              <w:jc w:val="center"/>
              <w:rPr>
                <w:rFonts w:ascii="Arial" w:hAnsi="Arial" w:cs="Arial"/>
                <w:b/>
                <w:iCs/>
                <w:szCs w:val="24"/>
              </w:rPr>
            </w:pPr>
            <w:r w:rsidRPr="00106E73">
              <w:rPr>
                <w:rFonts w:ascii="Arial" w:hAnsi="Arial" w:cs="Arial"/>
                <w:b/>
                <w:iCs/>
                <w:szCs w:val="24"/>
              </w:rPr>
              <w:t>£000</w:t>
            </w:r>
          </w:p>
        </w:tc>
        <w:tc>
          <w:tcPr>
            <w:tcW w:w="1510" w:type="dxa"/>
          </w:tcPr>
          <w:p w14:paraId="3369A50E" w14:textId="5332351F" w:rsidR="000F55A5" w:rsidRPr="00106E73" w:rsidRDefault="000F55A5" w:rsidP="00A75A17">
            <w:pPr>
              <w:pStyle w:val="Heading2"/>
              <w:keepNext w:val="0"/>
              <w:keepLines/>
              <w:widowControl w:val="0"/>
              <w:numPr>
                <w:ilvl w:val="0"/>
                <w:numId w:val="0"/>
              </w:numPr>
              <w:spacing w:after="0"/>
              <w:jc w:val="center"/>
              <w:rPr>
                <w:rFonts w:ascii="Arial" w:hAnsi="Arial" w:cs="Arial"/>
                <w:b/>
                <w:iCs/>
                <w:szCs w:val="24"/>
              </w:rPr>
            </w:pPr>
            <w:r w:rsidRPr="00106E73">
              <w:rPr>
                <w:rFonts w:ascii="Arial" w:hAnsi="Arial" w:cs="Arial"/>
                <w:b/>
                <w:iCs/>
                <w:szCs w:val="24"/>
              </w:rPr>
              <w:t>202</w:t>
            </w:r>
            <w:r w:rsidR="00106E73" w:rsidRPr="00106E73">
              <w:rPr>
                <w:rFonts w:ascii="Arial" w:hAnsi="Arial" w:cs="Arial"/>
                <w:b/>
                <w:iCs/>
                <w:szCs w:val="24"/>
              </w:rPr>
              <w:t>5</w:t>
            </w:r>
            <w:r w:rsidRPr="00106E73">
              <w:rPr>
                <w:rFonts w:ascii="Arial" w:hAnsi="Arial" w:cs="Arial"/>
                <w:b/>
                <w:iCs/>
                <w:szCs w:val="24"/>
              </w:rPr>
              <w:t>/2</w:t>
            </w:r>
            <w:r w:rsidR="00106E73" w:rsidRPr="00106E73">
              <w:rPr>
                <w:rFonts w:ascii="Arial" w:hAnsi="Arial" w:cs="Arial"/>
                <w:b/>
                <w:iCs/>
                <w:szCs w:val="24"/>
              </w:rPr>
              <w:t>6</w:t>
            </w:r>
            <w:r w:rsidRPr="00106E73">
              <w:rPr>
                <w:rFonts w:ascii="Arial" w:hAnsi="Arial" w:cs="Arial"/>
                <w:b/>
                <w:iCs/>
                <w:szCs w:val="24"/>
              </w:rPr>
              <w:t xml:space="preserve"> </w:t>
            </w:r>
            <w:r w:rsidR="00FC442B" w:rsidRPr="00106E73">
              <w:rPr>
                <w:rFonts w:ascii="Arial" w:hAnsi="Arial" w:cs="Arial"/>
                <w:b/>
                <w:iCs/>
                <w:szCs w:val="24"/>
              </w:rPr>
              <w:t>P</w:t>
            </w:r>
            <w:r w:rsidRPr="00106E73">
              <w:rPr>
                <w:rFonts w:ascii="Arial" w:hAnsi="Arial" w:cs="Arial"/>
                <w:b/>
                <w:iCs/>
                <w:szCs w:val="24"/>
              </w:rPr>
              <w:t xml:space="preserve">rovisional </w:t>
            </w:r>
            <w:r w:rsidR="00FC442B" w:rsidRPr="00106E73">
              <w:rPr>
                <w:rFonts w:ascii="Arial" w:hAnsi="Arial" w:cs="Arial"/>
                <w:b/>
                <w:iCs/>
                <w:szCs w:val="24"/>
              </w:rPr>
              <w:t>B</w:t>
            </w:r>
            <w:r w:rsidRPr="00106E73">
              <w:rPr>
                <w:rFonts w:ascii="Arial" w:hAnsi="Arial" w:cs="Arial"/>
                <w:b/>
                <w:iCs/>
                <w:szCs w:val="24"/>
              </w:rPr>
              <w:t>udget £000</w:t>
            </w:r>
          </w:p>
        </w:tc>
      </w:tr>
      <w:tr w:rsidR="00106E73" w:rsidRPr="0033457D" w14:paraId="7972DE8B" w14:textId="77777777" w:rsidTr="00685DAE">
        <w:trPr>
          <w:trHeight w:val="20"/>
        </w:trPr>
        <w:tc>
          <w:tcPr>
            <w:tcW w:w="5654" w:type="dxa"/>
            <w:tcBorders>
              <w:bottom w:val="single" w:sz="4" w:space="0" w:color="auto"/>
            </w:tcBorders>
            <w:shd w:val="clear" w:color="auto" w:fill="auto"/>
          </w:tcPr>
          <w:p w14:paraId="1E313993" w14:textId="77777777" w:rsidR="00106E73" w:rsidRPr="00106E73" w:rsidRDefault="00106E73" w:rsidP="00106E73">
            <w:pPr>
              <w:pStyle w:val="Heading2"/>
              <w:keepNext w:val="0"/>
              <w:keepLines/>
              <w:widowControl w:val="0"/>
              <w:numPr>
                <w:ilvl w:val="0"/>
                <w:numId w:val="0"/>
              </w:numPr>
              <w:spacing w:after="0"/>
              <w:jc w:val="left"/>
              <w:rPr>
                <w:rFonts w:ascii="Arial" w:hAnsi="Arial" w:cs="Arial"/>
                <w:iCs/>
                <w:szCs w:val="24"/>
              </w:rPr>
            </w:pPr>
            <w:r w:rsidRPr="00106E73">
              <w:rPr>
                <w:rFonts w:ascii="Arial" w:hAnsi="Arial" w:cs="Arial"/>
                <w:iCs/>
                <w:szCs w:val="24"/>
              </w:rPr>
              <w:t>Admissions</w:t>
            </w:r>
          </w:p>
        </w:tc>
        <w:tc>
          <w:tcPr>
            <w:tcW w:w="1325" w:type="dxa"/>
            <w:tcBorders>
              <w:bottom w:val="single" w:sz="4" w:space="0" w:color="auto"/>
            </w:tcBorders>
          </w:tcPr>
          <w:p w14:paraId="617A87DA" w14:textId="4485F86B" w:rsidR="00106E73" w:rsidRPr="00106E73" w:rsidRDefault="00106E73" w:rsidP="00106E73">
            <w:pPr>
              <w:pStyle w:val="Heading2"/>
              <w:keepNext w:val="0"/>
              <w:keepLines/>
              <w:widowControl w:val="0"/>
              <w:numPr>
                <w:ilvl w:val="0"/>
                <w:numId w:val="0"/>
              </w:numPr>
              <w:spacing w:after="0"/>
              <w:jc w:val="right"/>
              <w:rPr>
                <w:rFonts w:ascii="Arial" w:hAnsi="Arial" w:cs="Arial"/>
              </w:rPr>
            </w:pPr>
            <w:r w:rsidRPr="00106E73">
              <w:rPr>
                <w:rFonts w:ascii="Arial" w:hAnsi="Arial" w:cs="Arial"/>
              </w:rPr>
              <w:t>1,507</w:t>
            </w:r>
          </w:p>
        </w:tc>
        <w:tc>
          <w:tcPr>
            <w:tcW w:w="1510" w:type="dxa"/>
            <w:tcBorders>
              <w:bottom w:val="single" w:sz="4" w:space="0" w:color="auto"/>
            </w:tcBorders>
          </w:tcPr>
          <w:p w14:paraId="34BAB307" w14:textId="4041EC02" w:rsidR="00106E73" w:rsidRPr="00C74CB0" w:rsidRDefault="00106E73" w:rsidP="00106E73">
            <w:pPr>
              <w:pStyle w:val="Heading2"/>
              <w:keepNext w:val="0"/>
              <w:keepLines/>
              <w:widowControl w:val="0"/>
              <w:numPr>
                <w:ilvl w:val="0"/>
                <w:numId w:val="0"/>
              </w:numPr>
              <w:spacing w:after="0"/>
              <w:jc w:val="right"/>
              <w:rPr>
                <w:rFonts w:ascii="Arial" w:hAnsi="Arial" w:cs="Arial"/>
              </w:rPr>
            </w:pPr>
            <w:r w:rsidRPr="00C74CB0">
              <w:rPr>
                <w:rFonts w:ascii="Arial" w:hAnsi="Arial" w:cs="Arial"/>
              </w:rPr>
              <w:t>1,6</w:t>
            </w:r>
            <w:r w:rsidR="00982142" w:rsidRPr="00C74CB0">
              <w:rPr>
                <w:rFonts w:ascii="Arial" w:hAnsi="Arial" w:cs="Arial"/>
              </w:rPr>
              <w:t>05</w:t>
            </w:r>
          </w:p>
        </w:tc>
      </w:tr>
      <w:tr w:rsidR="00106E73" w:rsidRPr="0033457D" w14:paraId="7183F6A4" w14:textId="77777777" w:rsidTr="00685DAE">
        <w:trPr>
          <w:trHeight w:val="20"/>
        </w:trPr>
        <w:tc>
          <w:tcPr>
            <w:tcW w:w="5654" w:type="dxa"/>
            <w:tcBorders>
              <w:top w:val="single" w:sz="4" w:space="0" w:color="auto"/>
              <w:left w:val="single" w:sz="4" w:space="0" w:color="auto"/>
              <w:bottom w:val="single" w:sz="4" w:space="0" w:color="auto"/>
              <w:right w:val="single" w:sz="4" w:space="0" w:color="auto"/>
            </w:tcBorders>
            <w:shd w:val="clear" w:color="auto" w:fill="auto"/>
          </w:tcPr>
          <w:p w14:paraId="46D073E1" w14:textId="77777777" w:rsidR="00106E73" w:rsidRPr="00106E73" w:rsidRDefault="00106E73" w:rsidP="00106E73">
            <w:pPr>
              <w:pStyle w:val="Heading2"/>
              <w:keepNext w:val="0"/>
              <w:keepLines/>
              <w:widowControl w:val="0"/>
              <w:numPr>
                <w:ilvl w:val="0"/>
                <w:numId w:val="0"/>
              </w:numPr>
              <w:spacing w:after="0"/>
              <w:jc w:val="left"/>
              <w:rPr>
                <w:rFonts w:ascii="Arial" w:hAnsi="Arial" w:cs="Arial"/>
                <w:iCs/>
                <w:szCs w:val="24"/>
              </w:rPr>
            </w:pPr>
            <w:r w:rsidRPr="00106E73">
              <w:rPr>
                <w:rFonts w:ascii="Arial" w:hAnsi="Arial" w:cs="Arial"/>
                <w:szCs w:val="24"/>
              </w:rPr>
              <w:t>Fees to independent schools for pupils without SEN</w:t>
            </w:r>
          </w:p>
        </w:tc>
        <w:tc>
          <w:tcPr>
            <w:tcW w:w="1325" w:type="dxa"/>
            <w:tcBorders>
              <w:top w:val="single" w:sz="4" w:space="0" w:color="auto"/>
              <w:left w:val="single" w:sz="4" w:space="0" w:color="auto"/>
              <w:bottom w:val="single" w:sz="4" w:space="0" w:color="auto"/>
              <w:right w:val="single" w:sz="4" w:space="0" w:color="auto"/>
            </w:tcBorders>
          </w:tcPr>
          <w:p w14:paraId="45FA6278" w14:textId="400FA243" w:rsidR="00106E73" w:rsidRPr="00106E73" w:rsidRDefault="00106E73" w:rsidP="00106E73">
            <w:pPr>
              <w:pStyle w:val="Heading2"/>
              <w:keepNext w:val="0"/>
              <w:keepLines/>
              <w:widowControl w:val="0"/>
              <w:numPr>
                <w:ilvl w:val="0"/>
                <w:numId w:val="0"/>
              </w:numPr>
              <w:spacing w:after="0"/>
              <w:jc w:val="right"/>
              <w:rPr>
                <w:rFonts w:ascii="Arial" w:hAnsi="Arial" w:cs="Arial"/>
              </w:rPr>
            </w:pPr>
            <w:r w:rsidRPr="00106E73">
              <w:rPr>
                <w:rFonts w:ascii="Arial" w:hAnsi="Arial" w:cs="Arial"/>
              </w:rPr>
              <w:t>140</w:t>
            </w:r>
          </w:p>
        </w:tc>
        <w:tc>
          <w:tcPr>
            <w:tcW w:w="1510" w:type="dxa"/>
            <w:tcBorders>
              <w:top w:val="single" w:sz="4" w:space="0" w:color="auto"/>
              <w:left w:val="single" w:sz="4" w:space="0" w:color="auto"/>
              <w:bottom w:val="single" w:sz="4" w:space="0" w:color="auto"/>
              <w:right w:val="single" w:sz="4" w:space="0" w:color="auto"/>
            </w:tcBorders>
          </w:tcPr>
          <w:p w14:paraId="31A0665E" w14:textId="0DB51588" w:rsidR="00106E73" w:rsidRPr="00C74CB0" w:rsidRDefault="00106E73" w:rsidP="00106E73">
            <w:pPr>
              <w:pStyle w:val="Heading2"/>
              <w:keepNext w:val="0"/>
              <w:keepLines/>
              <w:widowControl w:val="0"/>
              <w:numPr>
                <w:ilvl w:val="0"/>
                <w:numId w:val="0"/>
              </w:numPr>
              <w:spacing w:after="0"/>
              <w:jc w:val="right"/>
              <w:rPr>
                <w:rFonts w:ascii="Arial" w:hAnsi="Arial" w:cs="Arial"/>
              </w:rPr>
            </w:pPr>
            <w:r w:rsidRPr="00C74CB0">
              <w:rPr>
                <w:rFonts w:ascii="Arial" w:hAnsi="Arial" w:cs="Arial"/>
              </w:rPr>
              <w:t>140</w:t>
            </w:r>
          </w:p>
        </w:tc>
      </w:tr>
      <w:tr w:rsidR="00106E73" w:rsidRPr="0033457D" w14:paraId="54D7E2F5" w14:textId="77777777" w:rsidTr="00685DAE">
        <w:trPr>
          <w:trHeight w:val="20"/>
        </w:trPr>
        <w:tc>
          <w:tcPr>
            <w:tcW w:w="5654" w:type="dxa"/>
            <w:tcBorders>
              <w:top w:val="single" w:sz="4" w:space="0" w:color="auto"/>
              <w:left w:val="single" w:sz="4" w:space="0" w:color="auto"/>
              <w:bottom w:val="single" w:sz="4" w:space="0" w:color="auto"/>
              <w:right w:val="single" w:sz="4" w:space="0" w:color="auto"/>
            </w:tcBorders>
            <w:shd w:val="clear" w:color="auto" w:fill="auto"/>
          </w:tcPr>
          <w:p w14:paraId="6E99F141" w14:textId="3BFCBE7D" w:rsidR="00106E73" w:rsidRPr="00106E73" w:rsidRDefault="00106E73" w:rsidP="00106E73">
            <w:pPr>
              <w:pStyle w:val="Heading2"/>
              <w:keepNext w:val="0"/>
              <w:keepLines/>
              <w:widowControl w:val="0"/>
              <w:numPr>
                <w:ilvl w:val="0"/>
                <w:numId w:val="0"/>
              </w:numPr>
              <w:spacing w:after="0"/>
              <w:jc w:val="left"/>
              <w:rPr>
                <w:rFonts w:ascii="Arial" w:hAnsi="Arial" w:cs="Arial"/>
                <w:szCs w:val="24"/>
              </w:rPr>
            </w:pPr>
            <w:r w:rsidRPr="00106E73">
              <w:rPr>
                <w:rFonts w:ascii="Arial" w:hAnsi="Arial" w:cs="Arial"/>
                <w:szCs w:val="24"/>
              </w:rPr>
              <w:t xml:space="preserve">Central copyright </w:t>
            </w:r>
            <w:r w:rsidR="00F62380" w:rsidRPr="00106E73">
              <w:rPr>
                <w:rFonts w:ascii="Arial" w:hAnsi="Arial" w:cs="Arial"/>
                <w:szCs w:val="24"/>
              </w:rPr>
              <w:t>licenses</w:t>
            </w:r>
          </w:p>
        </w:tc>
        <w:tc>
          <w:tcPr>
            <w:tcW w:w="1325" w:type="dxa"/>
            <w:tcBorders>
              <w:top w:val="single" w:sz="4" w:space="0" w:color="auto"/>
              <w:left w:val="single" w:sz="4" w:space="0" w:color="auto"/>
              <w:bottom w:val="single" w:sz="4" w:space="0" w:color="auto"/>
              <w:right w:val="single" w:sz="4" w:space="0" w:color="auto"/>
            </w:tcBorders>
          </w:tcPr>
          <w:p w14:paraId="22C9383C" w14:textId="7F8B7D3E" w:rsidR="00106E73" w:rsidRPr="00106E73" w:rsidRDefault="00106E73" w:rsidP="00106E73">
            <w:pPr>
              <w:pStyle w:val="Heading2"/>
              <w:keepNext w:val="0"/>
              <w:keepLines/>
              <w:widowControl w:val="0"/>
              <w:numPr>
                <w:ilvl w:val="0"/>
                <w:numId w:val="0"/>
              </w:numPr>
              <w:spacing w:after="0"/>
              <w:jc w:val="right"/>
              <w:rPr>
                <w:rFonts w:ascii="Arial" w:hAnsi="Arial" w:cs="Arial"/>
              </w:rPr>
            </w:pPr>
            <w:r w:rsidRPr="00106E73">
              <w:rPr>
                <w:rFonts w:ascii="Arial" w:hAnsi="Arial" w:cs="Arial"/>
              </w:rPr>
              <w:t>1,145</w:t>
            </w:r>
          </w:p>
        </w:tc>
        <w:tc>
          <w:tcPr>
            <w:tcW w:w="1510" w:type="dxa"/>
            <w:tcBorders>
              <w:top w:val="single" w:sz="4" w:space="0" w:color="auto"/>
              <w:left w:val="single" w:sz="4" w:space="0" w:color="auto"/>
              <w:bottom w:val="single" w:sz="4" w:space="0" w:color="auto"/>
              <w:right w:val="single" w:sz="4" w:space="0" w:color="auto"/>
            </w:tcBorders>
          </w:tcPr>
          <w:p w14:paraId="1C7F25BF" w14:textId="22B88794" w:rsidR="00106E73" w:rsidRPr="00C74CB0" w:rsidRDefault="00106E73" w:rsidP="00106E73">
            <w:pPr>
              <w:pStyle w:val="Heading2"/>
              <w:keepNext w:val="0"/>
              <w:keepLines/>
              <w:widowControl w:val="0"/>
              <w:numPr>
                <w:ilvl w:val="0"/>
                <w:numId w:val="0"/>
              </w:numPr>
              <w:spacing w:after="0"/>
              <w:jc w:val="right"/>
              <w:rPr>
                <w:rFonts w:ascii="Arial" w:hAnsi="Arial" w:cs="Arial"/>
              </w:rPr>
            </w:pPr>
            <w:r w:rsidRPr="00C74CB0">
              <w:rPr>
                <w:rFonts w:ascii="Arial" w:hAnsi="Arial" w:cs="Arial"/>
              </w:rPr>
              <w:t>1,349</w:t>
            </w:r>
          </w:p>
        </w:tc>
      </w:tr>
      <w:tr w:rsidR="00106E73" w:rsidRPr="0033457D" w14:paraId="15264356" w14:textId="77777777" w:rsidTr="00685DAE">
        <w:trPr>
          <w:trHeight w:val="20"/>
        </w:trPr>
        <w:tc>
          <w:tcPr>
            <w:tcW w:w="5654" w:type="dxa"/>
            <w:tcBorders>
              <w:top w:val="single" w:sz="4" w:space="0" w:color="auto"/>
              <w:left w:val="single" w:sz="4" w:space="0" w:color="auto"/>
              <w:bottom w:val="single" w:sz="4" w:space="0" w:color="auto"/>
              <w:right w:val="single" w:sz="4" w:space="0" w:color="auto"/>
            </w:tcBorders>
            <w:shd w:val="clear" w:color="auto" w:fill="auto"/>
          </w:tcPr>
          <w:p w14:paraId="792AB149" w14:textId="77777777" w:rsidR="00106E73" w:rsidRPr="00106E73" w:rsidRDefault="00106E73" w:rsidP="00106E73">
            <w:pPr>
              <w:pStyle w:val="Heading2"/>
              <w:keepNext w:val="0"/>
              <w:keepLines/>
              <w:widowControl w:val="0"/>
              <w:numPr>
                <w:ilvl w:val="0"/>
                <w:numId w:val="0"/>
              </w:numPr>
              <w:spacing w:after="0"/>
              <w:jc w:val="left"/>
              <w:rPr>
                <w:rFonts w:ascii="Arial" w:hAnsi="Arial" w:cs="Arial"/>
                <w:szCs w:val="24"/>
              </w:rPr>
            </w:pPr>
            <w:r w:rsidRPr="00106E73">
              <w:rPr>
                <w:rFonts w:ascii="Arial" w:hAnsi="Arial" w:cs="Arial"/>
                <w:szCs w:val="24"/>
              </w:rPr>
              <w:t>Servicing of Schools Forum</w:t>
            </w:r>
          </w:p>
        </w:tc>
        <w:tc>
          <w:tcPr>
            <w:tcW w:w="1325" w:type="dxa"/>
            <w:tcBorders>
              <w:top w:val="single" w:sz="4" w:space="0" w:color="auto"/>
              <w:left w:val="single" w:sz="4" w:space="0" w:color="auto"/>
              <w:bottom w:val="single" w:sz="4" w:space="0" w:color="auto"/>
              <w:right w:val="single" w:sz="4" w:space="0" w:color="auto"/>
            </w:tcBorders>
          </w:tcPr>
          <w:p w14:paraId="75E02704" w14:textId="60918032" w:rsidR="00106E73" w:rsidRPr="00106E73" w:rsidRDefault="00106E73" w:rsidP="00106E73">
            <w:pPr>
              <w:pStyle w:val="Heading2"/>
              <w:keepNext w:val="0"/>
              <w:keepLines/>
              <w:widowControl w:val="0"/>
              <w:numPr>
                <w:ilvl w:val="0"/>
                <w:numId w:val="0"/>
              </w:numPr>
              <w:spacing w:after="0"/>
              <w:jc w:val="right"/>
              <w:rPr>
                <w:rFonts w:ascii="Arial" w:hAnsi="Arial" w:cs="Arial"/>
              </w:rPr>
            </w:pPr>
            <w:r w:rsidRPr="00106E73">
              <w:rPr>
                <w:rFonts w:ascii="Arial" w:hAnsi="Arial" w:cs="Arial"/>
              </w:rPr>
              <w:t>39</w:t>
            </w:r>
          </w:p>
        </w:tc>
        <w:tc>
          <w:tcPr>
            <w:tcW w:w="1510" w:type="dxa"/>
            <w:tcBorders>
              <w:top w:val="single" w:sz="4" w:space="0" w:color="auto"/>
              <w:left w:val="single" w:sz="4" w:space="0" w:color="auto"/>
              <w:bottom w:val="single" w:sz="4" w:space="0" w:color="auto"/>
              <w:right w:val="single" w:sz="4" w:space="0" w:color="auto"/>
            </w:tcBorders>
          </w:tcPr>
          <w:p w14:paraId="3345BB11" w14:textId="36F8F09C" w:rsidR="00106E73" w:rsidRPr="00C74CB0" w:rsidRDefault="00106E73" w:rsidP="00106E73">
            <w:pPr>
              <w:pStyle w:val="Heading2"/>
              <w:keepNext w:val="0"/>
              <w:keepLines/>
              <w:widowControl w:val="0"/>
              <w:numPr>
                <w:ilvl w:val="0"/>
                <w:numId w:val="0"/>
              </w:numPr>
              <w:spacing w:after="0"/>
              <w:jc w:val="right"/>
              <w:rPr>
                <w:rFonts w:ascii="Arial" w:hAnsi="Arial" w:cs="Arial"/>
              </w:rPr>
            </w:pPr>
            <w:r w:rsidRPr="00C74CB0">
              <w:rPr>
                <w:rFonts w:ascii="Arial" w:hAnsi="Arial" w:cs="Arial"/>
              </w:rPr>
              <w:t>40</w:t>
            </w:r>
          </w:p>
        </w:tc>
      </w:tr>
      <w:tr w:rsidR="00106E73" w:rsidRPr="0033457D" w14:paraId="3710A7C1" w14:textId="77777777" w:rsidTr="00685DAE">
        <w:trPr>
          <w:trHeight w:val="20"/>
        </w:trPr>
        <w:tc>
          <w:tcPr>
            <w:tcW w:w="5654" w:type="dxa"/>
            <w:tcBorders>
              <w:top w:val="single" w:sz="4" w:space="0" w:color="auto"/>
              <w:left w:val="single" w:sz="4" w:space="0" w:color="auto"/>
              <w:bottom w:val="single" w:sz="4" w:space="0" w:color="auto"/>
              <w:right w:val="single" w:sz="4" w:space="0" w:color="auto"/>
            </w:tcBorders>
            <w:shd w:val="clear" w:color="auto" w:fill="auto"/>
          </w:tcPr>
          <w:p w14:paraId="77F1EAA5" w14:textId="77777777" w:rsidR="00106E73" w:rsidRPr="00106E73" w:rsidRDefault="00106E73" w:rsidP="00106E73">
            <w:pPr>
              <w:pStyle w:val="Heading2"/>
              <w:keepNext w:val="0"/>
              <w:keepLines/>
              <w:widowControl w:val="0"/>
              <w:numPr>
                <w:ilvl w:val="0"/>
                <w:numId w:val="0"/>
              </w:numPr>
              <w:spacing w:after="0"/>
              <w:jc w:val="left"/>
              <w:rPr>
                <w:rFonts w:ascii="Arial" w:hAnsi="Arial" w:cs="Arial"/>
                <w:szCs w:val="24"/>
              </w:rPr>
            </w:pPr>
            <w:r w:rsidRPr="00106E73">
              <w:rPr>
                <w:rFonts w:ascii="Arial" w:hAnsi="Arial" w:cs="Arial"/>
                <w:iCs/>
                <w:szCs w:val="24"/>
              </w:rPr>
              <w:t>Education welfare</w:t>
            </w:r>
          </w:p>
        </w:tc>
        <w:tc>
          <w:tcPr>
            <w:tcW w:w="1325" w:type="dxa"/>
            <w:tcBorders>
              <w:top w:val="single" w:sz="4" w:space="0" w:color="auto"/>
              <w:left w:val="single" w:sz="4" w:space="0" w:color="auto"/>
              <w:bottom w:val="single" w:sz="4" w:space="0" w:color="auto"/>
              <w:right w:val="single" w:sz="4" w:space="0" w:color="auto"/>
            </w:tcBorders>
          </w:tcPr>
          <w:p w14:paraId="16C3A2D2" w14:textId="59E05CE4" w:rsidR="00106E73" w:rsidRPr="00106E73" w:rsidRDefault="00106E73" w:rsidP="00106E73">
            <w:pPr>
              <w:pStyle w:val="Heading2"/>
              <w:keepNext w:val="0"/>
              <w:keepLines/>
              <w:widowControl w:val="0"/>
              <w:numPr>
                <w:ilvl w:val="0"/>
                <w:numId w:val="0"/>
              </w:numPr>
              <w:spacing w:after="0"/>
              <w:jc w:val="right"/>
              <w:rPr>
                <w:rFonts w:ascii="Arial" w:hAnsi="Arial" w:cs="Arial"/>
              </w:rPr>
            </w:pPr>
            <w:r w:rsidRPr="00106E73">
              <w:rPr>
                <w:rFonts w:ascii="Arial" w:hAnsi="Arial" w:cs="Arial"/>
              </w:rPr>
              <w:t>1,700</w:t>
            </w:r>
          </w:p>
        </w:tc>
        <w:tc>
          <w:tcPr>
            <w:tcW w:w="1510" w:type="dxa"/>
            <w:tcBorders>
              <w:top w:val="single" w:sz="4" w:space="0" w:color="auto"/>
              <w:left w:val="single" w:sz="4" w:space="0" w:color="auto"/>
              <w:bottom w:val="single" w:sz="4" w:space="0" w:color="auto"/>
              <w:right w:val="single" w:sz="4" w:space="0" w:color="auto"/>
            </w:tcBorders>
          </w:tcPr>
          <w:p w14:paraId="6A4A14E6" w14:textId="6F3897EB" w:rsidR="00106E73" w:rsidRPr="00C74CB0" w:rsidRDefault="00106E73" w:rsidP="00106E73">
            <w:pPr>
              <w:pStyle w:val="Heading2"/>
              <w:keepNext w:val="0"/>
              <w:keepLines/>
              <w:widowControl w:val="0"/>
              <w:numPr>
                <w:ilvl w:val="0"/>
                <w:numId w:val="0"/>
              </w:numPr>
              <w:spacing w:after="0"/>
              <w:jc w:val="right"/>
              <w:rPr>
                <w:rFonts w:ascii="Arial" w:hAnsi="Arial" w:cs="Arial"/>
              </w:rPr>
            </w:pPr>
            <w:r w:rsidRPr="00C74CB0">
              <w:rPr>
                <w:rFonts w:ascii="Arial" w:hAnsi="Arial" w:cs="Arial"/>
              </w:rPr>
              <w:t>2,</w:t>
            </w:r>
            <w:r w:rsidR="00A628D9" w:rsidRPr="00C74CB0">
              <w:rPr>
                <w:rFonts w:ascii="Arial" w:hAnsi="Arial" w:cs="Arial"/>
              </w:rPr>
              <w:t>6</w:t>
            </w:r>
            <w:r w:rsidR="00A067A1">
              <w:rPr>
                <w:rFonts w:ascii="Arial" w:hAnsi="Arial" w:cs="Arial"/>
              </w:rPr>
              <w:t>24</w:t>
            </w:r>
          </w:p>
        </w:tc>
      </w:tr>
      <w:tr w:rsidR="00106E73" w:rsidRPr="0033457D" w14:paraId="7008068E" w14:textId="77777777" w:rsidTr="00685DAE">
        <w:trPr>
          <w:trHeight w:val="20"/>
        </w:trPr>
        <w:tc>
          <w:tcPr>
            <w:tcW w:w="5654" w:type="dxa"/>
            <w:tcBorders>
              <w:top w:val="single" w:sz="4" w:space="0" w:color="auto"/>
              <w:left w:val="single" w:sz="4" w:space="0" w:color="auto"/>
              <w:bottom w:val="single" w:sz="4" w:space="0" w:color="auto"/>
              <w:right w:val="single" w:sz="4" w:space="0" w:color="auto"/>
            </w:tcBorders>
            <w:shd w:val="clear" w:color="auto" w:fill="auto"/>
          </w:tcPr>
          <w:p w14:paraId="150055AE" w14:textId="77777777" w:rsidR="00106E73" w:rsidRPr="00106E73" w:rsidRDefault="00106E73" w:rsidP="00106E73">
            <w:pPr>
              <w:pStyle w:val="Heading2"/>
              <w:keepNext w:val="0"/>
              <w:keepLines/>
              <w:widowControl w:val="0"/>
              <w:numPr>
                <w:ilvl w:val="0"/>
                <w:numId w:val="0"/>
              </w:numPr>
              <w:spacing w:after="0"/>
              <w:jc w:val="left"/>
              <w:rPr>
                <w:rFonts w:ascii="Arial" w:hAnsi="Arial" w:cs="Arial"/>
                <w:szCs w:val="24"/>
              </w:rPr>
            </w:pPr>
            <w:r w:rsidRPr="00106E73">
              <w:rPr>
                <w:rFonts w:ascii="Arial" w:hAnsi="Arial" w:cs="Arial"/>
                <w:szCs w:val="24"/>
              </w:rPr>
              <w:t>Asset management</w:t>
            </w:r>
          </w:p>
        </w:tc>
        <w:tc>
          <w:tcPr>
            <w:tcW w:w="1325" w:type="dxa"/>
            <w:tcBorders>
              <w:top w:val="single" w:sz="4" w:space="0" w:color="auto"/>
              <w:left w:val="single" w:sz="4" w:space="0" w:color="auto"/>
              <w:bottom w:val="single" w:sz="4" w:space="0" w:color="auto"/>
              <w:right w:val="single" w:sz="4" w:space="0" w:color="auto"/>
            </w:tcBorders>
          </w:tcPr>
          <w:p w14:paraId="48E3C163" w14:textId="42A658CD" w:rsidR="00106E73" w:rsidRPr="00106E73" w:rsidRDefault="00106E73" w:rsidP="00106E73">
            <w:pPr>
              <w:pStyle w:val="Heading2"/>
              <w:keepNext w:val="0"/>
              <w:keepLines/>
              <w:widowControl w:val="0"/>
              <w:numPr>
                <w:ilvl w:val="0"/>
                <w:numId w:val="0"/>
              </w:numPr>
              <w:spacing w:after="0"/>
              <w:jc w:val="right"/>
              <w:rPr>
                <w:rFonts w:ascii="Arial" w:hAnsi="Arial" w:cs="Arial"/>
              </w:rPr>
            </w:pPr>
            <w:r w:rsidRPr="00106E73">
              <w:rPr>
                <w:rFonts w:ascii="Arial" w:hAnsi="Arial" w:cs="Arial"/>
              </w:rPr>
              <w:t>924</w:t>
            </w:r>
          </w:p>
        </w:tc>
        <w:tc>
          <w:tcPr>
            <w:tcW w:w="1510" w:type="dxa"/>
            <w:tcBorders>
              <w:top w:val="single" w:sz="4" w:space="0" w:color="auto"/>
              <w:left w:val="single" w:sz="4" w:space="0" w:color="auto"/>
              <w:bottom w:val="single" w:sz="4" w:space="0" w:color="auto"/>
              <w:right w:val="single" w:sz="4" w:space="0" w:color="auto"/>
            </w:tcBorders>
          </w:tcPr>
          <w:p w14:paraId="647ED040" w14:textId="0907B9C7" w:rsidR="00106E73" w:rsidRPr="00C74CB0" w:rsidRDefault="00106E73" w:rsidP="00106E73">
            <w:pPr>
              <w:pStyle w:val="Heading2"/>
              <w:keepNext w:val="0"/>
              <w:keepLines/>
              <w:widowControl w:val="0"/>
              <w:numPr>
                <w:ilvl w:val="0"/>
                <w:numId w:val="0"/>
              </w:numPr>
              <w:spacing w:after="0"/>
              <w:jc w:val="right"/>
              <w:rPr>
                <w:rFonts w:ascii="Arial" w:hAnsi="Arial" w:cs="Arial"/>
              </w:rPr>
            </w:pPr>
            <w:r w:rsidRPr="00C74CB0">
              <w:rPr>
                <w:rFonts w:ascii="Arial" w:hAnsi="Arial" w:cs="Arial"/>
              </w:rPr>
              <w:t>4</w:t>
            </w:r>
            <w:r w:rsidR="006E52A8">
              <w:rPr>
                <w:rFonts w:ascii="Arial" w:hAnsi="Arial" w:cs="Arial"/>
              </w:rPr>
              <w:t>7</w:t>
            </w:r>
            <w:r w:rsidR="004E08B5">
              <w:rPr>
                <w:rFonts w:ascii="Arial" w:hAnsi="Arial" w:cs="Arial"/>
              </w:rPr>
              <w:t>6</w:t>
            </w:r>
          </w:p>
        </w:tc>
      </w:tr>
      <w:tr w:rsidR="00106E73" w:rsidRPr="0033457D" w14:paraId="77D4272C" w14:textId="77777777" w:rsidTr="00685DAE">
        <w:trPr>
          <w:trHeight w:val="20"/>
        </w:trPr>
        <w:tc>
          <w:tcPr>
            <w:tcW w:w="5654" w:type="dxa"/>
            <w:tcBorders>
              <w:top w:val="single" w:sz="4" w:space="0" w:color="auto"/>
              <w:left w:val="single" w:sz="4" w:space="0" w:color="auto"/>
              <w:bottom w:val="single" w:sz="4" w:space="0" w:color="auto"/>
              <w:right w:val="single" w:sz="4" w:space="0" w:color="auto"/>
            </w:tcBorders>
            <w:shd w:val="clear" w:color="auto" w:fill="auto"/>
          </w:tcPr>
          <w:p w14:paraId="7EF07795" w14:textId="77777777" w:rsidR="00106E73" w:rsidRPr="00106E73" w:rsidRDefault="00106E73" w:rsidP="00106E73">
            <w:pPr>
              <w:pStyle w:val="Heading2"/>
              <w:keepNext w:val="0"/>
              <w:keepLines/>
              <w:widowControl w:val="0"/>
              <w:numPr>
                <w:ilvl w:val="0"/>
                <w:numId w:val="0"/>
              </w:numPr>
              <w:spacing w:after="0"/>
              <w:jc w:val="left"/>
              <w:rPr>
                <w:rFonts w:ascii="Arial" w:hAnsi="Arial" w:cs="Arial"/>
                <w:szCs w:val="24"/>
              </w:rPr>
            </w:pPr>
            <w:r w:rsidRPr="00106E73">
              <w:rPr>
                <w:rFonts w:ascii="Arial" w:hAnsi="Arial" w:cs="Arial"/>
                <w:szCs w:val="24"/>
              </w:rPr>
              <w:t>Statutory and regulatory</w:t>
            </w:r>
          </w:p>
        </w:tc>
        <w:tc>
          <w:tcPr>
            <w:tcW w:w="1325" w:type="dxa"/>
            <w:tcBorders>
              <w:top w:val="single" w:sz="4" w:space="0" w:color="auto"/>
              <w:left w:val="single" w:sz="4" w:space="0" w:color="auto"/>
              <w:bottom w:val="single" w:sz="4" w:space="0" w:color="auto"/>
              <w:right w:val="single" w:sz="4" w:space="0" w:color="auto"/>
            </w:tcBorders>
          </w:tcPr>
          <w:p w14:paraId="6A289506" w14:textId="16B01599" w:rsidR="00106E73" w:rsidRPr="00106E73" w:rsidRDefault="00106E73" w:rsidP="00106E73">
            <w:pPr>
              <w:pStyle w:val="Heading2"/>
              <w:keepNext w:val="0"/>
              <w:keepLines/>
              <w:widowControl w:val="0"/>
              <w:numPr>
                <w:ilvl w:val="0"/>
                <w:numId w:val="0"/>
              </w:numPr>
              <w:spacing w:after="0"/>
              <w:jc w:val="right"/>
              <w:rPr>
                <w:rFonts w:ascii="Arial" w:hAnsi="Arial" w:cs="Arial"/>
              </w:rPr>
            </w:pPr>
            <w:r w:rsidRPr="00106E73">
              <w:rPr>
                <w:rFonts w:ascii="Arial" w:hAnsi="Arial" w:cs="Arial"/>
              </w:rPr>
              <w:t>1,157</w:t>
            </w:r>
          </w:p>
        </w:tc>
        <w:tc>
          <w:tcPr>
            <w:tcW w:w="1510" w:type="dxa"/>
            <w:tcBorders>
              <w:top w:val="single" w:sz="4" w:space="0" w:color="auto"/>
              <w:left w:val="single" w:sz="4" w:space="0" w:color="auto"/>
              <w:bottom w:val="single" w:sz="4" w:space="0" w:color="auto"/>
              <w:right w:val="single" w:sz="4" w:space="0" w:color="auto"/>
            </w:tcBorders>
          </w:tcPr>
          <w:p w14:paraId="31E9F7CC" w14:textId="3C9F4000" w:rsidR="00106E73" w:rsidRPr="00C74CB0" w:rsidRDefault="00106E73" w:rsidP="00106E73">
            <w:pPr>
              <w:pStyle w:val="Heading2"/>
              <w:keepNext w:val="0"/>
              <w:keepLines/>
              <w:widowControl w:val="0"/>
              <w:numPr>
                <w:ilvl w:val="0"/>
                <w:numId w:val="0"/>
              </w:numPr>
              <w:spacing w:after="0"/>
              <w:jc w:val="right"/>
              <w:rPr>
                <w:rFonts w:ascii="Arial" w:hAnsi="Arial" w:cs="Arial"/>
              </w:rPr>
            </w:pPr>
            <w:r w:rsidRPr="00C74CB0">
              <w:rPr>
                <w:rFonts w:ascii="Arial" w:hAnsi="Arial" w:cs="Arial"/>
              </w:rPr>
              <w:t>1,210</w:t>
            </w:r>
          </w:p>
        </w:tc>
      </w:tr>
      <w:tr w:rsidR="00106E73" w:rsidRPr="0033457D" w14:paraId="723CD014" w14:textId="77777777" w:rsidTr="00685DAE">
        <w:trPr>
          <w:trHeight w:val="20"/>
        </w:trPr>
        <w:tc>
          <w:tcPr>
            <w:tcW w:w="5654" w:type="dxa"/>
            <w:tcBorders>
              <w:top w:val="single" w:sz="4" w:space="0" w:color="auto"/>
            </w:tcBorders>
            <w:shd w:val="clear" w:color="auto" w:fill="auto"/>
          </w:tcPr>
          <w:p w14:paraId="20EFA990" w14:textId="4C48479F" w:rsidR="00106E73" w:rsidRPr="00106E73" w:rsidRDefault="00106E73" w:rsidP="00106E73">
            <w:pPr>
              <w:pStyle w:val="Heading2"/>
              <w:keepNext w:val="0"/>
              <w:keepLines/>
              <w:widowControl w:val="0"/>
              <w:numPr>
                <w:ilvl w:val="0"/>
                <w:numId w:val="0"/>
              </w:numPr>
              <w:spacing w:after="0"/>
              <w:jc w:val="left"/>
              <w:rPr>
                <w:rFonts w:ascii="Arial" w:hAnsi="Arial" w:cs="Arial"/>
                <w:bCs/>
                <w:szCs w:val="24"/>
              </w:rPr>
            </w:pPr>
            <w:r w:rsidRPr="00106E73">
              <w:rPr>
                <w:rFonts w:ascii="Arial" w:hAnsi="Arial" w:cs="Arial"/>
                <w:bCs/>
                <w:szCs w:val="24"/>
              </w:rPr>
              <w:t xml:space="preserve">Centrally employed </w:t>
            </w:r>
            <w:proofErr w:type="spellStart"/>
            <w:r w:rsidRPr="00106E73">
              <w:rPr>
                <w:rFonts w:ascii="Arial" w:hAnsi="Arial" w:cs="Arial"/>
                <w:bCs/>
                <w:szCs w:val="24"/>
              </w:rPr>
              <w:t>teachers</w:t>
            </w:r>
            <w:proofErr w:type="spellEnd"/>
            <w:r w:rsidRPr="00106E73">
              <w:rPr>
                <w:rFonts w:ascii="Arial" w:hAnsi="Arial" w:cs="Arial"/>
                <w:bCs/>
                <w:szCs w:val="24"/>
              </w:rPr>
              <w:t xml:space="preserve"> </w:t>
            </w:r>
            <w:r w:rsidR="007B5D36">
              <w:rPr>
                <w:rFonts w:ascii="Arial" w:hAnsi="Arial" w:cs="Arial"/>
                <w:bCs/>
                <w:szCs w:val="24"/>
              </w:rPr>
              <w:t xml:space="preserve">pay &amp; </w:t>
            </w:r>
            <w:r w:rsidRPr="00106E73">
              <w:rPr>
                <w:rFonts w:ascii="Arial" w:hAnsi="Arial" w:cs="Arial"/>
                <w:bCs/>
                <w:szCs w:val="24"/>
              </w:rPr>
              <w:t>pension grant</w:t>
            </w:r>
            <w:r w:rsidR="007B5D36">
              <w:rPr>
                <w:rFonts w:ascii="Arial" w:hAnsi="Arial" w:cs="Arial"/>
                <w:bCs/>
                <w:szCs w:val="24"/>
              </w:rPr>
              <w:t>s</w:t>
            </w:r>
          </w:p>
        </w:tc>
        <w:tc>
          <w:tcPr>
            <w:tcW w:w="1325" w:type="dxa"/>
            <w:tcBorders>
              <w:top w:val="single" w:sz="4" w:space="0" w:color="auto"/>
            </w:tcBorders>
          </w:tcPr>
          <w:p w14:paraId="2548C66A" w14:textId="40E72F55" w:rsidR="00106E73" w:rsidRPr="00106E73" w:rsidRDefault="00106E73" w:rsidP="00106E73">
            <w:pPr>
              <w:pStyle w:val="Heading2"/>
              <w:keepNext w:val="0"/>
              <w:keepLines/>
              <w:widowControl w:val="0"/>
              <w:numPr>
                <w:ilvl w:val="0"/>
                <w:numId w:val="0"/>
              </w:numPr>
              <w:spacing w:after="0"/>
              <w:jc w:val="right"/>
              <w:rPr>
                <w:rFonts w:ascii="Arial" w:hAnsi="Arial" w:cs="Arial"/>
              </w:rPr>
            </w:pPr>
            <w:r w:rsidRPr="00106E73">
              <w:rPr>
                <w:rFonts w:ascii="Arial" w:hAnsi="Arial" w:cs="Arial"/>
              </w:rPr>
              <w:t>489</w:t>
            </w:r>
          </w:p>
        </w:tc>
        <w:tc>
          <w:tcPr>
            <w:tcW w:w="1510" w:type="dxa"/>
            <w:tcBorders>
              <w:top w:val="single" w:sz="4" w:space="0" w:color="auto"/>
            </w:tcBorders>
          </w:tcPr>
          <w:p w14:paraId="73F0A6D3" w14:textId="1A79BB5C" w:rsidR="00106E73" w:rsidRPr="00C74CB0" w:rsidRDefault="00EB25B4" w:rsidP="00106E73">
            <w:pPr>
              <w:pStyle w:val="Heading2"/>
              <w:keepNext w:val="0"/>
              <w:keepLines/>
              <w:widowControl w:val="0"/>
              <w:numPr>
                <w:ilvl w:val="0"/>
                <w:numId w:val="0"/>
              </w:numPr>
              <w:spacing w:after="0"/>
              <w:jc w:val="right"/>
              <w:rPr>
                <w:rFonts w:ascii="Arial" w:hAnsi="Arial" w:cs="Arial"/>
              </w:rPr>
            </w:pPr>
            <w:r>
              <w:rPr>
                <w:rFonts w:ascii="Arial" w:hAnsi="Arial" w:cs="Arial"/>
              </w:rPr>
              <w:t>84</w:t>
            </w:r>
            <w:r w:rsidR="00097C8B" w:rsidRPr="00C74CB0">
              <w:rPr>
                <w:rFonts w:ascii="Arial" w:hAnsi="Arial" w:cs="Arial"/>
              </w:rPr>
              <w:t>4</w:t>
            </w:r>
          </w:p>
        </w:tc>
      </w:tr>
      <w:tr w:rsidR="00106E73" w:rsidRPr="0033457D" w14:paraId="788D76E3" w14:textId="77777777" w:rsidTr="00685DAE">
        <w:trPr>
          <w:trHeight w:val="20"/>
        </w:trPr>
        <w:tc>
          <w:tcPr>
            <w:tcW w:w="5654" w:type="dxa"/>
            <w:tcBorders>
              <w:top w:val="single" w:sz="4" w:space="0" w:color="auto"/>
            </w:tcBorders>
            <w:shd w:val="clear" w:color="auto" w:fill="auto"/>
          </w:tcPr>
          <w:p w14:paraId="220790F8" w14:textId="77777777" w:rsidR="00106E73" w:rsidRPr="00106E73" w:rsidRDefault="00106E73" w:rsidP="00106E73">
            <w:pPr>
              <w:pStyle w:val="Heading2"/>
              <w:keepNext w:val="0"/>
              <w:keepLines/>
              <w:widowControl w:val="0"/>
              <w:numPr>
                <w:ilvl w:val="0"/>
                <w:numId w:val="0"/>
              </w:numPr>
              <w:spacing w:after="0"/>
              <w:jc w:val="left"/>
              <w:rPr>
                <w:rFonts w:ascii="Arial" w:hAnsi="Arial" w:cs="Arial"/>
                <w:iCs/>
                <w:szCs w:val="24"/>
              </w:rPr>
            </w:pPr>
            <w:r w:rsidRPr="00106E73">
              <w:rPr>
                <w:rFonts w:ascii="Arial" w:hAnsi="Arial" w:cs="Arial"/>
                <w:b/>
                <w:szCs w:val="24"/>
              </w:rPr>
              <w:t>Total</w:t>
            </w:r>
          </w:p>
        </w:tc>
        <w:tc>
          <w:tcPr>
            <w:tcW w:w="1325" w:type="dxa"/>
            <w:tcBorders>
              <w:top w:val="single" w:sz="4" w:space="0" w:color="auto"/>
            </w:tcBorders>
          </w:tcPr>
          <w:p w14:paraId="17513DC2" w14:textId="5BC95EBC" w:rsidR="00106E73" w:rsidRPr="00106E73" w:rsidRDefault="00106E73" w:rsidP="00106E73">
            <w:pPr>
              <w:pStyle w:val="Heading2"/>
              <w:keepNext w:val="0"/>
              <w:keepLines/>
              <w:widowControl w:val="0"/>
              <w:numPr>
                <w:ilvl w:val="0"/>
                <w:numId w:val="0"/>
              </w:numPr>
              <w:spacing w:after="0"/>
              <w:jc w:val="right"/>
              <w:rPr>
                <w:rFonts w:ascii="Arial" w:hAnsi="Arial" w:cs="Arial"/>
                <w:b/>
                <w:bCs/>
              </w:rPr>
            </w:pPr>
            <w:r w:rsidRPr="00106E73">
              <w:rPr>
                <w:rFonts w:ascii="Arial" w:hAnsi="Arial" w:cs="Arial"/>
                <w:b/>
                <w:bCs/>
              </w:rPr>
              <w:t>7,101</w:t>
            </w:r>
          </w:p>
        </w:tc>
        <w:tc>
          <w:tcPr>
            <w:tcW w:w="1510" w:type="dxa"/>
            <w:tcBorders>
              <w:top w:val="single" w:sz="4" w:space="0" w:color="auto"/>
            </w:tcBorders>
          </w:tcPr>
          <w:p w14:paraId="22BAEFC7" w14:textId="2E759043" w:rsidR="00106E73" w:rsidRPr="00106E73" w:rsidRDefault="000B07C8" w:rsidP="00106E73">
            <w:pPr>
              <w:pStyle w:val="Heading2"/>
              <w:keepNext w:val="0"/>
              <w:keepLines/>
              <w:widowControl w:val="0"/>
              <w:numPr>
                <w:ilvl w:val="0"/>
                <w:numId w:val="0"/>
              </w:numPr>
              <w:spacing w:after="0"/>
              <w:jc w:val="right"/>
              <w:rPr>
                <w:rFonts w:ascii="Arial" w:hAnsi="Arial" w:cs="Arial"/>
                <w:b/>
                <w:bCs/>
              </w:rPr>
            </w:pPr>
            <w:r>
              <w:rPr>
                <w:rFonts w:ascii="Arial" w:hAnsi="Arial" w:cs="Arial"/>
                <w:b/>
                <w:bCs/>
              </w:rPr>
              <w:t>8</w:t>
            </w:r>
            <w:r w:rsidR="00106E73" w:rsidRPr="00106E73">
              <w:rPr>
                <w:rFonts w:ascii="Arial" w:hAnsi="Arial" w:cs="Arial"/>
                <w:b/>
                <w:bCs/>
              </w:rPr>
              <w:t>,</w:t>
            </w:r>
            <w:r w:rsidR="004C1D09">
              <w:rPr>
                <w:rFonts w:ascii="Arial" w:hAnsi="Arial" w:cs="Arial"/>
                <w:b/>
                <w:bCs/>
              </w:rPr>
              <w:t>28</w:t>
            </w:r>
            <w:r>
              <w:rPr>
                <w:rFonts w:ascii="Arial" w:hAnsi="Arial" w:cs="Arial"/>
                <w:b/>
                <w:bCs/>
              </w:rPr>
              <w:t>8</w:t>
            </w:r>
          </w:p>
        </w:tc>
      </w:tr>
    </w:tbl>
    <w:p w14:paraId="3DAB89EB" w14:textId="481B5FC0" w:rsidR="004144FD" w:rsidRPr="00C74CB0" w:rsidRDefault="00C66514" w:rsidP="00451A03">
      <w:pPr>
        <w:pStyle w:val="Heading2"/>
        <w:spacing w:before="240"/>
        <w:ind w:left="578" w:hanging="578"/>
        <w:rPr>
          <w:rFonts w:ascii="Arial" w:hAnsi="Arial" w:cs="Arial"/>
          <w:szCs w:val="24"/>
        </w:rPr>
      </w:pPr>
      <w:r w:rsidRPr="00C74CB0">
        <w:rPr>
          <w:rFonts w:ascii="Arial" w:hAnsi="Arial" w:cs="Arial"/>
          <w:szCs w:val="24"/>
        </w:rPr>
        <w:t xml:space="preserve">Due to the increased allocation received there </w:t>
      </w:r>
      <w:r w:rsidR="00697119" w:rsidRPr="00C74CB0">
        <w:rPr>
          <w:rFonts w:ascii="Arial" w:hAnsi="Arial" w:cs="Arial"/>
          <w:szCs w:val="24"/>
        </w:rPr>
        <w:t xml:space="preserve">have been some small changes </w:t>
      </w:r>
      <w:r w:rsidR="006C3B91" w:rsidRPr="00C74CB0">
        <w:rPr>
          <w:rFonts w:ascii="Arial" w:hAnsi="Arial" w:cs="Arial"/>
          <w:szCs w:val="24"/>
        </w:rPr>
        <w:t xml:space="preserve">reflected in the </w:t>
      </w:r>
      <w:r w:rsidR="004A30A2" w:rsidRPr="00C74CB0">
        <w:rPr>
          <w:rFonts w:ascii="Arial" w:hAnsi="Arial" w:cs="Arial"/>
          <w:szCs w:val="24"/>
        </w:rPr>
        <w:t xml:space="preserve">Admissions and </w:t>
      </w:r>
      <w:r w:rsidR="00285453" w:rsidRPr="00C74CB0">
        <w:rPr>
          <w:rFonts w:ascii="Arial" w:hAnsi="Arial" w:cs="Arial"/>
          <w:szCs w:val="24"/>
        </w:rPr>
        <w:t>Education Welfare</w:t>
      </w:r>
      <w:r w:rsidR="004A30A2" w:rsidRPr="00C74CB0">
        <w:rPr>
          <w:rFonts w:ascii="Arial" w:hAnsi="Arial" w:cs="Arial"/>
          <w:szCs w:val="24"/>
        </w:rPr>
        <w:t xml:space="preserve"> budgets</w:t>
      </w:r>
      <w:r w:rsidR="00285453" w:rsidRPr="00C74CB0">
        <w:rPr>
          <w:rFonts w:ascii="Arial" w:hAnsi="Arial" w:cs="Arial"/>
          <w:szCs w:val="24"/>
        </w:rPr>
        <w:t xml:space="preserve"> since provisional budgets agreed by Schools Forum in December. </w:t>
      </w:r>
      <w:r w:rsidRPr="00C74CB0">
        <w:rPr>
          <w:rFonts w:ascii="Arial" w:hAnsi="Arial" w:cs="Arial"/>
          <w:szCs w:val="24"/>
        </w:rPr>
        <w:t>As well as</w:t>
      </w:r>
      <w:r w:rsidR="0063276D" w:rsidRPr="00C74CB0">
        <w:rPr>
          <w:rFonts w:ascii="Arial" w:hAnsi="Arial" w:cs="Arial"/>
          <w:szCs w:val="24"/>
        </w:rPr>
        <w:t xml:space="preserve"> increased </w:t>
      </w:r>
      <w:r w:rsidR="007B5D36" w:rsidRPr="00C74CB0">
        <w:rPr>
          <w:rFonts w:ascii="Arial" w:hAnsi="Arial" w:cs="Arial"/>
          <w:szCs w:val="24"/>
        </w:rPr>
        <w:t>budget</w:t>
      </w:r>
      <w:r w:rsidR="00472C4A">
        <w:rPr>
          <w:rFonts w:ascii="Arial" w:hAnsi="Arial" w:cs="Arial"/>
          <w:szCs w:val="24"/>
        </w:rPr>
        <w:t>s</w:t>
      </w:r>
      <w:r w:rsidR="0063276D" w:rsidRPr="00C74CB0">
        <w:rPr>
          <w:rFonts w:ascii="Arial" w:hAnsi="Arial" w:cs="Arial"/>
          <w:szCs w:val="24"/>
        </w:rPr>
        <w:t xml:space="preserve"> relating to centrally employed </w:t>
      </w:r>
      <w:proofErr w:type="spellStart"/>
      <w:r w:rsidR="0063276D" w:rsidRPr="00C74CB0">
        <w:rPr>
          <w:rFonts w:ascii="Arial" w:hAnsi="Arial" w:cs="Arial"/>
          <w:szCs w:val="24"/>
        </w:rPr>
        <w:t>teachers</w:t>
      </w:r>
      <w:proofErr w:type="spellEnd"/>
      <w:r w:rsidR="0063276D" w:rsidRPr="00C74CB0">
        <w:rPr>
          <w:rFonts w:ascii="Arial" w:hAnsi="Arial" w:cs="Arial"/>
          <w:szCs w:val="24"/>
        </w:rPr>
        <w:t xml:space="preserve"> pay and pensions</w:t>
      </w:r>
      <w:r w:rsidR="00472C4A">
        <w:rPr>
          <w:rFonts w:ascii="Arial" w:hAnsi="Arial" w:cs="Arial"/>
          <w:szCs w:val="24"/>
        </w:rPr>
        <w:t xml:space="preserve"> where </w:t>
      </w:r>
      <w:r w:rsidR="00432266" w:rsidRPr="00C74CB0">
        <w:rPr>
          <w:rFonts w:ascii="Arial" w:hAnsi="Arial" w:cs="Arial"/>
          <w:szCs w:val="24"/>
        </w:rPr>
        <w:t xml:space="preserve">these grants </w:t>
      </w:r>
      <w:r w:rsidR="00380D69">
        <w:rPr>
          <w:rFonts w:ascii="Arial" w:hAnsi="Arial" w:cs="Arial"/>
          <w:szCs w:val="24"/>
        </w:rPr>
        <w:t xml:space="preserve"> </w:t>
      </w:r>
      <w:r w:rsidR="00C74CB0" w:rsidRPr="00C74CB0">
        <w:rPr>
          <w:rFonts w:ascii="Arial" w:hAnsi="Arial" w:cs="Arial"/>
          <w:szCs w:val="24"/>
        </w:rPr>
        <w:t xml:space="preserve"> </w:t>
      </w:r>
      <w:r w:rsidR="00432266" w:rsidRPr="00C74CB0">
        <w:rPr>
          <w:rFonts w:ascii="Arial" w:hAnsi="Arial" w:cs="Arial"/>
          <w:szCs w:val="24"/>
        </w:rPr>
        <w:t xml:space="preserve">were rolled into the </w:t>
      </w:r>
      <w:r w:rsidR="0049171C">
        <w:rPr>
          <w:rFonts w:ascii="Arial" w:hAnsi="Arial" w:cs="Arial"/>
          <w:szCs w:val="24"/>
        </w:rPr>
        <w:t>funding formula</w:t>
      </w:r>
      <w:r w:rsidR="00432266" w:rsidRPr="00C74CB0">
        <w:rPr>
          <w:rFonts w:ascii="Arial" w:hAnsi="Arial" w:cs="Arial"/>
          <w:szCs w:val="24"/>
        </w:rPr>
        <w:t xml:space="preserve">. </w:t>
      </w:r>
      <w:r w:rsidR="0073766C" w:rsidRPr="00C74CB0">
        <w:rPr>
          <w:rFonts w:ascii="Arial" w:hAnsi="Arial" w:cs="Arial"/>
          <w:szCs w:val="24"/>
        </w:rPr>
        <w:t>All other budgets</w:t>
      </w:r>
      <w:r w:rsidR="007B1810" w:rsidRPr="00C74CB0">
        <w:rPr>
          <w:rFonts w:ascii="Arial" w:hAnsi="Arial" w:cs="Arial"/>
          <w:szCs w:val="24"/>
        </w:rPr>
        <w:t xml:space="preserve"> also</w:t>
      </w:r>
      <w:r w:rsidR="0073766C" w:rsidRPr="00C74CB0">
        <w:rPr>
          <w:rFonts w:ascii="Arial" w:hAnsi="Arial" w:cs="Arial"/>
          <w:szCs w:val="24"/>
        </w:rPr>
        <w:t xml:space="preserve"> remain as per the provisional budgets in December.</w:t>
      </w:r>
    </w:p>
    <w:p w14:paraId="5BC3A351" w14:textId="77777777" w:rsidR="00970DAF" w:rsidRPr="005707D3" w:rsidRDefault="00970DAF" w:rsidP="00284B69">
      <w:pPr>
        <w:pStyle w:val="Heading2"/>
        <w:keepNext w:val="0"/>
        <w:tabs>
          <w:tab w:val="num" w:pos="426"/>
        </w:tabs>
        <w:ind w:left="425" w:hanging="567"/>
        <w:jc w:val="left"/>
        <w:rPr>
          <w:rFonts w:ascii="Arial" w:hAnsi="Arial" w:cs="Arial"/>
          <w:szCs w:val="24"/>
        </w:rPr>
      </w:pPr>
      <w:r w:rsidRPr="005707D3">
        <w:rPr>
          <w:rFonts w:ascii="Arial" w:hAnsi="Arial" w:cs="Arial"/>
          <w:szCs w:val="24"/>
        </w:rPr>
        <w:t>The following table provides a breakdown of historic commitments:</w:t>
      </w:r>
    </w:p>
    <w:tbl>
      <w:tblPr>
        <w:tblW w:w="8489" w:type="dxa"/>
        <w:tblInd w:w="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9"/>
        <w:gridCol w:w="1559"/>
        <w:gridCol w:w="1701"/>
      </w:tblGrid>
      <w:tr w:rsidR="005707D3" w:rsidRPr="005707D3" w14:paraId="568AA1B3" w14:textId="0BC5FBF1" w:rsidTr="00F6599C">
        <w:trPr>
          <w:trHeight w:val="20"/>
        </w:trPr>
        <w:tc>
          <w:tcPr>
            <w:tcW w:w="5229" w:type="dxa"/>
            <w:shd w:val="clear" w:color="auto" w:fill="auto"/>
          </w:tcPr>
          <w:p w14:paraId="430515F3" w14:textId="77777777" w:rsidR="00FC442B" w:rsidRPr="005707D3" w:rsidRDefault="00FC442B" w:rsidP="00A75A17">
            <w:pPr>
              <w:pStyle w:val="Heading2"/>
              <w:keepNext w:val="0"/>
              <w:keepLines/>
              <w:widowControl w:val="0"/>
              <w:numPr>
                <w:ilvl w:val="0"/>
                <w:numId w:val="0"/>
              </w:numPr>
              <w:spacing w:after="0"/>
              <w:jc w:val="center"/>
              <w:rPr>
                <w:rFonts w:ascii="Arial" w:hAnsi="Arial" w:cs="Arial"/>
                <w:b/>
                <w:iCs/>
                <w:szCs w:val="24"/>
              </w:rPr>
            </w:pPr>
            <w:r w:rsidRPr="005707D3">
              <w:rPr>
                <w:rFonts w:ascii="Arial" w:hAnsi="Arial" w:cs="Arial"/>
                <w:b/>
                <w:iCs/>
                <w:szCs w:val="24"/>
              </w:rPr>
              <w:t>Service</w:t>
            </w:r>
          </w:p>
        </w:tc>
        <w:tc>
          <w:tcPr>
            <w:tcW w:w="1559" w:type="dxa"/>
          </w:tcPr>
          <w:p w14:paraId="3527E50B" w14:textId="7C2E5628" w:rsidR="00FC442B" w:rsidRPr="005707D3" w:rsidRDefault="00FC442B" w:rsidP="00A75A17">
            <w:pPr>
              <w:pStyle w:val="Heading2"/>
              <w:keepNext w:val="0"/>
              <w:keepLines/>
              <w:widowControl w:val="0"/>
              <w:numPr>
                <w:ilvl w:val="0"/>
                <w:numId w:val="0"/>
              </w:numPr>
              <w:spacing w:after="0"/>
              <w:jc w:val="center"/>
              <w:rPr>
                <w:rFonts w:ascii="Arial" w:hAnsi="Arial" w:cs="Arial"/>
                <w:b/>
                <w:iCs/>
                <w:szCs w:val="24"/>
              </w:rPr>
            </w:pPr>
            <w:r w:rsidRPr="005707D3">
              <w:rPr>
                <w:rFonts w:ascii="Arial" w:hAnsi="Arial" w:cs="Arial"/>
                <w:b/>
                <w:iCs/>
                <w:szCs w:val="24"/>
              </w:rPr>
              <w:t>202</w:t>
            </w:r>
            <w:r w:rsidR="005707D3" w:rsidRPr="005707D3">
              <w:rPr>
                <w:rFonts w:ascii="Arial" w:hAnsi="Arial" w:cs="Arial"/>
                <w:b/>
                <w:iCs/>
                <w:szCs w:val="24"/>
              </w:rPr>
              <w:t>4</w:t>
            </w:r>
            <w:r w:rsidRPr="005707D3">
              <w:rPr>
                <w:rFonts w:ascii="Arial" w:hAnsi="Arial" w:cs="Arial"/>
                <w:b/>
                <w:iCs/>
                <w:szCs w:val="24"/>
              </w:rPr>
              <w:t>/2</w:t>
            </w:r>
            <w:r w:rsidR="005707D3" w:rsidRPr="005707D3">
              <w:rPr>
                <w:rFonts w:ascii="Arial" w:hAnsi="Arial" w:cs="Arial"/>
                <w:b/>
                <w:iCs/>
                <w:szCs w:val="24"/>
              </w:rPr>
              <w:t>5</w:t>
            </w:r>
            <w:r w:rsidRPr="005707D3">
              <w:rPr>
                <w:rFonts w:ascii="Arial" w:hAnsi="Arial" w:cs="Arial"/>
                <w:b/>
                <w:iCs/>
                <w:szCs w:val="24"/>
              </w:rPr>
              <w:t xml:space="preserve"> Budget £000</w:t>
            </w:r>
          </w:p>
        </w:tc>
        <w:tc>
          <w:tcPr>
            <w:tcW w:w="1701" w:type="dxa"/>
          </w:tcPr>
          <w:p w14:paraId="1A8DDC4C" w14:textId="17C1BBA7" w:rsidR="00FC442B" w:rsidRPr="005707D3" w:rsidRDefault="00FC442B" w:rsidP="00A75A17">
            <w:pPr>
              <w:pStyle w:val="Heading2"/>
              <w:keepNext w:val="0"/>
              <w:keepLines/>
              <w:widowControl w:val="0"/>
              <w:numPr>
                <w:ilvl w:val="0"/>
                <w:numId w:val="0"/>
              </w:numPr>
              <w:spacing w:after="0"/>
              <w:jc w:val="center"/>
              <w:rPr>
                <w:rFonts w:ascii="Arial" w:hAnsi="Arial" w:cs="Arial"/>
                <w:b/>
                <w:iCs/>
                <w:szCs w:val="24"/>
              </w:rPr>
            </w:pPr>
            <w:r w:rsidRPr="005707D3">
              <w:rPr>
                <w:rFonts w:ascii="Arial" w:hAnsi="Arial" w:cs="Arial"/>
                <w:b/>
                <w:iCs/>
                <w:szCs w:val="24"/>
              </w:rPr>
              <w:t>202</w:t>
            </w:r>
            <w:r w:rsidR="005707D3" w:rsidRPr="005707D3">
              <w:rPr>
                <w:rFonts w:ascii="Arial" w:hAnsi="Arial" w:cs="Arial"/>
                <w:b/>
                <w:iCs/>
                <w:szCs w:val="24"/>
              </w:rPr>
              <w:t>5</w:t>
            </w:r>
            <w:r w:rsidRPr="005707D3">
              <w:rPr>
                <w:rFonts w:ascii="Arial" w:hAnsi="Arial" w:cs="Arial"/>
                <w:b/>
                <w:iCs/>
                <w:szCs w:val="24"/>
              </w:rPr>
              <w:t>/2</w:t>
            </w:r>
            <w:r w:rsidR="005707D3" w:rsidRPr="005707D3">
              <w:rPr>
                <w:rFonts w:ascii="Arial" w:hAnsi="Arial" w:cs="Arial"/>
                <w:b/>
                <w:iCs/>
                <w:szCs w:val="24"/>
              </w:rPr>
              <w:t>6</w:t>
            </w:r>
            <w:r w:rsidRPr="005707D3">
              <w:rPr>
                <w:rFonts w:ascii="Arial" w:hAnsi="Arial" w:cs="Arial"/>
                <w:b/>
                <w:iCs/>
                <w:szCs w:val="24"/>
              </w:rPr>
              <w:t xml:space="preserve"> Budget</w:t>
            </w:r>
          </w:p>
          <w:p w14:paraId="455EF623" w14:textId="407B5184" w:rsidR="00086FC2" w:rsidRPr="005707D3" w:rsidRDefault="00086FC2" w:rsidP="00A75A17">
            <w:pPr>
              <w:pStyle w:val="Heading2"/>
              <w:keepNext w:val="0"/>
              <w:keepLines/>
              <w:widowControl w:val="0"/>
              <w:numPr>
                <w:ilvl w:val="0"/>
                <w:numId w:val="0"/>
              </w:numPr>
              <w:spacing w:after="0"/>
              <w:jc w:val="center"/>
              <w:rPr>
                <w:rFonts w:ascii="Arial" w:hAnsi="Arial" w:cs="Arial"/>
                <w:b/>
                <w:iCs/>
                <w:szCs w:val="24"/>
              </w:rPr>
            </w:pPr>
            <w:r w:rsidRPr="005707D3">
              <w:rPr>
                <w:rFonts w:ascii="Arial" w:hAnsi="Arial" w:cs="Arial"/>
                <w:b/>
                <w:iCs/>
                <w:szCs w:val="24"/>
              </w:rPr>
              <w:t>£000</w:t>
            </w:r>
          </w:p>
        </w:tc>
      </w:tr>
      <w:tr w:rsidR="005707D3" w:rsidRPr="005707D3" w14:paraId="17DA8DF2" w14:textId="4A282D21" w:rsidTr="00F6599C">
        <w:trPr>
          <w:trHeight w:val="20"/>
        </w:trPr>
        <w:tc>
          <w:tcPr>
            <w:tcW w:w="5229" w:type="dxa"/>
            <w:shd w:val="clear" w:color="auto" w:fill="auto"/>
          </w:tcPr>
          <w:p w14:paraId="6F8AD6DE" w14:textId="77777777" w:rsidR="00187B3E" w:rsidRPr="005707D3" w:rsidRDefault="00187B3E" w:rsidP="00A75A17">
            <w:pPr>
              <w:pStyle w:val="Heading2"/>
              <w:keepNext w:val="0"/>
              <w:keepLines/>
              <w:widowControl w:val="0"/>
              <w:numPr>
                <w:ilvl w:val="0"/>
                <w:numId w:val="0"/>
              </w:numPr>
              <w:spacing w:after="0"/>
              <w:jc w:val="left"/>
              <w:rPr>
                <w:rFonts w:ascii="Arial" w:hAnsi="Arial" w:cs="Arial"/>
                <w:szCs w:val="24"/>
              </w:rPr>
            </w:pPr>
            <w:r w:rsidRPr="005707D3">
              <w:rPr>
                <w:rFonts w:ascii="Arial" w:hAnsi="Arial" w:cs="Arial"/>
                <w:szCs w:val="24"/>
              </w:rPr>
              <w:t>Contribution to combined budget - NEETS</w:t>
            </w:r>
          </w:p>
        </w:tc>
        <w:tc>
          <w:tcPr>
            <w:tcW w:w="1559" w:type="dxa"/>
          </w:tcPr>
          <w:p w14:paraId="3C620805" w14:textId="3C0E2F20" w:rsidR="00187B3E" w:rsidRPr="005707D3" w:rsidRDefault="00B26760" w:rsidP="00A75A17">
            <w:pPr>
              <w:pStyle w:val="Heading2"/>
              <w:keepNext w:val="0"/>
              <w:keepLines/>
              <w:widowControl w:val="0"/>
              <w:numPr>
                <w:ilvl w:val="0"/>
                <w:numId w:val="0"/>
              </w:numPr>
              <w:spacing w:after="0"/>
              <w:jc w:val="right"/>
              <w:rPr>
                <w:rFonts w:ascii="Arial" w:hAnsi="Arial" w:cs="Arial"/>
              </w:rPr>
            </w:pPr>
            <w:r w:rsidRPr="005707D3">
              <w:rPr>
                <w:rFonts w:ascii="Arial" w:hAnsi="Arial" w:cs="Arial"/>
              </w:rPr>
              <w:t>200</w:t>
            </w:r>
          </w:p>
        </w:tc>
        <w:tc>
          <w:tcPr>
            <w:tcW w:w="1701" w:type="dxa"/>
          </w:tcPr>
          <w:p w14:paraId="02583384" w14:textId="71D09887" w:rsidR="00187B3E" w:rsidRPr="005707D3" w:rsidRDefault="005707D3" w:rsidP="00A75A17">
            <w:pPr>
              <w:pStyle w:val="Heading2"/>
              <w:keepNext w:val="0"/>
              <w:keepLines/>
              <w:widowControl w:val="0"/>
              <w:numPr>
                <w:ilvl w:val="0"/>
                <w:numId w:val="0"/>
              </w:numPr>
              <w:spacing w:after="0"/>
              <w:jc w:val="right"/>
              <w:rPr>
                <w:rFonts w:ascii="Arial" w:hAnsi="Arial" w:cs="Arial"/>
              </w:rPr>
            </w:pPr>
            <w:r w:rsidRPr="005707D3">
              <w:rPr>
                <w:rFonts w:ascii="Arial" w:hAnsi="Arial" w:cs="Arial"/>
              </w:rPr>
              <w:t>0</w:t>
            </w:r>
          </w:p>
        </w:tc>
      </w:tr>
      <w:tr w:rsidR="005707D3" w:rsidRPr="005707D3" w14:paraId="5D186522" w14:textId="0FD5127B" w:rsidTr="00F6599C">
        <w:trPr>
          <w:trHeight w:val="20"/>
        </w:trPr>
        <w:tc>
          <w:tcPr>
            <w:tcW w:w="5229" w:type="dxa"/>
            <w:shd w:val="clear" w:color="auto" w:fill="auto"/>
          </w:tcPr>
          <w:p w14:paraId="3684467F" w14:textId="77777777" w:rsidR="00187B3E" w:rsidRPr="005707D3" w:rsidRDefault="00187B3E" w:rsidP="00A75A17">
            <w:pPr>
              <w:pStyle w:val="Heading2"/>
              <w:keepNext w:val="0"/>
              <w:keepLines/>
              <w:widowControl w:val="0"/>
              <w:numPr>
                <w:ilvl w:val="0"/>
                <w:numId w:val="0"/>
              </w:numPr>
              <w:spacing w:after="0"/>
              <w:jc w:val="left"/>
              <w:rPr>
                <w:rFonts w:ascii="Arial" w:hAnsi="Arial" w:cs="Arial"/>
                <w:iCs/>
                <w:szCs w:val="24"/>
              </w:rPr>
            </w:pPr>
            <w:r w:rsidRPr="005707D3">
              <w:rPr>
                <w:rFonts w:ascii="Arial" w:hAnsi="Arial" w:cs="Arial"/>
                <w:szCs w:val="24"/>
              </w:rPr>
              <w:t>Termination of employment costs</w:t>
            </w:r>
          </w:p>
        </w:tc>
        <w:tc>
          <w:tcPr>
            <w:tcW w:w="1559" w:type="dxa"/>
          </w:tcPr>
          <w:p w14:paraId="0B9137DA" w14:textId="01B722F6" w:rsidR="00187B3E" w:rsidRPr="005707D3" w:rsidRDefault="00187B3E" w:rsidP="00A75A17">
            <w:pPr>
              <w:pStyle w:val="Heading2"/>
              <w:keepNext w:val="0"/>
              <w:keepLines/>
              <w:widowControl w:val="0"/>
              <w:numPr>
                <w:ilvl w:val="0"/>
                <w:numId w:val="0"/>
              </w:numPr>
              <w:spacing w:after="0"/>
              <w:jc w:val="right"/>
              <w:rPr>
                <w:rFonts w:ascii="Arial" w:hAnsi="Arial" w:cs="Arial"/>
              </w:rPr>
            </w:pPr>
            <w:r w:rsidRPr="005707D3">
              <w:rPr>
                <w:rFonts w:ascii="Arial" w:hAnsi="Arial" w:cs="Arial"/>
              </w:rPr>
              <w:t>658</w:t>
            </w:r>
          </w:p>
        </w:tc>
        <w:tc>
          <w:tcPr>
            <w:tcW w:w="1701" w:type="dxa"/>
          </w:tcPr>
          <w:p w14:paraId="7C32AC61" w14:textId="41895C9E" w:rsidR="00187B3E" w:rsidRPr="005707D3" w:rsidRDefault="00187B3E" w:rsidP="00A75A17">
            <w:pPr>
              <w:pStyle w:val="Heading2"/>
              <w:keepNext w:val="0"/>
              <w:keepLines/>
              <w:widowControl w:val="0"/>
              <w:numPr>
                <w:ilvl w:val="0"/>
                <w:numId w:val="0"/>
              </w:numPr>
              <w:spacing w:after="0"/>
              <w:jc w:val="right"/>
              <w:rPr>
                <w:rFonts w:ascii="Arial" w:hAnsi="Arial" w:cs="Arial"/>
              </w:rPr>
            </w:pPr>
            <w:r w:rsidRPr="005707D3">
              <w:rPr>
                <w:rFonts w:ascii="Arial" w:hAnsi="Arial" w:cs="Arial"/>
              </w:rPr>
              <w:t>658</w:t>
            </w:r>
          </w:p>
        </w:tc>
      </w:tr>
      <w:tr w:rsidR="005707D3" w:rsidRPr="005707D3" w14:paraId="41D261AD" w14:textId="7C4E3D71" w:rsidTr="00F6599C">
        <w:trPr>
          <w:trHeight w:val="20"/>
        </w:trPr>
        <w:tc>
          <w:tcPr>
            <w:tcW w:w="5229" w:type="dxa"/>
            <w:shd w:val="clear" w:color="auto" w:fill="auto"/>
          </w:tcPr>
          <w:p w14:paraId="0EEA6F94" w14:textId="77777777" w:rsidR="00187B3E" w:rsidRPr="005707D3" w:rsidRDefault="00187B3E" w:rsidP="00A75A17">
            <w:pPr>
              <w:pStyle w:val="Heading2"/>
              <w:keepNext w:val="0"/>
              <w:widowControl w:val="0"/>
              <w:numPr>
                <w:ilvl w:val="0"/>
                <w:numId w:val="0"/>
              </w:numPr>
              <w:spacing w:after="0"/>
              <w:jc w:val="left"/>
              <w:rPr>
                <w:rFonts w:ascii="Arial" w:hAnsi="Arial" w:cs="Arial"/>
                <w:b/>
                <w:iCs/>
                <w:szCs w:val="24"/>
              </w:rPr>
            </w:pPr>
            <w:r w:rsidRPr="005707D3">
              <w:rPr>
                <w:rFonts w:ascii="Arial" w:hAnsi="Arial" w:cs="Arial"/>
                <w:b/>
                <w:iCs/>
                <w:szCs w:val="24"/>
              </w:rPr>
              <w:t>Total</w:t>
            </w:r>
          </w:p>
        </w:tc>
        <w:tc>
          <w:tcPr>
            <w:tcW w:w="1559" w:type="dxa"/>
          </w:tcPr>
          <w:p w14:paraId="52C745EC" w14:textId="66D3A9B1" w:rsidR="00187B3E" w:rsidRPr="005707D3" w:rsidRDefault="00B26760" w:rsidP="00B26760">
            <w:pPr>
              <w:pStyle w:val="Heading2"/>
              <w:keepNext w:val="0"/>
              <w:keepLines/>
              <w:widowControl w:val="0"/>
              <w:numPr>
                <w:ilvl w:val="0"/>
                <w:numId w:val="0"/>
              </w:numPr>
              <w:spacing w:after="0"/>
              <w:jc w:val="right"/>
              <w:rPr>
                <w:rFonts w:ascii="Arial" w:hAnsi="Arial" w:cs="Arial"/>
                <w:b/>
              </w:rPr>
            </w:pPr>
            <w:r w:rsidRPr="005707D3">
              <w:rPr>
                <w:rFonts w:ascii="Arial" w:hAnsi="Arial" w:cs="Arial"/>
                <w:b/>
                <w:bCs/>
              </w:rPr>
              <w:t>858</w:t>
            </w:r>
          </w:p>
        </w:tc>
        <w:tc>
          <w:tcPr>
            <w:tcW w:w="1701" w:type="dxa"/>
          </w:tcPr>
          <w:p w14:paraId="609813C1" w14:textId="29E729D7" w:rsidR="00187B3E" w:rsidRPr="005707D3" w:rsidRDefault="005707D3" w:rsidP="00B26760">
            <w:pPr>
              <w:pStyle w:val="Heading2"/>
              <w:keepNext w:val="0"/>
              <w:keepLines/>
              <w:widowControl w:val="0"/>
              <w:numPr>
                <w:ilvl w:val="0"/>
                <w:numId w:val="0"/>
              </w:numPr>
              <w:spacing w:after="0"/>
              <w:jc w:val="right"/>
              <w:rPr>
                <w:rFonts w:ascii="Arial" w:hAnsi="Arial" w:cs="Arial"/>
                <w:b/>
              </w:rPr>
            </w:pPr>
            <w:r w:rsidRPr="005707D3">
              <w:rPr>
                <w:rFonts w:ascii="Arial" w:hAnsi="Arial" w:cs="Arial"/>
                <w:b/>
              </w:rPr>
              <w:t>6</w:t>
            </w:r>
            <w:r w:rsidR="00187B3E" w:rsidRPr="005707D3">
              <w:rPr>
                <w:rFonts w:ascii="Arial" w:hAnsi="Arial" w:cs="Arial"/>
                <w:b/>
              </w:rPr>
              <w:t>58</w:t>
            </w:r>
          </w:p>
        </w:tc>
      </w:tr>
    </w:tbl>
    <w:p w14:paraId="4944A8EA" w14:textId="49943805" w:rsidR="00A04BA3" w:rsidRPr="0009320A" w:rsidRDefault="00B504C7" w:rsidP="00B504C7">
      <w:pPr>
        <w:pStyle w:val="Heading2"/>
        <w:tabs>
          <w:tab w:val="num" w:pos="426"/>
        </w:tabs>
        <w:spacing w:before="240" w:after="0"/>
        <w:ind w:left="578" w:hanging="578"/>
        <w:rPr>
          <w:rFonts w:ascii="Arial" w:hAnsi="Arial" w:cs="Arial"/>
          <w:szCs w:val="24"/>
          <w:lang w:val="en-GB" w:eastAsia="en-GB"/>
        </w:rPr>
      </w:pPr>
      <w:r w:rsidRPr="0009320A">
        <w:rPr>
          <w:rFonts w:ascii="Arial" w:hAnsi="Arial" w:cs="Arial"/>
          <w:szCs w:val="24"/>
        </w:rPr>
        <w:t xml:space="preserve">  </w:t>
      </w:r>
      <w:r w:rsidR="00F142B7" w:rsidRPr="0009320A">
        <w:rPr>
          <w:rFonts w:ascii="Arial" w:hAnsi="Arial" w:cs="Arial"/>
          <w:szCs w:val="24"/>
          <w:lang w:val="en-GB" w:eastAsia="en-GB"/>
        </w:rPr>
        <w:t>As a result of the reduction in funding, many of the activities previously funded through this element of the funding have been ceased or are now funded through a different means.</w:t>
      </w:r>
    </w:p>
    <w:p w14:paraId="331D6A77" w14:textId="067B7503" w:rsidR="00A95A4D" w:rsidRPr="00E60889" w:rsidRDefault="00A95A4D">
      <w:pPr>
        <w:pStyle w:val="Heading2"/>
        <w:spacing w:before="240"/>
        <w:ind w:left="578" w:hanging="578"/>
        <w:rPr>
          <w:rFonts w:ascii="Arial" w:hAnsi="Arial" w:cs="Arial"/>
          <w:szCs w:val="24"/>
        </w:rPr>
      </w:pPr>
      <w:r w:rsidRPr="00E60889">
        <w:rPr>
          <w:rFonts w:ascii="Arial" w:hAnsi="Arial" w:cs="Arial"/>
          <w:szCs w:val="24"/>
        </w:rPr>
        <w:t>It is not possible to reduce the budget for the termination of employment costs, as the pension commitments against this have not yet reduced. In recognition of this, the DfE will provide funding protection to local authorities where the overall allocation for historic commitments falls below the current value of the termination of employment costs.</w:t>
      </w:r>
    </w:p>
    <w:p w14:paraId="5F6BDFAF" w14:textId="77777777" w:rsidR="001E600B" w:rsidRPr="00E60889" w:rsidRDefault="001E600B" w:rsidP="009F3FD7">
      <w:pPr>
        <w:pStyle w:val="Heading1"/>
        <w:keepNext w:val="0"/>
        <w:ind w:left="431" w:hanging="431"/>
        <w:jc w:val="left"/>
        <w:rPr>
          <w:rFonts w:ascii="Arial" w:hAnsi="Arial" w:cs="Arial"/>
          <w:bCs/>
          <w:szCs w:val="24"/>
        </w:rPr>
      </w:pPr>
      <w:r w:rsidRPr="00E60889">
        <w:rPr>
          <w:rFonts w:ascii="Arial" w:hAnsi="Arial" w:cs="Arial"/>
          <w:bCs/>
          <w:szCs w:val="24"/>
        </w:rPr>
        <w:t>Services for Maintained Schools</w:t>
      </w:r>
    </w:p>
    <w:p w14:paraId="4871361C" w14:textId="329214B1" w:rsidR="001E600B" w:rsidRPr="00E60889" w:rsidRDefault="001E600B" w:rsidP="001E600B">
      <w:pPr>
        <w:pStyle w:val="Heading2"/>
        <w:keepNext w:val="0"/>
        <w:tabs>
          <w:tab w:val="num" w:pos="426"/>
        </w:tabs>
        <w:ind w:left="426" w:hanging="568"/>
        <w:jc w:val="left"/>
        <w:rPr>
          <w:rFonts w:ascii="Arial" w:hAnsi="Arial" w:cs="Arial"/>
          <w:szCs w:val="24"/>
        </w:rPr>
      </w:pPr>
      <w:r w:rsidRPr="00E60889">
        <w:rPr>
          <w:rFonts w:ascii="Arial" w:hAnsi="Arial" w:cs="Arial"/>
          <w:szCs w:val="24"/>
        </w:rPr>
        <w:t>At the December meeting, Schools Forum agreed ‘in principle’ the budget</w:t>
      </w:r>
      <w:r w:rsidR="00F54F5D" w:rsidRPr="00E60889">
        <w:rPr>
          <w:rFonts w:ascii="Arial" w:hAnsi="Arial" w:cs="Arial"/>
          <w:szCs w:val="24"/>
        </w:rPr>
        <w:t>s</w:t>
      </w:r>
      <w:r w:rsidRPr="00E60889">
        <w:rPr>
          <w:rFonts w:ascii="Arial" w:hAnsi="Arial" w:cs="Arial"/>
          <w:szCs w:val="24"/>
        </w:rPr>
        <w:t xml:space="preserve"> for central provision for maintained schools and de-delegation. This report sets out the final budget and per-pupil rates for 202</w:t>
      </w:r>
      <w:r w:rsidR="00E60889" w:rsidRPr="00E60889">
        <w:rPr>
          <w:rFonts w:ascii="Arial" w:hAnsi="Arial" w:cs="Arial"/>
          <w:szCs w:val="24"/>
        </w:rPr>
        <w:t>5</w:t>
      </w:r>
      <w:r w:rsidRPr="00E60889">
        <w:rPr>
          <w:rFonts w:ascii="Arial" w:hAnsi="Arial" w:cs="Arial"/>
          <w:szCs w:val="24"/>
        </w:rPr>
        <w:t>/2</w:t>
      </w:r>
      <w:r w:rsidR="00E60889" w:rsidRPr="00E60889">
        <w:rPr>
          <w:rFonts w:ascii="Arial" w:hAnsi="Arial" w:cs="Arial"/>
          <w:szCs w:val="24"/>
        </w:rPr>
        <w:t>6</w:t>
      </w:r>
      <w:r w:rsidRPr="00E60889">
        <w:rPr>
          <w:rFonts w:ascii="Arial" w:hAnsi="Arial" w:cs="Arial"/>
          <w:szCs w:val="24"/>
        </w:rPr>
        <w:t xml:space="preserve"> for approval.</w:t>
      </w:r>
    </w:p>
    <w:p w14:paraId="5A8AA844" w14:textId="14661398" w:rsidR="000027CC" w:rsidRDefault="001E600B" w:rsidP="001E600B">
      <w:pPr>
        <w:pStyle w:val="Heading2"/>
        <w:keepNext w:val="0"/>
        <w:tabs>
          <w:tab w:val="num" w:pos="426"/>
        </w:tabs>
        <w:ind w:left="426" w:hanging="568"/>
        <w:jc w:val="left"/>
        <w:rPr>
          <w:rFonts w:ascii="Arial" w:hAnsi="Arial" w:cs="Arial"/>
          <w:szCs w:val="24"/>
        </w:rPr>
      </w:pPr>
      <w:r w:rsidRPr="00E60889">
        <w:rPr>
          <w:rFonts w:ascii="Arial" w:hAnsi="Arial" w:cs="Arial"/>
          <w:szCs w:val="24"/>
        </w:rPr>
        <w:t>The following table sets out the central provision for maintained schools. These are statutory functions carried out by the local authority for maintained schools.</w:t>
      </w:r>
      <w:r w:rsidR="008438CF" w:rsidRPr="00E60889">
        <w:rPr>
          <w:rFonts w:ascii="Arial" w:hAnsi="Arial" w:cs="Arial"/>
          <w:szCs w:val="24"/>
        </w:rPr>
        <w:t xml:space="preserve"> This funding replaces DfE </w:t>
      </w:r>
      <w:r w:rsidR="00715F3D" w:rsidRPr="00E60889">
        <w:rPr>
          <w:rFonts w:ascii="Arial" w:hAnsi="Arial" w:cs="Arial"/>
          <w:szCs w:val="24"/>
        </w:rPr>
        <w:t>Education Services G</w:t>
      </w:r>
      <w:r w:rsidR="008438CF" w:rsidRPr="00E60889">
        <w:rPr>
          <w:rFonts w:ascii="Arial" w:hAnsi="Arial" w:cs="Arial"/>
          <w:szCs w:val="24"/>
        </w:rPr>
        <w:t xml:space="preserve">rant funding and is entirely independent of any other local authority funding activity including the savings </w:t>
      </w:r>
      <w:proofErr w:type="spellStart"/>
      <w:r w:rsidR="008438CF" w:rsidRPr="00E60889">
        <w:rPr>
          <w:rFonts w:ascii="Arial" w:hAnsi="Arial" w:cs="Arial"/>
          <w:szCs w:val="24"/>
        </w:rPr>
        <w:t>programme</w:t>
      </w:r>
      <w:proofErr w:type="spellEnd"/>
      <w:r w:rsidR="008438CF" w:rsidRPr="00E60889">
        <w:rPr>
          <w:rFonts w:ascii="Arial" w:hAnsi="Arial" w:cs="Arial"/>
          <w:szCs w:val="24"/>
        </w:rPr>
        <w:t>.</w:t>
      </w:r>
    </w:p>
    <w:p w14:paraId="3A359B7A" w14:textId="088E6A24" w:rsidR="001E600B" w:rsidRPr="00E60889" w:rsidRDefault="008438CF" w:rsidP="001E600B">
      <w:pPr>
        <w:pStyle w:val="Heading2"/>
        <w:keepNext w:val="0"/>
        <w:tabs>
          <w:tab w:val="num" w:pos="426"/>
        </w:tabs>
        <w:ind w:left="426" w:hanging="568"/>
        <w:jc w:val="left"/>
        <w:rPr>
          <w:rFonts w:ascii="Arial" w:hAnsi="Arial" w:cs="Arial"/>
          <w:szCs w:val="24"/>
        </w:rPr>
      </w:pPr>
      <w:r w:rsidRPr="00E60889">
        <w:rPr>
          <w:rFonts w:ascii="Arial" w:hAnsi="Arial" w:cs="Arial"/>
          <w:szCs w:val="24"/>
        </w:rPr>
        <w:t>This funding ensures that maintained schools can access and receive appropriate provision from school improvement and other local authority colleagues to ensure high quality support is readily available linked to all school matters, be they occasional, such as Ofsted inspections or routine such as improvement planning. It also ensures maintenance, registration and legal compliance in a range of areas including ensuring statutory accounts are completed and the necessary returns are made to national bodies such as the HMRC and teachers’ pension service.</w:t>
      </w:r>
    </w:p>
    <w:tbl>
      <w:tblPr>
        <w:tblW w:w="850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1417"/>
        <w:gridCol w:w="1418"/>
      </w:tblGrid>
      <w:tr w:rsidR="0033457D" w:rsidRPr="0033457D" w14:paraId="4932CD0C" w14:textId="77777777" w:rsidTr="00806736">
        <w:trPr>
          <w:trHeight w:val="915"/>
        </w:trPr>
        <w:tc>
          <w:tcPr>
            <w:tcW w:w="5670" w:type="dxa"/>
            <w:shd w:val="clear" w:color="auto" w:fill="auto"/>
          </w:tcPr>
          <w:p w14:paraId="5B19A549" w14:textId="77777777" w:rsidR="00634829" w:rsidRPr="0079662C" w:rsidRDefault="00634829" w:rsidP="00A75A17">
            <w:pPr>
              <w:pStyle w:val="Heading2"/>
              <w:keepNext w:val="0"/>
              <w:keepLines/>
              <w:widowControl w:val="0"/>
              <w:numPr>
                <w:ilvl w:val="0"/>
                <w:numId w:val="0"/>
              </w:numPr>
              <w:spacing w:after="0"/>
              <w:jc w:val="center"/>
              <w:rPr>
                <w:rFonts w:ascii="Arial" w:hAnsi="Arial" w:cs="Arial"/>
                <w:b/>
                <w:szCs w:val="24"/>
              </w:rPr>
            </w:pPr>
            <w:r w:rsidRPr="0079662C">
              <w:rPr>
                <w:rFonts w:ascii="Arial" w:hAnsi="Arial" w:cs="Arial"/>
                <w:szCs w:val="24"/>
              </w:rPr>
              <w:br w:type="page"/>
            </w:r>
            <w:r w:rsidRPr="0079662C">
              <w:rPr>
                <w:rFonts w:ascii="Arial" w:hAnsi="Arial" w:cs="Arial"/>
                <w:b/>
                <w:szCs w:val="24"/>
              </w:rPr>
              <w:t>Service</w:t>
            </w:r>
          </w:p>
        </w:tc>
        <w:tc>
          <w:tcPr>
            <w:tcW w:w="1417" w:type="dxa"/>
          </w:tcPr>
          <w:p w14:paraId="01E6D4C3" w14:textId="68B8D73C" w:rsidR="00634829" w:rsidRPr="0079662C" w:rsidRDefault="00634829" w:rsidP="00A75A17">
            <w:pPr>
              <w:pStyle w:val="Heading2"/>
              <w:keepNext w:val="0"/>
              <w:keepLines/>
              <w:widowControl w:val="0"/>
              <w:numPr>
                <w:ilvl w:val="0"/>
                <w:numId w:val="0"/>
              </w:numPr>
              <w:spacing w:after="0"/>
              <w:jc w:val="center"/>
              <w:rPr>
                <w:rFonts w:ascii="Arial" w:hAnsi="Arial" w:cs="Arial"/>
                <w:b/>
                <w:szCs w:val="24"/>
              </w:rPr>
            </w:pPr>
            <w:r w:rsidRPr="0079662C">
              <w:rPr>
                <w:rFonts w:ascii="Arial" w:hAnsi="Arial" w:cs="Arial"/>
                <w:b/>
                <w:iCs/>
                <w:szCs w:val="24"/>
              </w:rPr>
              <w:t>202</w:t>
            </w:r>
            <w:r w:rsidR="0079662C" w:rsidRPr="0079662C">
              <w:rPr>
                <w:rFonts w:ascii="Arial" w:hAnsi="Arial" w:cs="Arial"/>
                <w:b/>
                <w:iCs/>
                <w:szCs w:val="24"/>
              </w:rPr>
              <w:t>4</w:t>
            </w:r>
            <w:r w:rsidRPr="0079662C">
              <w:rPr>
                <w:rFonts w:ascii="Arial" w:hAnsi="Arial" w:cs="Arial"/>
                <w:b/>
                <w:iCs/>
                <w:szCs w:val="24"/>
              </w:rPr>
              <w:t>/2</w:t>
            </w:r>
            <w:r w:rsidR="0079662C" w:rsidRPr="0079662C">
              <w:rPr>
                <w:rFonts w:ascii="Arial" w:hAnsi="Arial" w:cs="Arial"/>
                <w:b/>
                <w:iCs/>
                <w:szCs w:val="24"/>
              </w:rPr>
              <w:t>5</w:t>
            </w:r>
            <w:r w:rsidRPr="0079662C">
              <w:rPr>
                <w:rFonts w:ascii="Arial" w:hAnsi="Arial" w:cs="Arial"/>
                <w:b/>
                <w:szCs w:val="24"/>
              </w:rPr>
              <w:t xml:space="preserve"> Budget £000</w:t>
            </w:r>
          </w:p>
        </w:tc>
        <w:tc>
          <w:tcPr>
            <w:tcW w:w="1418" w:type="dxa"/>
          </w:tcPr>
          <w:p w14:paraId="0F7CFE41" w14:textId="56A7E08F" w:rsidR="00634829" w:rsidRPr="0079662C" w:rsidRDefault="00634829" w:rsidP="00A75A17">
            <w:pPr>
              <w:pStyle w:val="Heading2"/>
              <w:keepNext w:val="0"/>
              <w:keepLines/>
              <w:widowControl w:val="0"/>
              <w:numPr>
                <w:ilvl w:val="0"/>
                <w:numId w:val="0"/>
              </w:numPr>
              <w:spacing w:after="0"/>
              <w:jc w:val="center"/>
              <w:rPr>
                <w:rFonts w:ascii="Arial" w:hAnsi="Arial" w:cs="Arial"/>
                <w:b/>
                <w:szCs w:val="24"/>
              </w:rPr>
            </w:pPr>
            <w:r w:rsidRPr="0079662C">
              <w:rPr>
                <w:rFonts w:ascii="Arial" w:hAnsi="Arial" w:cs="Arial"/>
                <w:b/>
                <w:iCs/>
                <w:szCs w:val="24"/>
              </w:rPr>
              <w:t>202</w:t>
            </w:r>
            <w:r w:rsidR="0079662C" w:rsidRPr="0079662C">
              <w:rPr>
                <w:rFonts w:ascii="Arial" w:hAnsi="Arial" w:cs="Arial"/>
                <w:b/>
                <w:iCs/>
                <w:szCs w:val="24"/>
              </w:rPr>
              <w:t>5/</w:t>
            </w:r>
            <w:r w:rsidRPr="0079662C">
              <w:rPr>
                <w:rFonts w:ascii="Arial" w:hAnsi="Arial" w:cs="Arial"/>
                <w:b/>
                <w:iCs/>
                <w:szCs w:val="24"/>
              </w:rPr>
              <w:t>2</w:t>
            </w:r>
            <w:r w:rsidR="0079662C" w:rsidRPr="0079662C">
              <w:rPr>
                <w:rFonts w:ascii="Arial" w:hAnsi="Arial" w:cs="Arial"/>
                <w:b/>
                <w:iCs/>
                <w:szCs w:val="24"/>
              </w:rPr>
              <w:t>6</w:t>
            </w:r>
            <w:r w:rsidRPr="0079662C">
              <w:rPr>
                <w:rFonts w:ascii="Arial" w:hAnsi="Arial" w:cs="Arial"/>
                <w:b/>
                <w:szCs w:val="24"/>
              </w:rPr>
              <w:t xml:space="preserve"> Budget £000</w:t>
            </w:r>
          </w:p>
        </w:tc>
      </w:tr>
      <w:tr w:rsidR="0079662C" w:rsidRPr="0033457D" w14:paraId="6B60B6D6" w14:textId="77777777" w:rsidTr="00806736">
        <w:tc>
          <w:tcPr>
            <w:tcW w:w="5670" w:type="dxa"/>
            <w:shd w:val="clear" w:color="auto" w:fill="auto"/>
          </w:tcPr>
          <w:p w14:paraId="3CF11023" w14:textId="77777777" w:rsidR="0079662C" w:rsidRPr="0079662C" w:rsidRDefault="0079662C" w:rsidP="0079662C">
            <w:pPr>
              <w:pStyle w:val="Heading2"/>
              <w:keepNext w:val="0"/>
              <w:keepLines/>
              <w:widowControl w:val="0"/>
              <w:numPr>
                <w:ilvl w:val="0"/>
                <w:numId w:val="0"/>
              </w:numPr>
              <w:spacing w:after="0"/>
              <w:jc w:val="left"/>
              <w:rPr>
                <w:rFonts w:ascii="Arial" w:hAnsi="Arial" w:cs="Arial"/>
                <w:szCs w:val="24"/>
              </w:rPr>
            </w:pPr>
            <w:r w:rsidRPr="0079662C">
              <w:rPr>
                <w:rFonts w:ascii="Arial" w:hAnsi="Arial" w:cs="Arial"/>
                <w:szCs w:val="24"/>
              </w:rPr>
              <w:t>Central management</w:t>
            </w:r>
          </w:p>
        </w:tc>
        <w:tc>
          <w:tcPr>
            <w:tcW w:w="1417" w:type="dxa"/>
          </w:tcPr>
          <w:p w14:paraId="0704F333" w14:textId="1F694B9E" w:rsidR="0079662C" w:rsidRPr="0079662C" w:rsidRDefault="0079662C" w:rsidP="0079662C">
            <w:pPr>
              <w:pStyle w:val="Heading2"/>
              <w:keepNext w:val="0"/>
              <w:keepLines/>
              <w:widowControl w:val="0"/>
              <w:numPr>
                <w:ilvl w:val="0"/>
                <w:numId w:val="0"/>
              </w:numPr>
              <w:spacing w:after="0"/>
              <w:jc w:val="right"/>
              <w:rPr>
                <w:rFonts w:ascii="Arial" w:hAnsi="Arial" w:cs="Arial"/>
              </w:rPr>
            </w:pPr>
            <w:r w:rsidRPr="0079662C">
              <w:rPr>
                <w:rFonts w:ascii="Arial" w:hAnsi="Arial" w:cs="Arial"/>
              </w:rPr>
              <w:t>194</w:t>
            </w:r>
          </w:p>
        </w:tc>
        <w:tc>
          <w:tcPr>
            <w:tcW w:w="1418" w:type="dxa"/>
          </w:tcPr>
          <w:p w14:paraId="63F28EE4" w14:textId="3A1D35A0" w:rsidR="0079662C" w:rsidRPr="0079662C" w:rsidRDefault="0079662C" w:rsidP="0079662C">
            <w:pPr>
              <w:pStyle w:val="Heading2"/>
              <w:keepNext w:val="0"/>
              <w:keepLines/>
              <w:widowControl w:val="0"/>
              <w:numPr>
                <w:ilvl w:val="0"/>
                <w:numId w:val="0"/>
              </w:numPr>
              <w:spacing w:after="0"/>
              <w:jc w:val="right"/>
              <w:rPr>
                <w:rFonts w:ascii="Arial" w:hAnsi="Arial" w:cs="Arial"/>
              </w:rPr>
            </w:pPr>
            <w:r w:rsidRPr="0079662C">
              <w:rPr>
                <w:rFonts w:ascii="Arial" w:hAnsi="Arial" w:cs="Arial"/>
              </w:rPr>
              <w:t>200</w:t>
            </w:r>
          </w:p>
        </w:tc>
      </w:tr>
      <w:tr w:rsidR="0079662C" w:rsidRPr="0033457D" w14:paraId="741967B2" w14:textId="77777777" w:rsidTr="00806736">
        <w:tc>
          <w:tcPr>
            <w:tcW w:w="5670" w:type="dxa"/>
            <w:shd w:val="clear" w:color="auto" w:fill="auto"/>
          </w:tcPr>
          <w:p w14:paraId="7853332A" w14:textId="77777777" w:rsidR="0079662C" w:rsidRPr="0079662C" w:rsidRDefault="0079662C" w:rsidP="0079662C">
            <w:pPr>
              <w:pStyle w:val="Heading2"/>
              <w:keepNext w:val="0"/>
              <w:keepLines/>
              <w:widowControl w:val="0"/>
              <w:numPr>
                <w:ilvl w:val="0"/>
                <w:numId w:val="0"/>
              </w:numPr>
              <w:spacing w:after="0"/>
              <w:jc w:val="left"/>
              <w:rPr>
                <w:rFonts w:ascii="Arial" w:hAnsi="Arial" w:cs="Arial"/>
                <w:szCs w:val="24"/>
              </w:rPr>
            </w:pPr>
            <w:r w:rsidRPr="0079662C">
              <w:rPr>
                <w:rFonts w:ascii="Arial" w:hAnsi="Arial" w:cs="Arial"/>
                <w:szCs w:val="24"/>
              </w:rPr>
              <w:t>Asset management</w:t>
            </w:r>
          </w:p>
        </w:tc>
        <w:tc>
          <w:tcPr>
            <w:tcW w:w="1417" w:type="dxa"/>
          </w:tcPr>
          <w:p w14:paraId="2ADEC32D" w14:textId="273124BA" w:rsidR="0079662C" w:rsidRPr="0079662C" w:rsidRDefault="0079662C" w:rsidP="0079662C">
            <w:pPr>
              <w:pStyle w:val="Heading2"/>
              <w:keepNext w:val="0"/>
              <w:keepLines/>
              <w:widowControl w:val="0"/>
              <w:numPr>
                <w:ilvl w:val="0"/>
                <w:numId w:val="0"/>
              </w:numPr>
              <w:spacing w:after="0"/>
              <w:jc w:val="right"/>
              <w:rPr>
                <w:rFonts w:ascii="Arial" w:hAnsi="Arial" w:cs="Arial"/>
              </w:rPr>
            </w:pPr>
            <w:r w:rsidRPr="0079662C">
              <w:rPr>
                <w:rFonts w:ascii="Arial" w:hAnsi="Arial" w:cs="Arial"/>
              </w:rPr>
              <w:t>607</w:t>
            </w:r>
          </w:p>
        </w:tc>
        <w:tc>
          <w:tcPr>
            <w:tcW w:w="1418" w:type="dxa"/>
          </w:tcPr>
          <w:p w14:paraId="3EF264FF" w14:textId="6D61A87F" w:rsidR="0079662C" w:rsidRPr="0079662C" w:rsidRDefault="0079662C" w:rsidP="0079662C">
            <w:pPr>
              <w:pStyle w:val="Heading2"/>
              <w:keepNext w:val="0"/>
              <w:keepLines/>
              <w:widowControl w:val="0"/>
              <w:numPr>
                <w:ilvl w:val="0"/>
                <w:numId w:val="0"/>
              </w:numPr>
              <w:spacing w:after="0"/>
              <w:jc w:val="right"/>
              <w:rPr>
                <w:rFonts w:ascii="Arial" w:hAnsi="Arial" w:cs="Arial"/>
              </w:rPr>
            </w:pPr>
            <w:r w:rsidRPr="0079662C">
              <w:rPr>
                <w:rFonts w:ascii="Arial" w:hAnsi="Arial" w:cs="Arial"/>
              </w:rPr>
              <w:t>625</w:t>
            </w:r>
          </w:p>
        </w:tc>
      </w:tr>
      <w:tr w:rsidR="0079662C" w:rsidRPr="0033457D" w14:paraId="6807030E" w14:textId="77777777" w:rsidTr="00806736">
        <w:tc>
          <w:tcPr>
            <w:tcW w:w="5670" w:type="dxa"/>
            <w:shd w:val="clear" w:color="auto" w:fill="auto"/>
          </w:tcPr>
          <w:p w14:paraId="0DAC086F" w14:textId="77777777" w:rsidR="0079662C" w:rsidRPr="0079662C" w:rsidRDefault="0079662C" w:rsidP="0079662C">
            <w:pPr>
              <w:pStyle w:val="Heading2"/>
              <w:keepNext w:val="0"/>
              <w:keepLines/>
              <w:widowControl w:val="0"/>
              <w:numPr>
                <w:ilvl w:val="0"/>
                <w:numId w:val="0"/>
              </w:numPr>
              <w:spacing w:after="0"/>
              <w:jc w:val="left"/>
              <w:rPr>
                <w:rFonts w:ascii="Arial" w:hAnsi="Arial" w:cs="Arial"/>
                <w:szCs w:val="24"/>
              </w:rPr>
            </w:pPr>
            <w:r w:rsidRPr="0079662C">
              <w:rPr>
                <w:rFonts w:ascii="Arial" w:hAnsi="Arial" w:cs="Arial"/>
                <w:szCs w:val="24"/>
              </w:rPr>
              <w:t>Statutory and regulatory</w:t>
            </w:r>
          </w:p>
        </w:tc>
        <w:tc>
          <w:tcPr>
            <w:tcW w:w="1417" w:type="dxa"/>
          </w:tcPr>
          <w:p w14:paraId="1BCC4C0A" w14:textId="06183405" w:rsidR="0079662C" w:rsidRPr="0079662C" w:rsidRDefault="0079662C" w:rsidP="0079662C">
            <w:pPr>
              <w:pStyle w:val="Heading2"/>
              <w:keepNext w:val="0"/>
              <w:keepLines/>
              <w:widowControl w:val="0"/>
              <w:numPr>
                <w:ilvl w:val="0"/>
                <w:numId w:val="0"/>
              </w:numPr>
              <w:spacing w:after="0"/>
              <w:jc w:val="right"/>
              <w:rPr>
                <w:rFonts w:ascii="Arial" w:hAnsi="Arial" w:cs="Arial"/>
              </w:rPr>
            </w:pPr>
            <w:r w:rsidRPr="0079662C">
              <w:rPr>
                <w:rFonts w:ascii="Arial" w:hAnsi="Arial" w:cs="Arial"/>
              </w:rPr>
              <w:t>1,391</w:t>
            </w:r>
          </w:p>
        </w:tc>
        <w:tc>
          <w:tcPr>
            <w:tcW w:w="1418" w:type="dxa"/>
          </w:tcPr>
          <w:p w14:paraId="078DDA94" w14:textId="61107964" w:rsidR="0079662C" w:rsidRPr="0079662C" w:rsidRDefault="0079662C" w:rsidP="0079662C">
            <w:pPr>
              <w:pStyle w:val="Heading2"/>
              <w:keepNext w:val="0"/>
              <w:keepLines/>
              <w:widowControl w:val="0"/>
              <w:numPr>
                <w:ilvl w:val="0"/>
                <w:numId w:val="0"/>
              </w:numPr>
              <w:spacing w:after="0"/>
              <w:jc w:val="right"/>
              <w:rPr>
                <w:rFonts w:ascii="Arial" w:hAnsi="Arial" w:cs="Arial"/>
              </w:rPr>
            </w:pPr>
            <w:r w:rsidRPr="0079662C">
              <w:rPr>
                <w:rFonts w:ascii="Arial" w:hAnsi="Arial" w:cs="Arial"/>
              </w:rPr>
              <w:t>1,3</w:t>
            </w:r>
            <w:r w:rsidR="00CC09C9">
              <w:rPr>
                <w:rFonts w:ascii="Arial" w:hAnsi="Arial" w:cs="Arial"/>
              </w:rPr>
              <w:t>60</w:t>
            </w:r>
          </w:p>
        </w:tc>
      </w:tr>
      <w:tr w:rsidR="0079662C" w:rsidRPr="0033457D" w14:paraId="25E61E7C" w14:textId="77777777" w:rsidTr="00806736">
        <w:tc>
          <w:tcPr>
            <w:tcW w:w="5670" w:type="dxa"/>
            <w:shd w:val="clear" w:color="auto" w:fill="auto"/>
          </w:tcPr>
          <w:p w14:paraId="700D1F21" w14:textId="77777777" w:rsidR="0079662C" w:rsidRPr="0079662C" w:rsidRDefault="0079662C" w:rsidP="0079662C">
            <w:pPr>
              <w:pStyle w:val="Heading2"/>
              <w:keepNext w:val="0"/>
              <w:keepLines/>
              <w:widowControl w:val="0"/>
              <w:numPr>
                <w:ilvl w:val="0"/>
                <w:numId w:val="0"/>
              </w:numPr>
              <w:spacing w:after="0"/>
              <w:jc w:val="left"/>
              <w:rPr>
                <w:rFonts w:ascii="Arial" w:hAnsi="Arial" w:cs="Arial"/>
                <w:szCs w:val="24"/>
              </w:rPr>
            </w:pPr>
            <w:r w:rsidRPr="0079662C">
              <w:rPr>
                <w:rFonts w:ascii="Arial" w:hAnsi="Arial" w:cs="Arial"/>
                <w:szCs w:val="24"/>
              </w:rPr>
              <w:t>Premature retirement / redundancy</w:t>
            </w:r>
          </w:p>
        </w:tc>
        <w:tc>
          <w:tcPr>
            <w:tcW w:w="1417" w:type="dxa"/>
          </w:tcPr>
          <w:p w14:paraId="4270162C" w14:textId="7B7AA604" w:rsidR="0079662C" w:rsidRPr="0079662C" w:rsidRDefault="0079662C" w:rsidP="0079662C">
            <w:pPr>
              <w:pStyle w:val="Heading2"/>
              <w:keepNext w:val="0"/>
              <w:keepLines/>
              <w:widowControl w:val="0"/>
              <w:numPr>
                <w:ilvl w:val="0"/>
                <w:numId w:val="0"/>
              </w:numPr>
              <w:spacing w:after="0"/>
              <w:jc w:val="right"/>
              <w:rPr>
                <w:rFonts w:ascii="Arial" w:hAnsi="Arial" w:cs="Arial"/>
              </w:rPr>
            </w:pPr>
            <w:r w:rsidRPr="0079662C">
              <w:rPr>
                <w:rFonts w:ascii="Arial" w:hAnsi="Arial" w:cs="Arial"/>
              </w:rPr>
              <w:t>759</w:t>
            </w:r>
          </w:p>
        </w:tc>
        <w:tc>
          <w:tcPr>
            <w:tcW w:w="1418" w:type="dxa"/>
          </w:tcPr>
          <w:p w14:paraId="610F6016" w14:textId="4C8496EA" w:rsidR="0079662C" w:rsidRPr="0079662C" w:rsidRDefault="0079662C" w:rsidP="0079662C">
            <w:pPr>
              <w:pStyle w:val="Heading2"/>
              <w:keepNext w:val="0"/>
              <w:keepLines/>
              <w:widowControl w:val="0"/>
              <w:numPr>
                <w:ilvl w:val="0"/>
                <w:numId w:val="0"/>
              </w:numPr>
              <w:spacing w:after="0"/>
              <w:jc w:val="right"/>
              <w:rPr>
                <w:rFonts w:ascii="Arial" w:hAnsi="Arial" w:cs="Arial"/>
              </w:rPr>
            </w:pPr>
            <w:r w:rsidRPr="0079662C">
              <w:rPr>
                <w:rFonts w:ascii="Arial" w:hAnsi="Arial" w:cs="Arial"/>
              </w:rPr>
              <w:t>759</w:t>
            </w:r>
          </w:p>
        </w:tc>
      </w:tr>
      <w:tr w:rsidR="0079662C" w:rsidRPr="0033457D" w14:paraId="3F4C8CFE" w14:textId="77777777" w:rsidTr="00806736">
        <w:tc>
          <w:tcPr>
            <w:tcW w:w="5670" w:type="dxa"/>
            <w:shd w:val="clear" w:color="auto" w:fill="auto"/>
          </w:tcPr>
          <w:p w14:paraId="082C4382" w14:textId="77777777" w:rsidR="0079662C" w:rsidRPr="0079662C" w:rsidRDefault="0079662C" w:rsidP="0079662C">
            <w:pPr>
              <w:pStyle w:val="Heading2"/>
              <w:keepNext w:val="0"/>
              <w:keepLines/>
              <w:widowControl w:val="0"/>
              <w:numPr>
                <w:ilvl w:val="0"/>
                <w:numId w:val="0"/>
              </w:numPr>
              <w:spacing w:after="0"/>
              <w:jc w:val="left"/>
              <w:rPr>
                <w:rFonts w:ascii="Arial" w:hAnsi="Arial" w:cs="Arial"/>
                <w:szCs w:val="24"/>
              </w:rPr>
            </w:pPr>
            <w:r w:rsidRPr="0079662C">
              <w:rPr>
                <w:rFonts w:ascii="Arial" w:hAnsi="Arial" w:cs="Arial"/>
                <w:szCs w:val="24"/>
              </w:rPr>
              <w:t>Monitoring of national curriculum assessments</w:t>
            </w:r>
          </w:p>
        </w:tc>
        <w:tc>
          <w:tcPr>
            <w:tcW w:w="1417" w:type="dxa"/>
          </w:tcPr>
          <w:p w14:paraId="25267824" w14:textId="7A51312E" w:rsidR="0079662C" w:rsidRPr="0079662C" w:rsidRDefault="0079662C" w:rsidP="0079662C">
            <w:pPr>
              <w:pStyle w:val="Heading2"/>
              <w:keepNext w:val="0"/>
              <w:keepLines/>
              <w:widowControl w:val="0"/>
              <w:numPr>
                <w:ilvl w:val="0"/>
                <w:numId w:val="0"/>
              </w:numPr>
              <w:spacing w:after="0"/>
              <w:jc w:val="right"/>
              <w:rPr>
                <w:rFonts w:ascii="Arial" w:hAnsi="Arial" w:cs="Arial"/>
              </w:rPr>
            </w:pPr>
            <w:r w:rsidRPr="0079662C">
              <w:rPr>
                <w:rFonts w:ascii="Arial" w:hAnsi="Arial" w:cs="Arial"/>
              </w:rPr>
              <w:t>85</w:t>
            </w:r>
          </w:p>
        </w:tc>
        <w:tc>
          <w:tcPr>
            <w:tcW w:w="1418" w:type="dxa"/>
          </w:tcPr>
          <w:p w14:paraId="4FDBD378" w14:textId="6EBE14B9" w:rsidR="0079662C" w:rsidRPr="0079662C" w:rsidRDefault="0079662C" w:rsidP="0079662C">
            <w:pPr>
              <w:pStyle w:val="Heading2"/>
              <w:keepNext w:val="0"/>
              <w:keepLines/>
              <w:widowControl w:val="0"/>
              <w:numPr>
                <w:ilvl w:val="0"/>
                <w:numId w:val="0"/>
              </w:numPr>
              <w:spacing w:after="0"/>
              <w:jc w:val="right"/>
              <w:rPr>
                <w:rFonts w:ascii="Arial" w:hAnsi="Arial" w:cs="Arial"/>
              </w:rPr>
            </w:pPr>
            <w:r w:rsidRPr="0079662C">
              <w:rPr>
                <w:rFonts w:ascii="Arial" w:hAnsi="Arial" w:cs="Arial"/>
              </w:rPr>
              <w:t>76</w:t>
            </w:r>
          </w:p>
        </w:tc>
      </w:tr>
      <w:tr w:rsidR="0079662C" w:rsidRPr="0033457D" w14:paraId="7A163A9B" w14:textId="77777777" w:rsidTr="00806736">
        <w:tc>
          <w:tcPr>
            <w:tcW w:w="5670" w:type="dxa"/>
            <w:shd w:val="clear" w:color="auto" w:fill="auto"/>
          </w:tcPr>
          <w:p w14:paraId="76C9C369" w14:textId="77777777" w:rsidR="0079662C" w:rsidRPr="0079662C" w:rsidRDefault="0079662C" w:rsidP="0079662C">
            <w:pPr>
              <w:pStyle w:val="Heading2"/>
              <w:keepNext w:val="0"/>
              <w:keepLines/>
              <w:widowControl w:val="0"/>
              <w:numPr>
                <w:ilvl w:val="0"/>
                <w:numId w:val="0"/>
              </w:numPr>
              <w:spacing w:after="0"/>
              <w:jc w:val="left"/>
              <w:rPr>
                <w:rFonts w:ascii="Arial" w:hAnsi="Arial" w:cs="Arial"/>
                <w:szCs w:val="24"/>
              </w:rPr>
            </w:pPr>
            <w:r w:rsidRPr="0079662C">
              <w:rPr>
                <w:rFonts w:ascii="Arial" w:hAnsi="Arial" w:cs="Arial"/>
                <w:szCs w:val="24"/>
              </w:rPr>
              <w:t>School Improvement</w:t>
            </w:r>
          </w:p>
        </w:tc>
        <w:tc>
          <w:tcPr>
            <w:tcW w:w="1417" w:type="dxa"/>
          </w:tcPr>
          <w:p w14:paraId="355A9CDD" w14:textId="33A54D6A" w:rsidR="0079662C" w:rsidRPr="0079662C" w:rsidRDefault="0079662C" w:rsidP="0079662C">
            <w:pPr>
              <w:pStyle w:val="Heading2"/>
              <w:keepNext w:val="0"/>
              <w:keepLines/>
              <w:widowControl w:val="0"/>
              <w:numPr>
                <w:ilvl w:val="0"/>
                <w:numId w:val="0"/>
              </w:numPr>
              <w:spacing w:after="0"/>
              <w:jc w:val="right"/>
              <w:rPr>
                <w:rFonts w:ascii="Arial" w:hAnsi="Arial" w:cs="Arial"/>
              </w:rPr>
            </w:pPr>
            <w:r w:rsidRPr="0079662C">
              <w:rPr>
                <w:rFonts w:ascii="Arial" w:hAnsi="Arial" w:cs="Arial"/>
              </w:rPr>
              <w:t>3,474</w:t>
            </w:r>
          </w:p>
        </w:tc>
        <w:tc>
          <w:tcPr>
            <w:tcW w:w="1418" w:type="dxa"/>
          </w:tcPr>
          <w:p w14:paraId="70409EBA" w14:textId="7F827A73" w:rsidR="0079662C" w:rsidRPr="0079662C" w:rsidRDefault="0079662C" w:rsidP="0079662C">
            <w:pPr>
              <w:pStyle w:val="Heading2"/>
              <w:keepNext w:val="0"/>
              <w:keepLines/>
              <w:widowControl w:val="0"/>
              <w:numPr>
                <w:ilvl w:val="0"/>
                <w:numId w:val="0"/>
              </w:numPr>
              <w:spacing w:after="0"/>
              <w:jc w:val="right"/>
              <w:rPr>
                <w:rFonts w:ascii="Arial" w:hAnsi="Arial" w:cs="Arial"/>
              </w:rPr>
            </w:pPr>
            <w:r w:rsidRPr="0079662C">
              <w:rPr>
                <w:rFonts w:ascii="Arial" w:hAnsi="Arial" w:cs="Arial"/>
              </w:rPr>
              <w:t>3,72</w:t>
            </w:r>
            <w:r w:rsidR="004E07A4">
              <w:rPr>
                <w:rFonts w:ascii="Arial" w:hAnsi="Arial" w:cs="Arial"/>
              </w:rPr>
              <w:t>3</w:t>
            </w:r>
          </w:p>
        </w:tc>
      </w:tr>
      <w:tr w:rsidR="0079662C" w:rsidRPr="0033457D" w14:paraId="07979FAA" w14:textId="77777777" w:rsidTr="00806736">
        <w:tc>
          <w:tcPr>
            <w:tcW w:w="5670" w:type="dxa"/>
            <w:shd w:val="clear" w:color="auto" w:fill="auto"/>
          </w:tcPr>
          <w:p w14:paraId="41D34205" w14:textId="77777777" w:rsidR="0079662C" w:rsidRPr="0079662C" w:rsidRDefault="0079662C" w:rsidP="0079662C">
            <w:pPr>
              <w:pStyle w:val="Heading2"/>
              <w:keepNext w:val="0"/>
              <w:keepLines/>
              <w:widowControl w:val="0"/>
              <w:numPr>
                <w:ilvl w:val="0"/>
                <w:numId w:val="0"/>
              </w:numPr>
              <w:spacing w:after="0"/>
              <w:jc w:val="left"/>
              <w:rPr>
                <w:rFonts w:ascii="Arial" w:hAnsi="Arial" w:cs="Arial"/>
                <w:szCs w:val="24"/>
              </w:rPr>
            </w:pPr>
            <w:r w:rsidRPr="0079662C">
              <w:rPr>
                <w:rFonts w:ascii="Arial" w:hAnsi="Arial" w:cs="Arial"/>
                <w:b/>
                <w:szCs w:val="24"/>
              </w:rPr>
              <w:t>Total</w:t>
            </w:r>
          </w:p>
        </w:tc>
        <w:tc>
          <w:tcPr>
            <w:tcW w:w="1417" w:type="dxa"/>
          </w:tcPr>
          <w:p w14:paraId="6098A171" w14:textId="3A7C5257" w:rsidR="0079662C" w:rsidRPr="0079662C" w:rsidRDefault="0079662C" w:rsidP="0079662C">
            <w:pPr>
              <w:pStyle w:val="Heading2"/>
              <w:keepNext w:val="0"/>
              <w:keepLines/>
              <w:widowControl w:val="0"/>
              <w:numPr>
                <w:ilvl w:val="0"/>
                <w:numId w:val="0"/>
              </w:numPr>
              <w:spacing w:after="0"/>
              <w:jc w:val="right"/>
              <w:rPr>
                <w:rFonts w:ascii="Arial" w:hAnsi="Arial" w:cs="Arial"/>
                <w:b/>
                <w:bCs/>
              </w:rPr>
            </w:pPr>
            <w:r w:rsidRPr="0079662C">
              <w:rPr>
                <w:rFonts w:ascii="Arial" w:hAnsi="Arial" w:cs="Arial"/>
                <w:b/>
                <w:bCs/>
              </w:rPr>
              <w:t>6,510</w:t>
            </w:r>
          </w:p>
        </w:tc>
        <w:tc>
          <w:tcPr>
            <w:tcW w:w="1418" w:type="dxa"/>
          </w:tcPr>
          <w:p w14:paraId="5A764DE8" w14:textId="2ACB7DB4" w:rsidR="0079662C" w:rsidRPr="0079662C" w:rsidRDefault="0079662C" w:rsidP="0079662C">
            <w:pPr>
              <w:pStyle w:val="Heading2"/>
              <w:keepNext w:val="0"/>
              <w:keepLines/>
              <w:widowControl w:val="0"/>
              <w:numPr>
                <w:ilvl w:val="0"/>
                <w:numId w:val="0"/>
              </w:numPr>
              <w:spacing w:after="0"/>
              <w:jc w:val="right"/>
              <w:rPr>
                <w:rFonts w:ascii="Arial" w:hAnsi="Arial" w:cs="Arial"/>
                <w:b/>
                <w:bCs/>
              </w:rPr>
            </w:pPr>
            <w:r w:rsidRPr="0079662C">
              <w:rPr>
                <w:rFonts w:ascii="Arial" w:hAnsi="Arial" w:cs="Arial"/>
                <w:b/>
                <w:bCs/>
              </w:rPr>
              <w:t>6,743</w:t>
            </w:r>
          </w:p>
        </w:tc>
      </w:tr>
    </w:tbl>
    <w:p w14:paraId="51E5ED32" w14:textId="732B9B4E" w:rsidR="008554FF" w:rsidRPr="00C63F02" w:rsidRDefault="001E600B" w:rsidP="00CE7D9F">
      <w:pPr>
        <w:pStyle w:val="Heading2"/>
        <w:keepNext w:val="0"/>
        <w:tabs>
          <w:tab w:val="num" w:pos="426"/>
        </w:tabs>
        <w:spacing w:before="240"/>
        <w:ind w:left="425" w:hanging="567"/>
        <w:jc w:val="left"/>
        <w:rPr>
          <w:rFonts w:ascii="Arial" w:hAnsi="Arial" w:cs="Arial"/>
          <w:szCs w:val="24"/>
        </w:rPr>
      </w:pPr>
      <w:r w:rsidRPr="00E60889">
        <w:rPr>
          <w:rFonts w:ascii="Arial" w:hAnsi="Arial" w:cs="Arial"/>
          <w:szCs w:val="24"/>
        </w:rPr>
        <w:t>The proposed budget for 202</w:t>
      </w:r>
      <w:r w:rsidR="00E60889" w:rsidRPr="00E60889">
        <w:rPr>
          <w:rFonts w:ascii="Arial" w:hAnsi="Arial" w:cs="Arial"/>
          <w:szCs w:val="24"/>
        </w:rPr>
        <w:t>5</w:t>
      </w:r>
      <w:r w:rsidRPr="00E60889">
        <w:rPr>
          <w:rFonts w:ascii="Arial" w:hAnsi="Arial" w:cs="Arial"/>
          <w:szCs w:val="24"/>
        </w:rPr>
        <w:t>/2</w:t>
      </w:r>
      <w:r w:rsidR="00E60889" w:rsidRPr="00E60889">
        <w:rPr>
          <w:rFonts w:ascii="Arial" w:hAnsi="Arial" w:cs="Arial"/>
          <w:szCs w:val="24"/>
        </w:rPr>
        <w:t>6</w:t>
      </w:r>
      <w:r w:rsidRPr="00E60889">
        <w:rPr>
          <w:rFonts w:ascii="Arial" w:hAnsi="Arial" w:cs="Arial"/>
          <w:szCs w:val="24"/>
        </w:rPr>
        <w:t xml:space="preserve"> is as per the budget approved in principle by </w:t>
      </w:r>
      <w:r w:rsidRPr="00C63F02">
        <w:rPr>
          <w:rFonts w:ascii="Arial" w:hAnsi="Arial" w:cs="Arial"/>
          <w:szCs w:val="24"/>
        </w:rPr>
        <w:t>Schools Forum in December</w:t>
      </w:r>
      <w:r w:rsidR="0057368C" w:rsidRPr="00C63F02">
        <w:rPr>
          <w:rFonts w:ascii="Arial" w:hAnsi="Arial" w:cs="Arial"/>
          <w:szCs w:val="24"/>
        </w:rPr>
        <w:t>.</w:t>
      </w:r>
    </w:p>
    <w:p w14:paraId="3208A9B7" w14:textId="594DF830" w:rsidR="00681D3C" w:rsidRPr="00487DC0" w:rsidRDefault="008455AE" w:rsidP="00C63F02">
      <w:pPr>
        <w:pStyle w:val="Heading2"/>
        <w:keepNext w:val="0"/>
        <w:tabs>
          <w:tab w:val="num" w:pos="426"/>
        </w:tabs>
        <w:ind w:left="426" w:hanging="568"/>
        <w:jc w:val="left"/>
        <w:rPr>
          <w:rFonts w:ascii="Arial" w:hAnsi="Arial" w:cs="Arial"/>
          <w:szCs w:val="24"/>
        </w:rPr>
      </w:pPr>
      <w:r w:rsidRPr="00487DC0">
        <w:rPr>
          <w:rFonts w:ascii="Arial" w:hAnsi="Arial" w:cs="Arial"/>
          <w:szCs w:val="24"/>
        </w:rPr>
        <w:t>B</w:t>
      </w:r>
      <w:r w:rsidR="001E600B" w:rsidRPr="00487DC0">
        <w:rPr>
          <w:rFonts w:ascii="Arial" w:hAnsi="Arial" w:cs="Arial"/>
          <w:szCs w:val="24"/>
        </w:rPr>
        <w:t xml:space="preserve">ased on </w:t>
      </w:r>
      <w:r w:rsidRPr="00487DC0">
        <w:rPr>
          <w:rFonts w:ascii="Arial" w:hAnsi="Arial" w:cs="Arial"/>
          <w:szCs w:val="24"/>
        </w:rPr>
        <w:t xml:space="preserve">the </w:t>
      </w:r>
      <w:r w:rsidR="001E600B" w:rsidRPr="00487DC0">
        <w:rPr>
          <w:rFonts w:ascii="Arial" w:hAnsi="Arial" w:cs="Arial"/>
          <w:szCs w:val="24"/>
        </w:rPr>
        <w:t xml:space="preserve">updated pupil numbers in maintained mainstream schools and updated place numbers in maintained special schools and education </w:t>
      </w:r>
      <w:proofErr w:type="spellStart"/>
      <w:r w:rsidR="001E600B" w:rsidRPr="00487DC0">
        <w:rPr>
          <w:rFonts w:ascii="Arial" w:hAnsi="Arial" w:cs="Arial"/>
          <w:szCs w:val="24"/>
        </w:rPr>
        <w:t>centres</w:t>
      </w:r>
      <w:proofErr w:type="spellEnd"/>
      <w:r w:rsidR="001E600B" w:rsidRPr="00487DC0">
        <w:rPr>
          <w:rFonts w:ascii="Arial" w:hAnsi="Arial" w:cs="Arial"/>
          <w:szCs w:val="24"/>
        </w:rPr>
        <w:t xml:space="preserve">, the </w:t>
      </w:r>
      <w:r w:rsidR="00DD4DAE" w:rsidRPr="00487DC0">
        <w:rPr>
          <w:rFonts w:ascii="Arial" w:hAnsi="Arial" w:cs="Arial"/>
          <w:szCs w:val="24"/>
        </w:rPr>
        <w:t>updated</w:t>
      </w:r>
      <w:r w:rsidR="001E600B" w:rsidRPr="00487DC0">
        <w:rPr>
          <w:rFonts w:ascii="Arial" w:hAnsi="Arial" w:cs="Arial"/>
          <w:szCs w:val="24"/>
        </w:rPr>
        <w:t xml:space="preserve"> rate is £</w:t>
      </w:r>
      <w:r w:rsidR="004E2291" w:rsidRPr="00487DC0">
        <w:rPr>
          <w:rFonts w:ascii="Arial" w:hAnsi="Arial" w:cs="Arial"/>
          <w:szCs w:val="24"/>
        </w:rPr>
        <w:t>51.</w:t>
      </w:r>
      <w:r w:rsidR="00D673A0">
        <w:rPr>
          <w:rFonts w:ascii="Arial" w:hAnsi="Arial" w:cs="Arial"/>
          <w:szCs w:val="24"/>
        </w:rPr>
        <w:t>76</w:t>
      </w:r>
      <w:r w:rsidR="001E600B" w:rsidRPr="00487DC0">
        <w:rPr>
          <w:rFonts w:ascii="Arial" w:hAnsi="Arial" w:cs="Arial"/>
          <w:szCs w:val="24"/>
        </w:rPr>
        <w:t xml:space="preserve"> per pupil / per place. This is a</w:t>
      </w:r>
      <w:r w:rsidR="00C77B4B" w:rsidRPr="00487DC0">
        <w:rPr>
          <w:rFonts w:ascii="Arial" w:hAnsi="Arial" w:cs="Arial"/>
          <w:szCs w:val="24"/>
        </w:rPr>
        <w:t>n increase of £</w:t>
      </w:r>
      <w:r w:rsidR="004E2291" w:rsidRPr="00487DC0">
        <w:rPr>
          <w:rFonts w:ascii="Arial" w:hAnsi="Arial" w:cs="Arial"/>
          <w:szCs w:val="24"/>
        </w:rPr>
        <w:t>3.</w:t>
      </w:r>
      <w:r w:rsidR="00EC0645">
        <w:rPr>
          <w:rFonts w:ascii="Arial" w:hAnsi="Arial" w:cs="Arial"/>
          <w:szCs w:val="24"/>
        </w:rPr>
        <w:t>31</w:t>
      </w:r>
      <w:r w:rsidR="00E87F47" w:rsidRPr="00487DC0">
        <w:rPr>
          <w:rFonts w:ascii="Arial" w:hAnsi="Arial" w:cs="Arial"/>
          <w:szCs w:val="24"/>
        </w:rPr>
        <w:t xml:space="preserve"> </w:t>
      </w:r>
      <w:r w:rsidR="00AF6E78" w:rsidRPr="00487DC0">
        <w:rPr>
          <w:rFonts w:ascii="Arial" w:hAnsi="Arial" w:cs="Arial"/>
          <w:szCs w:val="24"/>
        </w:rPr>
        <w:t>compared to the 202</w:t>
      </w:r>
      <w:r w:rsidR="00E60889" w:rsidRPr="00487DC0">
        <w:rPr>
          <w:rFonts w:ascii="Arial" w:hAnsi="Arial" w:cs="Arial"/>
          <w:szCs w:val="24"/>
        </w:rPr>
        <w:t>4</w:t>
      </w:r>
      <w:r w:rsidR="00AF6E78" w:rsidRPr="00487DC0">
        <w:rPr>
          <w:rFonts w:ascii="Arial" w:hAnsi="Arial" w:cs="Arial"/>
          <w:szCs w:val="24"/>
        </w:rPr>
        <w:t>/2</w:t>
      </w:r>
      <w:r w:rsidR="00E60889" w:rsidRPr="00487DC0">
        <w:rPr>
          <w:rFonts w:ascii="Arial" w:hAnsi="Arial" w:cs="Arial"/>
          <w:szCs w:val="24"/>
        </w:rPr>
        <w:t>5</w:t>
      </w:r>
      <w:r w:rsidR="00AF6E78" w:rsidRPr="00487DC0">
        <w:rPr>
          <w:rFonts w:ascii="Arial" w:hAnsi="Arial" w:cs="Arial"/>
          <w:szCs w:val="24"/>
        </w:rPr>
        <w:t xml:space="preserve"> rate</w:t>
      </w:r>
      <w:r w:rsidR="00A21D8E" w:rsidRPr="00487DC0">
        <w:rPr>
          <w:rFonts w:ascii="Arial" w:hAnsi="Arial" w:cs="Arial"/>
          <w:szCs w:val="24"/>
        </w:rPr>
        <w:t>.</w:t>
      </w:r>
    </w:p>
    <w:p w14:paraId="33E7860B" w14:textId="475FAA5C" w:rsidR="00681D3C" w:rsidRPr="00293BA8" w:rsidRDefault="001E600B" w:rsidP="009F3FD7">
      <w:pPr>
        <w:pStyle w:val="Heading2"/>
        <w:keepNext w:val="0"/>
        <w:tabs>
          <w:tab w:val="num" w:pos="426"/>
        </w:tabs>
        <w:ind w:left="426" w:hanging="568"/>
        <w:jc w:val="left"/>
        <w:rPr>
          <w:rFonts w:ascii="Arial" w:hAnsi="Arial" w:cs="Arial"/>
          <w:szCs w:val="24"/>
        </w:rPr>
      </w:pPr>
      <w:r w:rsidRPr="00293BA8">
        <w:rPr>
          <w:rFonts w:ascii="Arial" w:hAnsi="Arial" w:cs="Arial"/>
          <w:szCs w:val="24"/>
        </w:rPr>
        <w:t>The following table sets the proposed budget and per pupil rates for de-delegation</w:t>
      </w:r>
      <w:r w:rsidR="009F3FD7" w:rsidRPr="00293BA8">
        <w:rPr>
          <w:rFonts w:ascii="Arial" w:hAnsi="Arial" w:cs="Arial"/>
          <w:szCs w:val="24"/>
        </w:rPr>
        <w:t>:</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1134"/>
        <w:gridCol w:w="1273"/>
        <w:gridCol w:w="1110"/>
        <w:gridCol w:w="1444"/>
      </w:tblGrid>
      <w:tr w:rsidR="0033457D" w:rsidRPr="0033457D" w14:paraId="045BC5EC" w14:textId="77777777" w:rsidTr="00C85516">
        <w:trPr>
          <w:trHeight w:val="654"/>
        </w:trPr>
        <w:tc>
          <w:tcPr>
            <w:tcW w:w="3685" w:type="dxa"/>
            <w:shd w:val="clear" w:color="auto" w:fill="auto"/>
          </w:tcPr>
          <w:p w14:paraId="540E351A" w14:textId="77777777" w:rsidR="00B13CF0" w:rsidRPr="008A4F49" w:rsidRDefault="00B13CF0" w:rsidP="00BD4AA8">
            <w:pPr>
              <w:pStyle w:val="Heading2"/>
              <w:keepNext w:val="0"/>
              <w:numPr>
                <w:ilvl w:val="0"/>
                <w:numId w:val="0"/>
              </w:numPr>
              <w:jc w:val="left"/>
              <w:rPr>
                <w:rFonts w:ascii="Arial" w:hAnsi="Arial" w:cs="Arial"/>
                <w:b/>
                <w:color w:val="000000" w:themeColor="text1"/>
                <w:szCs w:val="24"/>
              </w:rPr>
            </w:pPr>
            <w:r w:rsidRPr="008A4F49">
              <w:rPr>
                <w:rFonts w:ascii="Arial" w:hAnsi="Arial" w:cs="Arial"/>
                <w:b/>
                <w:color w:val="000000" w:themeColor="text1"/>
                <w:szCs w:val="24"/>
              </w:rPr>
              <w:t>Service</w:t>
            </w:r>
          </w:p>
        </w:tc>
        <w:tc>
          <w:tcPr>
            <w:tcW w:w="1134" w:type="dxa"/>
          </w:tcPr>
          <w:p w14:paraId="7625A74A" w14:textId="69FD0F38" w:rsidR="00B13CF0" w:rsidRPr="008A4F49" w:rsidRDefault="00B13CF0" w:rsidP="00BD4AA8">
            <w:pPr>
              <w:pStyle w:val="Heading2"/>
              <w:keepNext w:val="0"/>
              <w:numPr>
                <w:ilvl w:val="0"/>
                <w:numId w:val="0"/>
              </w:numPr>
              <w:jc w:val="left"/>
              <w:rPr>
                <w:rFonts w:ascii="Arial" w:hAnsi="Arial" w:cs="Arial"/>
                <w:b/>
                <w:color w:val="000000" w:themeColor="text1"/>
                <w:szCs w:val="24"/>
              </w:rPr>
            </w:pPr>
            <w:r w:rsidRPr="008A4F49">
              <w:rPr>
                <w:rFonts w:ascii="Arial" w:hAnsi="Arial" w:cs="Arial"/>
                <w:b/>
                <w:color w:val="000000" w:themeColor="text1"/>
                <w:szCs w:val="24"/>
              </w:rPr>
              <w:t>202</w:t>
            </w:r>
            <w:r w:rsidR="008A4F49" w:rsidRPr="008A4F49">
              <w:rPr>
                <w:rFonts w:ascii="Arial" w:hAnsi="Arial" w:cs="Arial"/>
                <w:b/>
                <w:color w:val="000000" w:themeColor="text1"/>
                <w:szCs w:val="24"/>
              </w:rPr>
              <w:t>5</w:t>
            </w:r>
            <w:r w:rsidRPr="008A4F49">
              <w:rPr>
                <w:rFonts w:ascii="Arial" w:hAnsi="Arial" w:cs="Arial"/>
                <w:b/>
                <w:color w:val="000000" w:themeColor="text1"/>
                <w:szCs w:val="24"/>
              </w:rPr>
              <w:t>/2</w:t>
            </w:r>
            <w:r w:rsidR="008A4F49" w:rsidRPr="008A4F49">
              <w:rPr>
                <w:rFonts w:ascii="Arial" w:hAnsi="Arial" w:cs="Arial"/>
                <w:b/>
                <w:color w:val="000000" w:themeColor="text1"/>
                <w:szCs w:val="24"/>
              </w:rPr>
              <w:t>6</w:t>
            </w:r>
            <w:r w:rsidRPr="008A4F49">
              <w:rPr>
                <w:rFonts w:ascii="Arial" w:hAnsi="Arial" w:cs="Arial"/>
                <w:b/>
                <w:color w:val="000000" w:themeColor="text1"/>
                <w:szCs w:val="24"/>
              </w:rPr>
              <w:t xml:space="preserve"> Budget</w:t>
            </w:r>
          </w:p>
        </w:tc>
        <w:tc>
          <w:tcPr>
            <w:tcW w:w="1273" w:type="dxa"/>
          </w:tcPr>
          <w:p w14:paraId="1D8FB473" w14:textId="77777777" w:rsidR="00B13CF0" w:rsidRPr="008A4F49" w:rsidRDefault="00B13CF0" w:rsidP="00BD4AA8">
            <w:pPr>
              <w:pStyle w:val="Heading2"/>
              <w:keepNext w:val="0"/>
              <w:numPr>
                <w:ilvl w:val="0"/>
                <w:numId w:val="0"/>
              </w:numPr>
              <w:jc w:val="left"/>
              <w:rPr>
                <w:rFonts w:ascii="Arial" w:hAnsi="Arial" w:cs="Arial"/>
                <w:b/>
                <w:color w:val="000000" w:themeColor="text1"/>
                <w:szCs w:val="24"/>
              </w:rPr>
            </w:pPr>
            <w:r w:rsidRPr="008A4F49">
              <w:rPr>
                <w:rFonts w:ascii="Arial" w:hAnsi="Arial" w:cs="Arial"/>
                <w:b/>
                <w:color w:val="000000" w:themeColor="text1"/>
                <w:szCs w:val="24"/>
              </w:rPr>
              <w:t>Basis</w:t>
            </w:r>
          </w:p>
        </w:tc>
        <w:tc>
          <w:tcPr>
            <w:tcW w:w="2554" w:type="dxa"/>
            <w:gridSpan w:val="2"/>
          </w:tcPr>
          <w:p w14:paraId="2D0A6F47" w14:textId="1E1514D1" w:rsidR="00B13CF0" w:rsidRPr="008A4F49" w:rsidRDefault="00B13CF0" w:rsidP="00BD4AA8">
            <w:pPr>
              <w:pStyle w:val="Heading2"/>
              <w:keepNext w:val="0"/>
              <w:numPr>
                <w:ilvl w:val="0"/>
                <w:numId w:val="0"/>
              </w:numPr>
              <w:jc w:val="left"/>
              <w:rPr>
                <w:rFonts w:ascii="Arial" w:hAnsi="Arial" w:cs="Arial"/>
                <w:b/>
                <w:color w:val="000000" w:themeColor="text1"/>
                <w:szCs w:val="24"/>
              </w:rPr>
            </w:pPr>
            <w:r w:rsidRPr="008A4F49">
              <w:rPr>
                <w:rFonts w:ascii="Arial" w:hAnsi="Arial" w:cs="Arial"/>
                <w:b/>
                <w:color w:val="000000" w:themeColor="text1"/>
                <w:szCs w:val="24"/>
              </w:rPr>
              <w:t>202</w:t>
            </w:r>
            <w:r w:rsidR="008A4F49" w:rsidRPr="008A4F49">
              <w:rPr>
                <w:rFonts w:ascii="Arial" w:hAnsi="Arial" w:cs="Arial"/>
                <w:b/>
                <w:color w:val="000000" w:themeColor="text1"/>
                <w:szCs w:val="24"/>
              </w:rPr>
              <w:t>5</w:t>
            </w:r>
            <w:r w:rsidRPr="008A4F49">
              <w:rPr>
                <w:rFonts w:ascii="Arial" w:hAnsi="Arial" w:cs="Arial"/>
                <w:b/>
                <w:color w:val="000000" w:themeColor="text1"/>
                <w:szCs w:val="24"/>
              </w:rPr>
              <w:t>/2</w:t>
            </w:r>
            <w:r w:rsidR="008A4F49" w:rsidRPr="008A4F49">
              <w:rPr>
                <w:rFonts w:ascii="Arial" w:hAnsi="Arial" w:cs="Arial"/>
                <w:b/>
                <w:color w:val="000000" w:themeColor="text1"/>
                <w:szCs w:val="24"/>
              </w:rPr>
              <w:t>6</w:t>
            </w:r>
            <w:r w:rsidRPr="008A4F49">
              <w:rPr>
                <w:rFonts w:ascii="Arial" w:hAnsi="Arial" w:cs="Arial"/>
                <w:b/>
                <w:color w:val="000000" w:themeColor="text1"/>
                <w:szCs w:val="24"/>
              </w:rPr>
              <w:t xml:space="preserve"> Per Pupil</w:t>
            </w:r>
          </w:p>
        </w:tc>
      </w:tr>
      <w:tr w:rsidR="0033457D" w:rsidRPr="0033457D" w14:paraId="6018BC27" w14:textId="77777777" w:rsidTr="00C85516">
        <w:tc>
          <w:tcPr>
            <w:tcW w:w="3685" w:type="dxa"/>
            <w:shd w:val="clear" w:color="auto" w:fill="auto"/>
          </w:tcPr>
          <w:p w14:paraId="4FC49B04" w14:textId="77777777" w:rsidR="00B13CF0" w:rsidRPr="008A4F49" w:rsidRDefault="00B13CF0" w:rsidP="00BD4AA8">
            <w:pPr>
              <w:pStyle w:val="Heading2"/>
              <w:keepNext w:val="0"/>
              <w:numPr>
                <w:ilvl w:val="0"/>
                <w:numId w:val="0"/>
              </w:numPr>
              <w:spacing w:after="60"/>
              <w:jc w:val="left"/>
              <w:rPr>
                <w:rFonts w:ascii="Arial" w:hAnsi="Arial" w:cs="Arial"/>
                <w:color w:val="000000" w:themeColor="text1"/>
                <w:szCs w:val="24"/>
              </w:rPr>
            </w:pPr>
          </w:p>
        </w:tc>
        <w:tc>
          <w:tcPr>
            <w:tcW w:w="1134" w:type="dxa"/>
          </w:tcPr>
          <w:p w14:paraId="5CDC11C4" w14:textId="77777777" w:rsidR="00B13CF0" w:rsidRPr="008A4F49" w:rsidRDefault="00B13CF0" w:rsidP="00BD4AA8">
            <w:pPr>
              <w:pStyle w:val="Heading2"/>
              <w:keepNext w:val="0"/>
              <w:numPr>
                <w:ilvl w:val="0"/>
                <w:numId w:val="0"/>
              </w:numPr>
              <w:spacing w:after="60"/>
              <w:jc w:val="right"/>
              <w:rPr>
                <w:rFonts w:ascii="Arial" w:hAnsi="Arial" w:cs="Arial"/>
                <w:b/>
                <w:color w:val="000000" w:themeColor="text1"/>
                <w:szCs w:val="24"/>
              </w:rPr>
            </w:pPr>
            <w:r w:rsidRPr="008A4F49">
              <w:rPr>
                <w:rFonts w:ascii="Arial" w:hAnsi="Arial" w:cs="Arial"/>
                <w:b/>
                <w:color w:val="000000" w:themeColor="text1"/>
                <w:szCs w:val="24"/>
              </w:rPr>
              <w:t>£000</w:t>
            </w:r>
          </w:p>
        </w:tc>
        <w:tc>
          <w:tcPr>
            <w:tcW w:w="1273" w:type="dxa"/>
          </w:tcPr>
          <w:p w14:paraId="01A28332" w14:textId="77777777" w:rsidR="00B13CF0" w:rsidRPr="008A4F49" w:rsidRDefault="00B13CF0" w:rsidP="00BD4AA8">
            <w:pPr>
              <w:pStyle w:val="Heading2"/>
              <w:keepNext w:val="0"/>
              <w:numPr>
                <w:ilvl w:val="0"/>
                <w:numId w:val="0"/>
              </w:numPr>
              <w:spacing w:after="60"/>
              <w:jc w:val="left"/>
              <w:rPr>
                <w:rFonts w:ascii="Arial" w:hAnsi="Arial" w:cs="Arial"/>
                <w:color w:val="000000" w:themeColor="text1"/>
                <w:szCs w:val="24"/>
              </w:rPr>
            </w:pPr>
          </w:p>
        </w:tc>
        <w:tc>
          <w:tcPr>
            <w:tcW w:w="1110" w:type="dxa"/>
          </w:tcPr>
          <w:p w14:paraId="528FB35C" w14:textId="77777777" w:rsidR="00B13CF0" w:rsidRPr="008A4F49" w:rsidRDefault="00B13CF0" w:rsidP="00BD4AA8">
            <w:pPr>
              <w:pStyle w:val="Heading2"/>
              <w:keepNext w:val="0"/>
              <w:numPr>
                <w:ilvl w:val="0"/>
                <w:numId w:val="0"/>
              </w:numPr>
              <w:spacing w:after="60"/>
              <w:jc w:val="right"/>
              <w:rPr>
                <w:rFonts w:ascii="Arial" w:hAnsi="Arial" w:cs="Arial"/>
                <w:b/>
                <w:color w:val="000000" w:themeColor="text1"/>
                <w:szCs w:val="24"/>
              </w:rPr>
            </w:pPr>
            <w:r w:rsidRPr="008A4F49">
              <w:rPr>
                <w:rFonts w:ascii="Arial" w:hAnsi="Arial" w:cs="Arial"/>
                <w:b/>
                <w:color w:val="000000" w:themeColor="text1"/>
                <w:szCs w:val="24"/>
              </w:rPr>
              <w:t>Primary</w:t>
            </w:r>
          </w:p>
        </w:tc>
        <w:tc>
          <w:tcPr>
            <w:tcW w:w="1444" w:type="dxa"/>
          </w:tcPr>
          <w:p w14:paraId="6DE0B1FA" w14:textId="77777777" w:rsidR="00B13CF0" w:rsidRPr="008A4F49" w:rsidRDefault="00B13CF0" w:rsidP="00BD4AA8">
            <w:pPr>
              <w:pStyle w:val="Heading2"/>
              <w:keepNext w:val="0"/>
              <w:numPr>
                <w:ilvl w:val="0"/>
                <w:numId w:val="0"/>
              </w:numPr>
              <w:spacing w:after="60"/>
              <w:jc w:val="right"/>
              <w:rPr>
                <w:rFonts w:ascii="Arial" w:hAnsi="Arial" w:cs="Arial"/>
                <w:b/>
                <w:color w:val="000000" w:themeColor="text1"/>
                <w:szCs w:val="24"/>
              </w:rPr>
            </w:pPr>
            <w:r w:rsidRPr="008A4F49">
              <w:rPr>
                <w:rFonts w:ascii="Arial" w:hAnsi="Arial" w:cs="Arial"/>
                <w:b/>
                <w:color w:val="000000" w:themeColor="text1"/>
                <w:szCs w:val="24"/>
              </w:rPr>
              <w:t>Secondary</w:t>
            </w:r>
          </w:p>
        </w:tc>
      </w:tr>
      <w:tr w:rsidR="0033457D" w:rsidRPr="0033457D" w14:paraId="06348F28" w14:textId="77777777" w:rsidTr="00C85516">
        <w:tc>
          <w:tcPr>
            <w:tcW w:w="3685" w:type="dxa"/>
            <w:shd w:val="clear" w:color="auto" w:fill="auto"/>
          </w:tcPr>
          <w:p w14:paraId="2FF71995" w14:textId="77777777" w:rsidR="00B13CF0" w:rsidRPr="008A4F49" w:rsidRDefault="00B13CF0" w:rsidP="00BD4AA8">
            <w:pPr>
              <w:pStyle w:val="Heading2"/>
              <w:keepNext w:val="0"/>
              <w:numPr>
                <w:ilvl w:val="0"/>
                <w:numId w:val="0"/>
              </w:numPr>
              <w:spacing w:after="60"/>
              <w:jc w:val="left"/>
              <w:rPr>
                <w:rFonts w:ascii="Arial" w:hAnsi="Arial" w:cs="Arial"/>
                <w:color w:val="000000" w:themeColor="text1"/>
                <w:szCs w:val="24"/>
              </w:rPr>
            </w:pPr>
            <w:r w:rsidRPr="008A4F49">
              <w:rPr>
                <w:rFonts w:ascii="Arial" w:hAnsi="Arial" w:cs="Arial"/>
                <w:color w:val="000000" w:themeColor="text1"/>
                <w:szCs w:val="24"/>
              </w:rPr>
              <w:t>Contingency</w:t>
            </w:r>
          </w:p>
        </w:tc>
        <w:tc>
          <w:tcPr>
            <w:tcW w:w="1134" w:type="dxa"/>
          </w:tcPr>
          <w:p w14:paraId="6AFFAE35" w14:textId="507F5D9D" w:rsidR="00B13CF0" w:rsidRPr="008A4F49" w:rsidRDefault="0045527A" w:rsidP="00BD4AA8">
            <w:pPr>
              <w:pStyle w:val="Heading2"/>
              <w:keepNext w:val="0"/>
              <w:numPr>
                <w:ilvl w:val="0"/>
                <w:numId w:val="0"/>
              </w:numPr>
              <w:spacing w:after="60"/>
              <w:jc w:val="right"/>
              <w:rPr>
                <w:rFonts w:ascii="Arial" w:hAnsi="Arial" w:cs="Arial"/>
                <w:color w:val="000000" w:themeColor="text1"/>
                <w:szCs w:val="24"/>
              </w:rPr>
            </w:pPr>
            <w:r w:rsidRPr="008A4F49">
              <w:rPr>
                <w:rFonts w:ascii="Arial" w:hAnsi="Arial" w:cs="Arial"/>
                <w:color w:val="000000" w:themeColor="text1"/>
                <w:szCs w:val="24"/>
              </w:rPr>
              <w:t>29</w:t>
            </w:r>
            <w:r w:rsidR="00F520CE" w:rsidRPr="008A4F49">
              <w:rPr>
                <w:rFonts w:ascii="Arial" w:hAnsi="Arial" w:cs="Arial"/>
                <w:color w:val="000000" w:themeColor="text1"/>
                <w:szCs w:val="24"/>
              </w:rPr>
              <w:t>6</w:t>
            </w:r>
          </w:p>
        </w:tc>
        <w:tc>
          <w:tcPr>
            <w:tcW w:w="1273" w:type="dxa"/>
          </w:tcPr>
          <w:p w14:paraId="6DCB0C41" w14:textId="77777777" w:rsidR="00B13CF0" w:rsidRPr="008A4F49" w:rsidRDefault="00B13CF0" w:rsidP="00BD4AA8">
            <w:pPr>
              <w:pStyle w:val="Heading2"/>
              <w:keepNext w:val="0"/>
              <w:numPr>
                <w:ilvl w:val="0"/>
                <w:numId w:val="0"/>
              </w:numPr>
              <w:spacing w:after="60"/>
              <w:jc w:val="left"/>
              <w:rPr>
                <w:rFonts w:ascii="Arial" w:hAnsi="Arial" w:cs="Arial"/>
                <w:color w:val="000000" w:themeColor="text1"/>
                <w:szCs w:val="24"/>
              </w:rPr>
            </w:pPr>
            <w:r w:rsidRPr="008A4F49">
              <w:rPr>
                <w:rFonts w:ascii="Arial" w:hAnsi="Arial" w:cs="Arial"/>
                <w:color w:val="000000" w:themeColor="text1"/>
                <w:szCs w:val="24"/>
              </w:rPr>
              <w:t>Per Pupil</w:t>
            </w:r>
          </w:p>
        </w:tc>
        <w:tc>
          <w:tcPr>
            <w:tcW w:w="1110" w:type="dxa"/>
          </w:tcPr>
          <w:p w14:paraId="21A21420" w14:textId="40FD579F" w:rsidR="00B13CF0" w:rsidRPr="008A4F49" w:rsidRDefault="00B13CF0" w:rsidP="00BD4AA8">
            <w:pPr>
              <w:pStyle w:val="Heading2"/>
              <w:keepNext w:val="0"/>
              <w:numPr>
                <w:ilvl w:val="0"/>
                <w:numId w:val="0"/>
              </w:numPr>
              <w:spacing w:after="60"/>
              <w:jc w:val="right"/>
              <w:rPr>
                <w:rFonts w:ascii="Arial" w:hAnsi="Arial" w:cs="Arial"/>
                <w:color w:val="000000" w:themeColor="text1"/>
                <w:szCs w:val="24"/>
              </w:rPr>
            </w:pPr>
            <w:r w:rsidRPr="008A4F49">
              <w:rPr>
                <w:rFonts w:ascii="Arial" w:hAnsi="Arial" w:cs="Arial"/>
                <w:color w:val="000000" w:themeColor="text1"/>
                <w:szCs w:val="24"/>
              </w:rPr>
              <w:t>£2.</w:t>
            </w:r>
            <w:r w:rsidR="00FD3E5D">
              <w:rPr>
                <w:rFonts w:ascii="Arial" w:hAnsi="Arial" w:cs="Arial"/>
                <w:color w:val="000000" w:themeColor="text1"/>
                <w:szCs w:val="24"/>
              </w:rPr>
              <w:t>3</w:t>
            </w:r>
            <w:r w:rsidR="00E56AE6">
              <w:rPr>
                <w:rFonts w:ascii="Arial" w:hAnsi="Arial" w:cs="Arial"/>
                <w:color w:val="000000" w:themeColor="text1"/>
                <w:szCs w:val="24"/>
              </w:rPr>
              <w:t>4</w:t>
            </w:r>
          </w:p>
        </w:tc>
        <w:tc>
          <w:tcPr>
            <w:tcW w:w="1444" w:type="dxa"/>
          </w:tcPr>
          <w:p w14:paraId="61EAC280" w14:textId="60C4FF13" w:rsidR="00B13CF0" w:rsidRPr="008A4F49" w:rsidRDefault="00B13CF0" w:rsidP="00BD4AA8">
            <w:pPr>
              <w:pStyle w:val="Heading2"/>
              <w:keepNext w:val="0"/>
              <w:numPr>
                <w:ilvl w:val="0"/>
                <w:numId w:val="0"/>
              </w:numPr>
              <w:spacing w:after="60"/>
              <w:jc w:val="right"/>
              <w:rPr>
                <w:rFonts w:ascii="Arial" w:hAnsi="Arial" w:cs="Arial"/>
                <w:color w:val="000000" w:themeColor="text1"/>
                <w:szCs w:val="24"/>
              </w:rPr>
            </w:pPr>
            <w:r w:rsidRPr="008A4F49">
              <w:rPr>
                <w:rFonts w:ascii="Arial" w:hAnsi="Arial" w:cs="Arial"/>
                <w:color w:val="000000" w:themeColor="text1"/>
                <w:szCs w:val="24"/>
              </w:rPr>
              <w:t>£2.</w:t>
            </w:r>
            <w:r w:rsidR="00FD3E5D">
              <w:rPr>
                <w:rFonts w:ascii="Arial" w:hAnsi="Arial" w:cs="Arial"/>
                <w:color w:val="000000" w:themeColor="text1"/>
                <w:szCs w:val="24"/>
              </w:rPr>
              <w:t>3</w:t>
            </w:r>
            <w:r w:rsidR="00E56AE6">
              <w:rPr>
                <w:rFonts w:ascii="Arial" w:hAnsi="Arial" w:cs="Arial"/>
                <w:color w:val="000000" w:themeColor="text1"/>
                <w:szCs w:val="24"/>
              </w:rPr>
              <w:t>4</w:t>
            </w:r>
          </w:p>
        </w:tc>
      </w:tr>
      <w:tr w:rsidR="0033457D" w:rsidRPr="0033457D" w14:paraId="4E703965" w14:textId="77777777" w:rsidTr="00C85516">
        <w:tc>
          <w:tcPr>
            <w:tcW w:w="3685" w:type="dxa"/>
            <w:shd w:val="clear" w:color="auto" w:fill="auto"/>
          </w:tcPr>
          <w:p w14:paraId="29649F2A" w14:textId="30824641" w:rsidR="00B13CF0" w:rsidRPr="00A74699" w:rsidRDefault="00D30DC1" w:rsidP="00BD4AA8">
            <w:pPr>
              <w:pStyle w:val="Heading2"/>
              <w:keepNext w:val="0"/>
              <w:numPr>
                <w:ilvl w:val="0"/>
                <w:numId w:val="0"/>
              </w:numPr>
              <w:spacing w:after="60"/>
              <w:jc w:val="left"/>
              <w:rPr>
                <w:rFonts w:ascii="Arial" w:hAnsi="Arial" w:cs="Arial"/>
                <w:color w:val="000000" w:themeColor="text1"/>
                <w:szCs w:val="24"/>
              </w:rPr>
            </w:pPr>
            <w:proofErr w:type="spellStart"/>
            <w:r w:rsidRPr="00A74699">
              <w:rPr>
                <w:rFonts w:ascii="Arial" w:hAnsi="Arial" w:cs="Arial"/>
                <w:color w:val="000000" w:themeColor="text1"/>
                <w:szCs w:val="24"/>
              </w:rPr>
              <w:t>Licen</w:t>
            </w:r>
            <w:r w:rsidR="008D1A95">
              <w:rPr>
                <w:rFonts w:ascii="Arial" w:hAnsi="Arial" w:cs="Arial"/>
                <w:color w:val="000000" w:themeColor="text1"/>
                <w:szCs w:val="24"/>
              </w:rPr>
              <w:t>c</w:t>
            </w:r>
            <w:r w:rsidRPr="00A74699">
              <w:rPr>
                <w:rFonts w:ascii="Arial" w:hAnsi="Arial" w:cs="Arial"/>
                <w:color w:val="000000" w:themeColor="text1"/>
                <w:szCs w:val="24"/>
              </w:rPr>
              <w:t>es</w:t>
            </w:r>
            <w:proofErr w:type="spellEnd"/>
            <w:r w:rsidR="00B13CF0" w:rsidRPr="00A74699">
              <w:rPr>
                <w:rFonts w:ascii="Arial" w:hAnsi="Arial" w:cs="Arial"/>
                <w:color w:val="000000" w:themeColor="text1"/>
                <w:szCs w:val="24"/>
              </w:rPr>
              <w:t xml:space="preserve"> &amp; Subscriptions</w:t>
            </w:r>
          </w:p>
        </w:tc>
        <w:tc>
          <w:tcPr>
            <w:tcW w:w="1134" w:type="dxa"/>
          </w:tcPr>
          <w:p w14:paraId="30B651F9" w14:textId="1F7A293F" w:rsidR="00B13CF0" w:rsidRPr="00A74699" w:rsidRDefault="000671E7" w:rsidP="00BD4AA8">
            <w:pPr>
              <w:pStyle w:val="Heading2"/>
              <w:keepNext w:val="0"/>
              <w:numPr>
                <w:ilvl w:val="0"/>
                <w:numId w:val="0"/>
              </w:numPr>
              <w:spacing w:after="60"/>
              <w:jc w:val="right"/>
              <w:rPr>
                <w:rFonts w:ascii="Arial" w:hAnsi="Arial" w:cs="Arial"/>
                <w:color w:val="000000" w:themeColor="text1"/>
                <w:szCs w:val="24"/>
              </w:rPr>
            </w:pPr>
            <w:r w:rsidRPr="00A74699">
              <w:rPr>
                <w:rFonts w:ascii="Arial" w:hAnsi="Arial" w:cs="Arial"/>
                <w:color w:val="000000" w:themeColor="text1"/>
                <w:szCs w:val="24"/>
              </w:rPr>
              <w:t>18</w:t>
            </w:r>
            <w:r w:rsidR="000E7BDC" w:rsidRPr="00A74699">
              <w:rPr>
                <w:rFonts w:ascii="Arial" w:hAnsi="Arial" w:cs="Arial"/>
                <w:color w:val="000000" w:themeColor="text1"/>
                <w:szCs w:val="24"/>
              </w:rPr>
              <w:t>6</w:t>
            </w:r>
          </w:p>
        </w:tc>
        <w:tc>
          <w:tcPr>
            <w:tcW w:w="1273" w:type="dxa"/>
          </w:tcPr>
          <w:p w14:paraId="5D7394D2" w14:textId="77777777" w:rsidR="00B13CF0" w:rsidRPr="00A74699" w:rsidRDefault="00B13CF0" w:rsidP="00BD4AA8">
            <w:pPr>
              <w:pStyle w:val="Heading2"/>
              <w:keepNext w:val="0"/>
              <w:numPr>
                <w:ilvl w:val="0"/>
                <w:numId w:val="0"/>
              </w:numPr>
              <w:spacing w:after="60"/>
              <w:jc w:val="left"/>
              <w:rPr>
                <w:rFonts w:ascii="Arial" w:hAnsi="Arial" w:cs="Arial"/>
                <w:color w:val="000000" w:themeColor="text1"/>
                <w:szCs w:val="24"/>
              </w:rPr>
            </w:pPr>
            <w:r w:rsidRPr="00A74699">
              <w:rPr>
                <w:rFonts w:ascii="Arial" w:hAnsi="Arial" w:cs="Arial"/>
                <w:color w:val="000000" w:themeColor="text1"/>
                <w:szCs w:val="24"/>
              </w:rPr>
              <w:t>Per Pupil</w:t>
            </w:r>
          </w:p>
        </w:tc>
        <w:tc>
          <w:tcPr>
            <w:tcW w:w="1110" w:type="dxa"/>
          </w:tcPr>
          <w:p w14:paraId="3621348D" w14:textId="2AC4198A" w:rsidR="00B13CF0" w:rsidRPr="00D259B0" w:rsidRDefault="00B13CF0" w:rsidP="00BD4AA8">
            <w:pPr>
              <w:pStyle w:val="Heading2"/>
              <w:keepNext w:val="0"/>
              <w:numPr>
                <w:ilvl w:val="0"/>
                <w:numId w:val="0"/>
              </w:numPr>
              <w:spacing w:after="60"/>
              <w:jc w:val="right"/>
              <w:rPr>
                <w:rFonts w:ascii="Arial" w:hAnsi="Arial" w:cs="Arial"/>
                <w:szCs w:val="24"/>
              </w:rPr>
            </w:pPr>
            <w:r w:rsidRPr="00D259B0">
              <w:rPr>
                <w:rFonts w:ascii="Arial" w:hAnsi="Arial" w:cs="Arial"/>
                <w:szCs w:val="24"/>
              </w:rPr>
              <w:t>£1.</w:t>
            </w:r>
            <w:r w:rsidR="00B0127D">
              <w:rPr>
                <w:rFonts w:ascii="Arial" w:hAnsi="Arial" w:cs="Arial"/>
                <w:szCs w:val="24"/>
              </w:rPr>
              <w:t>53</w:t>
            </w:r>
          </w:p>
        </w:tc>
        <w:tc>
          <w:tcPr>
            <w:tcW w:w="1444" w:type="dxa"/>
          </w:tcPr>
          <w:p w14:paraId="32E9CD28" w14:textId="05CF3867" w:rsidR="00B13CF0" w:rsidRPr="00D259B0" w:rsidRDefault="00B13CF0" w:rsidP="00BD4AA8">
            <w:pPr>
              <w:pStyle w:val="Heading2"/>
              <w:keepNext w:val="0"/>
              <w:numPr>
                <w:ilvl w:val="0"/>
                <w:numId w:val="0"/>
              </w:numPr>
              <w:spacing w:after="60"/>
              <w:jc w:val="right"/>
              <w:rPr>
                <w:rFonts w:ascii="Arial" w:hAnsi="Arial" w:cs="Arial"/>
                <w:szCs w:val="24"/>
              </w:rPr>
            </w:pPr>
            <w:r w:rsidRPr="00D259B0">
              <w:rPr>
                <w:rFonts w:ascii="Arial" w:hAnsi="Arial" w:cs="Arial"/>
                <w:szCs w:val="24"/>
              </w:rPr>
              <w:t>£1.</w:t>
            </w:r>
            <w:r w:rsidR="00DC43A7">
              <w:rPr>
                <w:rFonts w:ascii="Arial" w:hAnsi="Arial" w:cs="Arial"/>
                <w:szCs w:val="24"/>
              </w:rPr>
              <w:t>28</w:t>
            </w:r>
          </w:p>
        </w:tc>
      </w:tr>
      <w:tr w:rsidR="0033457D" w:rsidRPr="0033457D" w14:paraId="052B03CF" w14:textId="77777777" w:rsidTr="00C85516">
        <w:tc>
          <w:tcPr>
            <w:tcW w:w="3685" w:type="dxa"/>
            <w:shd w:val="clear" w:color="auto" w:fill="auto"/>
          </w:tcPr>
          <w:p w14:paraId="4256A491" w14:textId="77777777" w:rsidR="00B13CF0" w:rsidRPr="00A74699" w:rsidRDefault="00B13CF0" w:rsidP="00BD4AA8">
            <w:pPr>
              <w:pStyle w:val="Heading2"/>
              <w:keepNext w:val="0"/>
              <w:numPr>
                <w:ilvl w:val="0"/>
                <w:numId w:val="0"/>
              </w:numPr>
              <w:spacing w:after="60"/>
              <w:jc w:val="left"/>
              <w:rPr>
                <w:rFonts w:ascii="Arial" w:hAnsi="Arial" w:cs="Arial"/>
                <w:color w:val="000000" w:themeColor="text1"/>
                <w:szCs w:val="24"/>
              </w:rPr>
            </w:pPr>
            <w:r w:rsidRPr="00A74699">
              <w:rPr>
                <w:rFonts w:ascii="Arial" w:hAnsi="Arial" w:cs="Arial"/>
                <w:color w:val="000000" w:themeColor="text1"/>
                <w:szCs w:val="24"/>
              </w:rPr>
              <w:t>Staff Costs</w:t>
            </w:r>
          </w:p>
        </w:tc>
        <w:tc>
          <w:tcPr>
            <w:tcW w:w="1134" w:type="dxa"/>
          </w:tcPr>
          <w:p w14:paraId="03D9C993" w14:textId="209E9436" w:rsidR="00B13CF0" w:rsidRPr="00A74699" w:rsidRDefault="002A5FDD" w:rsidP="00BD4AA8">
            <w:pPr>
              <w:pStyle w:val="Heading2"/>
              <w:keepNext w:val="0"/>
              <w:numPr>
                <w:ilvl w:val="0"/>
                <w:numId w:val="0"/>
              </w:numPr>
              <w:spacing w:after="60"/>
              <w:jc w:val="right"/>
              <w:rPr>
                <w:rFonts w:ascii="Arial" w:hAnsi="Arial" w:cs="Arial"/>
                <w:color w:val="000000" w:themeColor="text1"/>
                <w:szCs w:val="24"/>
              </w:rPr>
            </w:pPr>
            <w:r w:rsidRPr="00A74699">
              <w:rPr>
                <w:rFonts w:ascii="Arial" w:hAnsi="Arial" w:cs="Arial"/>
                <w:color w:val="000000" w:themeColor="text1"/>
                <w:szCs w:val="24"/>
              </w:rPr>
              <w:t>6</w:t>
            </w:r>
            <w:r w:rsidR="006C11EF">
              <w:rPr>
                <w:rFonts w:ascii="Arial" w:hAnsi="Arial" w:cs="Arial"/>
                <w:color w:val="000000" w:themeColor="text1"/>
                <w:szCs w:val="24"/>
              </w:rPr>
              <w:t>69</w:t>
            </w:r>
          </w:p>
        </w:tc>
        <w:tc>
          <w:tcPr>
            <w:tcW w:w="1273" w:type="dxa"/>
          </w:tcPr>
          <w:p w14:paraId="5516C02D" w14:textId="77777777" w:rsidR="00B13CF0" w:rsidRPr="00A74699" w:rsidRDefault="00B13CF0" w:rsidP="00BD4AA8">
            <w:pPr>
              <w:pStyle w:val="Heading2"/>
              <w:keepNext w:val="0"/>
              <w:numPr>
                <w:ilvl w:val="0"/>
                <w:numId w:val="0"/>
              </w:numPr>
              <w:spacing w:after="60"/>
              <w:jc w:val="left"/>
              <w:rPr>
                <w:rFonts w:ascii="Arial" w:hAnsi="Arial" w:cs="Arial"/>
                <w:color w:val="000000" w:themeColor="text1"/>
                <w:szCs w:val="24"/>
              </w:rPr>
            </w:pPr>
            <w:r w:rsidRPr="00A74699">
              <w:rPr>
                <w:rFonts w:ascii="Arial" w:hAnsi="Arial" w:cs="Arial"/>
                <w:color w:val="000000" w:themeColor="text1"/>
                <w:szCs w:val="24"/>
              </w:rPr>
              <w:t>Per Pupil</w:t>
            </w:r>
          </w:p>
        </w:tc>
        <w:tc>
          <w:tcPr>
            <w:tcW w:w="1110" w:type="dxa"/>
          </w:tcPr>
          <w:p w14:paraId="64D76BE4" w14:textId="00147B0C" w:rsidR="00B13CF0" w:rsidRPr="00BC06CD" w:rsidRDefault="00B13CF0" w:rsidP="00BD4AA8">
            <w:pPr>
              <w:pStyle w:val="Heading2"/>
              <w:keepNext w:val="0"/>
              <w:numPr>
                <w:ilvl w:val="0"/>
                <w:numId w:val="0"/>
              </w:numPr>
              <w:spacing w:after="60"/>
              <w:jc w:val="right"/>
              <w:rPr>
                <w:rFonts w:ascii="Arial" w:hAnsi="Arial" w:cs="Arial"/>
                <w:color w:val="000000" w:themeColor="text1"/>
                <w:szCs w:val="24"/>
              </w:rPr>
            </w:pPr>
            <w:r w:rsidRPr="00BC06CD">
              <w:rPr>
                <w:rFonts w:ascii="Arial" w:hAnsi="Arial" w:cs="Arial"/>
                <w:color w:val="000000" w:themeColor="text1"/>
                <w:szCs w:val="24"/>
              </w:rPr>
              <w:t>£</w:t>
            </w:r>
            <w:r w:rsidR="00F32FBF" w:rsidRPr="00BC06CD">
              <w:rPr>
                <w:rFonts w:ascii="Arial" w:hAnsi="Arial" w:cs="Arial"/>
                <w:color w:val="000000" w:themeColor="text1"/>
                <w:szCs w:val="24"/>
              </w:rPr>
              <w:t>4</w:t>
            </w:r>
            <w:r w:rsidR="004477A2" w:rsidRPr="00BC06CD">
              <w:rPr>
                <w:rFonts w:ascii="Arial" w:hAnsi="Arial" w:cs="Arial"/>
                <w:color w:val="000000" w:themeColor="text1"/>
                <w:szCs w:val="24"/>
              </w:rPr>
              <w:t>.</w:t>
            </w:r>
            <w:r w:rsidR="00F32FBF" w:rsidRPr="00BC06CD">
              <w:rPr>
                <w:rFonts w:ascii="Arial" w:hAnsi="Arial" w:cs="Arial"/>
                <w:color w:val="000000" w:themeColor="text1"/>
                <w:szCs w:val="24"/>
              </w:rPr>
              <w:t>1</w:t>
            </w:r>
            <w:r w:rsidR="00D01C70">
              <w:rPr>
                <w:rFonts w:ascii="Arial" w:hAnsi="Arial" w:cs="Arial"/>
                <w:color w:val="000000" w:themeColor="text1"/>
                <w:szCs w:val="24"/>
              </w:rPr>
              <w:t>8</w:t>
            </w:r>
          </w:p>
        </w:tc>
        <w:tc>
          <w:tcPr>
            <w:tcW w:w="1444" w:type="dxa"/>
          </w:tcPr>
          <w:p w14:paraId="3752F919" w14:textId="0A596AC8" w:rsidR="00B13CF0" w:rsidRPr="00BC06CD" w:rsidRDefault="00B13CF0" w:rsidP="00BD4AA8">
            <w:pPr>
              <w:pStyle w:val="Heading2"/>
              <w:keepNext w:val="0"/>
              <w:numPr>
                <w:ilvl w:val="0"/>
                <w:numId w:val="0"/>
              </w:numPr>
              <w:spacing w:after="60"/>
              <w:jc w:val="right"/>
              <w:rPr>
                <w:rFonts w:ascii="Arial" w:hAnsi="Arial" w:cs="Arial"/>
                <w:color w:val="000000" w:themeColor="text1"/>
                <w:szCs w:val="24"/>
              </w:rPr>
            </w:pPr>
            <w:r w:rsidRPr="00BC06CD">
              <w:rPr>
                <w:rFonts w:ascii="Arial" w:hAnsi="Arial" w:cs="Arial"/>
                <w:color w:val="000000" w:themeColor="text1"/>
                <w:szCs w:val="24"/>
              </w:rPr>
              <w:t>£</w:t>
            </w:r>
            <w:r w:rsidR="00BC06CD" w:rsidRPr="00BC06CD">
              <w:rPr>
                <w:rFonts w:ascii="Arial" w:hAnsi="Arial" w:cs="Arial"/>
                <w:color w:val="000000" w:themeColor="text1"/>
                <w:szCs w:val="24"/>
              </w:rPr>
              <w:t>8</w:t>
            </w:r>
            <w:r w:rsidR="00C4443C" w:rsidRPr="00BC06CD">
              <w:rPr>
                <w:rFonts w:ascii="Arial" w:hAnsi="Arial" w:cs="Arial"/>
                <w:color w:val="000000" w:themeColor="text1"/>
                <w:szCs w:val="24"/>
              </w:rPr>
              <w:t>.</w:t>
            </w:r>
            <w:r w:rsidR="00D01C70">
              <w:rPr>
                <w:rFonts w:ascii="Arial" w:hAnsi="Arial" w:cs="Arial"/>
                <w:color w:val="000000" w:themeColor="text1"/>
                <w:szCs w:val="24"/>
              </w:rPr>
              <w:t>49</w:t>
            </w:r>
          </w:p>
        </w:tc>
      </w:tr>
      <w:tr w:rsidR="0033457D" w:rsidRPr="0033457D" w14:paraId="0235C0E8" w14:textId="77777777" w:rsidTr="00C85516">
        <w:trPr>
          <w:trHeight w:val="371"/>
        </w:trPr>
        <w:tc>
          <w:tcPr>
            <w:tcW w:w="3685" w:type="dxa"/>
            <w:vMerge w:val="restart"/>
            <w:shd w:val="clear" w:color="auto" w:fill="auto"/>
          </w:tcPr>
          <w:p w14:paraId="5E3DD9DD" w14:textId="77777777" w:rsidR="00B13CF0" w:rsidRPr="00A74699" w:rsidRDefault="00B13CF0" w:rsidP="00BD4AA8">
            <w:pPr>
              <w:pStyle w:val="Heading2"/>
              <w:keepNext w:val="0"/>
              <w:numPr>
                <w:ilvl w:val="0"/>
                <w:numId w:val="0"/>
              </w:numPr>
              <w:spacing w:after="0"/>
              <w:jc w:val="left"/>
              <w:rPr>
                <w:rFonts w:ascii="Arial" w:hAnsi="Arial" w:cs="Arial"/>
                <w:color w:val="000000" w:themeColor="text1"/>
                <w:szCs w:val="24"/>
              </w:rPr>
            </w:pPr>
            <w:r w:rsidRPr="00A74699">
              <w:rPr>
                <w:rFonts w:ascii="Arial" w:hAnsi="Arial" w:cs="Arial"/>
                <w:color w:val="000000" w:themeColor="text1"/>
                <w:szCs w:val="24"/>
              </w:rPr>
              <w:t xml:space="preserve">Ethnic Minority &amp; </w:t>
            </w:r>
            <w:r w:rsidRPr="00A74699">
              <w:rPr>
                <w:rFonts w:ascii="Arial" w:hAnsi="Arial" w:cs="Arial"/>
                <w:color w:val="000000" w:themeColor="text1"/>
                <w:szCs w:val="24"/>
                <w:lang w:val="en-GB"/>
              </w:rPr>
              <w:t>Traveller</w:t>
            </w:r>
            <w:r w:rsidRPr="00A74699">
              <w:rPr>
                <w:rFonts w:ascii="Arial" w:hAnsi="Arial" w:cs="Arial"/>
                <w:color w:val="000000" w:themeColor="text1"/>
                <w:szCs w:val="24"/>
              </w:rPr>
              <w:t xml:space="preserve"> Achievement Service (EMTAS)</w:t>
            </w:r>
          </w:p>
        </w:tc>
        <w:tc>
          <w:tcPr>
            <w:tcW w:w="1134" w:type="dxa"/>
            <w:vMerge w:val="restart"/>
          </w:tcPr>
          <w:p w14:paraId="5F2A95D6" w14:textId="354A80E4" w:rsidR="00B13CF0" w:rsidRPr="00A74699" w:rsidRDefault="00B13CF0" w:rsidP="00BD4AA8">
            <w:pPr>
              <w:pStyle w:val="Heading2"/>
              <w:keepNext w:val="0"/>
              <w:numPr>
                <w:ilvl w:val="0"/>
                <w:numId w:val="0"/>
              </w:numPr>
              <w:spacing w:after="0"/>
              <w:jc w:val="right"/>
              <w:rPr>
                <w:rFonts w:ascii="Arial" w:hAnsi="Arial" w:cs="Arial"/>
                <w:color w:val="000000" w:themeColor="text1"/>
                <w:szCs w:val="24"/>
              </w:rPr>
            </w:pPr>
            <w:r w:rsidRPr="00A74699">
              <w:rPr>
                <w:rFonts w:ascii="Arial" w:hAnsi="Arial" w:cs="Arial"/>
                <w:color w:val="000000" w:themeColor="text1"/>
                <w:szCs w:val="24"/>
              </w:rPr>
              <w:t>1,</w:t>
            </w:r>
            <w:r w:rsidR="00744312" w:rsidRPr="00A74699">
              <w:rPr>
                <w:rFonts w:ascii="Arial" w:hAnsi="Arial" w:cs="Arial"/>
                <w:color w:val="000000" w:themeColor="text1"/>
                <w:szCs w:val="24"/>
              </w:rPr>
              <w:t>4</w:t>
            </w:r>
            <w:r w:rsidR="00A74699" w:rsidRPr="00A74699">
              <w:rPr>
                <w:rFonts w:ascii="Arial" w:hAnsi="Arial" w:cs="Arial"/>
                <w:color w:val="000000" w:themeColor="text1"/>
                <w:szCs w:val="24"/>
              </w:rPr>
              <w:t>57</w:t>
            </w:r>
          </w:p>
        </w:tc>
        <w:tc>
          <w:tcPr>
            <w:tcW w:w="1273" w:type="dxa"/>
          </w:tcPr>
          <w:p w14:paraId="7FC30D8D" w14:textId="77777777" w:rsidR="00B13CF0" w:rsidRPr="00A74699" w:rsidRDefault="00B13CF0" w:rsidP="00BD4AA8">
            <w:pPr>
              <w:pStyle w:val="Heading2"/>
              <w:keepNext w:val="0"/>
              <w:numPr>
                <w:ilvl w:val="0"/>
                <w:numId w:val="0"/>
              </w:numPr>
              <w:spacing w:after="0"/>
              <w:jc w:val="left"/>
              <w:rPr>
                <w:rFonts w:ascii="Arial" w:hAnsi="Arial" w:cs="Arial"/>
                <w:color w:val="000000" w:themeColor="text1"/>
                <w:szCs w:val="24"/>
              </w:rPr>
            </w:pPr>
            <w:r w:rsidRPr="00A74699">
              <w:rPr>
                <w:rFonts w:ascii="Arial" w:hAnsi="Arial" w:cs="Arial"/>
                <w:color w:val="000000" w:themeColor="text1"/>
                <w:szCs w:val="24"/>
              </w:rPr>
              <w:t xml:space="preserve">Per Pupil </w:t>
            </w:r>
          </w:p>
        </w:tc>
        <w:tc>
          <w:tcPr>
            <w:tcW w:w="1110" w:type="dxa"/>
          </w:tcPr>
          <w:p w14:paraId="0C01CF85" w14:textId="463BD617" w:rsidR="00B13CF0" w:rsidRPr="00975009" w:rsidRDefault="00B13CF0" w:rsidP="00C85516">
            <w:pPr>
              <w:pStyle w:val="Heading2"/>
              <w:keepNext w:val="0"/>
              <w:numPr>
                <w:ilvl w:val="0"/>
                <w:numId w:val="0"/>
              </w:numPr>
              <w:spacing w:after="0"/>
              <w:jc w:val="right"/>
              <w:rPr>
                <w:rFonts w:ascii="Arial" w:hAnsi="Arial" w:cs="Arial"/>
                <w:szCs w:val="24"/>
              </w:rPr>
            </w:pPr>
            <w:r w:rsidRPr="00975009">
              <w:rPr>
                <w:rFonts w:ascii="Arial" w:hAnsi="Arial" w:cs="Arial"/>
                <w:szCs w:val="24"/>
              </w:rPr>
              <w:t>£3.</w:t>
            </w:r>
            <w:r w:rsidR="00E6016C" w:rsidRPr="00975009">
              <w:rPr>
                <w:rFonts w:ascii="Arial" w:hAnsi="Arial" w:cs="Arial"/>
                <w:szCs w:val="24"/>
              </w:rPr>
              <w:t>24</w:t>
            </w:r>
          </w:p>
        </w:tc>
        <w:tc>
          <w:tcPr>
            <w:tcW w:w="1444" w:type="dxa"/>
          </w:tcPr>
          <w:p w14:paraId="3C82D518" w14:textId="3FC768E1" w:rsidR="00B13CF0" w:rsidRPr="00975009" w:rsidRDefault="00B13CF0" w:rsidP="00BD4AA8">
            <w:pPr>
              <w:pStyle w:val="Heading2"/>
              <w:keepNext w:val="0"/>
              <w:numPr>
                <w:ilvl w:val="0"/>
                <w:numId w:val="0"/>
              </w:numPr>
              <w:spacing w:after="0"/>
              <w:jc w:val="right"/>
              <w:rPr>
                <w:rFonts w:ascii="Arial" w:hAnsi="Arial" w:cs="Arial"/>
                <w:szCs w:val="24"/>
              </w:rPr>
            </w:pPr>
            <w:r w:rsidRPr="00975009">
              <w:rPr>
                <w:rFonts w:ascii="Arial" w:hAnsi="Arial" w:cs="Arial"/>
                <w:szCs w:val="24"/>
              </w:rPr>
              <w:t>£1.</w:t>
            </w:r>
            <w:r w:rsidR="00E6016C" w:rsidRPr="00975009">
              <w:rPr>
                <w:rFonts w:ascii="Arial" w:hAnsi="Arial" w:cs="Arial"/>
                <w:szCs w:val="24"/>
              </w:rPr>
              <w:t>14</w:t>
            </w:r>
          </w:p>
        </w:tc>
      </w:tr>
      <w:tr w:rsidR="0033457D" w:rsidRPr="0033457D" w14:paraId="43C6BD91" w14:textId="77777777" w:rsidTr="00C85516">
        <w:trPr>
          <w:trHeight w:val="418"/>
        </w:trPr>
        <w:tc>
          <w:tcPr>
            <w:tcW w:w="3685" w:type="dxa"/>
            <w:vMerge/>
            <w:shd w:val="clear" w:color="auto" w:fill="auto"/>
          </w:tcPr>
          <w:p w14:paraId="633626D2" w14:textId="77777777" w:rsidR="00B13CF0" w:rsidRPr="00A74699" w:rsidRDefault="00B13CF0" w:rsidP="00BD4AA8">
            <w:pPr>
              <w:pStyle w:val="Heading2"/>
              <w:keepNext w:val="0"/>
              <w:numPr>
                <w:ilvl w:val="0"/>
                <w:numId w:val="0"/>
              </w:numPr>
              <w:spacing w:after="0"/>
              <w:jc w:val="left"/>
              <w:rPr>
                <w:rFonts w:ascii="Arial" w:hAnsi="Arial" w:cs="Arial"/>
                <w:color w:val="000000" w:themeColor="text1"/>
                <w:szCs w:val="24"/>
              </w:rPr>
            </w:pPr>
          </w:p>
        </w:tc>
        <w:tc>
          <w:tcPr>
            <w:tcW w:w="1134" w:type="dxa"/>
            <w:vMerge/>
          </w:tcPr>
          <w:p w14:paraId="4C2529E8" w14:textId="77777777" w:rsidR="00B13CF0" w:rsidRPr="00A74699" w:rsidRDefault="00B13CF0" w:rsidP="00BD4AA8">
            <w:pPr>
              <w:pStyle w:val="Heading2"/>
              <w:keepNext w:val="0"/>
              <w:numPr>
                <w:ilvl w:val="0"/>
                <w:numId w:val="0"/>
              </w:numPr>
              <w:spacing w:after="0"/>
              <w:jc w:val="left"/>
              <w:rPr>
                <w:rFonts w:ascii="Arial" w:hAnsi="Arial" w:cs="Arial"/>
                <w:color w:val="000000" w:themeColor="text1"/>
                <w:szCs w:val="24"/>
              </w:rPr>
            </w:pPr>
          </w:p>
        </w:tc>
        <w:tc>
          <w:tcPr>
            <w:tcW w:w="1273" w:type="dxa"/>
          </w:tcPr>
          <w:p w14:paraId="48C58CDC" w14:textId="77777777" w:rsidR="00B13CF0" w:rsidRPr="00A74699" w:rsidRDefault="00B13CF0" w:rsidP="00BD4AA8">
            <w:pPr>
              <w:pStyle w:val="Heading2"/>
              <w:keepNext w:val="0"/>
              <w:numPr>
                <w:ilvl w:val="0"/>
                <w:numId w:val="0"/>
              </w:numPr>
              <w:spacing w:after="0"/>
              <w:jc w:val="left"/>
              <w:rPr>
                <w:rFonts w:ascii="Arial" w:hAnsi="Arial" w:cs="Arial"/>
                <w:color w:val="000000" w:themeColor="text1"/>
                <w:szCs w:val="24"/>
              </w:rPr>
            </w:pPr>
            <w:r w:rsidRPr="00A74699">
              <w:rPr>
                <w:rFonts w:ascii="Arial" w:hAnsi="Arial" w:cs="Arial"/>
                <w:color w:val="000000" w:themeColor="text1"/>
                <w:szCs w:val="24"/>
              </w:rPr>
              <w:t>EAL</w:t>
            </w:r>
          </w:p>
        </w:tc>
        <w:tc>
          <w:tcPr>
            <w:tcW w:w="1110" w:type="dxa"/>
          </w:tcPr>
          <w:p w14:paraId="5DB9BD1F" w14:textId="1BDBD0FB" w:rsidR="00B13CF0" w:rsidRPr="00975009" w:rsidRDefault="00B13CF0" w:rsidP="00BD4AA8">
            <w:pPr>
              <w:pStyle w:val="Heading2"/>
              <w:keepNext w:val="0"/>
              <w:numPr>
                <w:ilvl w:val="0"/>
                <w:numId w:val="0"/>
              </w:numPr>
              <w:spacing w:after="0"/>
              <w:jc w:val="right"/>
              <w:rPr>
                <w:rFonts w:ascii="Arial" w:hAnsi="Arial" w:cs="Arial"/>
                <w:szCs w:val="24"/>
              </w:rPr>
            </w:pPr>
            <w:r w:rsidRPr="00975009">
              <w:rPr>
                <w:rFonts w:ascii="Arial" w:hAnsi="Arial" w:cs="Arial"/>
                <w:szCs w:val="24"/>
              </w:rPr>
              <w:t>£</w:t>
            </w:r>
            <w:r w:rsidR="00974902" w:rsidRPr="00975009">
              <w:rPr>
                <w:rFonts w:ascii="Arial" w:hAnsi="Arial" w:cs="Arial"/>
                <w:szCs w:val="24"/>
              </w:rPr>
              <w:t>1</w:t>
            </w:r>
            <w:r w:rsidR="006377D0">
              <w:rPr>
                <w:rFonts w:ascii="Arial" w:hAnsi="Arial" w:cs="Arial"/>
                <w:szCs w:val="24"/>
              </w:rPr>
              <w:t>30</w:t>
            </w:r>
            <w:r w:rsidR="00C67C97" w:rsidRPr="00975009">
              <w:rPr>
                <w:rFonts w:ascii="Arial" w:hAnsi="Arial" w:cs="Arial"/>
                <w:szCs w:val="24"/>
              </w:rPr>
              <w:t>.</w:t>
            </w:r>
            <w:r w:rsidR="006377D0">
              <w:rPr>
                <w:rFonts w:ascii="Arial" w:hAnsi="Arial" w:cs="Arial"/>
                <w:szCs w:val="24"/>
              </w:rPr>
              <w:t>5</w:t>
            </w:r>
            <w:r w:rsidR="00C67C97" w:rsidRPr="00975009">
              <w:rPr>
                <w:rFonts w:ascii="Arial" w:hAnsi="Arial" w:cs="Arial"/>
                <w:szCs w:val="24"/>
              </w:rPr>
              <w:t>0</w:t>
            </w:r>
          </w:p>
        </w:tc>
        <w:tc>
          <w:tcPr>
            <w:tcW w:w="1444" w:type="dxa"/>
          </w:tcPr>
          <w:p w14:paraId="39992900" w14:textId="519472D8" w:rsidR="00B13CF0" w:rsidRPr="00975009" w:rsidRDefault="00B13CF0" w:rsidP="00BD4AA8">
            <w:pPr>
              <w:pStyle w:val="Heading2"/>
              <w:keepNext w:val="0"/>
              <w:numPr>
                <w:ilvl w:val="0"/>
                <w:numId w:val="0"/>
              </w:numPr>
              <w:spacing w:after="0"/>
              <w:jc w:val="right"/>
              <w:rPr>
                <w:rFonts w:ascii="Arial" w:hAnsi="Arial" w:cs="Arial"/>
                <w:szCs w:val="24"/>
              </w:rPr>
            </w:pPr>
            <w:r w:rsidRPr="00975009">
              <w:rPr>
                <w:rFonts w:ascii="Arial" w:hAnsi="Arial" w:cs="Arial"/>
                <w:szCs w:val="24"/>
              </w:rPr>
              <w:t>£</w:t>
            </w:r>
            <w:r w:rsidR="0010307E" w:rsidRPr="00975009">
              <w:rPr>
                <w:rFonts w:ascii="Arial" w:hAnsi="Arial" w:cs="Arial"/>
                <w:szCs w:val="24"/>
              </w:rPr>
              <w:t>20</w:t>
            </w:r>
            <w:r w:rsidR="006377D0">
              <w:rPr>
                <w:rFonts w:ascii="Arial" w:hAnsi="Arial" w:cs="Arial"/>
                <w:szCs w:val="24"/>
              </w:rPr>
              <w:t>5</w:t>
            </w:r>
            <w:r w:rsidR="000F0A08" w:rsidRPr="00975009">
              <w:rPr>
                <w:rFonts w:ascii="Arial" w:hAnsi="Arial" w:cs="Arial"/>
                <w:szCs w:val="24"/>
              </w:rPr>
              <w:t>.</w:t>
            </w:r>
            <w:r w:rsidR="006377D0">
              <w:rPr>
                <w:rFonts w:ascii="Arial" w:hAnsi="Arial" w:cs="Arial"/>
                <w:szCs w:val="24"/>
              </w:rPr>
              <w:t>5</w:t>
            </w:r>
            <w:r w:rsidR="00C92C65" w:rsidRPr="00975009">
              <w:rPr>
                <w:rFonts w:ascii="Arial" w:hAnsi="Arial" w:cs="Arial"/>
                <w:szCs w:val="24"/>
              </w:rPr>
              <w:t>0</w:t>
            </w:r>
          </w:p>
        </w:tc>
      </w:tr>
      <w:tr w:rsidR="0033457D" w:rsidRPr="0033457D" w14:paraId="0ED814A4" w14:textId="77777777" w:rsidTr="00C85516">
        <w:trPr>
          <w:trHeight w:val="345"/>
        </w:trPr>
        <w:tc>
          <w:tcPr>
            <w:tcW w:w="3685" w:type="dxa"/>
            <w:shd w:val="clear" w:color="auto" w:fill="auto"/>
          </w:tcPr>
          <w:p w14:paraId="3A6331FA" w14:textId="77777777" w:rsidR="00B13CF0" w:rsidRPr="00BC06CD" w:rsidRDefault="00B13CF0" w:rsidP="00BD4AA8">
            <w:pPr>
              <w:pStyle w:val="Heading2"/>
              <w:keepNext w:val="0"/>
              <w:numPr>
                <w:ilvl w:val="0"/>
                <w:numId w:val="0"/>
              </w:numPr>
              <w:spacing w:after="0"/>
              <w:jc w:val="left"/>
              <w:rPr>
                <w:rFonts w:ascii="Arial" w:hAnsi="Arial" w:cs="Arial"/>
                <w:b/>
                <w:color w:val="000000" w:themeColor="text1"/>
                <w:szCs w:val="24"/>
              </w:rPr>
            </w:pPr>
            <w:r w:rsidRPr="00BC06CD">
              <w:rPr>
                <w:rFonts w:ascii="Arial" w:hAnsi="Arial" w:cs="Arial"/>
                <w:b/>
                <w:color w:val="000000" w:themeColor="text1"/>
                <w:szCs w:val="24"/>
              </w:rPr>
              <w:t>Total</w:t>
            </w:r>
          </w:p>
        </w:tc>
        <w:tc>
          <w:tcPr>
            <w:tcW w:w="1134" w:type="dxa"/>
          </w:tcPr>
          <w:p w14:paraId="154A9A5B" w14:textId="18464BF1" w:rsidR="00B13CF0" w:rsidRPr="0033457D" w:rsidRDefault="00B13CF0" w:rsidP="00BD4AA8">
            <w:pPr>
              <w:pStyle w:val="Heading2"/>
              <w:keepNext w:val="0"/>
              <w:numPr>
                <w:ilvl w:val="0"/>
                <w:numId w:val="0"/>
              </w:numPr>
              <w:spacing w:after="0"/>
              <w:jc w:val="right"/>
              <w:rPr>
                <w:rFonts w:ascii="Arial" w:hAnsi="Arial" w:cs="Arial"/>
                <w:b/>
                <w:color w:val="FF0000"/>
                <w:szCs w:val="24"/>
              </w:rPr>
            </w:pPr>
            <w:r w:rsidRPr="00D77C34">
              <w:rPr>
                <w:rFonts w:ascii="Arial" w:hAnsi="Arial" w:cs="Arial"/>
                <w:b/>
                <w:color w:val="000000" w:themeColor="text1"/>
                <w:szCs w:val="24"/>
              </w:rPr>
              <w:t>2,</w:t>
            </w:r>
            <w:r w:rsidR="00D77C34" w:rsidRPr="00D77C34">
              <w:rPr>
                <w:rFonts w:ascii="Arial" w:hAnsi="Arial" w:cs="Arial"/>
                <w:b/>
                <w:color w:val="000000" w:themeColor="text1"/>
                <w:szCs w:val="24"/>
              </w:rPr>
              <w:t>608</w:t>
            </w:r>
          </w:p>
        </w:tc>
        <w:tc>
          <w:tcPr>
            <w:tcW w:w="3827" w:type="dxa"/>
            <w:gridSpan w:val="3"/>
          </w:tcPr>
          <w:p w14:paraId="6A104FF3" w14:textId="77777777" w:rsidR="00B13CF0" w:rsidRPr="0033457D" w:rsidRDefault="00B13CF0" w:rsidP="00BD4AA8">
            <w:pPr>
              <w:pStyle w:val="Heading2"/>
              <w:keepNext w:val="0"/>
              <w:numPr>
                <w:ilvl w:val="0"/>
                <w:numId w:val="0"/>
              </w:numPr>
              <w:spacing w:after="0"/>
              <w:jc w:val="right"/>
              <w:rPr>
                <w:rFonts w:ascii="Arial" w:hAnsi="Arial" w:cs="Arial"/>
                <w:b/>
                <w:color w:val="FF0000"/>
                <w:szCs w:val="24"/>
              </w:rPr>
            </w:pPr>
          </w:p>
        </w:tc>
      </w:tr>
    </w:tbl>
    <w:p w14:paraId="0DC90116" w14:textId="77777777" w:rsidR="00991719" w:rsidRPr="00991719" w:rsidRDefault="00991719" w:rsidP="00991719">
      <w:pPr>
        <w:pStyle w:val="Heading2"/>
        <w:keepNext w:val="0"/>
        <w:numPr>
          <w:ilvl w:val="0"/>
          <w:numId w:val="0"/>
        </w:numPr>
        <w:tabs>
          <w:tab w:val="num" w:pos="2702"/>
        </w:tabs>
        <w:spacing w:before="240"/>
        <w:ind w:left="425"/>
        <w:jc w:val="left"/>
        <w:rPr>
          <w:rFonts w:ascii="Arial" w:hAnsi="Arial" w:cs="Arial"/>
          <w:szCs w:val="24"/>
        </w:rPr>
      </w:pPr>
    </w:p>
    <w:p w14:paraId="261C777F" w14:textId="3A208CDE" w:rsidR="00E01988" w:rsidRPr="00992AA5" w:rsidRDefault="001E600B" w:rsidP="00BF5EC3">
      <w:pPr>
        <w:pStyle w:val="Heading2"/>
        <w:keepNext w:val="0"/>
        <w:tabs>
          <w:tab w:val="num" w:pos="426"/>
        </w:tabs>
        <w:spacing w:before="240"/>
        <w:ind w:left="425" w:hanging="567"/>
        <w:jc w:val="left"/>
        <w:rPr>
          <w:rFonts w:ascii="Arial" w:hAnsi="Arial" w:cs="Arial"/>
          <w:szCs w:val="24"/>
        </w:rPr>
      </w:pPr>
      <w:r w:rsidRPr="00807EDF">
        <w:rPr>
          <w:rFonts w:ascii="Arial" w:hAnsi="Arial" w:cs="Arial"/>
          <w:color w:val="000000" w:themeColor="text1"/>
          <w:szCs w:val="24"/>
        </w:rPr>
        <w:t>The</w:t>
      </w:r>
      <w:r w:rsidR="002C72BB" w:rsidRPr="00807EDF">
        <w:rPr>
          <w:rFonts w:ascii="Arial" w:hAnsi="Arial" w:cs="Arial"/>
          <w:color w:val="000000" w:themeColor="text1"/>
          <w:szCs w:val="24"/>
        </w:rPr>
        <w:t xml:space="preserve"> </w:t>
      </w:r>
      <w:r w:rsidRPr="00807EDF">
        <w:rPr>
          <w:rFonts w:ascii="Arial" w:hAnsi="Arial" w:cs="Arial"/>
          <w:color w:val="000000" w:themeColor="text1"/>
          <w:szCs w:val="24"/>
        </w:rPr>
        <w:t>budget for staff costs</w:t>
      </w:r>
      <w:r w:rsidR="002C72BB" w:rsidRPr="00807EDF">
        <w:rPr>
          <w:rFonts w:ascii="Arial" w:hAnsi="Arial" w:cs="Arial"/>
          <w:color w:val="000000" w:themeColor="text1"/>
          <w:szCs w:val="24"/>
        </w:rPr>
        <w:t xml:space="preserve"> </w:t>
      </w:r>
      <w:r w:rsidRPr="00807EDF">
        <w:rPr>
          <w:rFonts w:ascii="Arial" w:hAnsi="Arial" w:cs="Arial"/>
          <w:color w:val="000000" w:themeColor="text1"/>
          <w:szCs w:val="24"/>
        </w:rPr>
        <w:t>funds the cost of suspended staff, trade union duties, teacher liaison panel and other public duties. T</w:t>
      </w:r>
      <w:r w:rsidR="00E776BE" w:rsidRPr="00807EDF">
        <w:rPr>
          <w:rFonts w:ascii="Arial" w:hAnsi="Arial" w:cs="Arial"/>
          <w:color w:val="000000" w:themeColor="text1"/>
          <w:szCs w:val="24"/>
        </w:rPr>
        <w:t xml:space="preserve">he budget has been increased </w:t>
      </w:r>
      <w:r w:rsidR="005A56B9" w:rsidRPr="00807EDF">
        <w:rPr>
          <w:rFonts w:ascii="Arial" w:hAnsi="Arial" w:cs="Arial"/>
          <w:color w:val="000000" w:themeColor="text1"/>
          <w:szCs w:val="24"/>
        </w:rPr>
        <w:t>by £</w:t>
      </w:r>
      <w:r w:rsidR="004F60BB" w:rsidRPr="00807EDF">
        <w:rPr>
          <w:rFonts w:ascii="Arial" w:hAnsi="Arial" w:cs="Arial"/>
          <w:color w:val="000000" w:themeColor="text1"/>
          <w:szCs w:val="24"/>
        </w:rPr>
        <w:t>25</w:t>
      </w:r>
      <w:r w:rsidR="00603121">
        <w:rPr>
          <w:rFonts w:ascii="Arial" w:hAnsi="Arial" w:cs="Arial"/>
          <w:color w:val="000000" w:themeColor="text1"/>
          <w:szCs w:val="24"/>
        </w:rPr>
        <w:t>,000</w:t>
      </w:r>
      <w:r w:rsidR="00E776BE" w:rsidRPr="00807EDF">
        <w:rPr>
          <w:rFonts w:ascii="Arial" w:hAnsi="Arial" w:cs="Arial"/>
          <w:color w:val="000000" w:themeColor="text1"/>
          <w:szCs w:val="24"/>
        </w:rPr>
        <w:t xml:space="preserve"> to </w:t>
      </w:r>
      <w:r w:rsidR="005A56B9" w:rsidRPr="00807EDF">
        <w:rPr>
          <w:rFonts w:ascii="Arial" w:hAnsi="Arial" w:cs="Arial"/>
          <w:color w:val="000000" w:themeColor="text1"/>
          <w:szCs w:val="24"/>
        </w:rPr>
        <w:t>reflect the</w:t>
      </w:r>
      <w:r w:rsidR="004F0973" w:rsidRPr="00807EDF">
        <w:rPr>
          <w:rFonts w:ascii="Arial" w:hAnsi="Arial" w:cs="Arial"/>
          <w:color w:val="000000" w:themeColor="text1"/>
          <w:szCs w:val="24"/>
        </w:rPr>
        <w:t xml:space="preserve"> </w:t>
      </w:r>
      <w:r w:rsidR="00754444" w:rsidRPr="00807EDF">
        <w:rPr>
          <w:rFonts w:ascii="Arial" w:hAnsi="Arial" w:cs="Arial"/>
          <w:color w:val="000000" w:themeColor="text1"/>
          <w:szCs w:val="24"/>
        </w:rPr>
        <w:t>increase in suspended</w:t>
      </w:r>
      <w:r w:rsidR="00E776BE" w:rsidRPr="00807EDF">
        <w:rPr>
          <w:rFonts w:ascii="Arial" w:hAnsi="Arial" w:cs="Arial"/>
          <w:color w:val="000000" w:themeColor="text1"/>
          <w:szCs w:val="24"/>
        </w:rPr>
        <w:t xml:space="preserve"> staff meaning </w:t>
      </w:r>
      <w:r w:rsidR="00B9552A" w:rsidRPr="00807EDF">
        <w:rPr>
          <w:rFonts w:ascii="Arial" w:hAnsi="Arial" w:cs="Arial"/>
          <w:color w:val="000000" w:themeColor="text1"/>
          <w:szCs w:val="24"/>
        </w:rPr>
        <w:t xml:space="preserve">the primary per pupil </w:t>
      </w:r>
      <w:r w:rsidR="00FF63BC" w:rsidRPr="00807EDF">
        <w:rPr>
          <w:rFonts w:ascii="Arial" w:hAnsi="Arial" w:cs="Arial"/>
          <w:color w:val="000000" w:themeColor="text1"/>
          <w:szCs w:val="24"/>
        </w:rPr>
        <w:t xml:space="preserve">rate has increased by </w:t>
      </w:r>
      <w:r w:rsidR="00F52773" w:rsidRPr="00807EDF">
        <w:rPr>
          <w:rFonts w:ascii="Arial" w:hAnsi="Arial" w:cs="Arial"/>
          <w:color w:val="000000" w:themeColor="text1"/>
          <w:szCs w:val="24"/>
        </w:rPr>
        <w:t>£0.</w:t>
      </w:r>
      <w:r w:rsidR="009932F1">
        <w:rPr>
          <w:rFonts w:ascii="Arial" w:hAnsi="Arial" w:cs="Arial"/>
          <w:color w:val="000000" w:themeColor="text1"/>
          <w:szCs w:val="24"/>
        </w:rPr>
        <w:t>01</w:t>
      </w:r>
      <w:r w:rsidR="00636A06">
        <w:rPr>
          <w:rFonts w:ascii="Arial" w:hAnsi="Arial" w:cs="Arial"/>
          <w:color w:val="000000" w:themeColor="text1"/>
          <w:szCs w:val="24"/>
        </w:rPr>
        <w:t>, however</w:t>
      </w:r>
      <w:r w:rsidR="00F52773" w:rsidRPr="00807EDF">
        <w:rPr>
          <w:rFonts w:ascii="Arial" w:hAnsi="Arial" w:cs="Arial"/>
          <w:color w:val="000000" w:themeColor="text1"/>
          <w:szCs w:val="24"/>
        </w:rPr>
        <w:t xml:space="preserve"> the secondary per pupil rate has </w:t>
      </w:r>
      <w:r w:rsidR="00636A06" w:rsidRPr="0054388E">
        <w:rPr>
          <w:rFonts w:ascii="Arial" w:hAnsi="Arial" w:cs="Arial"/>
          <w:szCs w:val="24"/>
        </w:rPr>
        <w:t>de</w:t>
      </w:r>
      <w:r w:rsidR="00F52773" w:rsidRPr="0054388E">
        <w:rPr>
          <w:rFonts w:ascii="Arial" w:hAnsi="Arial" w:cs="Arial"/>
          <w:szCs w:val="24"/>
        </w:rPr>
        <w:t>creased by £</w:t>
      </w:r>
      <w:r w:rsidR="00636A06" w:rsidRPr="0054388E">
        <w:rPr>
          <w:rFonts w:ascii="Arial" w:hAnsi="Arial" w:cs="Arial"/>
          <w:szCs w:val="24"/>
        </w:rPr>
        <w:t>0.22</w:t>
      </w:r>
      <w:r w:rsidR="00F52773" w:rsidRPr="0054388E">
        <w:rPr>
          <w:rFonts w:ascii="Arial" w:hAnsi="Arial" w:cs="Arial"/>
          <w:szCs w:val="24"/>
        </w:rPr>
        <w:t>.</w:t>
      </w:r>
    </w:p>
    <w:p w14:paraId="6FE2AFE2" w14:textId="0A93654E" w:rsidR="00681D3C" w:rsidRPr="00992AA5" w:rsidRDefault="00E01988" w:rsidP="00B16849">
      <w:pPr>
        <w:pStyle w:val="Heading2"/>
        <w:keepNext w:val="0"/>
        <w:tabs>
          <w:tab w:val="num" w:pos="426"/>
        </w:tabs>
        <w:ind w:left="426" w:hanging="568"/>
        <w:jc w:val="left"/>
        <w:rPr>
          <w:rFonts w:ascii="Arial" w:hAnsi="Arial" w:cs="Arial"/>
          <w:szCs w:val="24"/>
        </w:rPr>
      </w:pPr>
      <w:r w:rsidRPr="00992AA5">
        <w:rPr>
          <w:rFonts w:ascii="Arial" w:hAnsi="Arial" w:cs="Arial"/>
          <w:szCs w:val="24"/>
        </w:rPr>
        <w:t xml:space="preserve">The increase to the EMTAS budget </w:t>
      </w:r>
      <w:r w:rsidR="00B455B8" w:rsidRPr="00992AA5">
        <w:rPr>
          <w:rFonts w:ascii="Arial" w:hAnsi="Arial" w:cs="Arial"/>
          <w:szCs w:val="24"/>
        </w:rPr>
        <w:t xml:space="preserve">relates to </w:t>
      </w:r>
      <w:r w:rsidR="00030027" w:rsidRPr="00992AA5">
        <w:rPr>
          <w:rFonts w:ascii="Arial" w:hAnsi="Arial" w:cs="Arial"/>
          <w:szCs w:val="24"/>
        </w:rPr>
        <w:t>support for pay inflation</w:t>
      </w:r>
      <w:r w:rsidR="0085423C" w:rsidRPr="00992AA5">
        <w:rPr>
          <w:rFonts w:ascii="Arial" w:hAnsi="Arial" w:cs="Arial"/>
          <w:szCs w:val="24"/>
        </w:rPr>
        <w:t>.</w:t>
      </w:r>
      <w:r w:rsidR="000426E2" w:rsidRPr="00992AA5">
        <w:rPr>
          <w:rFonts w:ascii="Arial" w:hAnsi="Arial" w:cs="Arial"/>
          <w:szCs w:val="24"/>
        </w:rPr>
        <w:t xml:space="preserve"> There has been an increase in the </w:t>
      </w:r>
      <w:r w:rsidR="00D7644B" w:rsidRPr="00992AA5">
        <w:rPr>
          <w:rFonts w:ascii="Arial" w:hAnsi="Arial" w:cs="Arial"/>
          <w:szCs w:val="24"/>
        </w:rPr>
        <w:t xml:space="preserve">number of </w:t>
      </w:r>
      <w:r w:rsidR="004B4C98" w:rsidRPr="0054388E">
        <w:rPr>
          <w:rFonts w:ascii="Arial" w:hAnsi="Arial" w:cs="Arial"/>
          <w:szCs w:val="24"/>
        </w:rPr>
        <w:t xml:space="preserve">primary </w:t>
      </w:r>
      <w:r w:rsidR="00D7644B" w:rsidRPr="00992AA5">
        <w:rPr>
          <w:rFonts w:ascii="Arial" w:hAnsi="Arial" w:cs="Arial"/>
          <w:szCs w:val="24"/>
        </w:rPr>
        <w:t>pupils with English as an additional language (EAL</w:t>
      </w:r>
      <w:r w:rsidR="00D7644B" w:rsidRPr="0054388E">
        <w:rPr>
          <w:rFonts w:ascii="Arial" w:hAnsi="Arial" w:cs="Arial"/>
          <w:szCs w:val="24"/>
        </w:rPr>
        <w:t>)</w:t>
      </w:r>
      <w:r w:rsidR="00EE084D" w:rsidRPr="0054388E">
        <w:rPr>
          <w:rFonts w:ascii="Arial" w:hAnsi="Arial" w:cs="Arial"/>
          <w:szCs w:val="24"/>
        </w:rPr>
        <w:t xml:space="preserve"> and a small </w:t>
      </w:r>
      <w:r w:rsidR="00CC3BC1">
        <w:rPr>
          <w:rFonts w:ascii="Arial" w:hAnsi="Arial" w:cs="Arial"/>
          <w:szCs w:val="24"/>
        </w:rPr>
        <w:t>adjustment</w:t>
      </w:r>
      <w:r w:rsidR="00EE084D" w:rsidRPr="0054388E">
        <w:rPr>
          <w:rFonts w:ascii="Arial" w:hAnsi="Arial" w:cs="Arial"/>
          <w:szCs w:val="24"/>
        </w:rPr>
        <w:t xml:space="preserve"> to the </w:t>
      </w:r>
      <w:r w:rsidR="006748B6" w:rsidRPr="0054388E">
        <w:rPr>
          <w:rFonts w:ascii="Arial" w:hAnsi="Arial" w:cs="Arial"/>
          <w:szCs w:val="24"/>
        </w:rPr>
        <w:t xml:space="preserve">rate </w:t>
      </w:r>
      <w:r w:rsidR="00D7644B" w:rsidRPr="00992AA5">
        <w:rPr>
          <w:rFonts w:ascii="Arial" w:hAnsi="Arial" w:cs="Arial"/>
          <w:szCs w:val="24"/>
        </w:rPr>
        <w:t xml:space="preserve">has been </w:t>
      </w:r>
      <w:r w:rsidR="00100098" w:rsidRPr="0054388E">
        <w:rPr>
          <w:rFonts w:ascii="Arial" w:hAnsi="Arial" w:cs="Arial"/>
          <w:szCs w:val="24"/>
        </w:rPr>
        <w:t>added</w:t>
      </w:r>
      <w:r w:rsidR="002F5660" w:rsidRPr="0054388E">
        <w:rPr>
          <w:rFonts w:ascii="Arial" w:hAnsi="Arial" w:cs="Arial"/>
          <w:szCs w:val="24"/>
        </w:rPr>
        <w:t xml:space="preserve"> (£3.31/ </w:t>
      </w:r>
      <w:r w:rsidR="0054388E" w:rsidRPr="0054388E">
        <w:rPr>
          <w:rFonts w:ascii="Arial" w:hAnsi="Arial" w:cs="Arial"/>
          <w:szCs w:val="24"/>
        </w:rPr>
        <w:t>2.6%)</w:t>
      </w:r>
      <w:r w:rsidR="00100098" w:rsidRPr="0054388E">
        <w:rPr>
          <w:rFonts w:ascii="Arial" w:hAnsi="Arial" w:cs="Arial"/>
          <w:szCs w:val="24"/>
        </w:rPr>
        <w:t xml:space="preserve"> to reflect </w:t>
      </w:r>
      <w:r w:rsidR="00B751C2" w:rsidRPr="0054388E">
        <w:rPr>
          <w:rFonts w:ascii="Arial" w:hAnsi="Arial" w:cs="Arial"/>
          <w:szCs w:val="24"/>
        </w:rPr>
        <w:t>greater demand from this</w:t>
      </w:r>
      <w:r w:rsidR="00863F92" w:rsidRPr="0054388E">
        <w:rPr>
          <w:rFonts w:ascii="Arial" w:hAnsi="Arial" w:cs="Arial"/>
          <w:szCs w:val="24"/>
        </w:rPr>
        <w:t xml:space="preserve"> phase.  All other </w:t>
      </w:r>
      <w:r w:rsidR="0054388E" w:rsidRPr="0054388E">
        <w:rPr>
          <w:rFonts w:ascii="Arial" w:hAnsi="Arial" w:cs="Arial"/>
          <w:szCs w:val="24"/>
        </w:rPr>
        <w:t xml:space="preserve">rates </w:t>
      </w:r>
      <w:r w:rsidR="00863F92" w:rsidRPr="0054388E">
        <w:rPr>
          <w:rFonts w:ascii="Arial" w:hAnsi="Arial" w:cs="Arial"/>
          <w:szCs w:val="24"/>
        </w:rPr>
        <w:t>remain</w:t>
      </w:r>
      <w:r w:rsidR="00D7544F" w:rsidRPr="00992AA5">
        <w:rPr>
          <w:rFonts w:ascii="Arial" w:hAnsi="Arial" w:cs="Arial"/>
          <w:szCs w:val="24"/>
        </w:rPr>
        <w:t xml:space="preserve"> the </w:t>
      </w:r>
      <w:r w:rsidR="00863F92" w:rsidRPr="0054388E">
        <w:rPr>
          <w:rFonts w:ascii="Arial" w:hAnsi="Arial" w:cs="Arial"/>
          <w:szCs w:val="24"/>
        </w:rPr>
        <w:t>same as last year.</w:t>
      </w:r>
    </w:p>
    <w:p w14:paraId="668262D7" w14:textId="77777777" w:rsidR="001E600B" w:rsidRDefault="001E600B" w:rsidP="00B16849">
      <w:pPr>
        <w:pStyle w:val="Heading2"/>
        <w:keepNext w:val="0"/>
        <w:tabs>
          <w:tab w:val="num" w:pos="426"/>
        </w:tabs>
        <w:ind w:left="426" w:hanging="568"/>
        <w:jc w:val="left"/>
        <w:rPr>
          <w:rFonts w:ascii="Arial" w:hAnsi="Arial" w:cs="Arial"/>
          <w:szCs w:val="24"/>
        </w:rPr>
      </w:pPr>
      <w:proofErr w:type="gramStart"/>
      <w:r w:rsidRPr="00293BA8">
        <w:rPr>
          <w:rFonts w:ascii="Arial" w:hAnsi="Arial" w:cs="Arial"/>
          <w:szCs w:val="24"/>
        </w:rPr>
        <w:t>Schools</w:t>
      </w:r>
      <w:proofErr w:type="gramEnd"/>
      <w:r w:rsidRPr="00293BA8">
        <w:rPr>
          <w:rFonts w:ascii="Arial" w:hAnsi="Arial" w:cs="Arial"/>
          <w:szCs w:val="24"/>
        </w:rPr>
        <w:t xml:space="preserve"> Forum members for maintained primary and secondary schools ne</w:t>
      </w:r>
      <w:r w:rsidR="000819D0" w:rsidRPr="00293BA8">
        <w:rPr>
          <w:rFonts w:ascii="Arial" w:hAnsi="Arial" w:cs="Arial"/>
          <w:szCs w:val="24"/>
        </w:rPr>
        <w:t>e</w:t>
      </w:r>
      <w:r w:rsidRPr="00293BA8">
        <w:rPr>
          <w:rFonts w:ascii="Arial" w:hAnsi="Arial" w:cs="Arial"/>
          <w:szCs w:val="24"/>
        </w:rPr>
        <w:t>d to vote separately to approve de-delegation for the above services.</w:t>
      </w:r>
    </w:p>
    <w:p w14:paraId="2C69E294" w14:textId="1ACE7B3F" w:rsidR="00FD7858" w:rsidRPr="00293BA8" w:rsidRDefault="001D6722" w:rsidP="00B16849">
      <w:pPr>
        <w:pStyle w:val="Heading1"/>
        <w:keepNext w:val="0"/>
        <w:ind w:left="431" w:hanging="573"/>
        <w:jc w:val="left"/>
        <w:rPr>
          <w:rFonts w:ascii="Arial" w:hAnsi="Arial" w:cs="Arial"/>
          <w:szCs w:val="24"/>
        </w:rPr>
      </w:pPr>
      <w:r w:rsidRPr="00293BA8">
        <w:rPr>
          <w:rFonts w:ascii="Arial" w:hAnsi="Arial" w:cs="Arial"/>
          <w:szCs w:val="24"/>
        </w:rPr>
        <w:t>Pupil Premium and Other Schools Grants</w:t>
      </w:r>
    </w:p>
    <w:p w14:paraId="3E3FA66D" w14:textId="2C151FF9" w:rsidR="00D12D37" w:rsidRPr="00375C70" w:rsidRDefault="001D6722" w:rsidP="00B16849">
      <w:pPr>
        <w:pStyle w:val="Heading2"/>
        <w:keepNext w:val="0"/>
        <w:tabs>
          <w:tab w:val="num" w:pos="426"/>
        </w:tabs>
        <w:ind w:left="426" w:hanging="568"/>
        <w:jc w:val="left"/>
        <w:rPr>
          <w:rFonts w:ascii="Arial" w:hAnsi="Arial" w:cs="Arial"/>
          <w:szCs w:val="24"/>
        </w:rPr>
      </w:pPr>
      <w:r w:rsidRPr="00375C70">
        <w:rPr>
          <w:rFonts w:ascii="Arial" w:hAnsi="Arial" w:cs="Arial"/>
          <w:szCs w:val="24"/>
        </w:rPr>
        <w:t xml:space="preserve">The Pupil Premium Grant will </w:t>
      </w:r>
      <w:r w:rsidR="001D5553" w:rsidRPr="00375C70">
        <w:rPr>
          <w:rFonts w:ascii="Arial" w:hAnsi="Arial" w:cs="Arial"/>
          <w:szCs w:val="24"/>
        </w:rPr>
        <w:t>contin</w:t>
      </w:r>
      <w:r w:rsidR="00303D19" w:rsidRPr="00375C70">
        <w:rPr>
          <w:rFonts w:ascii="Arial" w:hAnsi="Arial" w:cs="Arial"/>
          <w:szCs w:val="24"/>
        </w:rPr>
        <w:t>ue into 202</w:t>
      </w:r>
      <w:r w:rsidR="00A01A71" w:rsidRPr="00375C70">
        <w:rPr>
          <w:rFonts w:ascii="Arial" w:hAnsi="Arial" w:cs="Arial"/>
          <w:szCs w:val="24"/>
        </w:rPr>
        <w:t>5</w:t>
      </w:r>
      <w:r w:rsidR="00303D19" w:rsidRPr="00375C70">
        <w:rPr>
          <w:rFonts w:ascii="Arial" w:hAnsi="Arial" w:cs="Arial"/>
          <w:szCs w:val="24"/>
        </w:rPr>
        <w:t>/2</w:t>
      </w:r>
      <w:r w:rsidR="00A01A71" w:rsidRPr="00375C70">
        <w:rPr>
          <w:rFonts w:ascii="Arial" w:hAnsi="Arial" w:cs="Arial"/>
          <w:szCs w:val="24"/>
        </w:rPr>
        <w:t>6</w:t>
      </w:r>
      <w:r w:rsidR="00303D19" w:rsidRPr="00375C70">
        <w:rPr>
          <w:rFonts w:ascii="Arial" w:hAnsi="Arial" w:cs="Arial"/>
          <w:szCs w:val="24"/>
        </w:rPr>
        <w:t xml:space="preserve">, </w:t>
      </w:r>
      <w:r w:rsidR="00AA28C6" w:rsidRPr="00375C70">
        <w:rPr>
          <w:rFonts w:ascii="Arial" w:hAnsi="Arial" w:cs="Arial"/>
          <w:szCs w:val="24"/>
        </w:rPr>
        <w:t>however</w:t>
      </w:r>
      <w:r w:rsidR="00303D19" w:rsidRPr="00375C70">
        <w:rPr>
          <w:rFonts w:ascii="Arial" w:hAnsi="Arial" w:cs="Arial"/>
          <w:szCs w:val="24"/>
        </w:rPr>
        <w:t xml:space="preserve"> </w:t>
      </w:r>
      <w:r w:rsidR="00AA28C6" w:rsidRPr="00375C70">
        <w:rPr>
          <w:rFonts w:ascii="Arial" w:hAnsi="Arial" w:cs="Arial"/>
          <w:szCs w:val="24"/>
        </w:rPr>
        <w:t>the DfE have not yet confirmed revised rates, the expectation is that these wi</w:t>
      </w:r>
      <w:r w:rsidR="00375C70" w:rsidRPr="00375C70">
        <w:rPr>
          <w:rFonts w:ascii="Arial" w:hAnsi="Arial" w:cs="Arial"/>
          <w:szCs w:val="24"/>
        </w:rPr>
        <w:t>l</w:t>
      </w:r>
      <w:r w:rsidR="00AA28C6" w:rsidRPr="00375C70">
        <w:rPr>
          <w:rFonts w:ascii="Arial" w:hAnsi="Arial" w:cs="Arial"/>
          <w:szCs w:val="24"/>
        </w:rPr>
        <w:t>l be received in January.</w:t>
      </w:r>
      <w:r w:rsidR="00CF1D87" w:rsidRPr="00375C70">
        <w:rPr>
          <w:rFonts w:ascii="Arial" w:hAnsi="Arial" w:cs="Arial"/>
          <w:szCs w:val="24"/>
        </w:rPr>
        <w:t xml:space="preserve"> </w:t>
      </w:r>
    </w:p>
    <w:p w14:paraId="7E1558E6" w14:textId="1286DA77" w:rsidR="001D6722" w:rsidRPr="000830D4" w:rsidRDefault="001D6722" w:rsidP="00B16849">
      <w:pPr>
        <w:pStyle w:val="Heading2"/>
        <w:keepNext w:val="0"/>
        <w:tabs>
          <w:tab w:val="num" w:pos="426"/>
        </w:tabs>
        <w:ind w:left="426" w:hanging="568"/>
        <w:jc w:val="left"/>
        <w:rPr>
          <w:rFonts w:ascii="Arial" w:hAnsi="Arial" w:cs="Arial"/>
          <w:szCs w:val="24"/>
        </w:rPr>
      </w:pPr>
      <w:r w:rsidRPr="000830D4">
        <w:rPr>
          <w:rFonts w:ascii="Arial" w:hAnsi="Arial" w:cs="Arial"/>
          <w:szCs w:val="24"/>
        </w:rPr>
        <w:t xml:space="preserve">The DfE </w:t>
      </w:r>
      <w:r w:rsidR="00EB0D82" w:rsidRPr="000830D4">
        <w:rPr>
          <w:rFonts w:ascii="Arial" w:hAnsi="Arial" w:cs="Arial"/>
          <w:szCs w:val="24"/>
        </w:rPr>
        <w:t>have confirmed the Teacher Pay Additional Grant</w:t>
      </w:r>
      <w:r w:rsidR="000830D4" w:rsidRPr="000830D4">
        <w:rPr>
          <w:rFonts w:ascii="Arial" w:hAnsi="Arial" w:cs="Arial"/>
          <w:szCs w:val="24"/>
        </w:rPr>
        <w:t xml:space="preserve">, </w:t>
      </w:r>
      <w:r w:rsidR="003A4BF4" w:rsidRPr="003A4BF4">
        <w:rPr>
          <w:rFonts w:ascii="Arial" w:hAnsi="Arial" w:cs="Arial"/>
          <w:szCs w:val="24"/>
        </w:rPr>
        <w:t xml:space="preserve">Teachers’ </w:t>
      </w:r>
      <w:r w:rsidR="00301C19">
        <w:rPr>
          <w:rFonts w:ascii="Arial" w:hAnsi="Arial" w:cs="Arial"/>
          <w:szCs w:val="24"/>
        </w:rPr>
        <w:t>P</w:t>
      </w:r>
      <w:r w:rsidR="003A4BF4" w:rsidRPr="003A4BF4">
        <w:rPr>
          <w:rFonts w:ascii="Arial" w:hAnsi="Arial" w:cs="Arial"/>
          <w:szCs w:val="24"/>
        </w:rPr>
        <w:t xml:space="preserve">ension </w:t>
      </w:r>
      <w:r w:rsidR="00301C19">
        <w:rPr>
          <w:rFonts w:ascii="Arial" w:hAnsi="Arial" w:cs="Arial"/>
          <w:szCs w:val="24"/>
        </w:rPr>
        <w:t>E</w:t>
      </w:r>
      <w:r w:rsidR="003A4BF4" w:rsidRPr="003A4BF4">
        <w:rPr>
          <w:rFonts w:ascii="Arial" w:hAnsi="Arial" w:cs="Arial"/>
          <w:szCs w:val="24"/>
        </w:rPr>
        <w:t xml:space="preserve">mployer </w:t>
      </w:r>
      <w:r w:rsidR="00301C19">
        <w:rPr>
          <w:rFonts w:ascii="Arial" w:hAnsi="Arial" w:cs="Arial"/>
          <w:szCs w:val="24"/>
        </w:rPr>
        <w:t>C</w:t>
      </w:r>
      <w:r w:rsidR="003A4BF4" w:rsidRPr="003A4BF4">
        <w:rPr>
          <w:rFonts w:ascii="Arial" w:hAnsi="Arial" w:cs="Arial"/>
          <w:szCs w:val="24"/>
        </w:rPr>
        <w:t xml:space="preserve">ontribution </w:t>
      </w:r>
      <w:r w:rsidR="00301C19">
        <w:rPr>
          <w:rFonts w:ascii="Arial" w:hAnsi="Arial" w:cs="Arial"/>
          <w:szCs w:val="24"/>
        </w:rPr>
        <w:t>G</w:t>
      </w:r>
      <w:r w:rsidR="003A4BF4" w:rsidRPr="003A4BF4">
        <w:rPr>
          <w:rFonts w:ascii="Arial" w:hAnsi="Arial" w:cs="Arial"/>
          <w:szCs w:val="24"/>
        </w:rPr>
        <w:t>ran</w:t>
      </w:r>
      <w:r w:rsidR="00301C19">
        <w:rPr>
          <w:rFonts w:ascii="Arial" w:hAnsi="Arial" w:cs="Arial"/>
          <w:szCs w:val="24"/>
        </w:rPr>
        <w:t>t</w:t>
      </w:r>
      <w:r w:rsidR="000830D4" w:rsidRPr="000830D4">
        <w:rPr>
          <w:rFonts w:ascii="Arial" w:hAnsi="Arial" w:cs="Arial"/>
          <w:szCs w:val="24"/>
        </w:rPr>
        <w:t xml:space="preserve"> and Core Schools Budget Grant will cease to exist as separate grants </w:t>
      </w:r>
      <w:r w:rsidR="00B715BF">
        <w:rPr>
          <w:rFonts w:ascii="Arial" w:hAnsi="Arial" w:cs="Arial"/>
          <w:szCs w:val="24"/>
        </w:rPr>
        <w:t xml:space="preserve">for mainstream schools </w:t>
      </w:r>
      <w:r w:rsidR="000830D4" w:rsidRPr="000830D4">
        <w:rPr>
          <w:rFonts w:ascii="Arial" w:hAnsi="Arial" w:cs="Arial"/>
          <w:szCs w:val="24"/>
        </w:rPr>
        <w:t>upon being rolled into schools NFF from 2025/26.</w:t>
      </w:r>
      <w:r w:rsidR="00EB0D82" w:rsidRPr="000830D4">
        <w:rPr>
          <w:rFonts w:ascii="Arial" w:hAnsi="Arial" w:cs="Arial"/>
          <w:szCs w:val="24"/>
        </w:rPr>
        <w:t xml:space="preserve"> </w:t>
      </w:r>
      <w:r w:rsidR="00A92765">
        <w:rPr>
          <w:rFonts w:ascii="Arial" w:hAnsi="Arial" w:cs="Arial"/>
          <w:szCs w:val="24"/>
        </w:rPr>
        <w:t>For Special Schools</w:t>
      </w:r>
      <w:r w:rsidR="009A684C">
        <w:rPr>
          <w:rFonts w:ascii="Arial" w:hAnsi="Arial" w:cs="Arial"/>
          <w:szCs w:val="24"/>
        </w:rPr>
        <w:t>,</w:t>
      </w:r>
      <w:r w:rsidR="009A684C" w:rsidRPr="00E15246">
        <w:rPr>
          <w:rFonts w:ascii="Arial" w:hAnsi="Arial" w:cs="Arial"/>
        </w:rPr>
        <w:t xml:space="preserve"> </w:t>
      </w:r>
      <w:r w:rsidR="009A684C" w:rsidRPr="009A684C">
        <w:rPr>
          <w:rFonts w:ascii="Arial" w:hAnsi="Arial" w:cs="Arial"/>
          <w:szCs w:val="24"/>
        </w:rPr>
        <w:t>PRUs, AP academies and those providing hospital education</w:t>
      </w:r>
      <w:r w:rsidR="009A684C">
        <w:rPr>
          <w:rFonts w:ascii="Arial" w:hAnsi="Arial" w:cs="Arial"/>
          <w:szCs w:val="24"/>
        </w:rPr>
        <w:t xml:space="preserve"> these will be received as one separate grant for 25-26, the </w:t>
      </w:r>
      <w:r w:rsidR="009A684C" w:rsidRPr="009A684C">
        <w:rPr>
          <w:rFonts w:ascii="Arial" w:hAnsi="Arial" w:cs="Arial"/>
          <w:szCs w:val="24"/>
        </w:rPr>
        <w:t>Core Schools Budget Grant</w:t>
      </w:r>
      <w:r w:rsidR="008127BC">
        <w:rPr>
          <w:rFonts w:ascii="Arial" w:hAnsi="Arial" w:cs="Arial"/>
          <w:szCs w:val="24"/>
        </w:rPr>
        <w:t>.</w:t>
      </w:r>
    </w:p>
    <w:p w14:paraId="2E04342C" w14:textId="4A733C27" w:rsidR="00EB0D82" w:rsidRPr="00FE328B" w:rsidRDefault="00EB0D82" w:rsidP="00B16849">
      <w:pPr>
        <w:pStyle w:val="Heading2"/>
        <w:keepNext w:val="0"/>
        <w:tabs>
          <w:tab w:val="num" w:pos="426"/>
        </w:tabs>
        <w:ind w:left="426" w:hanging="568"/>
        <w:jc w:val="left"/>
        <w:rPr>
          <w:rFonts w:ascii="Arial" w:hAnsi="Arial" w:cs="Arial"/>
          <w:szCs w:val="24"/>
        </w:rPr>
      </w:pPr>
      <w:r w:rsidRPr="00FE328B">
        <w:rPr>
          <w:rFonts w:ascii="Arial" w:hAnsi="Arial" w:cs="Arial"/>
          <w:szCs w:val="24"/>
        </w:rPr>
        <w:t>The DfE will provide further information about other school grants during 202</w:t>
      </w:r>
      <w:r w:rsidR="000830D4" w:rsidRPr="00FE328B">
        <w:rPr>
          <w:rFonts w:ascii="Arial" w:hAnsi="Arial" w:cs="Arial"/>
          <w:szCs w:val="24"/>
        </w:rPr>
        <w:t>5</w:t>
      </w:r>
      <w:r w:rsidRPr="00FE328B">
        <w:rPr>
          <w:rFonts w:ascii="Arial" w:hAnsi="Arial" w:cs="Arial"/>
          <w:szCs w:val="24"/>
        </w:rPr>
        <w:t>.</w:t>
      </w:r>
    </w:p>
    <w:p w14:paraId="6FC9576D" w14:textId="2D6104F6" w:rsidR="00FD7858" w:rsidRPr="00293BA8" w:rsidRDefault="003020B7" w:rsidP="00B16849">
      <w:pPr>
        <w:pStyle w:val="Heading1"/>
        <w:keepNext w:val="0"/>
        <w:ind w:left="431" w:hanging="573"/>
        <w:jc w:val="left"/>
        <w:rPr>
          <w:rFonts w:ascii="Arial" w:hAnsi="Arial" w:cs="Arial"/>
          <w:szCs w:val="24"/>
        </w:rPr>
      </w:pPr>
      <w:r w:rsidRPr="00293BA8">
        <w:rPr>
          <w:rFonts w:ascii="Arial" w:hAnsi="Arial" w:cs="Arial"/>
          <w:szCs w:val="24"/>
        </w:rPr>
        <w:t xml:space="preserve">Summary of the Schools Budget </w:t>
      </w:r>
      <w:r w:rsidRPr="00293BA8">
        <w:rPr>
          <w:rFonts w:ascii="Arial" w:hAnsi="Arial" w:cs="Arial"/>
          <w:bCs/>
          <w:szCs w:val="24"/>
        </w:rPr>
        <w:t>202</w:t>
      </w:r>
      <w:r w:rsidR="00293BA8" w:rsidRPr="00293BA8">
        <w:rPr>
          <w:rFonts w:ascii="Arial" w:hAnsi="Arial" w:cs="Arial"/>
          <w:bCs/>
          <w:szCs w:val="24"/>
        </w:rPr>
        <w:t>5</w:t>
      </w:r>
      <w:r w:rsidRPr="00293BA8">
        <w:rPr>
          <w:rFonts w:ascii="Arial" w:hAnsi="Arial" w:cs="Arial"/>
          <w:bCs/>
          <w:szCs w:val="24"/>
        </w:rPr>
        <w:t>/2</w:t>
      </w:r>
      <w:r w:rsidR="00293BA8" w:rsidRPr="00293BA8">
        <w:rPr>
          <w:rFonts w:ascii="Arial" w:hAnsi="Arial" w:cs="Arial"/>
          <w:bCs/>
          <w:szCs w:val="24"/>
        </w:rPr>
        <w:t>6</w:t>
      </w:r>
    </w:p>
    <w:p w14:paraId="1FA57E1F" w14:textId="57D364C8" w:rsidR="00FD7858" w:rsidRPr="00293BA8" w:rsidRDefault="003020B7" w:rsidP="00000AE1">
      <w:pPr>
        <w:pStyle w:val="Heading2"/>
        <w:keepNext w:val="0"/>
        <w:tabs>
          <w:tab w:val="num" w:pos="426"/>
        </w:tabs>
        <w:ind w:left="426" w:hanging="568"/>
        <w:jc w:val="left"/>
        <w:rPr>
          <w:rFonts w:ascii="Arial" w:hAnsi="Arial" w:cs="Arial"/>
          <w:szCs w:val="24"/>
        </w:rPr>
      </w:pPr>
      <w:r w:rsidRPr="00293BA8">
        <w:rPr>
          <w:rFonts w:ascii="Arial" w:hAnsi="Arial" w:cs="Arial"/>
          <w:szCs w:val="24"/>
        </w:rPr>
        <w:t xml:space="preserve">The following table sets out the initial DSG </w:t>
      </w:r>
      <w:r w:rsidR="0077646D" w:rsidRPr="00293BA8">
        <w:rPr>
          <w:rFonts w:ascii="Arial" w:hAnsi="Arial" w:cs="Arial"/>
          <w:szCs w:val="24"/>
        </w:rPr>
        <w:t xml:space="preserve">and </w:t>
      </w:r>
      <w:r w:rsidR="0033734E" w:rsidRPr="00293BA8">
        <w:rPr>
          <w:rFonts w:ascii="Arial" w:hAnsi="Arial" w:cs="Arial"/>
          <w:szCs w:val="24"/>
        </w:rPr>
        <w:t>additional</w:t>
      </w:r>
      <w:r w:rsidR="0077646D" w:rsidRPr="00293BA8">
        <w:rPr>
          <w:rFonts w:ascii="Arial" w:hAnsi="Arial" w:cs="Arial"/>
          <w:szCs w:val="24"/>
        </w:rPr>
        <w:t xml:space="preserve"> grant</w:t>
      </w:r>
      <w:r w:rsidRPr="00293BA8">
        <w:rPr>
          <w:rFonts w:ascii="Arial" w:hAnsi="Arial" w:cs="Arial"/>
          <w:szCs w:val="24"/>
        </w:rPr>
        <w:t xml:space="preserve"> </w:t>
      </w:r>
      <w:r w:rsidR="00A80799" w:rsidRPr="00293BA8">
        <w:rPr>
          <w:rFonts w:ascii="Arial" w:hAnsi="Arial" w:cs="Arial"/>
          <w:szCs w:val="24"/>
        </w:rPr>
        <w:t xml:space="preserve">allocations </w:t>
      </w:r>
      <w:r w:rsidRPr="00293BA8">
        <w:rPr>
          <w:rFonts w:ascii="Arial" w:hAnsi="Arial" w:cs="Arial"/>
          <w:szCs w:val="24"/>
        </w:rPr>
        <w:t>and the proposed budgets for each block</w:t>
      </w:r>
      <w:r w:rsidR="00631FC5" w:rsidRPr="00293BA8">
        <w:rPr>
          <w:rFonts w:ascii="Arial" w:hAnsi="Arial" w:cs="Arial"/>
          <w:szCs w:val="24"/>
        </w:rPr>
        <w:t>:</w:t>
      </w:r>
    </w:p>
    <w:tbl>
      <w:tblPr>
        <w:tblW w:w="638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5"/>
        <w:gridCol w:w="1558"/>
        <w:gridCol w:w="1700"/>
        <w:gridCol w:w="1558"/>
      </w:tblGrid>
      <w:tr w:rsidR="0033457D" w:rsidRPr="0033457D" w14:paraId="088D95D6" w14:textId="11AC7E63" w:rsidTr="00EC4294">
        <w:tc>
          <w:tcPr>
            <w:tcW w:w="1565" w:type="dxa"/>
            <w:shd w:val="clear" w:color="auto" w:fill="auto"/>
          </w:tcPr>
          <w:p w14:paraId="2AE422DC" w14:textId="77777777" w:rsidR="00280D4A" w:rsidRPr="00BA4389" w:rsidRDefault="00280D4A" w:rsidP="00464FA0">
            <w:pPr>
              <w:pStyle w:val="Heading2"/>
              <w:keepNext w:val="0"/>
              <w:numPr>
                <w:ilvl w:val="0"/>
                <w:numId w:val="0"/>
              </w:numPr>
              <w:spacing w:after="0"/>
              <w:jc w:val="left"/>
              <w:rPr>
                <w:rFonts w:ascii="Arial" w:hAnsi="Arial" w:cs="Arial"/>
                <w:b/>
                <w:szCs w:val="24"/>
              </w:rPr>
            </w:pPr>
            <w:r w:rsidRPr="00BA4389">
              <w:rPr>
                <w:rFonts w:ascii="Arial" w:hAnsi="Arial" w:cs="Arial"/>
                <w:b/>
                <w:szCs w:val="24"/>
              </w:rPr>
              <w:t>Block</w:t>
            </w:r>
          </w:p>
        </w:tc>
        <w:tc>
          <w:tcPr>
            <w:tcW w:w="1558" w:type="dxa"/>
            <w:shd w:val="clear" w:color="auto" w:fill="auto"/>
          </w:tcPr>
          <w:p w14:paraId="0D1A2339" w14:textId="6F63528D" w:rsidR="00280D4A" w:rsidRPr="00BA4389" w:rsidRDefault="00183B9D" w:rsidP="00464FA0">
            <w:pPr>
              <w:pStyle w:val="Heading2"/>
              <w:keepNext w:val="0"/>
              <w:numPr>
                <w:ilvl w:val="0"/>
                <w:numId w:val="0"/>
              </w:numPr>
              <w:spacing w:after="0"/>
              <w:jc w:val="center"/>
              <w:rPr>
                <w:rFonts w:ascii="Arial" w:hAnsi="Arial" w:cs="Arial"/>
                <w:b/>
                <w:szCs w:val="24"/>
              </w:rPr>
            </w:pPr>
            <w:r w:rsidRPr="00BA4389">
              <w:rPr>
                <w:rFonts w:ascii="Arial" w:hAnsi="Arial" w:cs="Arial"/>
                <w:b/>
                <w:szCs w:val="24"/>
              </w:rPr>
              <w:t xml:space="preserve">Gross </w:t>
            </w:r>
            <w:r w:rsidR="00280D4A" w:rsidRPr="00BA4389">
              <w:rPr>
                <w:rFonts w:ascii="Arial" w:hAnsi="Arial" w:cs="Arial"/>
                <w:b/>
                <w:szCs w:val="24"/>
              </w:rPr>
              <w:t>DSG allocation</w:t>
            </w:r>
          </w:p>
        </w:tc>
        <w:tc>
          <w:tcPr>
            <w:tcW w:w="1700" w:type="dxa"/>
            <w:shd w:val="clear" w:color="auto" w:fill="auto"/>
          </w:tcPr>
          <w:p w14:paraId="3EC5F841" w14:textId="77777777" w:rsidR="00280D4A" w:rsidRPr="00BA4389" w:rsidRDefault="00280D4A" w:rsidP="00464FA0">
            <w:pPr>
              <w:pStyle w:val="Heading2"/>
              <w:keepNext w:val="0"/>
              <w:numPr>
                <w:ilvl w:val="0"/>
                <w:numId w:val="0"/>
              </w:numPr>
              <w:spacing w:after="0"/>
              <w:jc w:val="center"/>
              <w:rPr>
                <w:rFonts w:ascii="Arial" w:hAnsi="Arial" w:cs="Arial"/>
                <w:b/>
                <w:szCs w:val="24"/>
              </w:rPr>
            </w:pPr>
            <w:r w:rsidRPr="00BA4389">
              <w:rPr>
                <w:rFonts w:ascii="Arial" w:hAnsi="Arial" w:cs="Arial"/>
                <w:b/>
                <w:szCs w:val="24"/>
              </w:rPr>
              <w:t>Estimated recoupment</w:t>
            </w:r>
          </w:p>
        </w:tc>
        <w:tc>
          <w:tcPr>
            <w:tcW w:w="1558" w:type="dxa"/>
            <w:shd w:val="clear" w:color="auto" w:fill="auto"/>
          </w:tcPr>
          <w:p w14:paraId="479DB74B" w14:textId="5529FE6B" w:rsidR="00280D4A" w:rsidRPr="00BA4389" w:rsidRDefault="00183B9D" w:rsidP="00183B9D">
            <w:pPr>
              <w:pStyle w:val="Heading2"/>
              <w:keepNext w:val="0"/>
              <w:numPr>
                <w:ilvl w:val="0"/>
                <w:numId w:val="0"/>
              </w:numPr>
              <w:spacing w:after="0"/>
              <w:jc w:val="center"/>
              <w:rPr>
                <w:rFonts w:ascii="Arial" w:hAnsi="Arial" w:cs="Arial"/>
                <w:b/>
                <w:szCs w:val="24"/>
              </w:rPr>
            </w:pPr>
            <w:r w:rsidRPr="00BA4389">
              <w:rPr>
                <w:rFonts w:ascii="Arial" w:hAnsi="Arial" w:cs="Arial"/>
                <w:b/>
                <w:szCs w:val="24"/>
              </w:rPr>
              <w:t>Net DSG allocation</w:t>
            </w:r>
          </w:p>
        </w:tc>
      </w:tr>
      <w:tr w:rsidR="0033457D" w:rsidRPr="0033457D" w14:paraId="44A16CB2" w14:textId="3CED32E9" w:rsidTr="00EC4294">
        <w:tc>
          <w:tcPr>
            <w:tcW w:w="1565" w:type="dxa"/>
            <w:shd w:val="clear" w:color="auto" w:fill="auto"/>
          </w:tcPr>
          <w:p w14:paraId="3AB9E133" w14:textId="77777777" w:rsidR="00280D4A" w:rsidRPr="00BA4389" w:rsidRDefault="00280D4A" w:rsidP="00464FA0">
            <w:pPr>
              <w:pStyle w:val="Heading2"/>
              <w:keepNext w:val="0"/>
              <w:numPr>
                <w:ilvl w:val="0"/>
                <w:numId w:val="0"/>
              </w:numPr>
              <w:spacing w:after="0"/>
              <w:jc w:val="left"/>
              <w:rPr>
                <w:rFonts w:ascii="Arial" w:hAnsi="Arial" w:cs="Arial"/>
                <w:b/>
                <w:szCs w:val="24"/>
              </w:rPr>
            </w:pPr>
          </w:p>
        </w:tc>
        <w:tc>
          <w:tcPr>
            <w:tcW w:w="1558" w:type="dxa"/>
            <w:shd w:val="clear" w:color="auto" w:fill="auto"/>
          </w:tcPr>
          <w:p w14:paraId="08012CAF" w14:textId="77777777" w:rsidR="00280D4A" w:rsidRPr="00BA4389" w:rsidRDefault="00280D4A" w:rsidP="00464FA0">
            <w:pPr>
              <w:pStyle w:val="Heading2"/>
              <w:keepNext w:val="0"/>
              <w:numPr>
                <w:ilvl w:val="0"/>
                <w:numId w:val="0"/>
              </w:numPr>
              <w:spacing w:after="0"/>
              <w:jc w:val="center"/>
              <w:rPr>
                <w:rFonts w:ascii="Arial" w:hAnsi="Arial" w:cs="Arial"/>
                <w:b/>
                <w:szCs w:val="24"/>
              </w:rPr>
            </w:pPr>
            <w:r w:rsidRPr="00BA4389">
              <w:rPr>
                <w:rFonts w:ascii="Arial" w:hAnsi="Arial" w:cs="Arial"/>
                <w:b/>
                <w:szCs w:val="24"/>
              </w:rPr>
              <w:t>£000</w:t>
            </w:r>
          </w:p>
        </w:tc>
        <w:tc>
          <w:tcPr>
            <w:tcW w:w="1700" w:type="dxa"/>
            <w:shd w:val="clear" w:color="auto" w:fill="auto"/>
          </w:tcPr>
          <w:p w14:paraId="301BF02B" w14:textId="77777777" w:rsidR="00280D4A" w:rsidRPr="00BA4389" w:rsidRDefault="00280D4A" w:rsidP="00464FA0">
            <w:pPr>
              <w:pStyle w:val="Heading2"/>
              <w:keepNext w:val="0"/>
              <w:numPr>
                <w:ilvl w:val="0"/>
                <w:numId w:val="0"/>
              </w:numPr>
              <w:spacing w:after="0"/>
              <w:jc w:val="center"/>
              <w:rPr>
                <w:rFonts w:ascii="Arial" w:hAnsi="Arial" w:cs="Arial"/>
                <w:b/>
                <w:szCs w:val="24"/>
              </w:rPr>
            </w:pPr>
            <w:r w:rsidRPr="00BA4389">
              <w:rPr>
                <w:rFonts w:ascii="Arial" w:hAnsi="Arial" w:cs="Arial"/>
                <w:b/>
                <w:szCs w:val="24"/>
              </w:rPr>
              <w:t>£000</w:t>
            </w:r>
          </w:p>
        </w:tc>
        <w:tc>
          <w:tcPr>
            <w:tcW w:w="1558" w:type="dxa"/>
            <w:shd w:val="clear" w:color="auto" w:fill="auto"/>
          </w:tcPr>
          <w:p w14:paraId="3AD97D1C" w14:textId="77777777" w:rsidR="00280D4A" w:rsidRPr="00BA4389" w:rsidRDefault="00280D4A" w:rsidP="00464FA0">
            <w:pPr>
              <w:pStyle w:val="Heading2"/>
              <w:keepNext w:val="0"/>
              <w:numPr>
                <w:ilvl w:val="0"/>
                <w:numId w:val="0"/>
              </w:numPr>
              <w:spacing w:after="0"/>
              <w:jc w:val="center"/>
              <w:rPr>
                <w:rFonts w:ascii="Arial" w:hAnsi="Arial" w:cs="Arial"/>
                <w:b/>
                <w:szCs w:val="24"/>
              </w:rPr>
            </w:pPr>
            <w:r w:rsidRPr="00BA4389">
              <w:rPr>
                <w:rFonts w:ascii="Arial" w:hAnsi="Arial" w:cs="Arial"/>
                <w:b/>
                <w:szCs w:val="24"/>
              </w:rPr>
              <w:t>£000</w:t>
            </w:r>
          </w:p>
        </w:tc>
      </w:tr>
      <w:tr w:rsidR="0033457D" w:rsidRPr="0033457D" w14:paraId="3C062DE5" w14:textId="6FDDC59B" w:rsidTr="00EC4294">
        <w:tc>
          <w:tcPr>
            <w:tcW w:w="1565" w:type="dxa"/>
            <w:shd w:val="clear" w:color="auto" w:fill="auto"/>
          </w:tcPr>
          <w:p w14:paraId="7FD3B41D" w14:textId="77777777" w:rsidR="00133A34" w:rsidRPr="00BA4389" w:rsidRDefault="00133A34" w:rsidP="00B55ECD">
            <w:pPr>
              <w:pStyle w:val="Heading2"/>
              <w:keepNext w:val="0"/>
              <w:numPr>
                <w:ilvl w:val="0"/>
                <w:numId w:val="0"/>
              </w:numPr>
              <w:spacing w:after="0"/>
              <w:jc w:val="left"/>
              <w:rPr>
                <w:rFonts w:ascii="Arial" w:hAnsi="Arial" w:cs="Arial"/>
                <w:szCs w:val="24"/>
              </w:rPr>
            </w:pPr>
            <w:r w:rsidRPr="00BA4389">
              <w:rPr>
                <w:rFonts w:ascii="Arial" w:hAnsi="Arial" w:cs="Arial"/>
                <w:szCs w:val="24"/>
              </w:rPr>
              <w:t>Early Years</w:t>
            </w:r>
          </w:p>
        </w:tc>
        <w:tc>
          <w:tcPr>
            <w:tcW w:w="1558" w:type="dxa"/>
            <w:shd w:val="clear" w:color="auto" w:fill="auto"/>
          </w:tcPr>
          <w:p w14:paraId="77B1B95D" w14:textId="5D1FBB6A" w:rsidR="00133A34" w:rsidRPr="00F70F8F" w:rsidRDefault="00193B6E" w:rsidP="00B55ECD">
            <w:pPr>
              <w:pStyle w:val="Heading2"/>
              <w:keepNext w:val="0"/>
              <w:numPr>
                <w:ilvl w:val="0"/>
                <w:numId w:val="0"/>
              </w:numPr>
              <w:spacing w:after="0"/>
              <w:jc w:val="right"/>
              <w:rPr>
                <w:rFonts w:ascii="Arial" w:hAnsi="Arial" w:cs="Arial"/>
                <w:szCs w:val="24"/>
              </w:rPr>
            </w:pPr>
            <w:r w:rsidRPr="00F70F8F">
              <w:rPr>
                <w:rFonts w:ascii="Arial" w:hAnsi="Arial" w:cs="Arial"/>
              </w:rPr>
              <w:t>219,185</w:t>
            </w:r>
          </w:p>
        </w:tc>
        <w:tc>
          <w:tcPr>
            <w:tcW w:w="1700" w:type="dxa"/>
            <w:shd w:val="clear" w:color="auto" w:fill="auto"/>
          </w:tcPr>
          <w:p w14:paraId="7821164C" w14:textId="77777777" w:rsidR="00133A34" w:rsidRPr="00C257F1" w:rsidRDefault="00133A34" w:rsidP="00B55ECD">
            <w:pPr>
              <w:pStyle w:val="Heading2"/>
              <w:keepNext w:val="0"/>
              <w:numPr>
                <w:ilvl w:val="0"/>
                <w:numId w:val="0"/>
              </w:numPr>
              <w:spacing w:after="0"/>
              <w:jc w:val="right"/>
              <w:rPr>
                <w:rFonts w:ascii="Arial" w:hAnsi="Arial" w:cs="Arial"/>
                <w:szCs w:val="24"/>
              </w:rPr>
            </w:pPr>
          </w:p>
        </w:tc>
        <w:tc>
          <w:tcPr>
            <w:tcW w:w="1558" w:type="dxa"/>
            <w:shd w:val="clear" w:color="auto" w:fill="auto"/>
          </w:tcPr>
          <w:p w14:paraId="28616902" w14:textId="108252A7" w:rsidR="00133A34" w:rsidRPr="00C257F1" w:rsidRDefault="00DD1D5A" w:rsidP="00B55ECD">
            <w:pPr>
              <w:pStyle w:val="Heading2"/>
              <w:keepNext w:val="0"/>
              <w:numPr>
                <w:ilvl w:val="0"/>
                <w:numId w:val="0"/>
              </w:numPr>
              <w:spacing w:after="0"/>
              <w:jc w:val="right"/>
              <w:rPr>
                <w:rFonts w:ascii="Arial" w:hAnsi="Arial" w:cs="Arial"/>
                <w:szCs w:val="24"/>
              </w:rPr>
            </w:pPr>
            <w:r w:rsidRPr="00F70F8F">
              <w:rPr>
                <w:rFonts w:ascii="Arial" w:hAnsi="Arial" w:cs="Arial"/>
              </w:rPr>
              <w:t>219,185</w:t>
            </w:r>
          </w:p>
        </w:tc>
      </w:tr>
      <w:tr w:rsidR="0033457D" w:rsidRPr="0033457D" w14:paraId="3E0CE74B" w14:textId="34F11901" w:rsidTr="00EC4294">
        <w:tc>
          <w:tcPr>
            <w:tcW w:w="1565" w:type="dxa"/>
            <w:shd w:val="clear" w:color="auto" w:fill="auto"/>
          </w:tcPr>
          <w:p w14:paraId="541B7E8F" w14:textId="77777777" w:rsidR="00133A34" w:rsidRPr="00BA4389" w:rsidRDefault="00133A34" w:rsidP="00B55ECD">
            <w:pPr>
              <w:pStyle w:val="Heading2"/>
              <w:keepNext w:val="0"/>
              <w:numPr>
                <w:ilvl w:val="0"/>
                <w:numId w:val="0"/>
              </w:numPr>
              <w:spacing w:after="0"/>
              <w:jc w:val="left"/>
              <w:rPr>
                <w:rFonts w:ascii="Arial" w:hAnsi="Arial" w:cs="Arial"/>
                <w:szCs w:val="24"/>
              </w:rPr>
            </w:pPr>
            <w:r w:rsidRPr="00BA4389">
              <w:rPr>
                <w:rFonts w:ascii="Arial" w:hAnsi="Arial" w:cs="Arial"/>
                <w:szCs w:val="24"/>
              </w:rPr>
              <w:t>Schools</w:t>
            </w:r>
          </w:p>
        </w:tc>
        <w:tc>
          <w:tcPr>
            <w:tcW w:w="1558" w:type="dxa"/>
            <w:shd w:val="clear" w:color="auto" w:fill="auto"/>
          </w:tcPr>
          <w:p w14:paraId="3DD32205" w14:textId="57777F3F" w:rsidR="00133A34" w:rsidRPr="00F70F8F" w:rsidRDefault="00FD31E9" w:rsidP="00B55ECD">
            <w:pPr>
              <w:pStyle w:val="Heading2"/>
              <w:keepNext w:val="0"/>
              <w:numPr>
                <w:ilvl w:val="0"/>
                <w:numId w:val="0"/>
              </w:numPr>
              <w:spacing w:after="0"/>
              <w:jc w:val="right"/>
              <w:rPr>
                <w:rFonts w:ascii="Arial" w:hAnsi="Arial" w:cs="Arial"/>
                <w:szCs w:val="24"/>
              </w:rPr>
            </w:pPr>
            <w:r w:rsidRPr="00F70F8F">
              <w:rPr>
                <w:rFonts w:ascii="Arial" w:hAnsi="Arial" w:cs="Arial"/>
              </w:rPr>
              <w:t>1,067,</w:t>
            </w:r>
            <w:r w:rsidRPr="00E15246">
              <w:rPr>
                <w:rFonts w:ascii="Arial" w:hAnsi="Arial" w:cs="Arial"/>
              </w:rPr>
              <w:t>67</w:t>
            </w:r>
            <w:r w:rsidR="00A225B4">
              <w:rPr>
                <w:rFonts w:ascii="Arial" w:hAnsi="Arial" w:cs="Arial"/>
              </w:rPr>
              <w:t>9</w:t>
            </w:r>
          </w:p>
        </w:tc>
        <w:tc>
          <w:tcPr>
            <w:tcW w:w="1700" w:type="dxa"/>
            <w:shd w:val="clear" w:color="auto" w:fill="auto"/>
          </w:tcPr>
          <w:p w14:paraId="67CCED22" w14:textId="78699F9D" w:rsidR="00133A34" w:rsidRPr="00C257F1" w:rsidRDefault="00133A34" w:rsidP="00B55ECD">
            <w:pPr>
              <w:pStyle w:val="Heading2"/>
              <w:keepNext w:val="0"/>
              <w:numPr>
                <w:ilvl w:val="0"/>
                <w:numId w:val="0"/>
              </w:numPr>
              <w:spacing w:after="0"/>
              <w:jc w:val="right"/>
              <w:rPr>
                <w:rFonts w:ascii="Arial" w:hAnsi="Arial" w:cs="Arial"/>
                <w:szCs w:val="24"/>
              </w:rPr>
            </w:pPr>
            <w:r w:rsidRPr="00C257F1">
              <w:rPr>
                <w:rFonts w:ascii="Arial" w:hAnsi="Arial" w:cs="Arial"/>
                <w:szCs w:val="24"/>
              </w:rPr>
              <w:t>(</w:t>
            </w:r>
            <w:r w:rsidR="00B340BB" w:rsidRPr="00C257F1">
              <w:rPr>
                <w:rFonts w:ascii="Arial" w:hAnsi="Arial" w:cs="Arial"/>
                <w:szCs w:val="24"/>
              </w:rPr>
              <w:t>3</w:t>
            </w:r>
            <w:r w:rsidR="0079093E" w:rsidRPr="00C257F1">
              <w:rPr>
                <w:rFonts w:ascii="Arial" w:hAnsi="Arial" w:cs="Arial"/>
                <w:szCs w:val="24"/>
              </w:rPr>
              <w:t>2</w:t>
            </w:r>
            <w:r w:rsidR="00B340BB" w:rsidRPr="00C257F1">
              <w:rPr>
                <w:rFonts w:ascii="Arial" w:hAnsi="Arial" w:cs="Arial"/>
                <w:szCs w:val="24"/>
              </w:rPr>
              <w:t>9</w:t>
            </w:r>
            <w:r w:rsidR="00CF51A8" w:rsidRPr="00C257F1">
              <w:rPr>
                <w:rFonts w:ascii="Arial" w:hAnsi="Arial" w:cs="Arial"/>
                <w:szCs w:val="24"/>
              </w:rPr>
              <w:t>,</w:t>
            </w:r>
            <w:r w:rsidR="00B340BB" w:rsidRPr="00C257F1">
              <w:rPr>
                <w:rFonts w:ascii="Arial" w:hAnsi="Arial" w:cs="Arial"/>
                <w:szCs w:val="24"/>
              </w:rPr>
              <w:t>2</w:t>
            </w:r>
            <w:r w:rsidR="004B7B28">
              <w:rPr>
                <w:rFonts w:ascii="Arial" w:hAnsi="Arial" w:cs="Arial"/>
                <w:szCs w:val="24"/>
              </w:rPr>
              <w:t>60</w:t>
            </w:r>
            <w:r w:rsidRPr="00C257F1">
              <w:rPr>
                <w:rFonts w:ascii="Arial" w:hAnsi="Arial" w:cs="Arial"/>
                <w:szCs w:val="24"/>
              </w:rPr>
              <w:t>)</w:t>
            </w:r>
          </w:p>
        </w:tc>
        <w:tc>
          <w:tcPr>
            <w:tcW w:w="1558" w:type="dxa"/>
            <w:shd w:val="clear" w:color="auto" w:fill="auto"/>
          </w:tcPr>
          <w:p w14:paraId="3BB230F4" w14:textId="7AE8D21D" w:rsidR="00133A34" w:rsidRPr="00C257F1" w:rsidRDefault="005B11BC" w:rsidP="00B55ECD">
            <w:pPr>
              <w:pStyle w:val="Heading2"/>
              <w:keepNext w:val="0"/>
              <w:numPr>
                <w:ilvl w:val="0"/>
                <w:numId w:val="0"/>
              </w:numPr>
              <w:spacing w:after="0"/>
              <w:jc w:val="right"/>
              <w:rPr>
                <w:rFonts w:ascii="Arial" w:hAnsi="Arial" w:cs="Arial"/>
                <w:szCs w:val="24"/>
              </w:rPr>
            </w:pPr>
            <w:r w:rsidRPr="00C257F1">
              <w:rPr>
                <w:rFonts w:ascii="Arial" w:hAnsi="Arial" w:cs="Arial"/>
              </w:rPr>
              <w:t>7</w:t>
            </w:r>
            <w:r w:rsidR="00B971AC" w:rsidRPr="00C257F1">
              <w:rPr>
                <w:rFonts w:ascii="Arial" w:hAnsi="Arial" w:cs="Arial"/>
              </w:rPr>
              <w:t>38</w:t>
            </w:r>
            <w:r w:rsidR="001407B9" w:rsidRPr="00C257F1">
              <w:rPr>
                <w:rFonts w:ascii="Arial" w:hAnsi="Arial" w:cs="Arial"/>
              </w:rPr>
              <w:t>,</w:t>
            </w:r>
            <w:r w:rsidR="00B971AC" w:rsidRPr="00C257F1">
              <w:rPr>
                <w:rFonts w:ascii="Arial" w:hAnsi="Arial" w:cs="Arial"/>
              </w:rPr>
              <w:t>4</w:t>
            </w:r>
            <w:r w:rsidR="00927E30">
              <w:rPr>
                <w:rFonts w:ascii="Arial" w:hAnsi="Arial" w:cs="Arial"/>
              </w:rPr>
              <w:t>19</w:t>
            </w:r>
          </w:p>
        </w:tc>
      </w:tr>
      <w:tr w:rsidR="0033457D" w:rsidRPr="0033457D" w14:paraId="569D3DE0" w14:textId="368059D6" w:rsidTr="00EC4294">
        <w:tc>
          <w:tcPr>
            <w:tcW w:w="1565" w:type="dxa"/>
            <w:shd w:val="clear" w:color="auto" w:fill="auto"/>
          </w:tcPr>
          <w:p w14:paraId="1011FC3E" w14:textId="77777777" w:rsidR="00133A34" w:rsidRPr="00BA4389" w:rsidRDefault="00133A34" w:rsidP="00B55ECD">
            <w:pPr>
              <w:pStyle w:val="Heading2"/>
              <w:keepNext w:val="0"/>
              <w:numPr>
                <w:ilvl w:val="0"/>
                <w:numId w:val="0"/>
              </w:numPr>
              <w:spacing w:after="0"/>
              <w:jc w:val="left"/>
              <w:rPr>
                <w:rFonts w:ascii="Arial" w:hAnsi="Arial" w:cs="Arial"/>
                <w:szCs w:val="24"/>
              </w:rPr>
            </w:pPr>
            <w:r w:rsidRPr="00BA4389">
              <w:rPr>
                <w:rFonts w:ascii="Arial" w:hAnsi="Arial" w:cs="Arial"/>
                <w:szCs w:val="24"/>
              </w:rPr>
              <w:t>High Needs</w:t>
            </w:r>
          </w:p>
        </w:tc>
        <w:tc>
          <w:tcPr>
            <w:tcW w:w="1558" w:type="dxa"/>
            <w:shd w:val="clear" w:color="auto" w:fill="auto"/>
          </w:tcPr>
          <w:p w14:paraId="1D06A1C1" w14:textId="1074BCCD" w:rsidR="00133A34" w:rsidRPr="00F70F8F" w:rsidRDefault="00FD31E9" w:rsidP="00B55ECD">
            <w:pPr>
              <w:pStyle w:val="Heading2"/>
              <w:keepNext w:val="0"/>
              <w:numPr>
                <w:ilvl w:val="0"/>
                <w:numId w:val="0"/>
              </w:numPr>
              <w:spacing w:after="0"/>
              <w:jc w:val="right"/>
              <w:rPr>
                <w:rFonts w:ascii="Arial" w:hAnsi="Arial" w:cs="Arial"/>
                <w:szCs w:val="24"/>
              </w:rPr>
            </w:pPr>
            <w:r w:rsidRPr="00F70F8F">
              <w:rPr>
                <w:rFonts w:ascii="Arial" w:hAnsi="Arial" w:cs="Arial"/>
              </w:rPr>
              <w:t>224,</w:t>
            </w:r>
            <w:r w:rsidR="00F70F8F" w:rsidRPr="00F70F8F">
              <w:rPr>
                <w:rFonts w:ascii="Arial" w:hAnsi="Arial" w:cs="Arial"/>
              </w:rPr>
              <w:t>713</w:t>
            </w:r>
          </w:p>
        </w:tc>
        <w:tc>
          <w:tcPr>
            <w:tcW w:w="1700" w:type="dxa"/>
            <w:shd w:val="clear" w:color="auto" w:fill="auto"/>
          </w:tcPr>
          <w:p w14:paraId="22782AAD" w14:textId="52774742" w:rsidR="00133A34" w:rsidRPr="00C257F1" w:rsidRDefault="0065102D" w:rsidP="00B55ECD">
            <w:pPr>
              <w:pStyle w:val="Heading2"/>
              <w:keepNext w:val="0"/>
              <w:numPr>
                <w:ilvl w:val="0"/>
                <w:numId w:val="0"/>
              </w:numPr>
              <w:spacing w:after="0"/>
              <w:jc w:val="right"/>
              <w:rPr>
                <w:rFonts w:ascii="Arial" w:hAnsi="Arial" w:cs="Arial"/>
                <w:szCs w:val="24"/>
              </w:rPr>
            </w:pPr>
            <w:r w:rsidRPr="00E15246">
              <w:rPr>
                <w:rFonts w:ascii="Arial" w:hAnsi="Arial" w:cs="Arial"/>
                <w:szCs w:val="24"/>
              </w:rPr>
              <w:t>(</w:t>
            </w:r>
            <w:r w:rsidR="00F70F8F" w:rsidRPr="00E15246">
              <w:rPr>
                <w:rFonts w:ascii="Arial" w:hAnsi="Arial" w:cs="Arial"/>
                <w:szCs w:val="24"/>
              </w:rPr>
              <w:t>1</w:t>
            </w:r>
            <w:r w:rsidR="008763C8">
              <w:rPr>
                <w:rFonts w:ascii="Arial" w:hAnsi="Arial" w:cs="Arial"/>
                <w:szCs w:val="24"/>
              </w:rPr>
              <w:t>4,800</w:t>
            </w:r>
            <w:r w:rsidRPr="00E15246">
              <w:rPr>
                <w:rFonts w:ascii="Arial" w:hAnsi="Arial" w:cs="Arial"/>
                <w:szCs w:val="24"/>
              </w:rPr>
              <w:t>)</w:t>
            </w:r>
          </w:p>
        </w:tc>
        <w:tc>
          <w:tcPr>
            <w:tcW w:w="1558" w:type="dxa"/>
            <w:shd w:val="clear" w:color="auto" w:fill="auto"/>
          </w:tcPr>
          <w:p w14:paraId="770A0636" w14:textId="379ED00A" w:rsidR="00133A34" w:rsidRPr="00C257F1" w:rsidRDefault="00D16B59" w:rsidP="00B55ECD">
            <w:pPr>
              <w:pStyle w:val="Heading2"/>
              <w:keepNext w:val="0"/>
              <w:numPr>
                <w:ilvl w:val="0"/>
                <w:numId w:val="0"/>
              </w:numPr>
              <w:spacing w:after="0"/>
              <w:jc w:val="right"/>
              <w:rPr>
                <w:rFonts w:ascii="Arial" w:hAnsi="Arial" w:cs="Arial"/>
                <w:szCs w:val="24"/>
              </w:rPr>
            </w:pPr>
            <w:r>
              <w:rPr>
                <w:rFonts w:ascii="Arial" w:hAnsi="Arial" w:cs="Arial"/>
              </w:rPr>
              <w:t>209,913</w:t>
            </w:r>
          </w:p>
        </w:tc>
      </w:tr>
      <w:tr w:rsidR="0033457D" w:rsidRPr="0033457D" w14:paraId="5F43D393" w14:textId="41694C14" w:rsidTr="00EC4294">
        <w:tc>
          <w:tcPr>
            <w:tcW w:w="1565" w:type="dxa"/>
            <w:shd w:val="clear" w:color="auto" w:fill="auto"/>
          </w:tcPr>
          <w:p w14:paraId="695BA8BE" w14:textId="783E73D0" w:rsidR="00133A34" w:rsidRPr="00BA4389" w:rsidRDefault="00133A34" w:rsidP="00B55ECD">
            <w:pPr>
              <w:pStyle w:val="Heading2"/>
              <w:keepNext w:val="0"/>
              <w:numPr>
                <w:ilvl w:val="0"/>
                <w:numId w:val="0"/>
              </w:numPr>
              <w:spacing w:after="0"/>
              <w:jc w:val="left"/>
              <w:rPr>
                <w:rFonts w:ascii="Arial" w:hAnsi="Arial" w:cs="Arial"/>
                <w:szCs w:val="24"/>
              </w:rPr>
            </w:pPr>
            <w:r w:rsidRPr="00BA4389">
              <w:rPr>
                <w:rFonts w:ascii="Arial" w:hAnsi="Arial" w:cs="Arial"/>
                <w:szCs w:val="24"/>
              </w:rPr>
              <w:t>CSSB</w:t>
            </w:r>
          </w:p>
        </w:tc>
        <w:tc>
          <w:tcPr>
            <w:tcW w:w="1558" w:type="dxa"/>
            <w:shd w:val="clear" w:color="auto" w:fill="auto"/>
          </w:tcPr>
          <w:p w14:paraId="7C657037" w14:textId="07DAF234" w:rsidR="00133A34" w:rsidRPr="00F70F8F" w:rsidRDefault="00F70F8F" w:rsidP="00B55ECD">
            <w:pPr>
              <w:pStyle w:val="Heading2"/>
              <w:keepNext w:val="0"/>
              <w:numPr>
                <w:ilvl w:val="0"/>
                <w:numId w:val="0"/>
              </w:numPr>
              <w:spacing w:after="0"/>
              <w:jc w:val="right"/>
              <w:rPr>
                <w:rFonts w:ascii="Arial" w:hAnsi="Arial" w:cs="Arial"/>
                <w:szCs w:val="24"/>
              </w:rPr>
            </w:pPr>
            <w:r w:rsidRPr="00F70F8F">
              <w:rPr>
                <w:rFonts w:ascii="Arial" w:hAnsi="Arial" w:cs="Arial"/>
              </w:rPr>
              <w:t>8,946</w:t>
            </w:r>
          </w:p>
        </w:tc>
        <w:tc>
          <w:tcPr>
            <w:tcW w:w="1700" w:type="dxa"/>
            <w:shd w:val="clear" w:color="auto" w:fill="auto"/>
          </w:tcPr>
          <w:p w14:paraId="5A8EDD19" w14:textId="77777777" w:rsidR="00133A34" w:rsidRPr="00C257F1" w:rsidRDefault="00133A34" w:rsidP="00B55ECD">
            <w:pPr>
              <w:pStyle w:val="Heading2"/>
              <w:keepNext w:val="0"/>
              <w:numPr>
                <w:ilvl w:val="0"/>
                <w:numId w:val="0"/>
              </w:numPr>
              <w:spacing w:after="0"/>
              <w:jc w:val="right"/>
              <w:rPr>
                <w:rFonts w:ascii="Arial" w:hAnsi="Arial" w:cs="Arial"/>
                <w:szCs w:val="24"/>
              </w:rPr>
            </w:pPr>
          </w:p>
        </w:tc>
        <w:tc>
          <w:tcPr>
            <w:tcW w:w="1558" w:type="dxa"/>
            <w:shd w:val="clear" w:color="auto" w:fill="auto"/>
          </w:tcPr>
          <w:p w14:paraId="35C4F04F" w14:textId="24A964AB" w:rsidR="00133A34" w:rsidRPr="00C257F1" w:rsidRDefault="00267E52" w:rsidP="00B55ECD">
            <w:pPr>
              <w:pStyle w:val="Heading2"/>
              <w:keepNext w:val="0"/>
              <w:numPr>
                <w:ilvl w:val="0"/>
                <w:numId w:val="0"/>
              </w:numPr>
              <w:spacing w:after="0"/>
              <w:jc w:val="right"/>
              <w:rPr>
                <w:rFonts w:ascii="Arial" w:hAnsi="Arial" w:cs="Arial"/>
                <w:szCs w:val="24"/>
              </w:rPr>
            </w:pPr>
            <w:r w:rsidRPr="00267E52">
              <w:rPr>
                <w:rFonts w:ascii="Arial" w:hAnsi="Arial" w:cs="Arial"/>
              </w:rPr>
              <w:t>8,946</w:t>
            </w:r>
          </w:p>
        </w:tc>
      </w:tr>
      <w:tr w:rsidR="00702642" w:rsidRPr="0033457D" w14:paraId="22CBD5D2" w14:textId="439BBE0C" w:rsidTr="00EC4294">
        <w:tc>
          <w:tcPr>
            <w:tcW w:w="1565" w:type="dxa"/>
            <w:shd w:val="clear" w:color="auto" w:fill="auto"/>
          </w:tcPr>
          <w:p w14:paraId="4818962E" w14:textId="77777777" w:rsidR="00133A34" w:rsidRPr="00BA4389" w:rsidRDefault="00133A34" w:rsidP="00B55ECD">
            <w:pPr>
              <w:pStyle w:val="Heading2"/>
              <w:keepNext w:val="0"/>
              <w:numPr>
                <w:ilvl w:val="0"/>
                <w:numId w:val="0"/>
              </w:numPr>
              <w:spacing w:after="0"/>
              <w:jc w:val="left"/>
              <w:rPr>
                <w:rFonts w:ascii="Arial" w:hAnsi="Arial" w:cs="Arial"/>
                <w:b/>
                <w:szCs w:val="24"/>
              </w:rPr>
            </w:pPr>
            <w:r w:rsidRPr="00BA4389">
              <w:rPr>
                <w:rFonts w:ascii="Arial" w:hAnsi="Arial" w:cs="Arial"/>
                <w:b/>
                <w:szCs w:val="24"/>
              </w:rPr>
              <w:t>Total DSG</w:t>
            </w:r>
          </w:p>
        </w:tc>
        <w:tc>
          <w:tcPr>
            <w:tcW w:w="1558" w:type="dxa"/>
            <w:shd w:val="clear" w:color="auto" w:fill="auto"/>
          </w:tcPr>
          <w:p w14:paraId="72462C23" w14:textId="526DB2B6" w:rsidR="00133A34" w:rsidRPr="00F70F8F" w:rsidRDefault="00133A34" w:rsidP="00B55ECD">
            <w:pPr>
              <w:pStyle w:val="Heading2"/>
              <w:keepNext w:val="0"/>
              <w:numPr>
                <w:ilvl w:val="0"/>
                <w:numId w:val="0"/>
              </w:numPr>
              <w:spacing w:after="0"/>
              <w:jc w:val="right"/>
              <w:rPr>
                <w:rFonts w:ascii="Arial" w:hAnsi="Arial" w:cs="Arial"/>
                <w:b/>
                <w:szCs w:val="24"/>
              </w:rPr>
            </w:pPr>
            <w:r w:rsidRPr="00F70F8F">
              <w:rPr>
                <w:rFonts w:ascii="Arial" w:hAnsi="Arial" w:cs="Arial"/>
                <w:b/>
                <w:bCs/>
              </w:rPr>
              <w:t>1,</w:t>
            </w:r>
            <w:r w:rsidR="00F70F8F" w:rsidRPr="00F70F8F">
              <w:rPr>
                <w:rFonts w:ascii="Arial" w:hAnsi="Arial" w:cs="Arial"/>
                <w:b/>
                <w:bCs/>
              </w:rPr>
              <w:t>520,523</w:t>
            </w:r>
          </w:p>
        </w:tc>
        <w:tc>
          <w:tcPr>
            <w:tcW w:w="1700" w:type="dxa"/>
            <w:shd w:val="clear" w:color="auto" w:fill="auto"/>
          </w:tcPr>
          <w:p w14:paraId="09183B38" w14:textId="1294ABA6" w:rsidR="00133A34" w:rsidRPr="00C257F1" w:rsidRDefault="00133A34" w:rsidP="00F83007">
            <w:pPr>
              <w:pStyle w:val="Heading2"/>
              <w:keepNext w:val="0"/>
              <w:numPr>
                <w:ilvl w:val="0"/>
                <w:numId w:val="0"/>
              </w:numPr>
              <w:spacing w:after="0"/>
              <w:jc w:val="right"/>
              <w:rPr>
                <w:rFonts w:ascii="Arial" w:hAnsi="Arial" w:cs="Arial"/>
                <w:b/>
                <w:szCs w:val="24"/>
              </w:rPr>
            </w:pPr>
            <w:r w:rsidRPr="00C257F1">
              <w:rPr>
                <w:rFonts w:ascii="Arial" w:hAnsi="Arial" w:cs="Arial"/>
                <w:b/>
                <w:bCs/>
                <w:szCs w:val="24"/>
              </w:rPr>
              <w:t>(</w:t>
            </w:r>
            <w:r w:rsidR="00791B3F" w:rsidRPr="00C257F1">
              <w:rPr>
                <w:rFonts w:ascii="Arial" w:hAnsi="Arial" w:cs="Arial"/>
                <w:b/>
                <w:bCs/>
                <w:szCs w:val="24"/>
              </w:rPr>
              <w:t>34</w:t>
            </w:r>
            <w:r w:rsidR="00F04EC6" w:rsidRPr="00C257F1">
              <w:rPr>
                <w:rFonts w:ascii="Arial" w:hAnsi="Arial" w:cs="Arial"/>
                <w:b/>
                <w:bCs/>
                <w:szCs w:val="24"/>
              </w:rPr>
              <w:t>4</w:t>
            </w:r>
            <w:r w:rsidR="00037B2D" w:rsidRPr="00C257F1">
              <w:rPr>
                <w:rFonts w:ascii="Arial" w:hAnsi="Arial" w:cs="Arial"/>
                <w:b/>
                <w:bCs/>
                <w:szCs w:val="24"/>
              </w:rPr>
              <w:t>,</w:t>
            </w:r>
            <w:r w:rsidR="00791B3F" w:rsidRPr="00C257F1">
              <w:rPr>
                <w:rFonts w:ascii="Arial" w:hAnsi="Arial" w:cs="Arial"/>
                <w:b/>
                <w:bCs/>
                <w:szCs w:val="24"/>
              </w:rPr>
              <w:t>0</w:t>
            </w:r>
            <w:r w:rsidR="007414AD">
              <w:rPr>
                <w:rFonts w:ascii="Arial" w:hAnsi="Arial" w:cs="Arial"/>
                <w:b/>
                <w:bCs/>
                <w:szCs w:val="24"/>
              </w:rPr>
              <w:t>60</w:t>
            </w:r>
            <w:r w:rsidRPr="00C257F1">
              <w:rPr>
                <w:rFonts w:ascii="Arial" w:hAnsi="Arial" w:cs="Arial"/>
                <w:b/>
                <w:bCs/>
                <w:szCs w:val="24"/>
              </w:rPr>
              <w:t>)</w:t>
            </w:r>
          </w:p>
        </w:tc>
        <w:tc>
          <w:tcPr>
            <w:tcW w:w="1558" w:type="dxa"/>
            <w:shd w:val="clear" w:color="auto" w:fill="auto"/>
          </w:tcPr>
          <w:p w14:paraId="01A49A9B" w14:textId="47E5F94B" w:rsidR="00133A34" w:rsidRPr="00C257F1" w:rsidRDefault="00037B2D" w:rsidP="00B55ECD">
            <w:pPr>
              <w:pStyle w:val="Heading2"/>
              <w:keepNext w:val="0"/>
              <w:numPr>
                <w:ilvl w:val="0"/>
                <w:numId w:val="0"/>
              </w:numPr>
              <w:spacing w:after="0"/>
              <w:jc w:val="right"/>
              <w:rPr>
                <w:rFonts w:ascii="Arial" w:hAnsi="Arial" w:cs="Arial"/>
                <w:b/>
                <w:szCs w:val="24"/>
              </w:rPr>
            </w:pPr>
            <w:r w:rsidRPr="00C257F1">
              <w:rPr>
                <w:rFonts w:ascii="Arial" w:hAnsi="Arial" w:cs="Arial"/>
                <w:b/>
                <w:bCs/>
              </w:rPr>
              <w:t>1,</w:t>
            </w:r>
            <w:r w:rsidR="002037C6" w:rsidRPr="00C257F1">
              <w:rPr>
                <w:rFonts w:ascii="Arial" w:hAnsi="Arial" w:cs="Arial"/>
                <w:b/>
                <w:bCs/>
              </w:rPr>
              <w:t>176</w:t>
            </w:r>
            <w:r w:rsidR="007264BD" w:rsidRPr="00C257F1">
              <w:rPr>
                <w:rFonts w:ascii="Arial" w:hAnsi="Arial" w:cs="Arial"/>
                <w:b/>
                <w:bCs/>
              </w:rPr>
              <w:t>,</w:t>
            </w:r>
            <w:r w:rsidR="00927E30">
              <w:rPr>
                <w:rFonts w:ascii="Arial" w:hAnsi="Arial" w:cs="Arial"/>
                <w:b/>
                <w:bCs/>
              </w:rPr>
              <w:t>4</w:t>
            </w:r>
            <w:r w:rsidR="007264BD" w:rsidRPr="00C257F1">
              <w:rPr>
                <w:rFonts w:ascii="Arial" w:hAnsi="Arial" w:cs="Arial"/>
                <w:b/>
                <w:bCs/>
              </w:rPr>
              <w:t>6</w:t>
            </w:r>
            <w:r w:rsidR="00927E30">
              <w:rPr>
                <w:rFonts w:ascii="Arial" w:hAnsi="Arial" w:cs="Arial"/>
                <w:b/>
                <w:bCs/>
              </w:rPr>
              <w:t>3</w:t>
            </w:r>
          </w:p>
        </w:tc>
      </w:tr>
    </w:tbl>
    <w:p w14:paraId="1D4FA4B5" w14:textId="02DAF0A5" w:rsidR="00A80799" w:rsidRPr="00293BA8" w:rsidRDefault="003020B7" w:rsidP="00747C93">
      <w:pPr>
        <w:pStyle w:val="Heading2"/>
        <w:keepNext w:val="0"/>
        <w:tabs>
          <w:tab w:val="num" w:pos="426"/>
        </w:tabs>
        <w:spacing w:before="240"/>
        <w:ind w:left="425" w:hanging="567"/>
        <w:jc w:val="left"/>
        <w:rPr>
          <w:rFonts w:ascii="Arial" w:hAnsi="Arial" w:cs="Arial"/>
          <w:szCs w:val="24"/>
        </w:rPr>
      </w:pPr>
      <w:r w:rsidRPr="00293BA8">
        <w:rPr>
          <w:rFonts w:ascii="Arial" w:hAnsi="Arial" w:cs="Arial"/>
          <w:szCs w:val="24"/>
        </w:rPr>
        <w:t>A</w:t>
      </w:r>
      <w:r w:rsidR="00126F30" w:rsidRPr="00293BA8">
        <w:rPr>
          <w:rFonts w:ascii="Arial" w:hAnsi="Arial" w:cs="Arial"/>
          <w:szCs w:val="24"/>
        </w:rPr>
        <w:t xml:space="preserve"> detailed breakdown of the budget is shown in a</w:t>
      </w:r>
      <w:r w:rsidRPr="00293BA8">
        <w:rPr>
          <w:rFonts w:ascii="Arial" w:hAnsi="Arial" w:cs="Arial"/>
          <w:szCs w:val="24"/>
        </w:rPr>
        <w:t>ppendix 1.</w:t>
      </w:r>
      <w:r w:rsidR="00126F30" w:rsidRPr="00293BA8">
        <w:rPr>
          <w:rFonts w:ascii="Arial" w:hAnsi="Arial" w:cs="Arial"/>
          <w:szCs w:val="24"/>
        </w:rPr>
        <w:t xml:space="preserve"> The budgets are based on current estimates and any changes will be notified to Schools Forum.</w:t>
      </w:r>
    </w:p>
    <w:p w14:paraId="0EEA4EE2" w14:textId="7BE0B283" w:rsidR="00126F30" w:rsidRPr="0038554F" w:rsidRDefault="00126F30" w:rsidP="000D2649">
      <w:pPr>
        <w:pStyle w:val="Heading2"/>
        <w:keepNext w:val="0"/>
        <w:tabs>
          <w:tab w:val="num" w:pos="426"/>
        </w:tabs>
        <w:ind w:left="426" w:hanging="568"/>
        <w:jc w:val="left"/>
        <w:rPr>
          <w:rFonts w:ascii="Arial" w:hAnsi="Arial" w:cs="Arial"/>
          <w:szCs w:val="24"/>
        </w:rPr>
      </w:pPr>
      <w:r w:rsidRPr="0038554F">
        <w:rPr>
          <w:rFonts w:ascii="Arial" w:hAnsi="Arial" w:cs="Arial"/>
          <w:szCs w:val="24"/>
        </w:rPr>
        <w:t xml:space="preserve">There are other elements of funding in the </w:t>
      </w:r>
      <w:r w:rsidR="00FD7858" w:rsidRPr="0038554F">
        <w:rPr>
          <w:rFonts w:ascii="Arial" w:hAnsi="Arial" w:cs="Arial"/>
          <w:szCs w:val="24"/>
        </w:rPr>
        <w:t>schools’</w:t>
      </w:r>
      <w:r w:rsidRPr="0038554F">
        <w:rPr>
          <w:rFonts w:ascii="Arial" w:hAnsi="Arial" w:cs="Arial"/>
          <w:szCs w:val="24"/>
        </w:rPr>
        <w:t xml:space="preserve"> budget that fall outside of the DSG, such as the Pupil Premium Grant. These are added to the DSG to provide the overall school budget. The allocations for other school grants have not been confirmed yet, so the 202</w:t>
      </w:r>
      <w:r w:rsidR="0038554F" w:rsidRPr="0038554F">
        <w:rPr>
          <w:rFonts w:ascii="Arial" w:hAnsi="Arial" w:cs="Arial"/>
          <w:szCs w:val="24"/>
        </w:rPr>
        <w:t>5</w:t>
      </w:r>
      <w:r w:rsidRPr="0038554F">
        <w:rPr>
          <w:rFonts w:ascii="Arial" w:hAnsi="Arial" w:cs="Arial"/>
          <w:szCs w:val="24"/>
        </w:rPr>
        <w:t>/2</w:t>
      </w:r>
      <w:r w:rsidR="0038554F" w:rsidRPr="0038554F">
        <w:rPr>
          <w:rFonts w:ascii="Arial" w:hAnsi="Arial" w:cs="Arial"/>
          <w:szCs w:val="24"/>
        </w:rPr>
        <w:t>6</w:t>
      </w:r>
      <w:r w:rsidRPr="0038554F">
        <w:rPr>
          <w:rFonts w:ascii="Arial" w:hAnsi="Arial" w:cs="Arial"/>
          <w:szCs w:val="24"/>
        </w:rPr>
        <w:t xml:space="preserve"> budget is based on current estimates.</w:t>
      </w:r>
    </w:p>
    <w:p w14:paraId="46F03825" w14:textId="02BDF170" w:rsidR="001D6722" w:rsidRPr="0038554F" w:rsidRDefault="00126F30" w:rsidP="000D2649">
      <w:pPr>
        <w:pStyle w:val="Heading2"/>
        <w:keepNext w:val="0"/>
        <w:tabs>
          <w:tab w:val="num" w:pos="426"/>
        </w:tabs>
        <w:ind w:left="426" w:hanging="568"/>
        <w:jc w:val="left"/>
        <w:rPr>
          <w:rFonts w:ascii="Arial" w:hAnsi="Arial" w:cs="Arial"/>
          <w:szCs w:val="24"/>
        </w:rPr>
      </w:pPr>
      <w:r w:rsidRPr="0038554F">
        <w:rPr>
          <w:rFonts w:ascii="Arial" w:hAnsi="Arial" w:cs="Arial"/>
          <w:szCs w:val="24"/>
        </w:rPr>
        <w:t xml:space="preserve">The total </w:t>
      </w:r>
      <w:r w:rsidR="003531F2" w:rsidRPr="0038554F">
        <w:rPr>
          <w:rFonts w:ascii="Arial" w:hAnsi="Arial" w:cs="Arial"/>
          <w:szCs w:val="24"/>
        </w:rPr>
        <w:t>school’s</w:t>
      </w:r>
      <w:r w:rsidRPr="0038554F">
        <w:rPr>
          <w:rFonts w:ascii="Arial" w:hAnsi="Arial" w:cs="Arial"/>
          <w:szCs w:val="24"/>
        </w:rPr>
        <w:t xml:space="preserve"> budget for 202</w:t>
      </w:r>
      <w:r w:rsidR="0038554F">
        <w:rPr>
          <w:rFonts w:ascii="Arial" w:hAnsi="Arial" w:cs="Arial"/>
          <w:szCs w:val="24"/>
        </w:rPr>
        <w:t>5</w:t>
      </w:r>
      <w:r w:rsidRPr="0038554F">
        <w:rPr>
          <w:rFonts w:ascii="Arial" w:hAnsi="Arial" w:cs="Arial"/>
          <w:szCs w:val="24"/>
        </w:rPr>
        <w:t>/2</w:t>
      </w:r>
      <w:r w:rsidR="0038554F">
        <w:rPr>
          <w:rFonts w:ascii="Arial" w:hAnsi="Arial" w:cs="Arial"/>
          <w:szCs w:val="24"/>
        </w:rPr>
        <w:t>6</w:t>
      </w:r>
      <w:r w:rsidRPr="0038554F">
        <w:rPr>
          <w:rFonts w:ascii="Arial" w:hAnsi="Arial" w:cs="Arial"/>
          <w:szCs w:val="24"/>
        </w:rPr>
        <w:t xml:space="preserve"> is </w:t>
      </w:r>
      <w:proofErr w:type="spellStart"/>
      <w:r w:rsidRPr="0038554F">
        <w:rPr>
          <w:rFonts w:ascii="Arial" w:hAnsi="Arial" w:cs="Arial"/>
          <w:szCs w:val="24"/>
        </w:rPr>
        <w:t>summarised</w:t>
      </w:r>
      <w:proofErr w:type="spellEnd"/>
      <w:r w:rsidRPr="0038554F">
        <w:rPr>
          <w:rFonts w:ascii="Arial" w:hAnsi="Arial" w:cs="Arial"/>
          <w:szCs w:val="24"/>
        </w:rPr>
        <w:t xml:space="preserve"> below:</w:t>
      </w:r>
    </w:p>
    <w:tbl>
      <w:tblPr>
        <w:tblW w:w="0" w:type="auto"/>
        <w:tblInd w:w="817" w:type="dxa"/>
        <w:tblLook w:val="04A0" w:firstRow="1" w:lastRow="0" w:firstColumn="1" w:lastColumn="0" w:noHBand="0" w:noVBand="1"/>
      </w:tblPr>
      <w:tblGrid>
        <w:gridCol w:w="6379"/>
        <w:gridCol w:w="1332"/>
      </w:tblGrid>
      <w:tr w:rsidR="0033457D" w:rsidRPr="0033457D" w14:paraId="20E354F1" w14:textId="77777777" w:rsidTr="00CC5B72">
        <w:tc>
          <w:tcPr>
            <w:tcW w:w="6379" w:type="dxa"/>
            <w:shd w:val="clear" w:color="auto" w:fill="auto"/>
          </w:tcPr>
          <w:p w14:paraId="08A6CBAC" w14:textId="77777777" w:rsidR="001D6722" w:rsidRPr="0033457D" w:rsidRDefault="001D6722" w:rsidP="00464FA0">
            <w:pPr>
              <w:pStyle w:val="Heading2"/>
              <w:keepNext w:val="0"/>
              <w:numPr>
                <w:ilvl w:val="0"/>
                <w:numId w:val="0"/>
              </w:numPr>
              <w:spacing w:after="0"/>
              <w:jc w:val="left"/>
              <w:rPr>
                <w:rFonts w:ascii="Arial" w:hAnsi="Arial" w:cs="Arial"/>
                <w:color w:val="FF0000"/>
                <w:szCs w:val="24"/>
              </w:rPr>
            </w:pPr>
          </w:p>
        </w:tc>
        <w:tc>
          <w:tcPr>
            <w:tcW w:w="1332" w:type="dxa"/>
            <w:shd w:val="clear" w:color="auto" w:fill="auto"/>
          </w:tcPr>
          <w:p w14:paraId="01E02C00" w14:textId="7C652625" w:rsidR="001D6722" w:rsidRPr="006A48DD" w:rsidRDefault="006A48DD" w:rsidP="00CC5B72">
            <w:pPr>
              <w:pStyle w:val="Heading2"/>
              <w:keepNext w:val="0"/>
              <w:numPr>
                <w:ilvl w:val="0"/>
                <w:numId w:val="0"/>
              </w:numPr>
              <w:spacing w:after="0"/>
              <w:jc w:val="center"/>
              <w:rPr>
                <w:rFonts w:ascii="Arial" w:hAnsi="Arial" w:cs="Arial"/>
                <w:b/>
                <w:szCs w:val="24"/>
              </w:rPr>
            </w:pPr>
            <w:r w:rsidRPr="006A48DD">
              <w:rPr>
                <w:rFonts w:ascii="Arial" w:hAnsi="Arial" w:cs="Arial"/>
                <w:b/>
                <w:bCs/>
                <w:szCs w:val="24"/>
              </w:rPr>
              <w:t>2025/26</w:t>
            </w:r>
          </w:p>
          <w:p w14:paraId="1004BD6A" w14:textId="77777777" w:rsidR="001D6722" w:rsidRPr="0033457D" w:rsidRDefault="001D6722" w:rsidP="00CC5B72">
            <w:pPr>
              <w:pStyle w:val="Heading2"/>
              <w:keepNext w:val="0"/>
              <w:numPr>
                <w:ilvl w:val="0"/>
                <w:numId w:val="0"/>
              </w:numPr>
              <w:spacing w:after="0"/>
              <w:jc w:val="center"/>
              <w:rPr>
                <w:rFonts w:ascii="Arial" w:hAnsi="Arial" w:cs="Arial"/>
                <w:color w:val="FF0000"/>
                <w:szCs w:val="24"/>
              </w:rPr>
            </w:pPr>
            <w:r w:rsidRPr="006A48DD">
              <w:rPr>
                <w:rFonts w:ascii="Arial" w:hAnsi="Arial" w:cs="Arial"/>
                <w:b/>
                <w:szCs w:val="24"/>
              </w:rPr>
              <w:t>£000</w:t>
            </w:r>
          </w:p>
        </w:tc>
      </w:tr>
      <w:tr w:rsidR="0033457D" w:rsidRPr="0033457D" w14:paraId="424F1E5E" w14:textId="77777777" w:rsidTr="00CC5B72">
        <w:tc>
          <w:tcPr>
            <w:tcW w:w="6379" w:type="dxa"/>
            <w:shd w:val="clear" w:color="auto" w:fill="auto"/>
          </w:tcPr>
          <w:p w14:paraId="4C3E6C54" w14:textId="77777777" w:rsidR="001D6722" w:rsidRPr="002555D5" w:rsidRDefault="001D6722" w:rsidP="00464FA0">
            <w:pPr>
              <w:pStyle w:val="Heading2"/>
              <w:keepNext w:val="0"/>
              <w:numPr>
                <w:ilvl w:val="0"/>
                <w:numId w:val="0"/>
              </w:numPr>
              <w:spacing w:after="0"/>
              <w:jc w:val="left"/>
              <w:rPr>
                <w:rFonts w:ascii="Arial" w:hAnsi="Arial" w:cs="Arial"/>
                <w:szCs w:val="24"/>
              </w:rPr>
            </w:pPr>
            <w:r w:rsidRPr="002555D5">
              <w:rPr>
                <w:rFonts w:ascii="Arial" w:hAnsi="Arial" w:cs="Arial"/>
                <w:szCs w:val="24"/>
              </w:rPr>
              <w:t>Dedicated Schools Grant</w:t>
            </w:r>
          </w:p>
        </w:tc>
        <w:tc>
          <w:tcPr>
            <w:tcW w:w="1332" w:type="dxa"/>
            <w:shd w:val="clear" w:color="auto" w:fill="auto"/>
          </w:tcPr>
          <w:p w14:paraId="11CEB6FF" w14:textId="3F64E2B6" w:rsidR="001D6722" w:rsidRPr="002555D5" w:rsidRDefault="001759B9" w:rsidP="00464FA0">
            <w:pPr>
              <w:pStyle w:val="Heading2"/>
              <w:keepNext w:val="0"/>
              <w:numPr>
                <w:ilvl w:val="0"/>
                <w:numId w:val="0"/>
              </w:numPr>
              <w:spacing w:after="0"/>
              <w:jc w:val="right"/>
              <w:rPr>
                <w:rFonts w:ascii="Arial" w:hAnsi="Arial" w:cs="Arial"/>
                <w:szCs w:val="24"/>
              </w:rPr>
            </w:pPr>
            <w:r w:rsidRPr="002555D5">
              <w:rPr>
                <w:rFonts w:ascii="Arial" w:hAnsi="Arial" w:cs="Arial"/>
              </w:rPr>
              <w:t>1,</w:t>
            </w:r>
            <w:r w:rsidR="00D946C4" w:rsidRPr="002555D5">
              <w:rPr>
                <w:rFonts w:ascii="Arial" w:hAnsi="Arial" w:cs="Arial"/>
              </w:rPr>
              <w:t>520,</w:t>
            </w:r>
            <w:r w:rsidR="002555D5" w:rsidRPr="002555D5">
              <w:rPr>
                <w:rFonts w:ascii="Arial" w:hAnsi="Arial" w:cs="Arial"/>
              </w:rPr>
              <w:t>523</w:t>
            </w:r>
          </w:p>
        </w:tc>
      </w:tr>
      <w:tr w:rsidR="0033457D" w:rsidRPr="0033457D" w14:paraId="3F7F188A" w14:textId="77777777" w:rsidTr="00CC5B72">
        <w:tc>
          <w:tcPr>
            <w:tcW w:w="6379" w:type="dxa"/>
            <w:shd w:val="clear" w:color="auto" w:fill="auto"/>
          </w:tcPr>
          <w:p w14:paraId="704CCBCB" w14:textId="77777777" w:rsidR="001D6722" w:rsidRPr="00430181" w:rsidRDefault="001D6722" w:rsidP="00464FA0">
            <w:pPr>
              <w:pStyle w:val="Heading2"/>
              <w:keepNext w:val="0"/>
              <w:numPr>
                <w:ilvl w:val="0"/>
                <w:numId w:val="0"/>
              </w:numPr>
              <w:spacing w:after="0"/>
              <w:jc w:val="left"/>
              <w:rPr>
                <w:rFonts w:ascii="Arial" w:hAnsi="Arial" w:cs="Arial"/>
                <w:szCs w:val="24"/>
              </w:rPr>
            </w:pPr>
            <w:r w:rsidRPr="00430181">
              <w:rPr>
                <w:rFonts w:ascii="Arial" w:hAnsi="Arial" w:cs="Arial"/>
                <w:szCs w:val="24"/>
              </w:rPr>
              <w:t>Less recoupment</w:t>
            </w:r>
          </w:p>
        </w:tc>
        <w:tc>
          <w:tcPr>
            <w:tcW w:w="1332" w:type="dxa"/>
            <w:tcBorders>
              <w:bottom w:val="single" w:sz="4" w:space="0" w:color="auto"/>
            </w:tcBorders>
            <w:shd w:val="clear" w:color="auto" w:fill="auto"/>
          </w:tcPr>
          <w:p w14:paraId="4D332E2B" w14:textId="62F17321" w:rsidR="001D6722" w:rsidRPr="00214F3C" w:rsidRDefault="00194399" w:rsidP="00464FA0">
            <w:pPr>
              <w:pStyle w:val="Heading2"/>
              <w:keepNext w:val="0"/>
              <w:numPr>
                <w:ilvl w:val="0"/>
                <w:numId w:val="0"/>
              </w:numPr>
              <w:spacing w:after="0"/>
              <w:jc w:val="right"/>
              <w:rPr>
                <w:rFonts w:ascii="Arial" w:hAnsi="Arial" w:cs="Arial"/>
                <w:szCs w:val="24"/>
              </w:rPr>
            </w:pPr>
            <w:r w:rsidRPr="00214F3C">
              <w:rPr>
                <w:rFonts w:ascii="Arial" w:hAnsi="Arial" w:cs="Arial"/>
                <w:szCs w:val="24"/>
              </w:rPr>
              <w:t>(</w:t>
            </w:r>
            <w:r w:rsidR="00C257F1" w:rsidRPr="00214F3C">
              <w:rPr>
                <w:rFonts w:ascii="Arial" w:hAnsi="Arial" w:cs="Arial"/>
                <w:szCs w:val="24"/>
              </w:rPr>
              <w:t>34</w:t>
            </w:r>
            <w:r w:rsidR="00F04EC6" w:rsidRPr="00214F3C">
              <w:rPr>
                <w:rFonts w:ascii="Arial" w:hAnsi="Arial" w:cs="Arial"/>
                <w:szCs w:val="24"/>
              </w:rPr>
              <w:t>4,</w:t>
            </w:r>
            <w:r w:rsidR="00C257F1" w:rsidRPr="00214F3C">
              <w:rPr>
                <w:rFonts w:ascii="Arial" w:hAnsi="Arial" w:cs="Arial"/>
                <w:szCs w:val="24"/>
              </w:rPr>
              <w:t>0</w:t>
            </w:r>
            <w:r w:rsidR="007414AD">
              <w:rPr>
                <w:rFonts w:ascii="Arial" w:hAnsi="Arial" w:cs="Arial"/>
                <w:szCs w:val="24"/>
              </w:rPr>
              <w:t>60</w:t>
            </w:r>
            <w:r w:rsidRPr="00214F3C">
              <w:rPr>
                <w:rFonts w:ascii="Arial" w:hAnsi="Arial" w:cs="Arial"/>
                <w:szCs w:val="24"/>
              </w:rPr>
              <w:t>)</w:t>
            </w:r>
          </w:p>
        </w:tc>
      </w:tr>
      <w:tr w:rsidR="0033457D" w:rsidRPr="0033457D" w14:paraId="00DEF15C" w14:textId="77777777" w:rsidTr="00CC5B72">
        <w:tc>
          <w:tcPr>
            <w:tcW w:w="6379" w:type="dxa"/>
            <w:shd w:val="clear" w:color="auto" w:fill="auto"/>
          </w:tcPr>
          <w:p w14:paraId="09DD35B6" w14:textId="77777777" w:rsidR="001D6722" w:rsidRPr="00430181" w:rsidRDefault="001D6722" w:rsidP="00464FA0">
            <w:pPr>
              <w:pStyle w:val="Heading2"/>
              <w:keepNext w:val="0"/>
              <w:numPr>
                <w:ilvl w:val="0"/>
                <w:numId w:val="0"/>
              </w:numPr>
              <w:spacing w:after="0"/>
              <w:jc w:val="left"/>
              <w:rPr>
                <w:rFonts w:ascii="Arial" w:hAnsi="Arial" w:cs="Arial"/>
                <w:b/>
                <w:szCs w:val="24"/>
              </w:rPr>
            </w:pPr>
            <w:r w:rsidRPr="00430181">
              <w:rPr>
                <w:rFonts w:ascii="Arial" w:hAnsi="Arial" w:cs="Arial"/>
                <w:b/>
                <w:szCs w:val="24"/>
              </w:rPr>
              <w:t>Sub-total</w:t>
            </w:r>
          </w:p>
        </w:tc>
        <w:tc>
          <w:tcPr>
            <w:tcW w:w="1332" w:type="dxa"/>
            <w:tcBorders>
              <w:top w:val="single" w:sz="4" w:space="0" w:color="auto"/>
            </w:tcBorders>
            <w:shd w:val="clear" w:color="auto" w:fill="auto"/>
          </w:tcPr>
          <w:p w14:paraId="066236DA" w14:textId="2CC65C21" w:rsidR="001D6722" w:rsidRPr="00214F3C" w:rsidRDefault="004C7073" w:rsidP="00464FA0">
            <w:pPr>
              <w:pStyle w:val="Heading2"/>
              <w:keepNext w:val="0"/>
              <w:numPr>
                <w:ilvl w:val="0"/>
                <w:numId w:val="0"/>
              </w:numPr>
              <w:spacing w:after="0"/>
              <w:jc w:val="right"/>
              <w:rPr>
                <w:rFonts w:ascii="Arial" w:hAnsi="Arial" w:cs="Arial"/>
                <w:b/>
                <w:szCs w:val="24"/>
              </w:rPr>
            </w:pPr>
            <w:r w:rsidRPr="00214F3C">
              <w:rPr>
                <w:rFonts w:ascii="Arial" w:hAnsi="Arial" w:cs="Arial"/>
                <w:b/>
                <w:szCs w:val="24"/>
              </w:rPr>
              <w:t>1,</w:t>
            </w:r>
            <w:r w:rsidR="00214F3C" w:rsidRPr="00214F3C">
              <w:rPr>
                <w:rFonts w:ascii="Arial" w:hAnsi="Arial" w:cs="Arial"/>
                <w:b/>
                <w:szCs w:val="24"/>
              </w:rPr>
              <w:t>176</w:t>
            </w:r>
            <w:r w:rsidRPr="00214F3C">
              <w:rPr>
                <w:rFonts w:ascii="Arial" w:hAnsi="Arial" w:cs="Arial"/>
                <w:b/>
                <w:szCs w:val="24"/>
              </w:rPr>
              <w:t>,</w:t>
            </w:r>
            <w:r w:rsidR="00434A8F">
              <w:rPr>
                <w:rFonts w:ascii="Arial" w:hAnsi="Arial" w:cs="Arial"/>
                <w:b/>
                <w:szCs w:val="24"/>
              </w:rPr>
              <w:t>4</w:t>
            </w:r>
            <w:r w:rsidR="005A6670" w:rsidRPr="00214F3C">
              <w:rPr>
                <w:rFonts w:ascii="Arial" w:hAnsi="Arial" w:cs="Arial"/>
                <w:b/>
                <w:szCs w:val="24"/>
              </w:rPr>
              <w:t>6</w:t>
            </w:r>
            <w:r w:rsidR="00434A8F">
              <w:rPr>
                <w:rFonts w:ascii="Arial" w:hAnsi="Arial" w:cs="Arial"/>
                <w:b/>
                <w:szCs w:val="24"/>
              </w:rPr>
              <w:t>3</w:t>
            </w:r>
          </w:p>
        </w:tc>
      </w:tr>
      <w:tr w:rsidR="0033457D" w:rsidRPr="0033457D" w14:paraId="6FAF47D6" w14:textId="77777777" w:rsidTr="00CC5B72">
        <w:tc>
          <w:tcPr>
            <w:tcW w:w="6379" w:type="dxa"/>
            <w:shd w:val="clear" w:color="auto" w:fill="auto"/>
          </w:tcPr>
          <w:p w14:paraId="03DE17B0" w14:textId="77777777" w:rsidR="001D6722" w:rsidRPr="00EE6B7D" w:rsidRDefault="001D6722" w:rsidP="00464FA0">
            <w:pPr>
              <w:pStyle w:val="Heading2"/>
              <w:keepNext w:val="0"/>
              <w:numPr>
                <w:ilvl w:val="0"/>
                <w:numId w:val="0"/>
              </w:numPr>
              <w:spacing w:after="0"/>
              <w:jc w:val="left"/>
              <w:rPr>
                <w:rFonts w:ascii="Arial" w:hAnsi="Arial" w:cs="Arial"/>
                <w:szCs w:val="24"/>
              </w:rPr>
            </w:pPr>
            <w:r w:rsidRPr="00EE6B7D">
              <w:rPr>
                <w:rFonts w:ascii="Arial" w:hAnsi="Arial" w:cs="Arial"/>
                <w:szCs w:val="24"/>
              </w:rPr>
              <w:t>Pupil Premium and other school grants</w:t>
            </w:r>
          </w:p>
        </w:tc>
        <w:tc>
          <w:tcPr>
            <w:tcW w:w="1332" w:type="dxa"/>
            <w:shd w:val="clear" w:color="auto" w:fill="auto"/>
          </w:tcPr>
          <w:p w14:paraId="7A3F766E" w14:textId="2D5C1EF4" w:rsidR="001D6722" w:rsidRPr="00EE6B7D" w:rsidRDefault="00D5550B" w:rsidP="00464FA0">
            <w:pPr>
              <w:pStyle w:val="Heading2"/>
              <w:keepNext w:val="0"/>
              <w:numPr>
                <w:ilvl w:val="0"/>
                <w:numId w:val="0"/>
              </w:numPr>
              <w:spacing w:after="0"/>
              <w:jc w:val="right"/>
              <w:rPr>
                <w:rFonts w:ascii="Arial" w:hAnsi="Arial" w:cs="Arial"/>
                <w:szCs w:val="24"/>
              </w:rPr>
            </w:pPr>
            <w:r w:rsidRPr="00EE6B7D">
              <w:rPr>
                <w:rFonts w:ascii="Arial" w:hAnsi="Arial" w:cs="Arial"/>
                <w:szCs w:val="24"/>
              </w:rPr>
              <w:t>7</w:t>
            </w:r>
            <w:r w:rsidR="00BF40BD">
              <w:rPr>
                <w:rFonts w:ascii="Arial" w:hAnsi="Arial" w:cs="Arial"/>
                <w:szCs w:val="24"/>
              </w:rPr>
              <w:t>7</w:t>
            </w:r>
            <w:r w:rsidRPr="00EE6B7D">
              <w:rPr>
                <w:rFonts w:ascii="Arial" w:hAnsi="Arial" w:cs="Arial"/>
                <w:szCs w:val="24"/>
              </w:rPr>
              <w:t>,</w:t>
            </w:r>
            <w:r w:rsidR="00BF40BD">
              <w:rPr>
                <w:rFonts w:ascii="Arial" w:hAnsi="Arial" w:cs="Arial"/>
                <w:szCs w:val="24"/>
              </w:rPr>
              <w:t>834</w:t>
            </w:r>
          </w:p>
        </w:tc>
      </w:tr>
      <w:tr w:rsidR="009D4FE8" w:rsidRPr="009D4FE8" w14:paraId="0DD0BAB0" w14:textId="77777777" w:rsidTr="00CC5B72">
        <w:tc>
          <w:tcPr>
            <w:tcW w:w="6379" w:type="dxa"/>
            <w:shd w:val="clear" w:color="auto" w:fill="auto"/>
          </w:tcPr>
          <w:p w14:paraId="3263D0A8" w14:textId="77777777" w:rsidR="001D6722" w:rsidRPr="009D4FE8" w:rsidRDefault="001D6722" w:rsidP="00464FA0">
            <w:pPr>
              <w:pStyle w:val="Heading2"/>
              <w:keepNext w:val="0"/>
              <w:numPr>
                <w:ilvl w:val="0"/>
                <w:numId w:val="0"/>
              </w:numPr>
              <w:spacing w:after="0"/>
              <w:jc w:val="left"/>
              <w:rPr>
                <w:rFonts w:ascii="Arial" w:hAnsi="Arial" w:cs="Arial"/>
                <w:szCs w:val="24"/>
              </w:rPr>
            </w:pPr>
            <w:r w:rsidRPr="009D4FE8">
              <w:rPr>
                <w:rFonts w:ascii="Arial" w:hAnsi="Arial" w:cs="Arial"/>
                <w:szCs w:val="24"/>
              </w:rPr>
              <w:t>Music Grant</w:t>
            </w:r>
          </w:p>
        </w:tc>
        <w:tc>
          <w:tcPr>
            <w:tcW w:w="1332" w:type="dxa"/>
            <w:tcBorders>
              <w:bottom w:val="single" w:sz="4" w:space="0" w:color="auto"/>
            </w:tcBorders>
            <w:shd w:val="clear" w:color="auto" w:fill="auto"/>
          </w:tcPr>
          <w:p w14:paraId="3A4896DF" w14:textId="20FB91E6" w:rsidR="001D6722" w:rsidRPr="009D4FE8" w:rsidRDefault="005307A3" w:rsidP="00464FA0">
            <w:pPr>
              <w:pStyle w:val="Heading2"/>
              <w:keepNext w:val="0"/>
              <w:numPr>
                <w:ilvl w:val="0"/>
                <w:numId w:val="0"/>
              </w:numPr>
              <w:spacing w:after="0"/>
              <w:jc w:val="right"/>
              <w:rPr>
                <w:rFonts w:ascii="Arial" w:hAnsi="Arial" w:cs="Arial"/>
                <w:szCs w:val="24"/>
              </w:rPr>
            </w:pPr>
            <w:r w:rsidRPr="009D4FE8">
              <w:rPr>
                <w:rFonts w:ascii="Arial" w:hAnsi="Arial" w:cs="Arial"/>
                <w:szCs w:val="24"/>
              </w:rPr>
              <w:t>1,</w:t>
            </w:r>
            <w:r w:rsidR="00C62ED4" w:rsidRPr="009D4FE8">
              <w:rPr>
                <w:rFonts w:ascii="Arial" w:hAnsi="Arial" w:cs="Arial"/>
                <w:szCs w:val="24"/>
              </w:rPr>
              <w:t>7</w:t>
            </w:r>
            <w:r w:rsidR="009B570B" w:rsidRPr="009D4FE8">
              <w:rPr>
                <w:rFonts w:ascii="Arial" w:hAnsi="Arial" w:cs="Arial"/>
                <w:szCs w:val="24"/>
              </w:rPr>
              <w:t>3</w:t>
            </w:r>
            <w:r w:rsidR="00BF40BD">
              <w:rPr>
                <w:rFonts w:ascii="Arial" w:hAnsi="Arial" w:cs="Arial"/>
                <w:szCs w:val="24"/>
              </w:rPr>
              <w:t>6</w:t>
            </w:r>
          </w:p>
        </w:tc>
      </w:tr>
      <w:tr w:rsidR="00ED279A" w:rsidRPr="0033457D" w14:paraId="1DAB33C2" w14:textId="77777777" w:rsidTr="00CC5B72">
        <w:tc>
          <w:tcPr>
            <w:tcW w:w="6379" w:type="dxa"/>
            <w:shd w:val="clear" w:color="auto" w:fill="auto"/>
          </w:tcPr>
          <w:p w14:paraId="1B96A4F7" w14:textId="77777777" w:rsidR="001D6722" w:rsidRPr="00417C9F" w:rsidRDefault="001D6722" w:rsidP="00464FA0">
            <w:pPr>
              <w:pStyle w:val="Heading2"/>
              <w:keepNext w:val="0"/>
              <w:numPr>
                <w:ilvl w:val="0"/>
                <w:numId w:val="0"/>
              </w:numPr>
              <w:spacing w:after="0"/>
              <w:jc w:val="left"/>
              <w:rPr>
                <w:rFonts w:ascii="Arial" w:hAnsi="Arial" w:cs="Arial"/>
                <w:b/>
                <w:szCs w:val="24"/>
              </w:rPr>
            </w:pPr>
            <w:r w:rsidRPr="00417C9F">
              <w:rPr>
                <w:rFonts w:ascii="Arial" w:hAnsi="Arial" w:cs="Arial"/>
                <w:b/>
                <w:szCs w:val="24"/>
              </w:rPr>
              <w:t>Total schools budget managed by Children’s Services</w:t>
            </w:r>
          </w:p>
        </w:tc>
        <w:tc>
          <w:tcPr>
            <w:tcW w:w="1332" w:type="dxa"/>
            <w:tcBorders>
              <w:top w:val="single" w:sz="4" w:space="0" w:color="auto"/>
              <w:bottom w:val="single" w:sz="4" w:space="0" w:color="auto"/>
            </w:tcBorders>
            <w:shd w:val="clear" w:color="auto" w:fill="auto"/>
          </w:tcPr>
          <w:p w14:paraId="7D4365F4" w14:textId="20C1A523" w:rsidR="001D6722" w:rsidRPr="00417C9F" w:rsidRDefault="00C62ED4" w:rsidP="00464FA0">
            <w:pPr>
              <w:pStyle w:val="Heading2"/>
              <w:keepNext w:val="0"/>
              <w:numPr>
                <w:ilvl w:val="0"/>
                <w:numId w:val="0"/>
              </w:numPr>
              <w:spacing w:after="0"/>
              <w:jc w:val="right"/>
              <w:rPr>
                <w:rFonts w:ascii="Arial" w:hAnsi="Arial" w:cs="Arial"/>
                <w:b/>
                <w:szCs w:val="24"/>
              </w:rPr>
            </w:pPr>
            <w:r w:rsidRPr="00417C9F">
              <w:rPr>
                <w:rFonts w:ascii="Arial" w:hAnsi="Arial" w:cs="Arial"/>
                <w:b/>
                <w:szCs w:val="24"/>
              </w:rPr>
              <w:t>1,</w:t>
            </w:r>
            <w:r w:rsidR="00E769B2" w:rsidRPr="00417C9F">
              <w:rPr>
                <w:rFonts w:ascii="Arial" w:hAnsi="Arial" w:cs="Arial"/>
                <w:b/>
                <w:szCs w:val="24"/>
              </w:rPr>
              <w:t>256</w:t>
            </w:r>
            <w:r w:rsidRPr="00417C9F">
              <w:rPr>
                <w:rFonts w:ascii="Arial" w:hAnsi="Arial" w:cs="Arial"/>
                <w:b/>
                <w:szCs w:val="24"/>
              </w:rPr>
              <w:t>,</w:t>
            </w:r>
            <w:r w:rsidR="00E769B2" w:rsidRPr="00417C9F">
              <w:rPr>
                <w:rFonts w:ascii="Arial" w:hAnsi="Arial" w:cs="Arial"/>
                <w:b/>
                <w:szCs w:val="24"/>
              </w:rPr>
              <w:t>0</w:t>
            </w:r>
            <w:r w:rsidR="00434A8F">
              <w:rPr>
                <w:rFonts w:ascii="Arial" w:hAnsi="Arial" w:cs="Arial"/>
                <w:b/>
                <w:szCs w:val="24"/>
              </w:rPr>
              <w:t>33</w:t>
            </w:r>
          </w:p>
        </w:tc>
      </w:tr>
    </w:tbl>
    <w:p w14:paraId="4BED6587" w14:textId="77777777" w:rsidR="001D6722" w:rsidRPr="0033457D" w:rsidRDefault="001D6722" w:rsidP="001D6722">
      <w:pPr>
        <w:pStyle w:val="Heading2"/>
        <w:keepNext w:val="0"/>
        <w:numPr>
          <w:ilvl w:val="0"/>
          <w:numId w:val="0"/>
        </w:numPr>
        <w:spacing w:after="0"/>
        <w:jc w:val="left"/>
        <w:rPr>
          <w:rFonts w:ascii="Arial" w:hAnsi="Arial" w:cs="Arial"/>
          <w:color w:val="FF0000"/>
          <w:szCs w:val="24"/>
        </w:rPr>
      </w:pPr>
    </w:p>
    <w:p w14:paraId="6D5CD3E4" w14:textId="7FB7E3F8" w:rsidR="00574BB0" w:rsidRPr="00C7341A" w:rsidRDefault="001D6722" w:rsidP="000D2649">
      <w:pPr>
        <w:pStyle w:val="Heading2"/>
        <w:keepNext w:val="0"/>
        <w:tabs>
          <w:tab w:val="num" w:pos="426"/>
        </w:tabs>
        <w:ind w:left="426" w:hanging="568"/>
        <w:jc w:val="left"/>
        <w:rPr>
          <w:rFonts w:ascii="Arial" w:hAnsi="Arial" w:cs="Arial"/>
          <w:szCs w:val="24"/>
        </w:rPr>
      </w:pPr>
      <w:r w:rsidRPr="00B4238B">
        <w:rPr>
          <w:rFonts w:ascii="Arial" w:hAnsi="Arial" w:cs="Arial"/>
          <w:szCs w:val="24"/>
        </w:rPr>
        <w:t xml:space="preserve">It should be noted that the budget does not include funding for the DSG deficit reserve. </w:t>
      </w:r>
      <w:r w:rsidRPr="00C7341A">
        <w:rPr>
          <w:rFonts w:ascii="Arial" w:hAnsi="Arial" w:cs="Arial"/>
          <w:szCs w:val="24"/>
        </w:rPr>
        <w:t xml:space="preserve">A deficit of </w:t>
      </w:r>
      <w:r w:rsidRPr="00C36750">
        <w:rPr>
          <w:rFonts w:ascii="Arial" w:hAnsi="Arial" w:cs="Arial"/>
          <w:szCs w:val="24"/>
        </w:rPr>
        <w:t>£</w:t>
      </w:r>
      <w:r w:rsidR="00C36750" w:rsidRPr="00C36750">
        <w:rPr>
          <w:rFonts w:ascii="Arial" w:hAnsi="Arial" w:cs="Arial"/>
          <w:szCs w:val="24"/>
        </w:rPr>
        <w:t>123</w:t>
      </w:r>
      <w:r w:rsidR="00960567" w:rsidRPr="00C36750">
        <w:rPr>
          <w:rFonts w:ascii="Arial" w:hAnsi="Arial" w:cs="Arial"/>
          <w:szCs w:val="24"/>
        </w:rPr>
        <w:t>.</w:t>
      </w:r>
      <w:r w:rsidR="00C36750" w:rsidRPr="00C36750">
        <w:rPr>
          <w:rFonts w:ascii="Arial" w:hAnsi="Arial" w:cs="Arial"/>
          <w:szCs w:val="24"/>
        </w:rPr>
        <w:t>9</w:t>
      </w:r>
      <w:r w:rsidRPr="00C36750">
        <w:rPr>
          <w:rFonts w:ascii="Arial" w:hAnsi="Arial" w:cs="Arial"/>
          <w:szCs w:val="24"/>
        </w:rPr>
        <w:t xml:space="preserve">m </w:t>
      </w:r>
      <w:r w:rsidRPr="00C7341A">
        <w:rPr>
          <w:rFonts w:ascii="Arial" w:hAnsi="Arial" w:cs="Arial"/>
          <w:szCs w:val="24"/>
        </w:rPr>
        <w:t>has been carried forward from 20</w:t>
      </w:r>
      <w:r w:rsidR="00960567" w:rsidRPr="00C7341A">
        <w:rPr>
          <w:rFonts w:ascii="Arial" w:hAnsi="Arial" w:cs="Arial"/>
          <w:szCs w:val="24"/>
        </w:rPr>
        <w:t>2</w:t>
      </w:r>
      <w:r w:rsidR="00C7341A" w:rsidRPr="00C7341A">
        <w:rPr>
          <w:rFonts w:ascii="Arial" w:hAnsi="Arial" w:cs="Arial"/>
          <w:szCs w:val="24"/>
        </w:rPr>
        <w:t>3</w:t>
      </w:r>
      <w:r w:rsidR="00960567" w:rsidRPr="00C7341A">
        <w:rPr>
          <w:rFonts w:ascii="Arial" w:hAnsi="Arial" w:cs="Arial"/>
          <w:szCs w:val="24"/>
        </w:rPr>
        <w:t>/2</w:t>
      </w:r>
      <w:r w:rsidR="00C7341A" w:rsidRPr="00C7341A">
        <w:rPr>
          <w:rFonts w:ascii="Arial" w:hAnsi="Arial" w:cs="Arial"/>
          <w:szCs w:val="24"/>
        </w:rPr>
        <w:t>4</w:t>
      </w:r>
      <w:r w:rsidRPr="00C7341A">
        <w:rPr>
          <w:rFonts w:ascii="Arial" w:hAnsi="Arial" w:cs="Arial"/>
          <w:szCs w:val="24"/>
        </w:rPr>
        <w:t xml:space="preserve">, with a further overspend of </w:t>
      </w:r>
      <w:r w:rsidRPr="00C36750">
        <w:rPr>
          <w:rFonts w:ascii="Arial" w:hAnsi="Arial" w:cs="Arial"/>
          <w:szCs w:val="24"/>
        </w:rPr>
        <w:t>£</w:t>
      </w:r>
      <w:r w:rsidR="00B53C72" w:rsidRPr="00C36750">
        <w:rPr>
          <w:rFonts w:ascii="Arial" w:hAnsi="Arial" w:cs="Arial"/>
          <w:szCs w:val="24"/>
        </w:rPr>
        <w:t>77</w:t>
      </w:r>
      <w:r w:rsidR="00960567" w:rsidRPr="00C36750">
        <w:rPr>
          <w:rFonts w:ascii="Arial" w:hAnsi="Arial" w:cs="Arial"/>
          <w:szCs w:val="24"/>
        </w:rPr>
        <w:t>.</w:t>
      </w:r>
      <w:r w:rsidR="00B53C72" w:rsidRPr="00C36750">
        <w:rPr>
          <w:rFonts w:ascii="Arial" w:hAnsi="Arial" w:cs="Arial"/>
          <w:szCs w:val="24"/>
        </w:rPr>
        <w:t>0</w:t>
      </w:r>
      <w:r w:rsidRPr="00C36750">
        <w:rPr>
          <w:rFonts w:ascii="Arial" w:hAnsi="Arial" w:cs="Arial"/>
          <w:szCs w:val="24"/>
        </w:rPr>
        <w:t xml:space="preserve">m </w:t>
      </w:r>
      <w:r w:rsidRPr="00C7341A">
        <w:rPr>
          <w:rFonts w:ascii="Arial" w:hAnsi="Arial" w:cs="Arial"/>
          <w:szCs w:val="24"/>
        </w:rPr>
        <w:t>expected in 20</w:t>
      </w:r>
      <w:r w:rsidR="00922F59" w:rsidRPr="00C7341A">
        <w:rPr>
          <w:rFonts w:ascii="Arial" w:hAnsi="Arial" w:cs="Arial"/>
          <w:szCs w:val="24"/>
        </w:rPr>
        <w:t>2</w:t>
      </w:r>
      <w:r w:rsidR="00C7341A" w:rsidRPr="00C7341A">
        <w:rPr>
          <w:rFonts w:ascii="Arial" w:hAnsi="Arial" w:cs="Arial"/>
          <w:szCs w:val="24"/>
        </w:rPr>
        <w:t>4</w:t>
      </w:r>
      <w:r w:rsidRPr="00C7341A">
        <w:rPr>
          <w:rFonts w:ascii="Arial" w:hAnsi="Arial" w:cs="Arial"/>
          <w:szCs w:val="24"/>
        </w:rPr>
        <w:t>/2</w:t>
      </w:r>
      <w:r w:rsidR="00C7341A" w:rsidRPr="00C7341A">
        <w:rPr>
          <w:rFonts w:ascii="Arial" w:hAnsi="Arial" w:cs="Arial"/>
          <w:szCs w:val="24"/>
        </w:rPr>
        <w:t>5</w:t>
      </w:r>
      <w:r w:rsidRPr="00C7341A">
        <w:rPr>
          <w:rFonts w:ascii="Arial" w:hAnsi="Arial" w:cs="Arial"/>
          <w:szCs w:val="24"/>
        </w:rPr>
        <w:t xml:space="preserve"> to be added to this</w:t>
      </w:r>
      <w:r w:rsidR="00A43E7E" w:rsidRPr="00C7341A">
        <w:rPr>
          <w:rFonts w:ascii="Arial" w:hAnsi="Arial" w:cs="Arial"/>
          <w:szCs w:val="24"/>
        </w:rPr>
        <w:t xml:space="preserve"> and funded from future year DSG allocations.</w:t>
      </w:r>
      <w:r w:rsidR="00E977C9" w:rsidRPr="00C7341A">
        <w:rPr>
          <w:rFonts w:ascii="Arial" w:hAnsi="Arial" w:cs="Arial"/>
          <w:szCs w:val="24"/>
        </w:rPr>
        <w:t xml:space="preserve"> </w:t>
      </w:r>
      <w:r w:rsidR="00574BB0" w:rsidRPr="00C7341A">
        <w:rPr>
          <w:rFonts w:ascii="Arial" w:hAnsi="Arial" w:cs="Arial"/>
          <w:szCs w:val="24"/>
        </w:rPr>
        <w:t>The DSG Deficit</w:t>
      </w:r>
      <w:r w:rsidR="006C74F4" w:rsidRPr="00C7341A">
        <w:rPr>
          <w:rFonts w:ascii="Arial" w:hAnsi="Arial" w:cs="Arial"/>
          <w:szCs w:val="24"/>
        </w:rPr>
        <w:t xml:space="preserve"> Management</w:t>
      </w:r>
      <w:r w:rsidR="00574BB0" w:rsidRPr="00C7341A">
        <w:rPr>
          <w:rFonts w:ascii="Arial" w:hAnsi="Arial" w:cs="Arial"/>
          <w:szCs w:val="24"/>
        </w:rPr>
        <w:t xml:space="preserve"> Plan continues to be monitored and updated as progress is made. Further updates will be provided to Schools Forum in due course.</w:t>
      </w:r>
    </w:p>
    <w:p w14:paraId="4CD11EF3" w14:textId="329FF655" w:rsidR="00FD7858" w:rsidRPr="0038554F" w:rsidRDefault="001D6722" w:rsidP="000D2649">
      <w:pPr>
        <w:pStyle w:val="Heading1"/>
        <w:keepNext w:val="0"/>
        <w:ind w:left="431" w:hanging="573"/>
        <w:jc w:val="left"/>
        <w:rPr>
          <w:rFonts w:ascii="Arial" w:hAnsi="Arial" w:cs="Arial"/>
          <w:szCs w:val="24"/>
        </w:rPr>
      </w:pPr>
      <w:r w:rsidRPr="0038554F">
        <w:rPr>
          <w:rFonts w:ascii="Arial" w:hAnsi="Arial" w:cs="Arial"/>
          <w:szCs w:val="24"/>
        </w:rPr>
        <w:t>Future Schools Budget</w:t>
      </w:r>
    </w:p>
    <w:p w14:paraId="74AC9CC5" w14:textId="12AEA45C" w:rsidR="004E6343" w:rsidRPr="00056427" w:rsidRDefault="008711F0" w:rsidP="000D2649">
      <w:pPr>
        <w:pStyle w:val="Heading2"/>
        <w:keepNext w:val="0"/>
        <w:tabs>
          <w:tab w:val="num" w:pos="426"/>
        </w:tabs>
        <w:ind w:left="426" w:hanging="568"/>
        <w:jc w:val="left"/>
        <w:rPr>
          <w:rFonts w:ascii="Arial" w:hAnsi="Arial" w:cs="Arial"/>
          <w:szCs w:val="24"/>
        </w:rPr>
      </w:pPr>
      <w:r w:rsidRPr="00056427">
        <w:rPr>
          <w:rFonts w:ascii="Arial" w:hAnsi="Arial" w:cs="Arial"/>
          <w:szCs w:val="24"/>
        </w:rPr>
        <w:t xml:space="preserve">The </w:t>
      </w:r>
      <w:r w:rsidR="005307A3" w:rsidRPr="00056427">
        <w:rPr>
          <w:rFonts w:ascii="Arial" w:hAnsi="Arial" w:cs="Arial"/>
          <w:szCs w:val="24"/>
        </w:rPr>
        <w:t xml:space="preserve">Hampshire </w:t>
      </w:r>
      <w:proofErr w:type="gramStart"/>
      <w:r w:rsidR="005307A3" w:rsidRPr="00056427">
        <w:rPr>
          <w:rFonts w:ascii="Arial" w:hAnsi="Arial" w:cs="Arial"/>
          <w:szCs w:val="24"/>
        </w:rPr>
        <w:t>schools</w:t>
      </w:r>
      <w:proofErr w:type="gramEnd"/>
      <w:r w:rsidR="005307A3" w:rsidRPr="00056427">
        <w:rPr>
          <w:rFonts w:ascii="Arial" w:hAnsi="Arial" w:cs="Arial"/>
          <w:szCs w:val="24"/>
        </w:rPr>
        <w:t xml:space="preserve"> </w:t>
      </w:r>
      <w:r w:rsidRPr="00056427">
        <w:rPr>
          <w:rFonts w:ascii="Arial" w:hAnsi="Arial" w:cs="Arial"/>
          <w:szCs w:val="24"/>
        </w:rPr>
        <w:t>budget</w:t>
      </w:r>
      <w:r w:rsidR="005307A3" w:rsidRPr="00056427">
        <w:rPr>
          <w:rFonts w:ascii="Arial" w:hAnsi="Arial" w:cs="Arial"/>
          <w:szCs w:val="24"/>
        </w:rPr>
        <w:t xml:space="preserve"> </w:t>
      </w:r>
      <w:r w:rsidR="00DF0322" w:rsidRPr="00056427">
        <w:rPr>
          <w:rFonts w:ascii="Arial" w:hAnsi="Arial" w:cs="Arial"/>
          <w:szCs w:val="24"/>
        </w:rPr>
        <w:t xml:space="preserve">and </w:t>
      </w:r>
      <w:r w:rsidR="00463829" w:rsidRPr="00056427">
        <w:rPr>
          <w:rFonts w:ascii="Arial" w:hAnsi="Arial" w:cs="Arial"/>
          <w:szCs w:val="24"/>
        </w:rPr>
        <w:t xml:space="preserve">funding individual Hampshire schools receive </w:t>
      </w:r>
      <w:r w:rsidR="005307A3" w:rsidRPr="00056427">
        <w:rPr>
          <w:rFonts w:ascii="Arial" w:hAnsi="Arial" w:cs="Arial"/>
          <w:szCs w:val="24"/>
        </w:rPr>
        <w:t>remain one of the lowest funded through the National Funding Formula</w:t>
      </w:r>
      <w:r w:rsidR="00C912A9" w:rsidRPr="00056427">
        <w:rPr>
          <w:rFonts w:ascii="Arial" w:hAnsi="Arial" w:cs="Arial"/>
          <w:szCs w:val="24"/>
        </w:rPr>
        <w:t>e</w:t>
      </w:r>
      <w:r w:rsidR="00AC5D32" w:rsidRPr="00056427">
        <w:rPr>
          <w:rFonts w:ascii="Arial" w:hAnsi="Arial" w:cs="Arial"/>
          <w:szCs w:val="24"/>
        </w:rPr>
        <w:t xml:space="preserve"> </w:t>
      </w:r>
      <w:r w:rsidR="00A124E8" w:rsidRPr="00056427">
        <w:rPr>
          <w:rFonts w:ascii="Arial" w:hAnsi="Arial" w:cs="Arial"/>
          <w:szCs w:val="24"/>
        </w:rPr>
        <w:t xml:space="preserve">and </w:t>
      </w:r>
      <w:r w:rsidR="00F46CD7" w:rsidRPr="00056427">
        <w:rPr>
          <w:rFonts w:ascii="Arial" w:hAnsi="Arial" w:cs="Arial"/>
          <w:szCs w:val="24"/>
        </w:rPr>
        <w:t xml:space="preserve">whilst </w:t>
      </w:r>
      <w:r w:rsidR="002B7098" w:rsidRPr="00056427">
        <w:rPr>
          <w:rFonts w:ascii="Arial" w:hAnsi="Arial" w:cs="Arial"/>
          <w:szCs w:val="24"/>
        </w:rPr>
        <w:t>a</w:t>
      </w:r>
      <w:r w:rsidR="00772F5A" w:rsidRPr="00056427">
        <w:rPr>
          <w:rFonts w:ascii="Arial" w:hAnsi="Arial" w:cs="Arial"/>
          <w:szCs w:val="24"/>
        </w:rPr>
        <w:t>n</w:t>
      </w:r>
      <w:r w:rsidR="002B7098" w:rsidRPr="00056427">
        <w:rPr>
          <w:rFonts w:ascii="Arial" w:hAnsi="Arial" w:cs="Arial"/>
          <w:szCs w:val="24"/>
        </w:rPr>
        <w:t xml:space="preserve"> increase in funding in the c</w:t>
      </w:r>
      <w:r w:rsidR="00B54083" w:rsidRPr="00056427">
        <w:rPr>
          <w:rFonts w:ascii="Arial" w:hAnsi="Arial" w:cs="Arial"/>
          <w:szCs w:val="24"/>
        </w:rPr>
        <w:t>oming year</w:t>
      </w:r>
      <w:r w:rsidR="00031E43" w:rsidRPr="00056427">
        <w:rPr>
          <w:rFonts w:ascii="Arial" w:hAnsi="Arial" w:cs="Arial"/>
          <w:szCs w:val="24"/>
        </w:rPr>
        <w:t xml:space="preserve"> is welcomed</w:t>
      </w:r>
      <w:r w:rsidR="00B54083" w:rsidRPr="00056427">
        <w:rPr>
          <w:rFonts w:ascii="Arial" w:hAnsi="Arial" w:cs="Arial"/>
          <w:szCs w:val="24"/>
        </w:rPr>
        <w:t>, this needs to be considered in the context</w:t>
      </w:r>
      <w:r w:rsidR="006A1E7F" w:rsidRPr="00056427">
        <w:rPr>
          <w:rFonts w:ascii="Arial" w:hAnsi="Arial" w:cs="Arial"/>
          <w:szCs w:val="24"/>
        </w:rPr>
        <w:t xml:space="preserve"> of </w:t>
      </w:r>
      <w:r w:rsidR="00BE0EC1" w:rsidRPr="00056427">
        <w:rPr>
          <w:rFonts w:ascii="Arial" w:hAnsi="Arial" w:cs="Arial"/>
          <w:szCs w:val="24"/>
        </w:rPr>
        <w:t>the pressures faced</w:t>
      </w:r>
      <w:r w:rsidR="000D2649" w:rsidRPr="00056427">
        <w:rPr>
          <w:rFonts w:ascii="Arial" w:hAnsi="Arial" w:cs="Arial"/>
          <w:szCs w:val="24"/>
        </w:rPr>
        <w:t>.</w:t>
      </w:r>
    </w:p>
    <w:p w14:paraId="41ABB840" w14:textId="267C7A97" w:rsidR="00FD7858" w:rsidRPr="00323E74" w:rsidRDefault="0024434C" w:rsidP="000D2649">
      <w:pPr>
        <w:pStyle w:val="Heading2"/>
        <w:keepNext w:val="0"/>
        <w:tabs>
          <w:tab w:val="num" w:pos="426"/>
        </w:tabs>
        <w:ind w:left="426" w:hanging="568"/>
        <w:jc w:val="left"/>
        <w:rPr>
          <w:rFonts w:ascii="Arial" w:hAnsi="Arial" w:cs="Arial"/>
          <w:szCs w:val="24"/>
        </w:rPr>
      </w:pPr>
      <w:r w:rsidRPr="00323E74">
        <w:rPr>
          <w:rFonts w:ascii="Arial" w:hAnsi="Arial" w:cs="Arial"/>
          <w:szCs w:val="24"/>
        </w:rPr>
        <w:t>Many s</w:t>
      </w:r>
      <w:r w:rsidR="004E6343" w:rsidRPr="00323E74">
        <w:rPr>
          <w:rFonts w:ascii="Arial" w:hAnsi="Arial" w:cs="Arial"/>
          <w:szCs w:val="24"/>
        </w:rPr>
        <w:t xml:space="preserve">chools will </w:t>
      </w:r>
      <w:r w:rsidR="0005530B" w:rsidRPr="00323E74">
        <w:rPr>
          <w:rFonts w:ascii="Arial" w:hAnsi="Arial" w:cs="Arial"/>
          <w:szCs w:val="24"/>
        </w:rPr>
        <w:t>continue to</w:t>
      </w:r>
      <w:r w:rsidR="004E6343" w:rsidRPr="00323E74">
        <w:rPr>
          <w:rFonts w:ascii="Arial" w:hAnsi="Arial" w:cs="Arial"/>
          <w:szCs w:val="24"/>
        </w:rPr>
        <w:t xml:space="preserve"> need to meet</w:t>
      </w:r>
      <w:r w:rsidR="00DE22B9" w:rsidRPr="00323E74">
        <w:rPr>
          <w:rFonts w:ascii="Arial" w:hAnsi="Arial" w:cs="Arial"/>
          <w:szCs w:val="24"/>
        </w:rPr>
        <w:t xml:space="preserve"> </w:t>
      </w:r>
      <w:r w:rsidR="009A6ABC" w:rsidRPr="00323E74">
        <w:rPr>
          <w:rFonts w:ascii="Arial" w:hAnsi="Arial" w:cs="Arial"/>
          <w:szCs w:val="24"/>
        </w:rPr>
        <w:t xml:space="preserve">a range of </w:t>
      </w:r>
      <w:r w:rsidR="00FF3294" w:rsidRPr="00323E74">
        <w:rPr>
          <w:rFonts w:ascii="Arial" w:hAnsi="Arial" w:cs="Arial"/>
          <w:szCs w:val="24"/>
        </w:rPr>
        <w:t xml:space="preserve">inflationary pressures </w:t>
      </w:r>
      <w:r w:rsidR="00121604" w:rsidRPr="00323E74">
        <w:rPr>
          <w:rFonts w:ascii="Arial" w:hAnsi="Arial" w:cs="Arial"/>
          <w:szCs w:val="24"/>
        </w:rPr>
        <w:t>along with</w:t>
      </w:r>
      <w:r w:rsidR="00267E0F" w:rsidRPr="00323E74">
        <w:rPr>
          <w:rFonts w:ascii="Arial" w:hAnsi="Arial" w:cs="Arial"/>
          <w:szCs w:val="24"/>
        </w:rPr>
        <w:t xml:space="preserve"> </w:t>
      </w:r>
      <w:r w:rsidR="00B07685" w:rsidRPr="00323E74">
        <w:rPr>
          <w:rFonts w:ascii="Arial" w:hAnsi="Arial" w:cs="Arial"/>
          <w:szCs w:val="24"/>
        </w:rPr>
        <w:t xml:space="preserve">further challenges </w:t>
      </w:r>
      <w:proofErr w:type="gramStart"/>
      <w:r w:rsidR="00B07685" w:rsidRPr="00323E74">
        <w:rPr>
          <w:rFonts w:ascii="Arial" w:hAnsi="Arial" w:cs="Arial"/>
          <w:szCs w:val="24"/>
        </w:rPr>
        <w:t>as a result of</w:t>
      </w:r>
      <w:proofErr w:type="gramEnd"/>
      <w:r w:rsidR="00B07685" w:rsidRPr="00323E74">
        <w:rPr>
          <w:rFonts w:ascii="Arial" w:hAnsi="Arial" w:cs="Arial"/>
          <w:szCs w:val="24"/>
        </w:rPr>
        <w:t xml:space="preserve"> </w:t>
      </w:r>
      <w:r w:rsidR="00267E0F" w:rsidRPr="00323E74">
        <w:rPr>
          <w:rFonts w:ascii="Arial" w:hAnsi="Arial" w:cs="Arial"/>
          <w:szCs w:val="24"/>
        </w:rPr>
        <w:t>demographic</w:t>
      </w:r>
      <w:r w:rsidR="00B016DC" w:rsidRPr="00323E74">
        <w:rPr>
          <w:rFonts w:ascii="Arial" w:hAnsi="Arial" w:cs="Arial"/>
          <w:szCs w:val="24"/>
        </w:rPr>
        <w:t xml:space="preserve">. </w:t>
      </w:r>
      <w:proofErr w:type="gramStart"/>
      <w:r w:rsidR="00B016DC" w:rsidRPr="00323E74">
        <w:rPr>
          <w:rFonts w:ascii="Arial" w:hAnsi="Arial" w:cs="Arial"/>
          <w:szCs w:val="24"/>
        </w:rPr>
        <w:t>In particular</w:t>
      </w:r>
      <w:r w:rsidR="00CB6B38" w:rsidRPr="00323E74">
        <w:rPr>
          <w:rFonts w:ascii="Arial" w:hAnsi="Arial" w:cs="Arial"/>
          <w:szCs w:val="24"/>
        </w:rPr>
        <w:t>,</w:t>
      </w:r>
      <w:r w:rsidR="00B016DC" w:rsidRPr="00323E74">
        <w:rPr>
          <w:rFonts w:ascii="Arial" w:hAnsi="Arial" w:cs="Arial"/>
          <w:szCs w:val="24"/>
        </w:rPr>
        <w:t xml:space="preserve"> </w:t>
      </w:r>
      <w:r w:rsidR="00B64CE2" w:rsidRPr="00323E74">
        <w:rPr>
          <w:rFonts w:ascii="Arial" w:hAnsi="Arial" w:cs="Arial"/>
          <w:szCs w:val="24"/>
        </w:rPr>
        <w:t>pay</w:t>
      </w:r>
      <w:proofErr w:type="gramEnd"/>
      <w:r w:rsidR="00B64CE2" w:rsidRPr="00323E74">
        <w:rPr>
          <w:rFonts w:ascii="Arial" w:hAnsi="Arial" w:cs="Arial"/>
          <w:szCs w:val="24"/>
        </w:rPr>
        <w:t xml:space="preserve"> inflation including </w:t>
      </w:r>
      <w:r w:rsidR="0056014D" w:rsidRPr="00323E74">
        <w:rPr>
          <w:rFonts w:ascii="Arial" w:hAnsi="Arial" w:cs="Arial"/>
          <w:szCs w:val="24"/>
        </w:rPr>
        <w:t xml:space="preserve">the </w:t>
      </w:r>
      <w:r w:rsidR="00A16C3E" w:rsidRPr="00323E74">
        <w:rPr>
          <w:rFonts w:ascii="Arial" w:hAnsi="Arial" w:cs="Arial"/>
          <w:szCs w:val="24"/>
        </w:rPr>
        <w:t>impact of pay award</w:t>
      </w:r>
      <w:r w:rsidR="005B5EFF" w:rsidRPr="00323E74">
        <w:rPr>
          <w:rFonts w:ascii="Arial" w:hAnsi="Arial" w:cs="Arial"/>
          <w:szCs w:val="24"/>
        </w:rPr>
        <w:t>s</w:t>
      </w:r>
      <w:r w:rsidR="00A16C3E" w:rsidRPr="00323E74">
        <w:rPr>
          <w:rFonts w:ascii="Arial" w:hAnsi="Arial" w:cs="Arial"/>
          <w:szCs w:val="24"/>
        </w:rPr>
        <w:t xml:space="preserve"> and </w:t>
      </w:r>
      <w:r w:rsidR="00384A9F" w:rsidRPr="00323E74">
        <w:rPr>
          <w:rFonts w:ascii="Arial" w:hAnsi="Arial" w:cs="Arial"/>
          <w:szCs w:val="24"/>
        </w:rPr>
        <w:t xml:space="preserve">increases to employer national insurance </w:t>
      </w:r>
      <w:r w:rsidR="00F47AEA" w:rsidRPr="00323E74">
        <w:rPr>
          <w:rFonts w:ascii="Arial" w:hAnsi="Arial" w:cs="Arial"/>
          <w:szCs w:val="24"/>
        </w:rPr>
        <w:t>contributions</w:t>
      </w:r>
      <w:r w:rsidR="00223389" w:rsidRPr="00323E74">
        <w:rPr>
          <w:rFonts w:ascii="Arial" w:hAnsi="Arial" w:cs="Arial"/>
          <w:szCs w:val="24"/>
        </w:rPr>
        <w:t xml:space="preserve"> with </w:t>
      </w:r>
      <w:r w:rsidR="00D261B6" w:rsidRPr="00323E74">
        <w:rPr>
          <w:rFonts w:ascii="Arial" w:hAnsi="Arial" w:cs="Arial"/>
          <w:szCs w:val="24"/>
        </w:rPr>
        <w:t xml:space="preserve">the </w:t>
      </w:r>
      <w:r w:rsidR="006B1A90" w:rsidRPr="00323E74">
        <w:rPr>
          <w:rFonts w:ascii="Arial" w:hAnsi="Arial" w:cs="Arial"/>
          <w:szCs w:val="24"/>
        </w:rPr>
        <w:t xml:space="preserve">increase to </w:t>
      </w:r>
      <w:r w:rsidR="00D261B6" w:rsidRPr="00323E74">
        <w:rPr>
          <w:rFonts w:ascii="Arial" w:hAnsi="Arial" w:cs="Arial"/>
          <w:szCs w:val="24"/>
        </w:rPr>
        <w:t xml:space="preserve">funding </w:t>
      </w:r>
      <w:r w:rsidR="00C344BE" w:rsidRPr="00323E74">
        <w:rPr>
          <w:rFonts w:ascii="Arial" w:hAnsi="Arial" w:cs="Arial"/>
          <w:szCs w:val="24"/>
        </w:rPr>
        <w:t xml:space="preserve">unlikely to </w:t>
      </w:r>
      <w:r w:rsidR="00A529D9" w:rsidRPr="00323E74">
        <w:rPr>
          <w:rFonts w:ascii="Arial" w:hAnsi="Arial" w:cs="Arial"/>
          <w:szCs w:val="24"/>
        </w:rPr>
        <w:t xml:space="preserve">be sufficient to </w:t>
      </w:r>
      <w:r w:rsidR="009855BB" w:rsidRPr="00323E74">
        <w:rPr>
          <w:rFonts w:ascii="Arial" w:hAnsi="Arial" w:cs="Arial"/>
          <w:szCs w:val="24"/>
        </w:rPr>
        <w:t>cover rising costs</w:t>
      </w:r>
      <w:r w:rsidR="00F47AEA" w:rsidRPr="00323E74">
        <w:rPr>
          <w:rFonts w:ascii="Arial" w:hAnsi="Arial" w:cs="Arial"/>
          <w:szCs w:val="24"/>
        </w:rPr>
        <w:t xml:space="preserve">. </w:t>
      </w:r>
      <w:r w:rsidR="00434661" w:rsidRPr="00323E74">
        <w:rPr>
          <w:rFonts w:ascii="Arial" w:hAnsi="Arial" w:cs="Arial"/>
          <w:szCs w:val="24"/>
        </w:rPr>
        <w:t>Non-pay inflation is also expected to</w:t>
      </w:r>
      <w:r w:rsidR="00AF46DF" w:rsidRPr="00323E74">
        <w:rPr>
          <w:rFonts w:ascii="Arial" w:hAnsi="Arial" w:cs="Arial"/>
          <w:szCs w:val="24"/>
        </w:rPr>
        <w:t xml:space="preserve"> increase due to the impact of pay inflation on the supply chain and </w:t>
      </w:r>
      <w:r w:rsidR="00582A3F" w:rsidRPr="00323E74">
        <w:rPr>
          <w:rFonts w:ascii="Arial" w:hAnsi="Arial" w:cs="Arial"/>
          <w:szCs w:val="24"/>
        </w:rPr>
        <w:t>wider economic uncertainty</w:t>
      </w:r>
      <w:r w:rsidR="00D50D2A" w:rsidRPr="00323E74">
        <w:rPr>
          <w:rFonts w:ascii="Arial" w:hAnsi="Arial" w:cs="Arial"/>
          <w:szCs w:val="24"/>
        </w:rPr>
        <w:t>.</w:t>
      </w:r>
    </w:p>
    <w:p w14:paraId="6E8EED51" w14:textId="45F6F5A4" w:rsidR="00FD7858" w:rsidRPr="00AC2720" w:rsidRDefault="005307A3" w:rsidP="000D2649">
      <w:pPr>
        <w:pStyle w:val="Heading2"/>
        <w:keepNext w:val="0"/>
        <w:tabs>
          <w:tab w:val="num" w:pos="426"/>
        </w:tabs>
        <w:ind w:left="426" w:hanging="568"/>
        <w:jc w:val="left"/>
        <w:rPr>
          <w:rFonts w:ascii="Arial" w:hAnsi="Arial" w:cs="Arial"/>
          <w:szCs w:val="24"/>
        </w:rPr>
      </w:pPr>
      <w:r w:rsidRPr="00AC2720">
        <w:rPr>
          <w:rFonts w:ascii="Arial" w:hAnsi="Arial" w:cs="Arial"/>
          <w:szCs w:val="24"/>
        </w:rPr>
        <w:t xml:space="preserve">High needs pressures are also </w:t>
      </w:r>
      <w:r w:rsidR="0011546B" w:rsidRPr="00AC2720">
        <w:rPr>
          <w:rFonts w:ascii="Arial" w:hAnsi="Arial" w:cs="Arial"/>
          <w:szCs w:val="24"/>
        </w:rPr>
        <w:t>forecast</w:t>
      </w:r>
      <w:r w:rsidRPr="00AC2720">
        <w:rPr>
          <w:rFonts w:ascii="Arial" w:hAnsi="Arial" w:cs="Arial"/>
          <w:szCs w:val="24"/>
        </w:rPr>
        <w:t xml:space="preserve"> to continue and </w:t>
      </w:r>
      <w:r w:rsidR="00C303D9" w:rsidRPr="00AC2720">
        <w:rPr>
          <w:rFonts w:ascii="Arial" w:hAnsi="Arial" w:cs="Arial"/>
          <w:szCs w:val="24"/>
        </w:rPr>
        <w:t>the initially predicted deficit held as a</w:t>
      </w:r>
      <w:r w:rsidR="006C1178" w:rsidRPr="00AC2720">
        <w:rPr>
          <w:rFonts w:ascii="Arial" w:hAnsi="Arial" w:cs="Arial"/>
          <w:szCs w:val="24"/>
        </w:rPr>
        <w:t xml:space="preserve">n offsetting line </w:t>
      </w:r>
      <w:r w:rsidR="00DD3511">
        <w:rPr>
          <w:rFonts w:ascii="Arial" w:hAnsi="Arial" w:cs="Arial"/>
          <w:szCs w:val="24"/>
        </w:rPr>
        <w:t>will</w:t>
      </w:r>
      <w:r w:rsidR="00B839FD" w:rsidRPr="00AC2720">
        <w:rPr>
          <w:rFonts w:ascii="Arial" w:hAnsi="Arial" w:cs="Arial"/>
          <w:szCs w:val="24"/>
        </w:rPr>
        <w:t xml:space="preserve"> enable </w:t>
      </w:r>
      <w:r w:rsidR="00507B11">
        <w:rPr>
          <w:rFonts w:ascii="Arial" w:hAnsi="Arial" w:cs="Arial"/>
          <w:szCs w:val="24"/>
        </w:rPr>
        <w:t xml:space="preserve">more </w:t>
      </w:r>
      <w:r w:rsidR="00B839FD" w:rsidRPr="00AC2720">
        <w:rPr>
          <w:rFonts w:ascii="Arial" w:hAnsi="Arial" w:cs="Arial"/>
          <w:szCs w:val="24"/>
        </w:rPr>
        <w:t xml:space="preserve">meaningful budgets </w:t>
      </w:r>
      <w:r w:rsidR="00BA5F0F" w:rsidRPr="00AC2720">
        <w:rPr>
          <w:rFonts w:ascii="Arial" w:hAnsi="Arial" w:cs="Arial"/>
          <w:szCs w:val="24"/>
        </w:rPr>
        <w:t xml:space="preserve">to </w:t>
      </w:r>
      <w:r w:rsidR="00B839FD" w:rsidRPr="00AC2720">
        <w:rPr>
          <w:rFonts w:ascii="Arial" w:hAnsi="Arial" w:cs="Arial"/>
          <w:szCs w:val="24"/>
        </w:rPr>
        <w:t>be set</w:t>
      </w:r>
      <w:r w:rsidR="000F3F66" w:rsidRPr="00AC2720">
        <w:rPr>
          <w:rFonts w:ascii="Arial" w:hAnsi="Arial" w:cs="Arial"/>
          <w:szCs w:val="24"/>
        </w:rPr>
        <w:t xml:space="preserve"> </w:t>
      </w:r>
      <w:r w:rsidR="0073514A" w:rsidRPr="00AC2720">
        <w:rPr>
          <w:rFonts w:ascii="Arial" w:hAnsi="Arial" w:cs="Arial"/>
          <w:szCs w:val="24"/>
        </w:rPr>
        <w:t>in each area</w:t>
      </w:r>
      <w:r w:rsidR="000717FC" w:rsidRPr="00AC2720">
        <w:rPr>
          <w:rFonts w:ascii="Arial" w:hAnsi="Arial" w:cs="Arial"/>
          <w:szCs w:val="24"/>
        </w:rPr>
        <w:t xml:space="preserve">. </w:t>
      </w:r>
    </w:p>
    <w:p w14:paraId="6B63A3BA" w14:textId="4DCC28D1" w:rsidR="00B8663B" w:rsidRPr="00B50DFC" w:rsidRDefault="005307A3" w:rsidP="000D2649">
      <w:pPr>
        <w:pStyle w:val="Heading2"/>
        <w:keepNext w:val="0"/>
        <w:tabs>
          <w:tab w:val="num" w:pos="426"/>
        </w:tabs>
        <w:ind w:left="426" w:hanging="568"/>
        <w:jc w:val="left"/>
        <w:rPr>
          <w:rFonts w:ascii="Arial" w:hAnsi="Arial" w:cs="Arial"/>
          <w:szCs w:val="24"/>
        </w:rPr>
      </w:pPr>
      <w:r w:rsidRPr="00B50DFC">
        <w:rPr>
          <w:rFonts w:ascii="Arial" w:hAnsi="Arial" w:cs="Arial"/>
          <w:szCs w:val="24"/>
        </w:rPr>
        <w:t>The High Needs Block in Hampshire</w:t>
      </w:r>
      <w:r w:rsidR="005B7805" w:rsidRPr="00B50DFC">
        <w:rPr>
          <w:rFonts w:ascii="Arial" w:hAnsi="Arial" w:cs="Arial"/>
          <w:szCs w:val="24"/>
        </w:rPr>
        <w:t xml:space="preserve"> and nationally remains a concern and it is likely additional funding coupled with policy change is required</w:t>
      </w:r>
      <w:r w:rsidR="001142CC" w:rsidRPr="00B50DFC">
        <w:rPr>
          <w:rFonts w:ascii="Arial" w:hAnsi="Arial" w:cs="Arial"/>
          <w:szCs w:val="24"/>
        </w:rPr>
        <w:t xml:space="preserve"> to enable a balanced bu</w:t>
      </w:r>
      <w:r w:rsidR="008D73E7" w:rsidRPr="00B50DFC">
        <w:rPr>
          <w:rFonts w:ascii="Arial" w:hAnsi="Arial" w:cs="Arial"/>
          <w:szCs w:val="24"/>
        </w:rPr>
        <w:t xml:space="preserve">dget to be </w:t>
      </w:r>
      <w:r w:rsidR="005C5C1B" w:rsidRPr="00B50DFC">
        <w:rPr>
          <w:rFonts w:ascii="Arial" w:hAnsi="Arial" w:cs="Arial"/>
          <w:szCs w:val="24"/>
        </w:rPr>
        <w:t>achieved</w:t>
      </w:r>
      <w:r w:rsidR="005B7805" w:rsidRPr="00B50DFC">
        <w:rPr>
          <w:rFonts w:ascii="Arial" w:hAnsi="Arial" w:cs="Arial"/>
          <w:szCs w:val="24"/>
        </w:rPr>
        <w:t xml:space="preserve">. </w:t>
      </w:r>
      <w:r w:rsidR="005C5C1B" w:rsidRPr="00B50DFC">
        <w:rPr>
          <w:rFonts w:ascii="Arial" w:hAnsi="Arial" w:cs="Arial"/>
          <w:szCs w:val="24"/>
        </w:rPr>
        <w:t>Hampshire continues to meet regularly with the</w:t>
      </w:r>
      <w:r w:rsidR="005B7805" w:rsidRPr="00B50DFC">
        <w:rPr>
          <w:rFonts w:ascii="Arial" w:hAnsi="Arial" w:cs="Arial"/>
          <w:szCs w:val="24"/>
        </w:rPr>
        <w:t xml:space="preserve"> DfE </w:t>
      </w:r>
      <w:r w:rsidR="00EB4FC7" w:rsidRPr="00B50DFC">
        <w:rPr>
          <w:rFonts w:ascii="Arial" w:hAnsi="Arial" w:cs="Arial"/>
          <w:szCs w:val="24"/>
        </w:rPr>
        <w:t xml:space="preserve">in relation to our </w:t>
      </w:r>
      <w:r w:rsidR="002F08A8" w:rsidRPr="00B50DFC">
        <w:rPr>
          <w:rFonts w:ascii="Arial" w:hAnsi="Arial" w:cs="Arial"/>
          <w:szCs w:val="24"/>
        </w:rPr>
        <w:t xml:space="preserve">savings work developed </w:t>
      </w:r>
      <w:r w:rsidR="00063FD1" w:rsidRPr="00B50DFC">
        <w:rPr>
          <w:rFonts w:ascii="Arial" w:hAnsi="Arial" w:cs="Arial"/>
          <w:szCs w:val="24"/>
        </w:rPr>
        <w:t>in relation to the</w:t>
      </w:r>
      <w:r w:rsidR="008D17EE" w:rsidRPr="00B50DFC">
        <w:rPr>
          <w:rFonts w:ascii="Arial" w:hAnsi="Arial" w:cs="Arial"/>
          <w:szCs w:val="24"/>
        </w:rPr>
        <w:t xml:space="preserve"> </w:t>
      </w:r>
      <w:r w:rsidR="00116E0D" w:rsidRPr="00B50DFC">
        <w:rPr>
          <w:rFonts w:ascii="Arial" w:hAnsi="Arial" w:cs="Arial"/>
          <w:szCs w:val="24"/>
        </w:rPr>
        <w:t>D</w:t>
      </w:r>
      <w:r w:rsidR="00104A5A" w:rsidRPr="00B50DFC">
        <w:rPr>
          <w:rFonts w:ascii="Arial" w:hAnsi="Arial" w:cs="Arial"/>
          <w:szCs w:val="24"/>
        </w:rPr>
        <w:t xml:space="preserve">elivering </w:t>
      </w:r>
      <w:r w:rsidR="00116E0D" w:rsidRPr="00B50DFC">
        <w:rPr>
          <w:rFonts w:ascii="Arial" w:hAnsi="Arial" w:cs="Arial"/>
          <w:szCs w:val="24"/>
        </w:rPr>
        <w:t>B</w:t>
      </w:r>
      <w:r w:rsidR="00104A5A" w:rsidRPr="00B50DFC">
        <w:rPr>
          <w:rFonts w:ascii="Arial" w:hAnsi="Arial" w:cs="Arial"/>
          <w:szCs w:val="24"/>
        </w:rPr>
        <w:t xml:space="preserve">etter </w:t>
      </w:r>
      <w:r w:rsidR="00116E0D" w:rsidRPr="00B50DFC">
        <w:rPr>
          <w:rFonts w:ascii="Arial" w:hAnsi="Arial" w:cs="Arial"/>
          <w:szCs w:val="24"/>
        </w:rPr>
        <w:t>V</w:t>
      </w:r>
      <w:r w:rsidR="00104A5A" w:rsidRPr="00B50DFC">
        <w:rPr>
          <w:rFonts w:ascii="Arial" w:hAnsi="Arial" w:cs="Arial"/>
          <w:szCs w:val="24"/>
        </w:rPr>
        <w:t>alues</w:t>
      </w:r>
      <w:r w:rsidR="00116E0D" w:rsidRPr="00B50DFC">
        <w:rPr>
          <w:rFonts w:ascii="Arial" w:hAnsi="Arial" w:cs="Arial"/>
          <w:szCs w:val="24"/>
        </w:rPr>
        <w:t xml:space="preserve"> </w:t>
      </w:r>
      <w:proofErr w:type="spellStart"/>
      <w:r w:rsidR="00063FD1" w:rsidRPr="00B50DFC">
        <w:rPr>
          <w:rFonts w:ascii="Arial" w:hAnsi="Arial" w:cs="Arial"/>
          <w:szCs w:val="24"/>
        </w:rPr>
        <w:t>programme</w:t>
      </w:r>
      <w:proofErr w:type="spellEnd"/>
      <w:r w:rsidR="00241BD1">
        <w:rPr>
          <w:rFonts w:ascii="Arial" w:hAnsi="Arial" w:cs="Arial"/>
          <w:szCs w:val="24"/>
        </w:rPr>
        <w:t xml:space="preserve"> and our Transforming SEND in Hampshire work</w:t>
      </w:r>
      <w:r w:rsidR="00FA7985" w:rsidRPr="00B50DFC">
        <w:rPr>
          <w:rFonts w:ascii="Arial" w:hAnsi="Arial" w:cs="Arial"/>
          <w:szCs w:val="24"/>
        </w:rPr>
        <w:t xml:space="preserve">. </w:t>
      </w:r>
      <w:r w:rsidR="00063FD1" w:rsidRPr="00B50DFC">
        <w:rPr>
          <w:rFonts w:ascii="Arial" w:hAnsi="Arial" w:cs="Arial"/>
          <w:szCs w:val="24"/>
        </w:rPr>
        <w:t xml:space="preserve">Although the savings work is </w:t>
      </w:r>
      <w:r w:rsidR="007856CD" w:rsidRPr="00B50DFC">
        <w:rPr>
          <w:rFonts w:ascii="Arial" w:hAnsi="Arial" w:cs="Arial"/>
          <w:szCs w:val="24"/>
        </w:rPr>
        <w:t>preforming well it is acknowledged that this is not sufficient to bring us to a balanced position</w:t>
      </w:r>
      <w:r w:rsidR="00B8663B" w:rsidRPr="00B50DFC">
        <w:rPr>
          <w:rFonts w:ascii="Arial" w:hAnsi="Arial" w:cs="Arial"/>
          <w:szCs w:val="24"/>
        </w:rPr>
        <w:t xml:space="preserve"> alone.</w:t>
      </w:r>
    </w:p>
    <w:p w14:paraId="5A509578" w14:textId="0A052E8C" w:rsidR="0033174E" w:rsidRPr="0033174E" w:rsidRDefault="0033174E" w:rsidP="0033174E">
      <w:pPr>
        <w:pStyle w:val="Heading2"/>
        <w:keepNext w:val="0"/>
        <w:tabs>
          <w:tab w:val="num" w:pos="426"/>
        </w:tabs>
        <w:ind w:left="426" w:hanging="568"/>
        <w:jc w:val="left"/>
        <w:rPr>
          <w:rFonts w:ascii="Arial" w:hAnsi="Arial" w:cs="Arial"/>
          <w:szCs w:val="24"/>
        </w:rPr>
      </w:pPr>
      <w:proofErr w:type="gramStart"/>
      <w:r w:rsidRPr="0033174E">
        <w:rPr>
          <w:rFonts w:ascii="Arial" w:hAnsi="Arial" w:cs="Arial"/>
          <w:szCs w:val="24"/>
        </w:rPr>
        <w:t>A number of</w:t>
      </w:r>
      <w:proofErr w:type="gramEnd"/>
      <w:r w:rsidRPr="0033174E">
        <w:rPr>
          <w:rFonts w:ascii="Arial" w:hAnsi="Arial" w:cs="Arial"/>
          <w:szCs w:val="24"/>
        </w:rPr>
        <w:t xml:space="preserve"> recent </w:t>
      </w:r>
      <w:r>
        <w:rPr>
          <w:rFonts w:ascii="Arial" w:hAnsi="Arial" w:cs="Arial"/>
          <w:szCs w:val="24"/>
        </w:rPr>
        <w:t xml:space="preserve">national </w:t>
      </w:r>
      <w:r w:rsidRPr="0033174E">
        <w:rPr>
          <w:rFonts w:ascii="Arial" w:hAnsi="Arial" w:cs="Arial"/>
          <w:szCs w:val="24"/>
        </w:rPr>
        <w:t>reports have set out in detail the extent of the crisis in the SEND system, which is letting down children and their families, creating intense pressure on local authority funding and on schools.</w:t>
      </w:r>
    </w:p>
    <w:p w14:paraId="1FA9FEA8" w14:textId="00B79202" w:rsidR="0033174E" w:rsidRPr="0033174E" w:rsidRDefault="00B108B5" w:rsidP="0033174E">
      <w:pPr>
        <w:pStyle w:val="Heading2"/>
        <w:keepNext w:val="0"/>
        <w:tabs>
          <w:tab w:val="num" w:pos="426"/>
        </w:tabs>
        <w:ind w:left="426" w:hanging="568"/>
        <w:jc w:val="left"/>
        <w:rPr>
          <w:rFonts w:ascii="Arial" w:hAnsi="Arial" w:cs="Arial"/>
          <w:szCs w:val="24"/>
        </w:rPr>
      </w:pPr>
      <w:r>
        <w:rPr>
          <w:rFonts w:ascii="Arial" w:hAnsi="Arial" w:cs="Arial"/>
          <w:szCs w:val="24"/>
        </w:rPr>
        <w:t xml:space="preserve">The Education Select Committee </w:t>
      </w:r>
      <w:r w:rsidR="00FF755A">
        <w:rPr>
          <w:rFonts w:ascii="Arial" w:hAnsi="Arial" w:cs="Arial"/>
          <w:szCs w:val="24"/>
        </w:rPr>
        <w:t xml:space="preserve">have </w:t>
      </w:r>
      <w:r w:rsidR="000B66F2">
        <w:rPr>
          <w:rFonts w:ascii="Arial" w:hAnsi="Arial" w:cs="Arial"/>
          <w:szCs w:val="24"/>
        </w:rPr>
        <w:t xml:space="preserve">initiated a call for evidence to support an </w:t>
      </w:r>
      <w:hyperlink r:id="rId18" w:history="1">
        <w:r w:rsidR="0033174E" w:rsidRPr="00983DFD">
          <w:rPr>
            <w:rStyle w:val="Hyperlink"/>
            <w:rFonts w:ascii="Arial" w:hAnsi="Arial" w:cs="Arial"/>
            <w:szCs w:val="24"/>
          </w:rPr>
          <w:t>inquiry</w:t>
        </w:r>
      </w:hyperlink>
      <w:r w:rsidR="0033174E" w:rsidRPr="00B108B5">
        <w:rPr>
          <w:rFonts w:ascii="Arial" w:hAnsi="Arial" w:cs="Arial"/>
          <w:szCs w:val="24"/>
        </w:rPr>
        <w:t xml:space="preserve"> </w:t>
      </w:r>
      <w:r w:rsidR="000B66F2">
        <w:rPr>
          <w:rFonts w:ascii="Arial" w:hAnsi="Arial" w:cs="Arial"/>
          <w:szCs w:val="24"/>
        </w:rPr>
        <w:t>which</w:t>
      </w:r>
      <w:r w:rsidR="0033174E" w:rsidRPr="0033174E">
        <w:rPr>
          <w:rFonts w:ascii="Arial" w:hAnsi="Arial" w:cs="Arial"/>
          <w:szCs w:val="24"/>
        </w:rPr>
        <w:t xml:space="preserve"> will focus on how to achieve both short term stability and long-term sustainability for the SEND system to improve experiences and outcomes for children and young people. The Committee will seek evidence on short term actions to </w:t>
      </w:r>
      <w:proofErr w:type="spellStart"/>
      <w:r w:rsidR="0033174E" w:rsidRPr="0033174E">
        <w:rPr>
          <w:rFonts w:ascii="Arial" w:hAnsi="Arial" w:cs="Arial"/>
          <w:szCs w:val="24"/>
        </w:rPr>
        <w:t>stabilise</w:t>
      </w:r>
      <w:proofErr w:type="spellEnd"/>
      <w:r w:rsidR="0033174E" w:rsidRPr="0033174E">
        <w:rPr>
          <w:rFonts w:ascii="Arial" w:hAnsi="Arial" w:cs="Arial"/>
          <w:szCs w:val="24"/>
        </w:rPr>
        <w:t xml:space="preserve"> the SEND system which is experiencing increased demand, protracted waiting times and increased pressure on schools and local authorities. </w:t>
      </w:r>
    </w:p>
    <w:p w14:paraId="521D470E" w14:textId="438750EE" w:rsidR="00FD7858" w:rsidRPr="0033174E" w:rsidRDefault="0033174E" w:rsidP="000D2649">
      <w:pPr>
        <w:pStyle w:val="Heading2"/>
        <w:keepNext w:val="0"/>
        <w:tabs>
          <w:tab w:val="num" w:pos="426"/>
        </w:tabs>
        <w:ind w:left="426" w:hanging="568"/>
        <w:jc w:val="left"/>
        <w:rPr>
          <w:rFonts w:ascii="Arial" w:hAnsi="Arial" w:cs="Arial"/>
          <w:szCs w:val="24"/>
        </w:rPr>
      </w:pPr>
      <w:r w:rsidRPr="0033174E">
        <w:rPr>
          <w:rFonts w:ascii="Arial" w:hAnsi="Arial" w:cs="Arial"/>
          <w:szCs w:val="24"/>
        </w:rPr>
        <w:t xml:space="preserve"> The Committee will also be looking at how, beyond stability, long term sustainability of the SEND system can be achieved to support and improve outcomes for children and young people with SEND.</w:t>
      </w:r>
    </w:p>
    <w:p w14:paraId="026076E7" w14:textId="7AD7318E" w:rsidR="00CD7032" w:rsidRPr="00CD7032" w:rsidRDefault="00CD7032" w:rsidP="00CD7032">
      <w:pPr>
        <w:pStyle w:val="Heading2"/>
        <w:keepNext w:val="0"/>
        <w:tabs>
          <w:tab w:val="num" w:pos="426"/>
        </w:tabs>
        <w:ind w:left="426" w:hanging="568"/>
        <w:jc w:val="left"/>
        <w:rPr>
          <w:rFonts w:ascii="Arial" w:hAnsi="Arial" w:cs="Arial"/>
          <w:szCs w:val="24"/>
        </w:rPr>
      </w:pPr>
      <w:r w:rsidRPr="00677D54">
        <w:rPr>
          <w:rFonts w:ascii="Arial" w:hAnsi="Arial" w:cs="Arial"/>
          <w:szCs w:val="24"/>
        </w:rPr>
        <w:t>Changes to National Insurance allowances and contributions will come into effect from 5</w:t>
      </w:r>
      <w:r w:rsidRPr="00677D54">
        <w:rPr>
          <w:rFonts w:ascii="Arial" w:hAnsi="Arial" w:cs="Arial"/>
          <w:szCs w:val="24"/>
          <w:vertAlign w:val="superscript"/>
        </w:rPr>
        <w:t>th</w:t>
      </w:r>
      <w:r w:rsidRPr="00677D54">
        <w:rPr>
          <w:rFonts w:ascii="Arial" w:hAnsi="Arial" w:cs="Arial"/>
          <w:szCs w:val="24"/>
        </w:rPr>
        <w:t xml:space="preserve"> April 2025 </w:t>
      </w:r>
      <w:r w:rsidR="00113477">
        <w:rPr>
          <w:rFonts w:ascii="Arial" w:hAnsi="Arial" w:cs="Arial"/>
          <w:szCs w:val="24"/>
        </w:rPr>
        <w:t xml:space="preserve">which will impact individual schools and the wider </w:t>
      </w:r>
      <w:proofErr w:type="gramStart"/>
      <w:r w:rsidR="00113477">
        <w:rPr>
          <w:rFonts w:ascii="Arial" w:hAnsi="Arial" w:cs="Arial"/>
          <w:szCs w:val="24"/>
        </w:rPr>
        <w:t>schools</w:t>
      </w:r>
      <w:proofErr w:type="gramEnd"/>
      <w:r w:rsidR="00113477">
        <w:rPr>
          <w:rFonts w:ascii="Arial" w:hAnsi="Arial" w:cs="Arial"/>
          <w:szCs w:val="24"/>
        </w:rPr>
        <w:t xml:space="preserve"> budget. A</w:t>
      </w:r>
      <w:r w:rsidRPr="00677D54">
        <w:rPr>
          <w:rFonts w:ascii="Arial" w:hAnsi="Arial" w:cs="Arial"/>
          <w:szCs w:val="24"/>
        </w:rPr>
        <w:t>dditional costs associated with this change are expected to be covered by funding</w:t>
      </w:r>
      <w:r>
        <w:rPr>
          <w:rFonts w:ascii="Arial" w:hAnsi="Arial" w:cs="Arial"/>
          <w:szCs w:val="24"/>
        </w:rPr>
        <w:t>,</w:t>
      </w:r>
      <w:r w:rsidRPr="00677D54">
        <w:rPr>
          <w:rFonts w:ascii="Arial" w:hAnsi="Arial" w:cs="Arial"/>
          <w:szCs w:val="24"/>
        </w:rPr>
        <w:t xml:space="preserve"> details of which are yet to be confirmed.  Details of the planned </w:t>
      </w:r>
      <w:r>
        <w:rPr>
          <w:rFonts w:ascii="Arial" w:hAnsi="Arial" w:cs="Arial"/>
          <w:szCs w:val="24"/>
        </w:rPr>
        <w:t>policy change</w:t>
      </w:r>
      <w:r w:rsidRPr="00677D54">
        <w:rPr>
          <w:rFonts w:ascii="Arial" w:hAnsi="Arial" w:cs="Arial"/>
          <w:szCs w:val="24"/>
        </w:rPr>
        <w:t xml:space="preserve"> can be found here </w:t>
      </w:r>
      <w:hyperlink r:id="rId19" w:history="1">
        <w:r w:rsidRPr="00677D54">
          <w:rPr>
            <w:rStyle w:val="Hyperlink"/>
            <w:rFonts w:ascii="Arial" w:hAnsi="Arial" w:cs="Arial"/>
            <w:szCs w:val="24"/>
          </w:rPr>
          <w:t>Changes to the Class 1 National Insurance Contributions Secondary Threshold, the Secondary Class 1 National Insurance contributions rate, and the Employment Allowance from 6 April 2025 - GOV.UK</w:t>
        </w:r>
      </w:hyperlink>
      <w:r w:rsidRPr="00677D54">
        <w:rPr>
          <w:rFonts w:ascii="Arial" w:hAnsi="Arial" w:cs="Arial"/>
          <w:szCs w:val="24"/>
        </w:rPr>
        <w:t xml:space="preserve">. </w:t>
      </w:r>
    </w:p>
    <w:p w14:paraId="38F1A7C0" w14:textId="7501D6F8" w:rsidR="001D6070" w:rsidRPr="0038554F" w:rsidRDefault="001D6070" w:rsidP="000D2649">
      <w:pPr>
        <w:pStyle w:val="Heading1"/>
        <w:keepNext w:val="0"/>
        <w:ind w:left="431" w:hanging="573"/>
        <w:jc w:val="left"/>
        <w:rPr>
          <w:rFonts w:ascii="Arial" w:hAnsi="Arial" w:cs="Arial"/>
          <w:szCs w:val="24"/>
        </w:rPr>
      </w:pPr>
      <w:r w:rsidRPr="0038554F">
        <w:rPr>
          <w:rFonts w:ascii="Arial" w:hAnsi="Arial" w:cs="Arial"/>
          <w:szCs w:val="24"/>
        </w:rPr>
        <w:t>Non-schools Budget</w:t>
      </w:r>
    </w:p>
    <w:p w14:paraId="29BD457F" w14:textId="35378885" w:rsidR="001D6070" w:rsidRPr="0038554F" w:rsidRDefault="001D6070" w:rsidP="000D2649">
      <w:pPr>
        <w:pStyle w:val="Heading2"/>
        <w:keepNext w:val="0"/>
        <w:tabs>
          <w:tab w:val="num" w:pos="426"/>
        </w:tabs>
        <w:ind w:left="426" w:hanging="568"/>
        <w:jc w:val="left"/>
        <w:rPr>
          <w:rFonts w:ascii="Arial" w:hAnsi="Arial" w:cs="Arial"/>
          <w:szCs w:val="24"/>
        </w:rPr>
      </w:pPr>
      <w:r w:rsidRPr="0038554F">
        <w:rPr>
          <w:rFonts w:ascii="Arial" w:hAnsi="Arial" w:cs="Arial"/>
          <w:szCs w:val="24"/>
        </w:rPr>
        <w:t>The revenue budget report for Children’s Services for 202</w:t>
      </w:r>
      <w:r w:rsidR="0038554F" w:rsidRPr="0038554F">
        <w:rPr>
          <w:rFonts w:ascii="Arial" w:hAnsi="Arial" w:cs="Arial"/>
          <w:szCs w:val="24"/>
        </w:rPr>
        <w:t>5</w:t>
      </w:r>
      <w:r w:rsidRPr="0038554F">
        <w:rPr>
          <w:rFonts w:ascii="Arial" w:hAnsi="Arial" w:cs="Arial"/>
          <w:szCs w:val="24"/>
        </w:rPr>
        <w:t>/</w:t>
      </w:r>
      <w:r w:rsidR="00D960D9" w:rsidRPr="0038554F">
        <w:rPr>
          <w:rFonts w:ascii="Arial" w:hAnsi="Arial" w:cs="Arial"/>
          <w:szCs w:val="24"/>
        </w:rPr>
        <w:t>2</w:t>
      </w:r>
      <w:r w:rsidR="0038554F" w:rsidRPr="0038554F">
        <w:rPr>
          <w:rFonts w:ascii="Arial" w:hAnsi="Arial" w:cs="Arial"/>
          <w:szCs w:val="24"/>
        </w:rPr>
        <w:t>6</w:t>
      </w:r>
      <w:r w:rsidRPr="0038554F">
        <w:rPr>
          <w:rFonts w:ascii="Arial" w:hAnsi="Arial" w:cs="Arial"/>
          <w:szCs w:val="24"/>
        </w:rPr>
        <w:t xml:space="preserve"> </w:t>
      </w:r>
      <w:r w:rsidR="00CB37F7">
        <w:rPr>
          <w:rFonts w:ascii="Arial" w:hAnsi="Arial" w:cs="Arial"/>
          <w:szCs w:val="24"/>
        </w:rPr>
        <w:t>will be</w:t>
      </w:r>
      <w:r w:rsidRPr="0038554F">
        <w:rPr>
          <w:rFonts w:ascii="Arial" w:hAnsi="Arial" w:cs="Arial"/>
          <w:szCs w:val="24"/>
        </w:rPr>
        <w:t xml:space="preserve"> considered by the Executive Lead Member for Children’s Services on </w:t>
      </w:r>
      <w:r w:rsidR="0038554F" w:rsidRPr="0038554F">
        <w:rPr>
          <w:rFonts w:ascii="Arial" w:hAnsi="Arial" w:cs="Arial"/>
          <w:szCs w:val="24"/>
        </w:rPr>
        <w:t>22</w:t>
      </w:r>
      <w:r w:rsidRPr="0038554F">
        <w:rPr>
          <w:rFonts w:ascii="Arial" w:hAnsi="Arial" w:cs="Arial"/>
          <w:szCs w:val="24"/>
        </w:rPr>
        <w:t xml:space="preserve"> January 202</w:t>
      </w:r>
      <w:r w:rsidR="0038554F" w:rsidRPr="0038554F">
        <w:rPr>
          <w:rFonts w:ascii="Arial" w:hAnsi="Arial" w:cs="Arial"/>
          <w:szCs w:val="24"/>
        </w:rPr>
        <w:t>5</w:t>
      </w:r>
      <w:r w:rsidRPr="0038554F">
        <w:rPr>
          <w:rFonts w:ascii="Arial" w:hAnsi="Arial" w:cs="Arial"/>
          <w:szCs w:val="24"/>
        </w:rPr>
        <w:t>.</w:t>
      </w:r>
    </w:p>
    <w:p w14:paraId="5D1FDD52" w14:textId="7468D8CF" w:rsidR="008214D8" w:rsidRPr="0038554F" w:rsidRDefault="001D6070" w:rsidP="000D2649">
      <w:pPr>
        <w:pStyle w:val="Heading2"/>
        <w:keepNext w:val="0"/>
        <w:tabs>
          <w:tab w:val="num" w:pos="426"/>
        </w:tabs>
        <w:ind w:left="426" w:hanging="568"/>
        <w:jc w:val="left"/>
        <w:rPr>
          <w:rFonts w:ascii="Arial" w:hAnsi="Arial" w:cs="Arial"/>
          <w:szCs w:val="24"/>
        </w:rPr>
      </w:pPr>
      <w:r w:rsidRPr="0038554F">
        <w:rPr>
          <w:rFonts w:ascii="Arial" w:hAnsi="Arial" w:cs="Arial"/>
          <w:szCs w:val="24"/>
        </w:rPr>
        <w:t>The report</w:t>
      </w:r>
      <w:r w:rsidR="006346AA" w:rsidRPr="0038554F">
        <w:rPr>
          <w:rFonts w:ascii="Arial" w:hAnsi="Arial" w:cs="Arial"/>
          <w:szCs w:val="24"/>
        </w:rPr>
        <w:t xml:space="preserve"> is</w:t>
      </w:r>
      <w:r w:rsidRPr="0038554F">
        <w:rPr>
          <w:rFonts w:ascii="Arial" w:hAnsi="Arial" w:cs="Arial"/>
          <w:szCs w:val="24"/>
        </w:rPr>
        <w:t xml:space="preserve"> publicly available and can be viewed using the link below:</w:t>
      </w:r>
    </w:p>
    <w:p w14:paraId="75526ABE" w14:textId="05A3ECB7" w:rsidR="00C16BC0" w:rsidRPr="0033457D" w:rsidRDefault="00870904" w:rsidP="00C16BC0">
      <w:pPr>
        <w:pStyle w:val="Heading2"/>
        <w:keepNext w:val="0"/>
        <w:numPr>
          <w:ilvl w:val="0"/>
          <w:numId w:val="0"/>
        </w:numPr>
        <w:ind w:left="426"/>
        <w:jc w:val="left"/>
        <w:rPr>
          <w:rFonts w:ascii="Arial" w:hAnsi="Arial" w:cs="Arial"/>
          <w:color w:val="FF0000"/>
          <w:szCs w:val="24"/>
        </w:rPr>
      </w:pPr>
      <w:hyperlink r:id="rId20" w:tgtFrame="_blank" w:tooltip="https://democracy.hants.gov.uk/ielistdocuments.aspx?cid=812&amp;mid=10923" w:history="1">
        <w:r w:rsidRPr="00E15246">
          <w:rPr>
            <w:rStyle w:val="Hyperlink"/>
            <w:rFonts w:ascii="Arial" w:hAnsi="Arial" w:cs="Arial"/>
          </w:rPr>
          <w:t>Executive Lead Member for Children's Services and Education</w:t>
        </w:r>
      </w:hyperlink>
    </w:p>
    <w:p w14:paraId="306C77DB" w14:textId="0BEFBC85" w:rsidR="00A04292" w:rsidRPr="004F518C" w:rsidRDefault="00070492" w:rsidP="004F518C">
      <w:pPr>
        <w:pStyle w:val="Heading2"/>
        <w:keepNext w:val="0"/>
        <w:ind w:left="426" w:hanging="568"/>
        <w:jc w:val="left"/>
        <w:rPr>
          <w:rFonts w:ascii="Arial" w:hAnsi="Arial" w:cs="Arial"/>
        </w:rPr>
      </w:pPr>
      <w:r>
        <w:rPr>
          <w:rFonts w:ascii="Arial" w:hAnsi="Arial" w:cs="Arial"/>
        </w:rPr>
        <w:t xml:space="preserve">The report details current significant pressures, particularly in relation to the available provision and costs of children looked after, </w:t>
      </w:r>
      <w:r w:rsidR="004F518C">
        <w:rPr>
          <w:rFonts w:ascii="Arial" w:hAnsi="Arial" w:cs="Arial"/>
        </w:rPr>
        <w:t>increase</w:t>
      </w:r>
      <w:r>
        <w:rPr>
          <w:rFonts w:ascii="Arial" w:hAnsi="Arial" w:cs="Arial"/>
        </w:rPr>
        <w:t xml:space="preserve"> in </w:t>
      </w:r>
      <w:r w:rsidR="004F518C">
        <w:rPr>
          <w:rFonts w:ascii="Arial" w:hAnsi="Arial" w:cs="Arial"/>
        </w:rPr>
        <w:t xml:space="preserve">pupils with Special Educational Needs (SEN) and associated School Transport costs, a lack of grant funding to cover </w:t>
      </w:r>
      <w:r>
        <w:rPr>
          <w:rFonts w:ascii="Arial" w:hAnsi="Arial" w:cs="Arial"/>
        </w:rPr>
        <w:t xml:space="preserve">the </w:t>
      </w:r>
      <w:r w:rsidR="004F518C">
        <w:rPr>
          <w:rFonts w:ascii="Arial" w:hAnsi="Arial" w:cs="Arial"/>
        </w:rPr>
        <w:t>care costs</w:t>
      </w:r>
      <w:r>
        <w:rPr>
          <w:rFonts w:ascii="Arial" w:hAnsi="Arial" w:cs="Arial"/>
        </w:rPr>
        <w:t xml:space="preserve"> of Unaccompanied </w:t>
      </w:r>
      <w:proofErr w:type="gramStart"/>
      <w:r>
        <w:rPr>
          <w:rFonts w:ascii="Arial" w:hAnsi="Arial" w:cs="Arial"/>
        </w:rPr>
        <w:t>Asylum Seeking</w:t>
      </w:r>
      <w:proofErr w:type="gramEnd"/>
      <w:r>
        <w:rPr>
          <w:rFonts w:ascii="Arial" w:hAnsi="Arial" w:cs="Arial"/>
        </w:rPr>
        <w:t xml:space="preserve"> </w:t>
      </w:r>
      <w:r w:rsidR="004F518C">
        <w:rPr>
          <w:rFonts w:ascii="Arial" w:hAnsi="Arial" w:cs="Arial"/>
        </w:rPr>
        <w:t xml:space="preserve">Young </w:t>
      </w:r>
      <w:r>
        <w:rPr>
          <w:rFonts w:ascii="Arial" w:hAnsi="Arial" w:cs="Arial"/>
        </w:rPr>
        <w:t>Children (UASC</w:t>
      </w:r>
      <w:r w:rsidR="004F518C">
        <w:rPr>
          <w:rFonts w:ascii="Arial" w:hAnsi="Arial" w:cs="Arial"/>
        </w:rPr>
        <w:t>)</w:t>
      </w:r>
      <w:r>
        <w:rPr>
          <w:rFonts w:ascii="Arial" w:hAnsi="Arial" w:cs="Arial"/>
        </w:rPr>
        <w:t xml:space="preserve"> and high needs pressures within the schools budget.</w:t>
      </w:r>
    </w:p>
    <w:p w14:paraId="6B5D3F80" w14:textId="77777777" w:rsidR="009216FF" w:rsidRDefault="009216FF" w:rsidP="009216FF">
      <w:pPr>
        <w:pStyle w:val="Heading2"/>
        <w:keepNext w:val="0"/>
        <w:ind w:left="426" w:hanging="568"/>
        <w:jc w:val="left"/>
        <w:rPr>
          <w:rFonts w:ascii="Arial" w:hAnsi="Arial" w:cs="Arial"/>
        </w:rPr>
      </w:pPr>
      <w:r>
        <w:rPr>
          <w:rFonts w:ascii="Arial" w:hAnsi="Arial" w:cs="Arial"/>
        </w:rPr>
        <w:t>The budget setting process has</w:t>
      </w:r>
      <w:r w:rsidRPr="00E15246">
        <w:rPr>
          <w:rFonts w:ascii="Arial" w:hAnsi="Arial" w:cs="Arial"/>
        </w:rPr>
        <w:t xml:space="preserve"> </w:t>
      </w:r>
      <w:r>
        <w:rPr>
          <w:rFonts w:ascii="Arial" w:hAnsi="Arial" w:cs="Arial"/>
        </w:rPr>
        <w:t>been undertaken against the backdrop of a budget gap of £116m by 2025/26, which the Council is unable to close through savings alone. As a result of the Council’s deteriorating financial position, officers have been considering what further savings could be made if the Council were to deliver services at the Legal Minimum Service Level (LMSL).</w:t>
      </w:r>
    </w:p>
    <w:bookmarkEnd w:id="1"/>
    <w:bookmarkEnd w:id="2"/>
    <w:p w14:paraId="4013CED0" w14:textId="60F6593C" w:rsidR="009D6775" w:rsidRDefault="009D6775" w:rsidP="009D6775">
      <w:pPr>
        <w:pStyle w:val="Heading2"/>
        <w:keepNext w:val="0"/>
        <w:ind w:left="426" w:hanging="568"/>
        <w:jc w:val="left"/>
        <w:rPr>
          <w:rFonts w:ascii="Arial" w:hAnsi="Arial" w:cs="Arial"/>
        </w:rPr>
      </w:pPr>
      <w:r>
        <w:rPr>
          <w:rFonts w:ascii="Arial" w:hAnsi="Arial" w:cs="Arial"/>
        </w:rPr>
        <w:t>In response the Savings Programme to 2025 for Children’s Services was reviewed by Cabinet in October 2024 to revise the Phase 1 savings to deliver £10.96m by 2025/26. Due to the financial position further savings have been proposed totaling £8m in 2025/26 rising to £12.72m in 2026/27. Those further proposed savings have been removed from the 2025/26 budget set out in the report, with the recommendation that Cabinet approves the savings at the same time as the 2025/26 forward budget, subject to any stage 2 public consultations where required.</w:t>
      </w:r>
      <w:r>
        <w:rPr>
          <w:rFonts w:ascii="Arial" w:hAnsi="Arial" w:cs="Arial"/>
          <w:b/>
          <w:bCs/>
        </w:rPr>
        <w:t> </w:t>
      </w:r>
    </w:p>
    <w:p w14:paraId="6E73595A" w14:textId="77777777" w:rsidR="00991719" w:rsidRDefault="00991719" w:rsidP="00991719">
      <w:pPr>
        <w:pStyle w:val="Heading2"/>
        <w:keepNext w:val="0"/>
        <w:numPr>
          <w:ilvl w:val="0"/>
          <w:numId w:val="0"/>
        </w:numPr>
        <w:ind w:left="426"/>
        <w:jc w:val="left"/>
        <w:rPr>
          <w:rFonts w:ascii="Arial" w:hAnsi="Arial" w:cs="Arial"/>
          <w:b/>
          <w:bCs/>
        </w:rPr>
      </w:pPr>
    </w:p>
    <w:p w14:paraId="2AD8322A" w14:textId="77777777" w:rsidR="00991719" w:rsidRDefault="00991719" w:rsidP="00991719">
      <w:pPr>
        <w:pStyle w:val="Heading2"/>
        <w:keepNext w:val="0"/>
        <w:numPr>
          <w:ilvl w:val="0"/>
          <w:numId w:val="0"/>
        </w:numPr>
        <w:ind w:left="426"/>
        <w:jc w:val="left"/>
        <w:rPr>
          <w:rFonts w:ascii="Arial" w:hAnsi="Arial" w:cs="Arial"/>
        </w:rPr>
      </w:pPr>
    </w:p>
    <w:p w14:paraId="52D92129" w14:textId="77777777" w:rsidR="00D05438" w:rsidRPr="0038554F" w:rsidRDefault="00D05438" w:rsidP="000D2649">
      <w:pPr>
        <w:pStyle w:val="Heading1"/>
        <w:keepNext w:val="0"/>
        <w:ind w:left="431" w:hanging="573"/>
        <w:jc w:val="left"/>
        <w:rPr>
          <w:rFonts w:ascii="Arial" w:hAnsi="Arial" w:cs="Arial"/>
          <w:szCs w:val="24"/>
        </w:rPr>
      </w:pPr>
      <w:r w:rsidRPr="0038554F">
        <w:rPr>
          <w:rFonts w:ascii="Arial" w:hAnsi="Arial" w:cs="Arial"/>
          <w:szCs w:val="24"/>
        </w:rPr>
        <w:t>Recommendations</w:t>
      </w:r>
    </w:p>
    <w:p w14:paraId="6ED9F67C" w14:textId="128E9775" w:rsidR="001D6070" w:rsidRPr="0038554F" w:rsidRDefault="001D6070" w:rsidP="00A94F6F">
      <w:pPr>
        <w:pStyle w:val="Heading2"/>
        <w:keepNext w:val="0"/>
        <w:tabs>
          <w:tab w:val="num" w:pos="426"/>
        </w:tabs>
        <w:ind w:left="426" w:hanging="568"/>
        <w:jc w:val="left"/>
        <w:rPr>
          <w:rFonts w:ascii="Arial" w:hAnsi="Arial" w:cs="Arial"/>
          <w:szCs w:val="24"/>
        </w:rPr>
      </w:pPr>
      <w:r w:rsidRPr="0038554F">
        <w:rPr>
          <w:rFonts w:ascii="Arial" w:hAnsi="Arial" w:cs="Arial"/>
          <w:szCs w:val="24"/>
        </w:rPr>
        <w:t>It is recommended that Schools Forum agree the proposed budget allocations for 202</w:t>
      </w:r>
      <w:r w:rsidR="0038554F">
        <w:rPr>
          <w:rFonts w:ascii="Arial" w:hAnsi="Arial" w:cs="Arial"/>
          <w:szCs w:val="24"/>
        </w:rPr>
        <w:t>5</w:t>
      </w:r>
      <w:r w:rsidRPr="0038554F">
        <w:rPr>
          <w:rFonts w:ascii="Arial" w:hAnsi="Arial" w:cs="Arial"/>
          <w:szCs w:val="24"/>
        </w:rPr>
        <w:t>/2</w:t>
      </w:r>
      <w:r w:rsidR="0038554F">
        <w:rPr>
          <w:rFonts w:ascii="Arial" w:hAnsi="Arial" w:cs="Arial"/>
          <w:szCs w:val="24"/>
        </w:rPr>
        <w:t>6</w:t>
      </w:r>
      <w:r w:rsidRPr="0038554F">
        <w:rPr>
          <w:rFonts w:ascii="Arial" w:hAnsi="Arial" w:cs="Arial"/>
          <w:szCs w:val="24"/>
        </w:rPr>
        <w:t>.</w:t>
      </w:r>
    </w:p>
    <w:p w14:paraId="3AD1F606" w14:textId="5B375781" w:rsidR="001D6070" w:rsidRPr="00B1138B" w:rsidRDefault="001D6070" w:rsidP="00A94F6F">
      <w:pPr>
        <w:pStyle w:val="Heading2"/>
        <w:keepNext w:val="0"/>
        <w:tabs>
          <w:tab w:val="num" w:pos="426"/>
        </w:tabs>
        <w:ind w:left="426" w:hanging="568"/>
        <w:jc w:val="left"/>
        <w:rPr>
          <w:rFonts w:ascii="Arial" w:hAnsi="Arial" w:cs="Arial"/>
          <w:szCs w:val="24"/>
        </w:rPr>
      </w:pPr>
      <w:r w:rsidRPr="00B1138B">
        <w:rPr>
          <w:rFonts w:ascii="Arial" w:hAnsi="Arial" w:cs="Arial"/>
          <w:szCs w:val="24"/>
        </w:rPr>
        <w:t xml:space="preserve">It is recommended that Schools Forum agree to continue funding the historic commitments, as detailed in paragraph </w:t>
      </w:r>
      <w:r w:rsidR="0082198C" w:rsidRPr="00B1138B">
        <w:rPr>
          <w:rFonts w:ascii="Arial" w:hAnsi="Arial" w:cs="Arial"/>
          <w:szCs w:val="24"/>
        </w:rPr>
        <w:t>6.6</w:t>
      </w:r>
      <w:r w:rsidRPr="00B1138B">
        <w:rPr>
          <w:rFonts w:ascii="Arial" w:hAnsi="Arial" w:cs="Arial"/>
          <w:szCs w:val="24"/>
        </w:rPr>
        <w:t>.</w:t>
      </w:r>
    </w:p>
    <w:p w14:paraId="5B2CCDCB" w14:textId="533F5731" w:rsidR="00AD74C5" w:rsidRPr="005B0125" w:rsidRDefault="00AD74C5" w:rsidP="00AD74C5">
      <w:pPr>
        <w:pStyle w:val="Heading2"/>
        <w:keepNext w:val="0"/>
        <w:tabs>
          <w:tab w:val="num" w:pos="426"/>
        </w:tabs>
        <w:ind w:left="426" w:hanging="568"/>
        <w:jc w:val="left"/>
        <w:rPr>
          <w:rFonts w:ascii="Arial" w:hAnsi="Arial" w:cs="Arial"/>
          <w:szCs w:val="24"/>
        </w:rPr>
      </w:pPr>
      <w:r w:rsidRPr="005B0125">
        <w:rPr>
          <w:rFonts w:ascii="Arial" w:hAnsi="Arial" w:cs="Arial"/>
          <w:szCs w:val="24"/>
        </w:rPr>
        <w:t>It is recommended that Schools Forum members for maintained schools agree to the budget being retained to fund central provision for maintained schools, as detail</w:t>
      </w:r>
      <w:r w:rsidR="0022262B" w:rsidRPr="005B0125">
        <w:rPr>
          <w:rFonts w:ascii="Arial" w:hAnsi="Arial" w:cs="Arial"/>
          <w:szCs w:val="24"/>
        </w:rPr>
        <w:t>ed</w:t>
      </w:r>
      <w:r w:rsidRPr="005B0125">
        <w:rPr>
          <w:rFonts w:ascii="Arial" w:hAnsi="Arial" w:cs="Arial"/>
          <w:szCs w:val="24"/>
        </w:rPr>
        <w:t xml:space="preserve"> in paragraph 7.2</w:t>
      </w:r>
      <w:r w:rsidR="0016599A">
        <w:rPr>
          <w:rFonts w:ascii="Arial" w:hAnsi="Arial" w:cs="Arial"/>
          <w:szCs w:val="24"/>
        </w:rPr>
        <w:t xml:space="preserve"> to 7.5</w:t>
      </w:r>
      <w:r w:rsidRPr="005B0125">
        <w:rPr>
          <w:rFonts w:ascii="Arial" w:hAnsi="Arial" w:cs="Arial"/>
          <w:szCs w:val="24"/>
        </w:rPr>
        <w:t>.</w:t>
      </w:r>
    </w:p>
    <w:p w14:paraId="7A189359" w14:textId="7CBF9E54" w:rsidR="003531F2" w:rsidRPr="000C677A" w:rsidRDefault="001D6070" w:rsidP="000C677A">
      <w:pPr>
        <w:pStyle w:val="Heading2"/>
        <w:keepNext w:val="0"/>
        <w:tabs>
          <w:tab w:val="num" w:pos="426"/>
        </w:tabs>
        <w:ind w:left="426" w:hanging="568"/>
        <w:jc w:val="left"/>
        <w:rPr>
          <w:rFonts w:ascii="Arial" w:hAnsi="Arial" w:cs="Arial"/>
          <w:szCs w:val="24"/>
        </w:rPr>
      </w:pPr>
      <w:r w:rsidRPr="005B0125">
        <w:rPr>
          <w:rFonts w:ascii="Arial" w:hAnsi="Arial" w:cs="Arial"/>
          <w:szCs w:val="24"/>
        </w:rPr>
        <w:t xml:space="preserve">It is recommended that maintained primary and secondary Schools Forum members vote separately to de-delegate services as detailed in paragraph </w:t>
      </w:r>
      <w:r w:rsidR="0082198C" w:rsidRPr="005B0125">
        <w:rPr>
          <w:rFonts w:ascii="Arial" w:hAnsi="Arial" w:cs="Arial"/>
          <w:szCs w:val="24"/>
        </w:rPr>
        <w:t>7.</w:t>
      </w:r>
      <w:r w:rsidR="0016599A">
        <w:rPr>
          <w:rFonts w:ascii="Arial" w:hAnsi="Arial" w:cs="Arial"/>
          <w:szCs w:val="24"/>
        </w:rPr>
        <w:t>6</w:t>
      </w:r>
      <w:r w:rsidRPr="005B0125">
        <w:rPr>
          <w:rFonts w:ascii="Arial" w:hAnsi="Arial" w:cs="Arial"/>
          <w:szCs w:val="24"/>
        </w:rPr>
        <w:t>.</w:t>
      </w:r>
    </w:p>
    <w:p w14:paraId="1BD9C69A" w14:textId="3A8CB833" w:rsidR="003531F2" w:rsidRPr="0033457D" w:rsidRDefault="003531F2" w:rsidP="003531F2">
      <w:pPr>
        <w:pStyle w:val="Heading2"/>
        <w:keepNext w:val="0"/>
        <w:numPr>
          <w:ilvl w:val="0"/>
          <w:numId w:val="0"/>
        </w:numPr>
        <w:spacing w:after="0"/>
        <w:ind w:left="426"/>
        <w:jc w:val="left"/>
        <w:rPr>
          <w:rFonts w:ascii="Arial" w:hAnsi="Arial" w:cs="Arial"/>
          <w:b/>
          <w:color w:val="FF0000"/>
          <w:szCs w:val="24"/>
        </w:rPr>
      </w:pPr>
      <w:r w:rsidRPr="0033457D">
        <w:rPr>
          <w:rFonts w:ascii="Arial" w:hAnsi="Arial" w:cs="Arial"/>
          <w:color w:val="FF0000"/>
          <w:szCs w:val="24"/>
        </w:rPr>
        <w:br w:type="page"/>
      </w:r>
      <w:r w:rsidRPr="00101740">
        <w:rPr>
          <w:rFonts w:ascii="Arial" w:hAnsi="Arial" w:cs="Arial"/>
          <w:b/>
          <w:szCs w:val="24"/>
        </w:rPr>
        <w:t xml:space="preserve">Appendix 1 – Breakdown of the </w:t>
      </w:r>
      <w:r w:rsidRPr="00101740">
        <w:rPr>
          <w:rFonts w:ascii="Arial" w:hAnsi="Arial" w:cs="Arial"/>
          <w:b/>
          <w:bCs/>
          <w:szCs w:val="24"/>
        </w:rPr>
        <w:t>202</w:t>
      </w:r>
      <w:r w:rsidR="00101740" w:rsidRPr="00101740">
        <w:rPr>
          <w:rFonts w:ascii="Arial" w:hAnsi="Arial" w:cs="Arial"/>
          <w:b/>
          <w:bCs/>
          <w:szCs w:val="24"/>
        </w:rPr>
        <w:t>5</w:t>
      </w:r>
      <w:r w:rsidRPr="00101740">
        <w:rPr>
          <w:rFonts w:ascii="Arial" w:hAnsi="Arial" w:cs="Arial"/>
          <w:b/>
          <w:bCs/>
          <w:szCs w:val="24"/>
        </w:rPr>
        <w:t>/2</w:t>
      </w:r>
      <w:r w:rsidR="00101740" w:rsidRPr="00101740">
        <w:rPr>
          <w:rFonts w:ascii="Arial" w:hAnsi="Arial" w:cs="Arial"/>
          <w:b/>
          <w:bCs/>
          <w:szCs w:val="24"/>
        </w:rPr>
        <w:t>6</w:t>
      </w:r>
      <w:r w:rsidRPr="00101740">
        <w:rPr>
          <w:rFonts w:ascii="Arial" w:hAnsi="Arial" w:cs="Arial"/>
          <w:b/>
          <w:szCs w:val="24"/>
        </w:rPr>
        <w:t xml:space="preserve"> Schools Budget</w:t>
      </w:r>
    </w:p>
    <w:p w14:paraId="24BABAF7" w14:textId="77777777" w:rsidR="00DA3CBB" w:rsidRPr="0033457D" w:rsidRDefault="00DA3CBB" w:rsidP="00DA3CBB">
      <w:pPr>
        <w:pStyle w:val="Heading2"/>
        <w:keepNext w:val="0"/>
        <w:numPr>
          <w:ilvl w:val="0"/>
          <w:numId w:val="0"/>
        </w:numPr>
        <w:spacing w:after="0"/>
        <w:ind w:left="576" w:hanging="576"/>
        <w:jc w:val="left"/>
        <w:rPr>
          <w:rFonts w:ascii="Arial" w:hAnsi="Arial" w:cs="Arial"/>
          <w:b/>
          <w:bCs/>
          <w:color w:val="FF0000"/>
          <w:szCs w:val="24"/>
        </w:rPr>
      </w:pPr>
    </w:p>
    <w:tbl>
      <w:tblPr>
        <w:tblW w:w="9923" w:type="dxa"/>
        <w:tblLook w:val="04A0" w:firstRow="1" w:lastRow="0" w:firstColumn="1" w:lastColumn="0" w:noHBand="0" w:noVBand="1"/>
      </w:tblPr>
      <w:tblGrid>
        <w:gridCol w:w="2967"/>
        <w:gridCol w:w="1559"/>
        <w:gridCol w:w="5397"/>
      </w:tblGrid>
      <w:tr w:rsidR="0033457D" w:rsidRPr="0033457D" w14:paraId="31A3EDF8" w14:textId="77777777" w:rsidTr="009244A9">
        <w:trPr>
          <w:cantSplit/>
          <w:trHeight w:val="620"/>
          <w:tblHeader/>
        </w:trPr>
        <w:tc>
          <w:tcPr>
            <w:tcW w:w="2967" w:type="dxa"/>
            <w:tcBorders>
              <w:top w:val="single" w:sz="8" w:space="0" w:color="auto"/>
              <w:left w:val="single" w:sz="8" w:space="0" w:color="auto"/>
              <w:bottom w:val="nil"/>
              <w:right w:val="single" w:sz="8" w:space="0" w:color="auto"/>
            </w:tcBorders>
            <w:shd w:val="clear" w:color="auto" w:fill="auto"/>
            <w:vAlign w:val="center"/>
            <w:hideMark/>
          </w:tcPr>
          <w:p w14:paraId="3AD09C9A" w14:textId="77777777" w:rsidR="0085244C" w:rsidRPr="00D2653C" w:rsidRDefault="0085244C" w:rsidP="0085244C">
            <w:pPr>
              <w:spacing w:after="0"/>
              <w:jc w:val="left"/>
              <w:rPr>
                <w:rFonts w:ascii="Arial" w:hAnsi="Arial" w:cs="Arial"/>
                <w:b/>
                <w:bCs/>
                <w:szCs w:val="24"/>
                <w:lang w:val="en-GB" w:eastAsia="en-GB"/>
              </w:rPr>
            </w:pPr>
            <w:r w:rsidRPr="00D2653C">
              <w:rPr>
                <w:rFonts w:ascii="Arial" w:hAnsi="Arial" w:cs="Arial"/>
                <w:b/>
                <w:bCs/>
                <w:szCs w:val="24"/>
                <w:lang w:val="en-GB" w:eastAsia="en-GB"/>
              </w:rPr>
              <w:t>Budget heading</w:t>
            </w:r>
          </w:p>
        </w:tc>
        <w:tc>
          <w:tcPr>
            <w:tcW w:w="1559" w:type="dxa"/>
            <w:tcBorders>
              <w:top w:val="single" w:sz="8" w:space="0" w:color="auto"/>
              <w:left w:val="nil"/>
              <w:bottom w:val="nil"/>
              <w:right w:val="single" w:sz="8" w:space="0" w:color="auto"/>
            </w:tcBorders>
            <w:shd w:val="clear" w:color="auto" w:fill="auto"/>
            <w:vAlign w:val="center"/>
            <w:hideMark/>
          </w:tcPr>
          <w:p w14:paraId="70148CD2" w14:textId="070BB368" w:rsidR="0085244C" w:rsidRPr="00D2653C" w:rsidRDefault="0085244C" w:rsidP="0085244C">
            <w:pPr>
              <w:spacing w:after="0"/>
              <w:jc w:val="left"/>
              <w:rPr>
                <w:rFonts w:ascii="Arial" w:hAnsi="Arial" w:cs="Arial"/>
                <w:b/>
                <w:bCs/>
                <w:szCs w:val="24"/>
                <w:lang w:val="en-GB" w:eastAsia="en-GB"/>
              </w:rPr>
            </w:pPr>
            <w:r w:rsidRPr="00D2653C">
              <w:rPr>
                <w:rFonts w:ascii="Arial" w:hAnsi="Arial" w:cs="Arial"/>
                <w:b/>
                <w:bCs/>
                <w:szCs w:val="24"/>
                <w:lang w:val="en-GB" w:eastAsia="en-GB"/>
              </w:rPr>
              <w:t>202</w:t>
            </w:r>
            <w:r w:rsidR="00D2653C" w:rsidRPr="00D2653C">
              <w:rPr>
                <w:rFonts w:ascii="Arial" w:hAnsi="Arial" w:cs="Arial"/>
                <w:b/>
                <w:bCs/>
                <w:szCs w:val="24"/>
                <w:lang w:val="en-GB" w:eastAsia="en-GB"/>
              </w:rPr>
              <w:t>5</w:t>
            </w:r>
            <w:r w:rsidRPr="00D2653C">
              <w:rPr>
                <w:rFonts w:ascii="Arial" w:hAnsi="Arial" w:cs="Arial"/>
                <w:b/>
                <w:bCs/>
                <w:szCs w:val="24"/>
                <w:lang w:val="en-GB" w:eastAsia="en-GB"/>
              </w:rPr>
              <w:t>/2</w:t>
            </w:r>
            <w:r w:rsidR="00D2653C" w:rsidRPr="00D2653C">
              <w:rPr>
                <w:rFonts w:ascii="Arial" w:hAnsi="Arial" w:cs="Arial"/>
                <w:b/>
                <w:bCs/>
                <w:szCs w:val="24"/>
                <w:lang w:val="en-GB" w:eastAsia="en-GB"/>
              </w:rPr>
              <w:t>6</w:t>
            </w:r>
            <w:r w:rsidRPr="00D2653C">
              <w:rPr>
                <w:rFonts w:ascii="Arial" w:hAnsi="Arial" w:cs="Arial"/>
                <w:b/>
                <w:bCs/>
                <w:szCs w:val="24"/>
                <w:lang w:val="en-GB" w:eastAsia="en-GB"/>
              </w:rPr>
              <w:t xml:space="preserve"> Budget £'000</w:t>
            </w:r>
          </w:p>
        </w:tc>
        <w:tc>
          <w:tcPr>
            <w:tcW w:w="5397" w:type="dxa"/>
            <w:tcBorders>
              <w:top w:val="single" w:sz="8" w:space="0" w:color="auto"/>
              <w:left w:val="nil"/>
              <w:bottom w:val="nil"/>
              <w:right w:val="single" w:sz="8" w:space="0" w:color="auto"/>
            </w:tcBorders>
            <w:shd w:val="clear" w:color="auto" w:fill="auto"/>
            <w:vAlign w:val="center"/>
            <w:hideMark/>
          </w:tcPr>
          <w:p w14:paraId="5F6B4787" w14:textId="77777777" w:rsidR="0085244C" w:rsidRPr="00D2653C" w:rsidRDefault="0085244C" w:rsidP="0085244C">
            <w:pPr>
              <w:spacing w:after="0"/>
              <w:jc w:val="left"/>
              <w:rPr>
                <w:rFonts w:ascii="Arial" w:hAnsi="Arial" w:cs="Arial"/>
                <w:b/>
                <w:bCs/>
                <w:szCs w:val="24"/>
                <w:lang w:val="en-GB" w:eastAsia="en-GB"/>
              </w:rPr>
            </w:pPr>
            <w:r w:rsidRPr="00D2653C">
              <w:rPr>
                <w:rFonts w:ascii="Arial" w:hAnsi="Arial" w:cs="Arial"/>
                <w:b/>
                <w:bCs/>
                <w:szCs w:val="24"/>
                <w:lang w:val="en-GB" w:eastAsia="en-GB"/>
              </w:rPr>
              <w:t>Details</w:t>
            </w:r>
          </w:p>
        </w:tc>
      </w:tr>
      <w:tr w:rsidR="0033457D" w:rsidRPr="0033457D" w14:paraId="11930D73" w14:textId="77777777" w:rsidTr="009244A9">
        <w:trPr>
          <w:trHeight w:val="60"/>
        </w:trPr>
        <w:tc>
          <w:tcPr>
            <w:tcW w:w="2967" w:type="dxa"/>
            <w:tcBorders>
              <w:top w:val="nil"/>
              <w:left w:val="single" w:sz="8" w:space="0" w:color="auto"/>
              <w:bottom w:val="single" w:sz="8" w:space="0" w:color="auto"/>
              <w:right w:val="single" w:sz="8" w:space="0" w:color="auto"/>
            </w:tcBorders>
            <w:shd w:val="clear" w:color="auto" w:fill="auto"/>
            <w:vAlign w:val="center"/>
            <w:hideMark/>
          </w:tcPr>
          <w:p w14:paraId="78ED1A75" w14:textId="77777777" w:rsidR="0085244C" w:rsidRPr="0033457D" w:rsidRDefault="0085244C" w:rsidP="0085244C">
            <w:pPr>
              <w:spacing w:after="0"/>
              <w:jc w:val="left"/>
              <w:rPr>
                <w:rFonts w:ascii="Arial" w:hAnsi="Arial" w:cs="Arial"/>
                <w:b/>
                <w:bCs/>
                <w:color w:val="FF0000"/>
                <w:szCs w:val="24"/>
                <w:lang w:val="en-GB" w:eastAsia="en-GB"/>
              </w:rPr>
            </w:pPr>
            <w:r w:rsidRPr="0033457D">
              <w:rPr>
                <w:rFonts w:ascii="Arial" w:hAnsi="Arial" w:cs="Arial"/>
                <w:b/>
                <w:bCs/>
                <w:color w:val="FF0000"/>
                <w:szCs w:val="24"/>
                <w:lang w:val="en-GB" w:eastAsia="en-GB"/>
              </w:rPr>
              <w:t> </w:t>
            </w:r>
          </w:p>
        </w:tc>
        <w:tc>
          <w:tcPr>
            <w:tcW w:w="1559" w:type="dxa"/>
            <w:tcBorders>
              <w:top w:val="nil"/>
              <w:left w:val="nil"/>
              <w:bottom w:val="single" w:sz="8" w:space="0" w:color="auto"/>
              <w:right w:val="single" w:sz="8" w:space="0" w:color="auto"/>
            </w:tcBorders>
            <w:shd w:val="clear" w:color="auto" w:fill="auto"/>
            <w:vAlign w:val="center"/>
            <w:hideMark/>
          </w:tcPr>
          <w:p w14:paraId="3B1CF2C4" w14:textId="77777777" w:rsidR="0085244C" w:rsidRPr="0033457D" w:rsidRDefault="0085244C" w:rsidP="0085244C">
            <w:pPr>
              <w:spacing w:after="0"/>
              <w:jc w:val="left"/>
              <w:rPr>
                <w:rFonts w:ascii="Arial" w:hAnsi="Arial" w:cs="Arial"/>
                <w:b/>
                <w:bCs/>
                <w:color w:val="FF0000"/>
                <w:szCs w:val="24"/>
                <w:lang w:val="en-GB" w:eastAsia="en-GB"/>
              </w:rPr>
            </w:pPr>
            <w:r w:rsidRPr="0033457D">
              <w:rPr>
                <w:rFonts w:ascii="Arial" w:hAnsi="Arial" w:cs="Arial"/>
                <w:b/>
                <w:bCs/>
                <w:color w:val="FF0000"/>
                <w:szCs w:val="24"/>
                <w:lang w:val="en-GB" w:eastAsia="en-GB"/>
              </w:rPr>
              <w:t> </w:t>
            </w:r>
          </w:p>
        </w:tc>
        <w:tc>
          <w:tcPr>
            <w:tcW w:w="5397" w:type="dxa"/>
            <w:tcBorders>
              <w:top w:val="nil"/>
              <w:left w:val="nil"/>
              <w:bottom w:val="single" w:sz="8" w:space="0" w:color="auto"/>
              <w:right w:val="single" w:sz="8" w:space="0" w:color="auto"/>
            </w:tcBorders>
            <w:shd w:val="clear" w:color="auto" w:fill="auto"/>
            <w:vAlign w:val="center"/>
            <w:hideMark/>
          </w:tcPr>
          <w:p w14:paraId="609A1135" w14:textId="77777777" w:rsidR="0085244C" w:rsidRPr="0033457D" w:rsidRDefault="0085244C" w:rsidP="0085244C">
            <w:pPr>
              <w:spacing w:after="0"/>
              <w:jc w:val="left"/>
              <w:rPr>
                <w:rFonts w:ascii="Arial" w:hAnsi="Arial" w:cs="Arial"/>
                <w:b/>
                <w:bCs/>
                <w:color w:val="FF0000"/>
                <w:szCs w:val="24"/>
                <w:lang w:val="en-GB" w:eastAsia="en-GB"/>
              </w:rPr>
            </w:pPr>
            <w:r w:rsidRPr="0033457D">
              <w:rPr>
                <w:rFonts w:ascii="Arial" w:hAnsi="Arial" w:cs="Arial"/>
                <w:b/>
                <w:bCs/>
                <w:color w:val="FF0000"/>
                <w:szCs w:val="24"/>
                <w:lang w:val="en-GB" w:eastAsia="en-GB"/>
              </w:rPr>
              <w:t> </w:t>
            </w:r>
          </w:p>
        </w:tc>
      </w:tr>
      <w:tr w:rsidR="0033457D" w:rsidRPr="0033457D" w14:paraId="4B324688" w14:textId="77777777" w:rsidTr="00FB3EF7">
        <w:trPr>
          <w:trHeight w:val="878"/>
        </w:trPr>
        <w:tc>
          <w:tcPr>
            <w:tcW w:w="2967" w:type="dxa"/>
            <w:tcBorders>
              <w:top w:val="nil"/>
              <w:left w:val="single" w:sz="8" w:space="0" w:color="auto"/>
              <w:bottom w:val="single" w:sz="8" w:space="0" w:color="auto"/>
              <w:right w:val="single" w:sz="8" w:space="0" w:color="auto"/>
            </w:tcBorders>
            <w:shd w:val="clear" w:color="000000" w:fill="FFFFFF"/>
            <w:vAlign w:val="center"/>
            <w:hideMark/>
          </w:tcPr>
          <w:p w14:paraId="5177BD88" w14:textId="349AF588" w:rsidR="00AE59C0" w:rsidRPr="0069086F" w:rsidRDefault="00AE59C0" w:rsidP="00AE59C0">
            <w:pPr>
              <w:spacing w:after="0"/>
              <w:jc w:val="left"/>
              <w:rPr>
                <w:rFonts w:ascii="Arial" w:hAnsi="Arial" w:cs="Arial"/>
                <w:szCs w:val="24"/>
                <w:lang w:val="en-GB" w:eastAsia="en-GB"/>
              </w:rPr>
            </w:pPr>
            <w:r w:rsidRPr="0069086F">
              <w:rPr>
                <w:rFonts w:ascii="Arial" w:hAnsi="Arial" w:cs="Arial"/>
                <w:szCs w:val="24"/>
                <w:lang w:val="en-GB" w:eastAsia="en-GB"/>
              </w:rPr>
              <w:t xml:space="preserve">Under </w:t>
            </w:r>
            <w:proofErr w:type="gramStart"/>
            <w:r w:rsidRPr="0069086F">
              <w:rPr>
                <w:rFonts w:ascii="Arial" w:hAnsi="Arial" w:cs="Arial"/>
                <w:szCs w:val="24"/>
                <w:lang w:val="en-GB" w:eastAsia="en-GB"/>
              </w:rPr>
              <w:t>Two year olds</w:t>
            </w:r>
            <w:proofErr w:type="gramEnd"/>
            <w:r w:rsidRPr="0069086F">
              <w:rPr>
                <w:rFonts w:ascii="Arial" w:hAnsi="Arial" w:cs="Arial"/>
                <w:szCs w:val="24"/>
                <w:lang w:val="en-GB" w:eastAsia="en-GB"/>
              </w:rPr>
              <w:t xml:space="preserve"> entitlement</w:t>
            </w:r>
          </w:p>
        </w:tc>
        <w:tc>
          <w:tcPr>
            <w:tcW w:w="1559" w:type="dxa"/>
            <w:tcBorders>
              <w:top w:val="nil"/>
              <w:left w:val="nil"/>
              <w:bottom w:val="single" w:sz="8" w:space="0" w:color="auto"/>
              <w:right w:val="single" w:sz="8" w:space="0" w:color="auto"/>
            </w:tcBorders>
            <w:shd w:val="clear" w:color="000000" w:fill="FFFFFF"/>
            <w:noWrap/>
            <w:vAlign w:val="center"/>
            <w:hideMark/>
          </w:tcPr>
          <w:p w14:paraId="79AEF28E" w14:textId="1C1691FA" w:rsidR="00AE59C0" w:rsidRPr="0069086F" w:rsidRDefault="00AB0DDE" w:rsidP="00AE59C0">
            <w:pPr>
              <w:spacing w:after="0"/>
              <w:jc w:val="right"/>
              <w:rPr>
                <w:rFonts w:ascii="Arial" w:hAnsi="Arial" w:cs="Arial"/>
                <w:szCs w:val="24"/>
                <w:lang w:val="en-GB" w:eastAsia="en-GB"/>
              </w:rPr>
            </w:pPr>
            <w:r w:rsidRPr="0069086F">
              <w:rPr>
                <w:rFonts w:ascii="Arial" w:hAnsi="Arial" w:cs="Arial"/>
                <w:szCs w:val="24"/>
                <w:lang w:val="en-GB" w:eastAsia="en-GB"/>
              </w:rPr>
              <w:t>65</w:t>
            </w:r>
            <w:r w:rsidR="00AE59C0" w:rsidRPr="0069086F">
              <w:rPr>
                <w:rFonts w:ascii="Arial" w:hAnsi="Arial" w:cs="Arial"/>
                <w:szCs w:val="24"/>
                <w:lang w:val="en-GB" w:eastAsia="en-GB"/>
              </w:rPr>
              <w:t>,</w:t>
            </w:r>
            <w:r w:rsidRPr="0069086F">
              <w:rPr>
                <w:rFonts w:ascii="Arial" w:hAnsi="Arial" w:cs="Arial"/>
                <w:szCs w:val="24"/>
                <w:lang w:val="en-GB" w:eastAsia="en-GB"/>
              </w:rPr>
              <w:t>707</w:t>
            </w:r>
          </w:p>
        </w:tc>
        <w:tc>
          <w:tcPr>
            <w:tcW w:w="5397" w:type="dxa"/>
            <w:tcBorders>
              <w:top w:val="nil"/>
              <w:left w:val="nil"/>
              <w:bottom w:val="single" w:sz="8" w:space="0" w:color="auto"/>
              <w:right w:val="single" w:sz="8" w:space="0" w:color="auto"/>
            </w:tcBorders>
            <w:shd w:val="clear" w:color="000000" w:fill="FFFFFF"/>
            <w:vAlign w:val="center"/>
            <w:hideMark/>
          </w:tcPr>
          <w:p w14:paraId="479C1DDB" w14:textId="4E47F743" w:rsidR="00AE59C0" w:rsidRPr="0069086F" w:rsidRDefault="00AE59C0" w:rsidP="00AE59C0">
            <w:pPr>
              <w:spacing w:after="0"/>
              <w:jc w:val="left"/>
              <w:rPr>
                <w:rFonts w:ascii="Arial" w:hAnsi="Arial" w:cs="Arial"/>
                <w:szCs w:val="24"/>
                <w:lang w:val="en-GB" w:eastAsia="en-GB"/>
              </w:rPr>
            </w:pPr>
            <w:r w:rsidRPr="00D2653C">
              <w:rPr>
                <w:rFonts w:ascii="Arial" w:hAnsi="Arial" w:cs="Arial"/>
                <w:szCs w:val="24"/>
                <w:lang w:val="en-GB" w:eastAsia="en-GB"/>
              </w:rPr>
              <w:t>Provisional DSG allocation, will be updated mid-year to reflect the January 2024 pupil census.</w:t>
            </w:r>
          </w:p>
        </w:tc>
      </w:tr>
      <w:tr w:rsidR="0033457D" w:rsidRPr="0033457D" w14:paraId="4AB76059" w14:textId="77777777" w:rsidTr="00FB3EF7">
        <w:trPr>
          <w:trHeight w:val="878"/>
        </w:trPr>
        <w:tc>
          <w:tcPr>
            <w:tcW w:w="2967" w:type="dxa"/>
            <w:tcBorders>
              <w:top w:val="nil"/>
              <w:left w:val="single" w:sz="8" w:space="0" w:color="auto"/>
              <w:bottom w:val="single" w:sz="8" w:space="0" w:color="auto"/>
              <w:right w:val="single" w:sz="8" w:space="0" w:color="auto"/>
            </w:tcBorders>
            <w:shd w:val="clear" w:color="000000" w:fill="FFFFFF"/>
            <w:vAlign w:val="center"/>
          </w:tcPr>
          <w:p w14:paraId="34F00A4E" w14:textId="51D52323" w:rsidR="00AE59C0" w:rsidRPr="0069086F" w:rsidRDefault="00AE59C0" w:rsidP="00AE59C0">
            <w:pPr>
              <w:spacing w:after="0"/>
              <w:jc w:val="left"/>
              <w:rPr>
                <w:rFonts w:ascii="Arial" w:hAnsi="Arial" w:cs="Arial"/>
                <w:szCs w:val="24"/>
                <w:lang w:val="en-GB" w:eastAsia="en-GB"/>
              </w:rPr>
            </w:pPr>
            <w:r w:rsidRPr="0069086F">
              <w:rPr>
                <w:rFonts w:ascii="Arial" w:hAnsi="Arial" w:cs="Arial"/>
                <w:szCs w:val="24"/>
                <w:lang w:val="en-GB" w:eastAsia="en-GB"/>
              </w:rPr>
              <w:t xml:space="preserve">Under </w:t>
            </w:r>
            <w:proofErr w:type="gramStart"/>
            <w:r w:rsidRPr="0069086F">
              <w:rPr>
                <w:rFonts w:ascii="Arial" w:hAnsi="Arial" w:cs="Arial"/>
                <w:szCs w:val="24"/>
                <w:lang w:val="en-GB" w:eastAsia="en-GB"/>
              </w:rPr>
              <w:t>Two year olds</w:t>
            </w:r>
            <w:proofErr w:type="gramEnd"/>
            <w:r w:rsidRPr="0069086F">
              <w:rPr>
                <w:rFonts w:ascii="Arial" w:hAnsi="Arial" w:cs="Arial"/>
                <w:szCs w:val="24"/>
                <w:lang w:val="en-GB" w:eastAsia="en-GB"/>
              </w:rPr>
              <w:t xml:space="preserve"> - SEN Inclusion Fund</w:t>
            </w:r>
          </w:p>
        </w:tc>
        <w:tc>
          <w:tcPr>
            <w:tcW w:w="1559" w:type="dxa"/>
            <w:tcBorders>
              <w:top w:val="nil"/>
              <w:left w:val="nil"/>
              <w:bottom w:val="single" w:sz="8" w:space="0" w:color="auto"/>
              <w:right w:val="single" w:sz="8" w:space="0" w:color="auto"/>
            </w:tcBorders>
            <w:shd w:val="clear" w:color="000000" w:fill="FFFFFF"/>
            <w:noWrap/>
            <w:vAlign w:val="center"/>
          </w:tcPr>
          <w:p w14:paraId="77C81159" w14:textId="6D24C7E0" w:rsidR="00AE59C0" w:rsidRPr="0069086F" w:rsidRDefault="0069086F" w:rsidP="00AE59C0">
            <w:pPr>
              <w:spacing w:after="0"/>
              <w:jc w:val="right"/>
              <w:rPr>
                <w:rFonts w:ascii="Arial" w:hAnsi="Arial" w:cs="Arial"/>
                <w:szCs w:val="24"/>
                <w:lang w:val="en-GB" w:eastAsia="en-GB"/>
              </w:rPr>
            </w:pPr>
            <w:r w:rsidRPr="0069086F">
              <w:rPr>
                <w:rFonts w:ascii="Arial" w:hAnsi="Arial" w:cs="Arial"/>
                <w:szCs w:val="24"/>
                <w:lang w:val="en-GB" w:eastAsia="en-GB"/>
              </w:rPr>
              <w:t>5</w:t>
            </w:r>
          </w:p>
        </w:tc>
        <w:tc>
          <w:tcPr>
            <w:tcW w:w="5397" w:type="dxa"/>
            <w:tcBorders>
              <w:top w:val="nil"/>
              <w:left w:val="nil"/>
              <w:bottom w:val="single" w:sz="8" w:space="0" w:color="auto"/>
              <w:right w:val="single" w:sz="8" w:space="0" w:color="auto"/>
            </w:tcBorders>
            <w:shd w:val="clear" w:color="000000" w:fill="FFFFFF"/>
            <w:vAlign w:val="center"/>
          </w:tcPr>
          <w:p w14:paraId="514E7A51" w14:textId="77777777" w:rsidR="00AE59C0" w:rsidRPr="0069086F" w:rsidRDefault="00AE59C0" w:rsidP="00AE59C0">
            <w:pPr>
              <w:spacing w:after="0"/>
              <w:jc w:val="left"/>
              <w:rPr>
                <w:rFonts w:ascii="Arial" w:hAnsi="Arial" w:cs="Arial"/>
                <w:szCs w:val="24"/>
                <w:lang w:val="en-GB" w:eastAsia="en-GB"/>
              </w:rPr>
            </w:pPr>
          </w:p>
        </w:tc>
      </w:tr>
      <w:tr w:rsidR="0033457D" w:rsidRPr="0033457D" w14:paraId="49FE6D4A" w14:textId="77777777" w:rsidTr="00AE59C0">
        <w:trPr>
          <w:trHeight w:val="341"/>
        </w:trPr>
        <w:tc>
          <w:tcPr>
            <w:tcW w:w="2967"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4CE2D88E" w14:textId="5E7BE8D1" w:rsidR="006C3E08" w:rsidRPr="0069086F" w:rsidRDefault="00AE59C0" w:rsidP="0085244C">
            <w:pPr>
              <w:spacing w:after="0"/>
              <w:jc w:val="left"/>
              <w:rPr>
                <w:rFonts w:ascii="Arial" w:hAnsi="Arial" w:cs="Arial"/>
                <w:szCs w:val="24"/>
                <w:lang w:val="en-GB" w:eastAsia="en-GB"/>
              </w:rPr>
            </w:pPr>
            <w:r w:rsidRPr="0069086F">
              <w:rPr>
                <w:rFonts w:ascii="Arial" w:hAnsi="Arial" w:cs="Arial"/>
                <w:szCs w:val="24"/>
                <w:lang w:val="en-GB" w:eastAsia="en-GB"/>
              </w:rPr>
              <w:t xml:space="preserve">Funding for under </w:t>
            </w:r>
            <w:proofErr w:type="gramStart"/>
            <w:r w:rsidRPr="0069086F">
              <w:rPr>
                <w:rFonts w:ascii="Arial" w:hAnsi="Arial" w:cs="Arial"/>
                <w:szCs w:val="24"/>
                <w:lang w:val="en-GB" w:eastAsia="en-GB"/>
              </w:rPr>
              <w:t>two year olds</w:t>
            </w:r>
            <w:proofErr w:type="gramEnd"/>
          </w:p>
        </w:tc>
        <w:tc>
          <w:tcPr>
            <w:tcW w:w="1559" w:type="dxa"/>
            <w:tcBorders>
              <w:top w:val="nil"/>
              <w:left w:val="nil"/>
              <w:bottom w:val="single" w:sz="8" w:space="0" w:color="auto"/>
              <w:right w:val="single" w:sz="8" w:space="0" w:color="auto"/>
            </w:tcBorders>
            <w:shd w:val="clear" w:color="auto" w:fill="D9D9D9" w:themeFill="background1" w:themeFillShade="D9"/>
            <w:noWrap/>
            <w:vAlign w:val="center"/>
          </w:tcPr>
          <w:p w14:paraId="359AA531" w14:textId="05005714" w:rsidR="006C3E08" w:rsidRPr="0069086F" w:rsidRDefault="0069086F" w:rsidP="0085244C">
            <w:pPr>
              <w:spacing w:after="0"/>
              <w:jc w:val="right"/>
              <w:rPr>
                <w:rFonts w:ascii="Arial" w:hAnsi="Arial" w:cs="Arial"/>
                <w:szCs w:val="24"/>
                <w:lang w:val="en-GB" w:eastAsia="en-GB"/>
              </w:rPr>
            </w:pPr>
            <w:r w:rsidRPr="0069086F">
              <w:rPr>
                <w:rFonts w:ascii="Arial" w:hAnsi="Arial" w:cs="Arial"/>
                <w:szCs w:val="24"/>
                <w:lang w:val="en-GB" w:eastAsia="en-GB"/>
              </w:rPr>
              <w:t>65</w:t>
            </w:r>
            <w:r w:rsidR="00797FCF" w:rsidRPr="0069086F">
              <w:rPr>
                <w:rFonts w:ascii="Arial" w:hAnsi="Arial" w:cs="Arial"/>
                <w:szCs w:val="24"/>
                <w:lang w:val="en-GB" w:eastAsia="en-GB"/>
              </w:rPr>
              <w:t>,7</w:t>
            </w:r>
            <w:r w:rsidRPr="0069086F">
              <w:rPr>
                <w:rFonts w:ascii="Arial" w:hAnsi="Arial" w:cs="Arial"/>
                <w:szCs w:val="24"/>
                <w:lang w:val="en-GB" w:eastAsia="en-GB"/>
              </w:rPr>
              <w:t>12</w:t>
            </w:r>
          </w:p>
        </w:tc>
        <w:tc>
          <w:tcPr>
            <w:tcW w:w="5397" w:type="dxa"/>
            <w:tcBorders>
              <w:top w:val="nil"/>
              <w:left w:val="nil"/>
              <w:bottom w:val="single" w:sz="8" w:space="0" w:color="auto"/>
              <w:right w:val="single" w:sz="8" w:space="0" w:color="auto"/>
            </w:tcBorders>
            <w:shd w:val="clear" w:color="auto" w:fill="D9D9D9" w:themeFill="background1" w:themeFillShade="D9"/>
            <w:vAlign w:val="center"/>
          </w:tcPr>
          <w:p w14:paraId="08C007F8" w14:textId="77777777" w:rsidR="006C3E08" w:rsidRPr="0069086F" w:rsidRDefault="006C3E08" w:rsidP="0085244C">
            <w:pPr>
              <w:spacing w:after="0"/>
              <w:jc w:val="left"/>
              <w:rPr>
                <w:rFonts w:ascii="Arial" w:hAnsi="Arial" w:cs="Arial"/>
                <w:szCs w:val="24"/>
                <w:lang w:val="en-GB" w:eastAsia="en-GB"/>
              </w:rPr>
            </w:pPr>
          </w:p>
        </w:tc>
      </w:tr>
      <w:tr w:rsidR="0033457D" w:rsidRPr="0033457D" w14:paraId="0D24E527" w14:textId="77777777" w:rsidTr="00FB3EF7">
        <w:trPr>
          <w:trHeight w:val="878"/>
        </w:trPr>
        <w:tc>
          <w:tcPr>
            <w:tcW w:w="2967" w:type="dxa"/>
            <w:tcBorders>
              <w:top w:val="nil"/>
              <w:left w:val="single" w:sz="8" w:space="0" w:color="auto"/>
              <w:bottom w:val="single" w:sz="8" w:space="0" w:color="auto"/>
              <w:right w:val="single" w:sz="8" w:space="0" w:color="auto"/>
            </w:tcBorders>
            <w:shd w:val="clear" w:color="000000" w:fill="FFFFFF"/>
            <w:vAlign w:val="center"/>
          </w:tcPr>
          <w:p w14:paraId="3CAA9845" w14:textId="1822FD56" w:rsidR="00AE59C0" w:rsidRPr="00D54184" w:rsidRDefault="00AE59C0" w:rsidP="00AE59C0">
            <w:pPr>
              <w:spacing w:after="0"/>
              <w:jc w:val="left"/>
              <w:rPr>
                <w:rFonts w:ascii="Arial" w:hAnsi="Arial" w:cs="Arial"/>
                <w:szCs w:val="24"/>
                <w:lang w:val="en-GB" w:eastAsia="en-GB"/>
              </w:rPr>
            </w:pPr>
            <w:r w:rsidRPr="00D54184">
              <w:rPr>
                <w:rFonts w:ascii="Arial" w:hAnsi="Arial" w:cs="Arial"/>
                <w:szCs w:val="24"/>
                <w:lang w:val="en-GB" w:eastAsia="en-GB"/>
              </w:rPr>
              <w:t xml:space="preserve">Working parent </w:t>
            </w:r>
            <w:proofErr w:type="gramStart"/>
            <w:r w:rsidRPr="00D54184">
              <w:rPr>
                <w:rFonts w:ascii="Arial" w:hAnsi="Arial" w:cs="Arial"/>
                <w:szCs w:val="24"/>
                <w:lang w:val="en-GB" w:eastAsia="en-GB"/>
              </w:rPr>
              <w:t>Two year olds</w:t>
            </w:r>
            <w:proofErr w:type="gramEnd"/>
            <w:r w:rsidRPr="00D54184">
              <w:rPr>
                <w:rFonts w:ascii="Arial" w:hAnsi="Arial" w:cs="Arial"/>
                <w:szCs w:val="24"/>
                <w:lang w:val="en-GB" w:eastAsia="en-GB"/>
              </w:rPr>
              <w:t xml:space="preserve"> entitlement</w:t>
            </w:r>
          </w:p>
        </w:tc>
        <w:tc>
          <w:tcPr>
            <w:tcW w:w="1559" w:type="dxa"/>
            <w:tcBorders>
              <w:top w:val="nil"/>
              <w:left w:val="nil"/>
              <w:bottom w:val="single" w:sz="8" w:space="0" w:color="auto"/>
              <w:right w:val="single" w:sz="8" w:space="0" w:color="auto"/>
            </w:tcBorders>
            <w:shd w:val="clear" w:color="000000" w:fill="FFFFFF"/>
            <w:noWrap/>
            <w:vAlign w:val="center"/>
          </w:tcPr>
          <w:p w14:paraId="77A06621" w14:textId="3E0D5A3C" w:rsidR="00AE59C0" w:rsidRPr="00D54184" w:rsidRDefault="0069086F" w:rsidP="00AE59C0">
            <w:pPr>
              <w:spacing w:after="0"/>
              <w:jc w:val="right"/>
              <w:rPr>
                <w:rFonts w:ascii="Arial" w:hAnsi="Arial" w:cs="Arial"/>
                <w:szCs w:val="24"/>
                <w:lang w:val="en-GB" w:eastAsia="en-GB"/>
              </w:rPr>
            </w:pPr>
            <w:r w:rsidRPr="00D54184">
              <w:rPr>
                <w:rFonts w:ascii="Arial" w:hAnsi="Arial" w:cs="Arial"/>
                <w:szCs w:val="24"/>
                <w:lang w:val="en-GB" w:eastAsia="en-GB"/>
              </w:rPr>
              <w:t>4</w:t>
            </w:r>
            <w:r w:rsidR="00797FCF" w:rsidRPr="00D54184">
              <w:rPr>
                <w:rFonts w:ascii="Arial" w:hAnsi="Arial" w:cs="Arial"/>
                <w:szCs w:val="24"/>
                <w:lang w:val="en-GB" w:eastAsia="en-GB"/>
              </w:rPr>
              <w:t>4,3</w:t>
            </w:r>
            <w:r w:rsidRPr="00D54184">
              <w:rPr>
                <w:rFonts w:ascii="Arial" w:hAnsi="Arial" w:cs="Arial"/>
                <w:szCs w:val="24"/>
                <w:lang w:val="en-GB" w:eastAsia="en-GB"/>
              </w:rPr>
              <w:t>70</w:t>
            </w:r>
          </w:p>
        </w:tc>
        <w:tc>
          <w:tcPr>
            <w:tcW w:w="5397" w:type="dxa"/>
            <w:tcBorders>
              <w:top w:val="nil"/>
              <w:left w:val="nil"/>
              <w:bottom w:val="single" w:sz="8" w:space="0" w:color="auto"/>
              <w:right w:val="single" w:sz="8" w:space="0" w:color="auto"/>
            </w:tcBorders>
            <w:shd w:val="clear" w:color="000000" w:fill="FFFFFF"/>
            <w:vAlign w:val="center"/>
          </w:tcPr>
          <w:p w14:paraId="5F7B02BD" w14:textId="09B355C7" w:rsidR="00AE59C0" w:rsidRPr="0033457D" w:rsidRDefault="008E2545" w:rsidP="00AE59C0">
            <w:pPr>
              <w:spacing w:after="0"/>
              <w:jc w:val="left"/>
              <w:rPr>
                <w:rFonts w:ascii="Arial" w:hAnsi="Arial" w:cs="Arial"/>
                <w:color w:val="FF0000"/>
                <w:szCs w:val="24"/>
                <w:lang w:val="en-GB" w:eastAsia="en-GB"/>
              </w:rPr>
            </w:pPr>
            <w:r w:rsidRPr="00D2653C">
              <w:rPr>
                <w:rFonts w:ascii="Arial" w:hAnsi="Arial" w:cs="Arial"/>
                <w:szCs w:val="24"/>
                <w:lang w:val="en-GB" w:eastAsia="en-GB"/>
              </w:rPr>
              <w:t>Provisional DSG allocation, will be updated mid-year to reflect the January 2024 pupil census</w:t>
            </w:r>
          </w:p>
        </w:tc>
      </w:tr>
      <w:tr w:rsidR="0033457D" w:rsidRPr="0033457D" w14:paraId="3F700E8E" w14:textId="77777777" w:rsidTr="00FB3EF7">
        <w:trPr>
          <w:trHeight w:val="878"/>
        </w:trPr>
        <w:tc>
          <w:tcPr>
            <w:tcW w:w="2967" w:type="dxa"/>
            <w:tcBorders>
              <w:top w:val="nil"/>
              <w:left w:val="single" w:sz="8" w:space="0" w:color="auto"/>
              <w:bottom w:val="single" w:sz="8" w:space="0" w:color="auto"/>
              <w:right w:val="single" w:sz="8" w:space="0" w:color="auto"/>
            </w:tcBorders>
            <w:shd w:val="clear" w:color="000000" w:fill="FFFFFF"/>
            <w:vAlign w:val="center"/>
          </w:tcPr>
          <w:p w14:paraId="1D89304A" w14:textId="31FD2905" w:rsidR="00AE59C0" w:rsidRPr="00D54184" w:rsidRDefault="00AE59C0" w:rsidP="00AE59C0">
            <w:pPr>
              <w:spacing w:after="0"/>
              <w:jc w:val="left"/>
              <w:rPr>
                <w:rFonts w:ascii="Arial" w:hAnsi="Arial" w:cs="Arial"/>
                <w:szCs w:val="24"/>
                <w:lang w:val="en-GB" w:eastAsia="en-GB"/>
              </w:rPr>
            </w:pPr>
            <w:r w:rsidRPr="00D54184">
              <w:rPr>
                <w:rFonts w:ascii="Arial" w:hAnsi="Arial" w:cs="Arial"/>
                <w:szCs w:val="24"/>
                <w:lang w:val="en-GB" w:eastAsia="en-GB"/>
              </w:rPr>
              <w:t xml:space="preserve">Working parent </w:t>
            </w:r>
            <w:proofErr w:type="gramStart"/>
            <w:r w:rsidRPr="00D54184">
              <w:rPr>
                <w:rFonts w:ascii="Arial" w:hAnsi="Arial" w:cs="Arial"/>
                <w:szCs w:val="24"/>
                <w:lang w:val="en-GB" w:eastAsia="en-GB"/>
              </w:rPr>
              <w:t>Two year olds</w:t>
            </w:r>
            <w:proofErr w:type="gramEnd"/>
            <w:r w:rsidRPr="00D54184">
              <w:rPr>
                <w:rFonts w:ascii="Arial" w:hAnsi="Arial" w:cs="Arial"/>
                <w:szCs w:val="24"/>
                <w:lang w:val="en-GB" w:eastAsia="en-GB"/>
              </w:rPr>
              <w:t xml:space="preserve"> - SEN Inclusion Fund</w:t>
            </w:r>
          </w:p>
        </w:tc>
        <w:tc>
          <w:tcPr>
            <w:tcW w:w="1559" w:type="dxa"/>
            <w:tcBorders>
              <w:top w:val="nil"/>
              <w:left w:val="nil"/>
              <w:bottom w:val="single" w:sz="8" w:space="0" w:color="auto"/>
              <w:right w:val="single" w:sz="8" w:space="0" w:color="auto"/>
            </w:tcBorders>
            <w:shd w:val="clear" w:color="000000" w:fill="FFFFFF"/>
            <w:noWrap/>
            <w:vAlign w:val="center"/>
          </w:tcPr>
          <w:p w14:paraId="330E4872" w14:textId="30F70389" w:rsidR="00AE59C0" w:rsidRPr="00D54184" w:rsidRDefault="00797FCF" w:rsidP="00AE59C0">
            <w:pPr>
              <w:spacing w:after="0"/>
              <w:jc w:val="right"/>
              <w:rPr>
                <w:rFonts w:ascii="Arial" w:hAnsi="Arial" w:cs="Arial"/>
                <w:szCs w:val="24"/>
                <w:lang w:val="en-GB" w:eastAsia="en-GB"/>
              </w:rPr>
            </w:pPr>
            <w:r w:rsidRPr="00D54184">
              <w:rPr>
                <w:rFonts w:ascii="Arial" w:hAnsi="Arial" w:cs="Arial"/>
                <w:szCs w:val="24"/>
                <w:lang w:val="en-GB" w:eastAsia="en-GB"/>
              </w:rPr>
              <w:t>1</w:t>
            </w:r>
            <w:r w:rsidR="00D54184" w:rsidRPr="00D54184">
              <w:rPr>
                <w:rFonts w:ascii="Arial" w:hAnsi="Arial" w:cs="Arial"/>
                <w:szCs w:val="24"/>
                <w:lang w:val="en-GB" w:eastAsia="en-GB"/>
              </w:rPr>
              <w:t>54</w:t>
            </w:r>
          </w:p>
        </w:tc>
        <w:tc>
          <w:tcPr>
            <w:tcW w:w="5397" w:type="dxa"/>
            <w:tcBorders>
              <w:top w:val="nil"/>
              <w:left w:val="nil"/>
              <w:bottom w:val="single" w:sz="8" w:space="0" w:color="auto"/>
              <w:right w:val="single" w:sz="8" w:space="0" w:color="auto"/>
            </w:tcBorders>
            <w:shd w:val="clear" w:color="000000" w:fill="FFFFFF"/>
            <w:vAlign w:val="center"/>
          </w:tcPr>
          <w:p w14:paraId="45FE14C8" w14:textId="77777777" w:rsidR="00AE59C0" w:rsidRPr="0033457D" w:rsidRDefault="00AE59C0" w:rsidP="00AE59C0">
            <w:pPr>
              <w:spacing w:after="0"/>
              <w:jc w:val="left"/>
              <w:rPr>
                <w:rFonts w:ascii="Arial" w:hAnsi="Arial" w:cs="Arial"/>
                <w:color w:val="FF0000"/>
                <w:szCs w:val="24"/>
                <w:lang w:val="en-GB" w:eastAsia="en-GB"/>
              </w:rPr>
            </w:pPr>
          </w:p>
        </w:tc>
      </w:tr>
      <w:tr w:rsidR="0033457D" w:rsidRPr="0033457D" w14:paraId="047E8E5D" w14:textId="77777777" w:rsidTr="006C3E08">
        <w:trPr>
          <w:trHeight w:val="301"/>
        </w:trPr>
        <w:tc>
          <w:tcPr>
            <w:tcW w:w="2967"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212CEC8A" w14:textId="6B91D8B0" w:rsidR="006C3E08" w:rsidRPr="00D54184" w:rsidRDefault="006C3E08" w:rsidP="0085244C">
            <w:pPr>
              <w:spacing w:after="0"/>
              <w:jc w:val="left"/>
              <w:rPr>
                <w:rFonts w:ascii="Arial" w:hAnsi="Arial" w:cs="Arial"/>
                <w:szCs w:val="24"/>
                <w:lang w:val="en-GB" w:eastAsia="en-GB"/>
              </w:rPr>
            </w:pPr>
            <w:r w:rsidRPr="00D54184">
              <w:rPr>
                <w:rFonts w:ascii="Arial" w:hAnsi="Arial" w:cs="Arial"/>
                <w:szCs w:val="24"/>
                <w:lang w:val="en-GB" w:eastAsia="en-GB"/>
              </w:rPr>
              <w:t xml:space="preserve">Funding for working parent </w:t>
            </w:r>
            <w:proofErr w:type="gramStart"/>
            <w:r w:rsidRPr="00D54184">
              <w:rPr>
                <w:rFonts w:ascii="Arial" w:hAnsi="Arial" w:cs="Arial"/>
                <w:szCs w:val="24"/>
                <w:lang w:val="en-GB" w:eastAsia="en-GB"/>
              </w:rPr>
              <w:t>two year olds</w:t>
            </w:r>
            <w:proofErr w:type="gramEnd"/>
          </w:p>
        </w:tc>
        <w:tc>
          <w:tcPr>
            <w:tcW w:w="1559" w:type="dxa"/>
            <w:tcBorders>
              <w:top w:val="nil"/>
              <w:left w:val="nil"/>
              <w:bottom w:val="single" w:sz="8" w:space="0" w:color="auto"/>
              <w:right w:val="single" w:sz="8" w:space="0" w:color="auto"/>
            </w:tcBorders>
            <w:shd w:val="clear" w:color="auto" w:fill="D9D9D9" w:themeFill="background1" w:themeFillShade="D9"/>
            <w:noWrap/>
            <w:vAlign w:val="center"/>
          </w:tcPr>
          <w:p w14:paraId="537B3E80" w14:textId="13BF8D4E" w:rsidR="006C3E08" w:rsidRPr="00D54184" w:rsidRDefault="00D54184" w:rsidP="0085244C">
            <w:pPr>
              <w:spacing w:after="0"/>
              <w:jc w:val="right"/>
              <w:rPr>
                <w:rFonts w:ascii="Arial" w:hAnsi="Arial" w:cs="Arial"/>
                <w:szCs w:val="24"/>
                <w:lang w:val="en-GB" w:eastAsia="en-GB"/>
              </w:rPr>
            </w:pPr>
            <w:r w:rsidRPr="00D54184">
              <w:rPr>
                <w:rFonts w:ascii="Arial" w:hAnsi="Arial" w:cs="Arial"/>
                <w:szCs w:val="24"/>
                <w:lang w:val="en-GB" w:eastAsia="en-GB"/>
              </w:rPr>
              <w:t>4</w:t>
            </w:r>
            <w:r w:rsidR="00A22BDD" w:rsidRPr="00D54184">
              <w:rPr>
                <w:rFonts w:ascii="Arial" w:hAnsi="Arial" w:cs="Arial"/>
                <w:szCs w:val="24"/>
                <w:lang w:val="en-GB" w:eastAsia="en-GB"/>
              </w:rPr>
              <w:t>4,</w:t>
            </w:r>
            <w:r w:rsidRPr="00D54184">
              <w:rPr>
                <w:rFonts w:ascii="Arial" w:hAnsi="Arial" w:cs="Arial"/>
                <w:szCs w:val="24"/>
                <w:lang w:val="en-GB" w:eastAsia="en-GB"/>
              </w:rPr>
              <w:t>524</w:t>
            </w:r>
          </w:p>
        </w:tc>
        <w:tc>
          <w:tcPr>
            <w:tcW w:w="5397" w:type="dxa"/>
            <w:tcBorders>
              <w:top w:val="nil"/>
              <w:left w:val="nil"/>
              <w:bottom w:val="single" w:sz="8" w:space="0" w:color="auto"/>
              <w:right w:val="single" w:sz="8" w:space="0" w:color="auto"/>
            </w:tcBorders>
            <w:shd w:val="clear" w:color="auto" w:fill="D9D9D9" w:themeFill="background1" w:themeFillShade="D9"/>
            <w:vAlign w:val="center"/>
          </w:tcPr>
          <w:p w14:paraId="3A19A292" w14:textId="77777777" w:rsidR="006C3E08" w:rsidRPr="0033457D" w:rsidRDefault="006C3E08" w:rsidP="0085244C">
            <w:pPr>
              <w:spacing w:after="0"/>
              <w:jc w:val="left"/>
              <w:rPr>
                <w:rFonts w:ascii="Arial" w:hAnsi="Arial" w:cs="Arial"/>
                <w:color w:val="FF0000"/>
                <w:szCs w:val="24"/>
                <w:lang w:val="en-GB" w:eastAsia="en-GB"/>
              </w:rPr>
            </w:pPr>
          </w:p>
        </w:tc>
      </w:tr>
      <w:tr w:rsidR="0033457D" w:rsidRPr="0033457D" w14:paraId="1AC0C746" w14:textId="77777777" w:rsidTr="00FB3EF7">
        <w:trPr>
          <w:trHeight w:val="878"/>
        </w:trPr>
        <w:tc>
          <w:tcPr>
            <w:tcW w:w="2967" w:type="dxa"/>
            <w:tcBorders>
              <w:top w:val="nil"/>
              <w:left w:val="single" w:sz="8" w:space="0" w:color="auto"/>
              <w:bottom w:val="single" w:sz="8" w:space="0" w:color="auto"/>
              <w:right w:val="single" w:sz="8" w:space="0" w:color="auto"/>
            </w:tcBorders>
            <w:shd w:val="clear" w:color="000000" w:fill="FFFFFF"/>
            <w:vAlign w:val="center"/>
          </w:tcPr>
          <w:p w14:paraId="3AB769F2" w14:textId="765D6241" w:rsidR="00A94BB5" w:rsidRPr="00D23C75" w:rsidRDefault="006C3E08" w:rsidP="00A94BB5">
            <w:pPr>
              <w:spacing w:after="0"/>
              <w:jc w:val="left"/>
              <w:rPr>
                <w:rFonts w:ascii="Arial" w:hAnsi="Arial" w:cs="Arial"/>
                <w:szCs w:val="24"/>
                <w:lang w:val="en-GB" w:eastAsia="en-GB"/>
              </w:rPr>
            </w:pPr>
            <w:r w:rsidRPr="00D23C75">
              <w:rPr>
                <w:rFonts w:ascii="Arial" w:hAnsi="Arial" w:cs="Arial"/>
                <w:szCs w:val="24"/>
                <w:lang w:val="en-GB" w:eastAsia="en-GB"/>
              </w:rPr>
              <w:t xml:space="preserve">Disadvantaged </w:t>
            </w:r>
            <w:proofErr w:type="gramStart"/>
            <w:r w:rsidR="00A94BB5" w:rsidRPr="00D23C75">
              <w:rPr>
                <w:rFonts w:ascii="Arial" w:hAnsi="Arial" w:cs="Arial"/>
                <w:szCs w:val="24"/>
                <w:lang w:val="en-GB" w:eastAsia="en-GB"/>
              </w:rPr>
              <w:t>Two year olds</w:t>
            </w:r>
            <w:proofErr w:type="gramEnd"/>
            <w:r w:rsidR="00A94BB5" w:rsidRPr="00D23C75">
              <w:rPr>
                <w:rFonts w:ascii="Arial" w:hAnsi="Arial" w:cs="Arial"/>
                <w:szCs w:val="24"/>
                <w:lang w:val="en-GB" w:eastAsia="en-GB"/>
              </w:rPr>
              <w:t xml:space="preserve"> entitlement</w:t>
            </w:r>
          </w:p>
        </w:tc>
        <w:tc>
          <w:tcPr>
            <w:tcW w:w="1559" w:type="dxa"/>
            <w:tcBorders>
              <w:top w:val="nil"/>
              <w:left w:val="nil"/>
              <w:bottom w:val="single" w:sz="8" w:space="0" w:color="auto"/>
              <w:right w:val="single" w:sz="8" w:space="0" w:color="auto"/>
            </w:tcBorders>
            <w:shd w:val="clear" w:color="000000" w:fill="FFFFFF"/>
            <w:noWrap/>
            <w:vAlign w:val="center"/>
          </w:tcPr>
          <w:p w14:paraId="29682A2E" w14:textId="24DC55D4" w:rsidR="00A94BB5" w:rsidRPr="00D23C75" w:rsidRDefault="00A94BB5" w:rsidP="00A94BB5">
            <w:pPr>
              <w:spacing w:after="0"/>
              <w:jc w:val="right"/>
              <w:rPr>
                <w:rFonts w:ascii="Arial" w:hAnsi="Arial" w:cs="Arial"/>
                <w:szCs w:val="24"/>
                <w:lang w:val="en-GB" w:eastAsia="en-GB"/>
              </w:rPr>
            </w:pPr>
            <w:r w:rsidRPr="00D23C75">
              <w:rPr>
                <w:rFonts w:ascii="Arial" w:hAnsi="Arial" w:cs="Arial"/>
                <w:szCs w:val="24"/>
                <w:lang w:val="en-GB" w:eastAsia="en-GB"/>
              </w:rPr>
              <w:t>8,</w:t>
            </w:r>
            <w:r w:rsidR="00D54184" w:rsidRPr="00D23C75">
              <w:rPr>
                <w:rFonts w:ascii="Arial" w:hAnsi="Arial" w:cs="Arial"/>
                <w:szCs w:val="24"/>
                <w:lang w:val="en-GB" w:eastAsia="en-GB"/>
              </w:rPr>
              <w:t>301</w:t>
            </w:r>
          </w:p>
        </w:tc>
        <w:tc>
          <w:tcPr>
            <w:tcW w:w="5397" w:type="dxa"/>
            <w:tcBorders>
              <w:top w:val="nil"/>
              <w:left w:val="nil"/>
              <w:bottom w:val="single" w:sz="8" w:space="0" w:color="auto"/>
              <w:right w:val="single" w:sz="8" w:space="0" w:color="auto"/>
            </w:tcBorders>
            <w:shd w:val="clear" w:color="000000" w:fill="FFFFFF"/>
            <w:vAlign w:val="center"/>
          </w:tcPr>
          <w:p w14:paraId="1C26E235" w14:textId="44036054" w:rsidR="00A94BB5" w:rsidRPr="00D23C75" w:rsidRDefault="00A94BB5" w:rsidP="00A94BB5">
            <w:pPr>
              <w:spacing w:after="0"/>
              <w:jc w:val="left"/>
              <w:rPr>
                <w:rFonts w:ascii="Arial" w:hAnsi="Arial" w:cs="Arial"/>
                <w:szCs w:val="24"/>
                <w:lang w:val="en-GB" w:eastAsia="en-GB"/>
              </w:rPr>
            </w:pPr>
            <w:r w:rsidRPr="00E90D71">
              <w:rPr>
                <w:rFonts w:ascii="Arial" w:hAnsi="Arial" w:cs="Arial"/>
                <w:szCs w:val="24"/>
                <w:lang w:val="en-GB" w:eastAsia="en-GB"/>
              </w:rPr>
              <w:t>Provisional DSG allocation, will be updated mid-year to reflect the January 2024 pupil census.</w:t>
            </w:r>
          </w:p>
        </w:tc>
      </w:tr>
      <w:tr w:rsidR="0033457D" w:rsidRPr="0033457D" w14:paraId="4B31B745" w14:textId="77777777" w:rsidTr="00FB3EF7">
        <w:trPr>
          <w:trHeight w:val="630"/>
        </w:trPr>
        <w:tc>
          <w:tcPr>
            <w:tcW w:w="2967" w:type="dxa"/>
            <w:tcBorders>
              <w:top w:val="nil"/>
              <w:left w:val="single" w:sz="8" w:space="0" w:color="auto"/>
              <w:bottom w:val="single" w:sz="8" w:space="0" w:color="auto"/>
              <w:right w:val="single" w:sz="8" w:space="0" w:color="auto"/>
            </w:tcBorders>
            <w:shd w:val="clear" w:color="000000" w:fill="FFFFFF"/>
            <w:vAlign w:val="center"/>
            <w:hideMark/>
          </w:tcPr>
          <w:p w14:paraId="62C89F6E" w14:textId="28EE23CA" w:rsidR="00A94BB5" w:rsidRPr="00D23C75" w:rsidRDefault="006C3E08" w:rsidP="00A94BB5">
            <w:pPr>
              <w:spacing w:after="0"/>
              <w:jc w:val="left"/>
              <w:rPr>
                <w:rFonts w:ascii="Arial" w:hAnsi="Arial" w:cs="Arial"/>
                <w:szCs w:val="24"/>
                <w:lang w:val="en-GB" w:eastAsia="en-GB"/>
              </w:rPr>
            </w:pPr>
            <w:r w:rsidRPr="00D23C75">
              <w:rPr>
                <w:rFonts w:ascii="Arial" w:hAnsi="Arial" w:cs="Arial"/>
                <w:szCs w:val="24"/>
                <w:lang w:val="en-GB" w:eastAsia="en-GB"/>
              </w:rPr>
              <w:t xml:space="preserve">Disadvantaged </w:t>
            </w:r>
            <w:proofErr w:type="gramStart"/>
            <w:r w:rsidR="00A94BB5" w:rsidRPr="00D23C75">
              <w:rPr>
                <w:rFonts w:ascii="Arial" w:hAnsi="Arial" w:cs="Arial"/>
                <w:szCs w:val="24"/>
                <w:lang w:val="en-GB" w:eastAsia="en-GB"/>
              </w:rPr>
              <w:t>Two year olds</w:t>
            </w:r>
            <w:proofErr w:type="gramEnd"/>
            <w:r w:rsidR="00A94BB5" w:rsidRPr="00D23C75">
              <w:rPr>
                <w:rFonts w:ascii="Arial" w:hAnsi="Arial" w:cs="Arial"/>
                <w:szCs w:val="24"/>
                <w:lang w:val="en-GB" w:eastAsia="en-GB"/>
              </w:rPr>
              <w:t xml:space="preserve"> - SEN Inclusion Fund</w:t>
            </w:r>
          </w:p>
        </w:tc>
        <w:tc>
          <w:tcPr>
            <w:tcW w:w="1559" w:type="dxa"/>
            <w:tcBorders>
              <w:top w:val="nil"/>
              <w:left w:val="nil"/>
              <w:bottom w:val="single" w:sz="8" w:space="0" w:color="auto"/>
              <w:right w:val="single" w:sz="8" w:space="0" w:color="auto"/>
            </w:tcBorders>
            <w:shd w:val="clear" w:color="000000" w:fill="FFFFFF"/>
            <w:noWrap/>
            <w:vAlign w:val="center"/>
            <w:hideMark/>
          </w:tcPr>
          <w:p w14:paraId="45991880" w14:textId="75400508" w:rsidR="00A94BB5" w:rsidRPr="00D23C75" w:rsidRDefault="00D23C75" w:rsidP="00A94BB5">
            <w:pPr>
              <w:spacing w:after="0"/>
              <w:jc w:val="right"/>
              <w:rPr>
                <w:rFonts w:ascii="Arial" w:hAnsi="Arial" w:cs="Arial"/>
                <w:szCs w:val="24"/>
                <w:lang w:val="en-GB" w:eastAsia="en-GB"/>
              </w:rPr>
            </w:pPr>
            <w:r w:rsidRPr="00D23C75">
              <w:rPr>
                <w:rFonts w:ascii="Arial" w:hAnsi="Arial" w:cs="Arial"/>
                <w:szCs w:val="24"/>
                <w:lang w:val="en-GB" w:eastAsia="en-GB"/>
              </w:rPr>
              <w:t>120</w:t>
            </w:r>
          </w:p>
        </w:tc>
        <w:tc>
          <w:tcPr>
            <w:tcW w:w="5397" w:type="dxa"/>
            <w:tcBorders>
              <w:top w:val="nil"/>
              <w:left w:val="nil"/>
              <w:bottom w:val="single" w:sz="8" w:space="0" w:color="auto"/>
              <w:right w:val="single" w:sz="8" w:space="0" w:color="auto"/>
            </w:tcBorders>
            <w:shd w:val="clear" w:color="auto" w:fill="auto"/>
            <w:vAlign w:val="center"/>
            <w:hideMark/>
          </w:tcPr>
          <w:p w14:paraId="1D4DC2AA" w14:textId="77777777" w:rsidR="00A94BB5" w:rsidRPr="00D23C75" w:rsidRDefault="00A94BB5" w:rsidP="00A94BB5">
            <w:pPr>
              <w:spacing w:after="0"/>
              <w:jc w:val="left"/>
              <w:rPr>
                <w:rFonts w:ascii="Arial" w:hAnsi="Arial" w:cs="Arial"/>
                <w:szCs w:val="24"/>
                <w:lang w:val="en-GB" w:eastAsia="en-GB"/>
              </w:rPr>
            </w:pPr>
            <w:r w:rsidRPr="00D23C75">
              <w:rPr>
                <w:rFonts w:ascii="Arial" w:hAnsi="Arial" w:cs="Arial"/>
                <w:szCs w:val="24"/>
                <w:lang w:val="en-GB" w:eastAsia="en-GB"/>
              </w:rPr>
              <w:t> </w:t>
            </w:r>
          </w:p>
        </w:tc>
      </w:tr>
      <w:tr w:rsidR="0033457D" w:rsidRPr="0033457D" w14:paraId="2E1B03A6" w14:textId="77777777" w:rsidTr="00FB3EF7">
        <w:trPr>
          <w:trHeight w:val="320"/>
        </w:trPr>
        <w:tc>
          <w:tcPr>
            <w:tcW w:w="2967" w:type="dxa"/>
            <w:tcBorders>
              <w:top w:val="nil"/>
              <w:left w:val="single" w:sz="8" w:space="0" w:color="auto"/>
              <w:bottom w:val="single" w:sz="8" w:space="0" w:color="auto"/>
              <w:right w:val="single" w:sz="8" w:space="0" w:color="auto"/>
            </w:tcBorders>
            <w:shd w:val="clear" w:color="000000" w:fill="D9D9D9"/>
            <w:vAlign w:val="center"/>
            <w:hideMark/>
          </w:tcPr>
          <w:p w14:paraId="4D509ECB" w14:textId="69441D0C" w:rsidR="00A94BB5" w:rsidRPr="00241843" w:rsidRDefault="00A94BB5" w:rsidP="00A94BB5">
            <w:pPr>
              <w:spacing w:after="0"/>
              <w:jc w:val="left"/>
              <w:rPr>
                <w:rFonts w:ascii="Arial" w:hAnsi="Arial" w:cs="Arial"/>
                <w:szCs w:val="24"/>
                <w:lang w:val="en-GB" w:eastAsia="en-GB"/>
              </w:rPr>
            </w:pPr>
            <w:r w:rsidRPr="00241843">
              <w:rPr>
                <w:rFonts w:ascii="Arial" w:hAnsi="Arial" w:cs="Arial"/>
                <w:szCs w:val="24"/>
                <w:lang w:val="en-GB" w:eastAsia="en-GB"/>
              </w:rPr>
              <w:t xml:space="preserve">Funding for </w:t>
            </w:r>
            <w:r w:rsidR="006C3E08" w:rsidRPr="00241843">
              <w:rPr>
                <w:rFonts w:ascii="Arial" w:hAnsi="Arial" w:cs="Arial"/>
                <w:szCs w:val="24"/>
                <w:lang w:val="en-GB" w:eastAsia="en-GB"/>
              </w:rPr>
              <w:t xml:space="preserve">disadvantaged </w:t>
            </w:r>
            <w:proofErr w:type="gramStart"/>
            <w:r w:rsidRPr="00241843">
              <w:rPr>
                <w:rFonts w:ascii="Arial" w:hAnsi="Arial" w:cs="Arial"/>
                <w:szCs w:val="24"/>
                <w:lang w:val="en-GB" w:eastAsia="en-GB"/>
              </w:rPr>
              <w:t>two year olds</w:t>
            </w:r>
            <w:proofErr w:type="gramEnd"/>
          </w:p>
        </w:tc>
        <w:tc>
          <w:tcPr>
            <w:tcW w:w="1559" w:type="dxa"/>
            <w:tcBorders>
              <w:top w:val="nil"/>
              <w:left w:val="nil"/>
              <w:bottom w:val="single" w:sz="8" w:space="0" w:color="auto"/>
              <w:right w:val="single" w:sz="8" w:space="0" w:color="auto"/>
            </w:tcBorders>
            <w:shd w:val="clear" w:color="000000" w:fill="D9D9D9"/>
            <w:noWrap/>
            <w:vAlign w:val="center"/>
            <w:hideMark/>
          </w:tcPr>
          <w:p w14:paraId="28E8AB96" w14:textId="048CF5A2" w:rsidR="00A94BB5" w:rsidRPr="00241843" w:rsidRDefault="00A94BB5" w:rsidP="00A94BB5">
            <w:pPr>
              <w:spacing w:after="0"/>
              <w:jc w:val="right"/>
              <w:rPr>
                <w:rFonts w:ascii="Arial" w:hAnsi="Arial" w:cs="Arial"/>
                <w:szCs w:val="24"/>
                <w:lang w:val="en-GB" w:eastAsia="en-GB"/>
              </w:rPr>
            </w:pPr>
            <w:r w:rsidRPr="00241843">
              <w:rPr>
                <w:rFonts w:ascii="Arial" w:hAnsi="Arial" w:cs="Arial"/>
                <w:szCs w:val="24"/>
                <w:lang w:val="en-GB" w:eastAsia="en-GB"/>
              </w:rPr>
              <w:t>8,</w:t>
            </w:r>
            <w:r w:rsidR="00D23C75" w:rsidRPr="00241843">
              <w:rPr>
                <w:rFonts w:ascii="Arial" w:hAnsi="Arial" w:cs="Arial"/>
                <w:szCs w:val="24"/>
                <w:lang w:val="en-GB" w:eastAsia="en-GB"/>
              </w:rPr>
              <w:t>421</w:t>
            </w:r>
          </w:p>
        </w:tc>
        <w:tc>
          <w:tcPr>
            <w:tcW w:w="5397" w:type="dxa"/>
            <w:tcBorders>
              <w:top w:val="nil"/>
              <w:left w:val="nil"/>
              <w:bottom w:val="single" w:sz="8" w:space="0" w:color="auto"/>
              <w:right w:val="single" w:sz="8" w:space="0" w:color="auto"/>
            </w:tcBorders>
            <w:shd w:val="clear" w:color="000000" w:fill="D9D9D9"/>
            <w:vAlign w:val="center"/>
            <w:hideMark/>
          </w:tcPr>
          <w:p w14:paraId="010B6B2B" w14:textId="77777777" w:rsidR="00A94BB5" w:rsidRPr="00241843" w:rsidRDefault="00A94BB5" w:rsidP="00A94BB5">
            <w:pPr>
              <w:spacing w:after="0"/>
              <w:jc w:val="left"/>
              <w:rPr>
                <w:rFonts w:ascii="Arial" w:hAnsi="Arial" w:cs="Arial"/>
                <w:szCs w:val="24"/>
                <w:lang w:val="en-GB" w:eastAsia="en-GB"/>
              </w:rPr>
            </w:pPr>
            <w:r w:rsidRPr="00241843">
              <w:rPr>
                <w:rFonts w:ascii="Arial" w:hAnsi="Arial" w:cs="Arial"/>
                <w:szCs w:val="24"/>
                <w:lang w:val="en-GB" w:eastAsia="en-GB"/>
              </w:rPr>
              <w:t> </w:t>
            </w:r>
          </w:p>
        </w:tc>
      </w:tr>
      <w:tr w:rsidR="0033457D" w:rsidRPr="0033457D" w14:paraId="021D9833" w14:textId="77777777" w:rsidTr="00FB3EF7">
        <w:trPr>
          <w:trHeight w:val="630"/>
        </w:trPr>
        <w:tc>
          <w:tcPr>
            <w:tcW w:w="2967" w:type="dxa"/>
            <w:tcBorders>
              <w:top w:val="nil"/>
              <w:left w:val="single" w:sz="8" w:space="0" w:color="auto"/>
              <w:bottom w:val="single" w:sz="8" w:space="0" w:color="auto"/>
              <w:right w:val="single" w:sz="8" w:space="0" w:color="auto"/>
            </w:tcBorders>
            <w:shd w:val="clear" w:color="auto" w:fill="auto"/>
            <w:vAlign w:val="center"/>
            <w:hideMark/>
          </w:tcPr>
          <w:p w14:paraId="5D67C588" w14:textId="77777777" w:rsidR="00A94BB5" w:rsidRPr="00241843" w:rsidRDefault="00A94BB5" w:rsidP="00A94BB5">
            <w:pPr>
              <w:spacing w:after="0"/>
              <w:jc w:val="left"/>
              <w:rPr>
                <w:rFonts w:ascii="Arial" w:hAnsi="Arial" w:cs="Arial"/>
                <w:szCs w:val="24"/>
                <w:lang w:val="en-GB" w:eastAsia="en-GB"/>
              </w:rPr>
            </w:pPr>
            <w:proofErr w:type="gramStart"/>
            <w:r w:rsidRPr="00241843">
              <w:rPr>
                <w:rFonts w:ascii="Arial" w:hAnsi="Arial" w:cs="Arial"/>
                <w:szCs w:val="24"/>
                <w:lang w:val="en-GB" w:eastAsia="en-GB"/>
              </w:rPr>
              <w:t>Three and four year olds</w:t>
            </w:r>
            <w:proofErr w:type="gramEnd"/>
            <w:r w:rsidRPr="00241843">
              <w:rPr>
                <w:rFonts w:ascii="Arial" w:hAnsi="Arial" w:cs="Arial"/>
                <w:szCs w:val="24"/>
                <w:lang w:val="en-GB" w:eastAsia="en-GB"/>
              </w:rPr>
              <w:t xml:space="preserve"> - universal entitlement</w:t>
            </w:r>
          </w:p>
        </w:tc>
        <w:tc>
          <w:tcPr>
            <w:tcW w:w="1559" w:type="dxa"/>
            <w:tcBorders>
              <w:top w:val="nil"/>
              <w:left w:val="nil"/>
              <w:bottom w:val="single" w:sz="8" w:space="0" w:color="auto"/>
              <w:right w:val="single" w:sz="8" w:space="0" w:color="auto"/>
            </w:tcBorders>
            <w:shd w:val="clear" w:color="000000" w:fill="FFFFFF"/>
            <w:noWrap/>
            <w:vAlign w:val="center"/>
            <w:hideMark/>
          </w:tcPr>
          <w:p w14:paraId="7111C9A8" w14:textId="3F31CBCF" w:rsidR="00A94BB5" w:rsidRPr="00241843" w:rsidRDefault="00A94BB5" w:rsidP="00A94BB5">
            <w:pPr>
              <w:spacing w:after="0"/>
              <w:jc w:val="right"/>
              <w:rPr>
                <w:rFonts w:ascii="Arial" w:hAnsi="Arial" w:cs="Arial"/>
                <w:szCs w:val="24"/>
                <w:lang w:val="en-GB" w:eastAsia="en-GB"/>
              </w:rPr>
            </w:pPr>
            <w:r w:rsidRPr="00241843">
              <w:rPr>
                <w:rFonts w:ascii="Arial" w:hAnsi="Arial" w:cs="Arial"/>
                <w:szCs w:val="24"/>
                <w:lang w:val="en-GB" w:eastAsia="en-GB"/>
              </w:rPr>
              <w:t>5</w:t>
            </w:r>
            <w:r w:rsidR="00AC56CE" w:rsidRPr="00241843">
              <w:rPr>
                <w:rFonts w:ascii="Arial" w:hAnsi="Arial" w:cs="Arial"/>
                <w:szCs w:val="24"/>
                <w:lang w:val="en-GB" w:eastAsia="en-GB"/>
              </w:rPr>
              <w:t>8</w:t>
            </w:r>
            <w:r w:rsidRPr="00241843">
              <w:rPr>
                <w:rFonts w:ascii="Arial" w:hAnsi="Arial" w:cs="Arial"/>
                <w:szCs w:val="24"/>
                <w:lang w:val="en-GB" w:eastAsia="en-GB"/>
              </w:rPr>
              <w:t>,</w:t>
            </w:r>
            <w:r w:rsidR="00AC56CE" w:rsidRPr="00241843">
              <w:rPr>
                <w:rFonts w:ascii="Arial" w:hAnsi="Arial" w:cs="Arial"/>
                <w:szCs w:val="24"/>
                <w:lang w:val="en-GB" w:eastAsia="en-GB"/>
              </w:rPr>
              <w:t>9</w:t>
            </w:r>
            <w:r w:rsidR="00241843" w:rsidRPr="00241843">
              <w:rPr>
                <w:rFonts w:ascii="Arial" w:hAnsi="Arial" w:cs="Arial"/>
                <w:szCs w:val="24"/>
                <w:lang w:val="en-GB" w:eastAsia="en-GB"/>
              </w:rPr>
              <w:t>5</w:t>
            </w:r>
            <w:r w:rsidR="00533F54">
              <w:rPr>
                <w:rFonts w:ascii="Arial" w:hAnsi="Arial" w:cs="Arial"/>
                <w:szCs w:val="24"/>
                <w:lang w:val="en-GB" w:eastAsia="en-GB"/>
              </w:rPr>
              <w:t>6</w:t>
            </w:r>
          </w:p>
        </w:tc>
        <w:tc>
          <w:tcPr>
            <w:tcW w:w="5397"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272330F" w14:textId="3AEA246F" w:rsidR="00A94BB5" w:rsidRPr="00241843" w:rsidRDefault="00A94BB5" w:rsidP="00A94BB5">
            <w:pPr>
              <w:spacing w:after="0"/>
              <w:jc w:val="left"/>
              <w:rPr>
                <w:rFonts w:ascii="Arial" w:hAnsi="Arial" w:cs="Arial"/>
                <w:szCs w:val="24"/>
                <w:lang w:val="en-GB" w:eastAsia="en-GB"/>
              </w:rPr>
            </w:pPr>
            <w:r w:rsidRPr="00E90D71">
              <w:rPr>
                <w:rFonts w:ascii="Arial" w:hAnsi="Arial" w:cs="Arial"/>
                <w:szCs w:val="24"/>
                <w:lang w:val="en-GB" w:eastAsia="en-GB"/>
              </w:rPr>
              <w:t>Provisional DSG allocation, will be updated mid-year to reflect the January 2024 pupil census.</w:t>
            </w:r>
          </w:p>
        </w:tc>
      </w:tr>
      <w:tr w:rsidR="0033457D" w:rsidRPr="0033457D" w14:paraId="1BD98D8F" w14:textId="77777777" w:rsidTr="00FB3EF7">
        <w:trPr>
          <w:trHeight w:val="630"/>
        </w:trPr>
        <w:tc>
          <w:tcPr>
            <w:tcW w:w="2967" w:type="dxa"/>
            <w:tcBorders>
              <w:top w:val="nil"/>
              <w:left w:val="single" w:sz="8" w:space="0" w:color="auto"/>
              <w:bottom w:val="single" w:sz="8" w:space="0" w:color="auto"/>
              <w:right w:val="single" w:sz="8" w:space="0" w:color="auto"/>
            </w:tcBorders>
            <w:shd w:val="clear" w:color="auto" w:fill="auto"/>
            <w:vAlign w:val="center"/>
            <w:hideMark/>
          </w:tcPr>
          <w:p w14:paraId="44649686" w14:textId="77777777" w:rsidR="00A94BB5" w:rsidRPr="00241843" w:rsidRDefault="00A94BB5" w:rsidP="00A94BB5">
            <w:pPr>
              <w:spacing w:after="0"/>
              <w:jc w:val="left"/>
              <w:rPr>
                <w:rFonts w:ascii="Arial" w:hAnsi="Arial" w:cs="Arial"/>
                <w:szCs w:val="24"/>
                <w:lang w:val="en-GB" w:eastAsia="en-GB"/>
              </w:rPr>
            </w:pPr>
            <w:proofErr w:type="gramStart"/>
            <w:r w:rsidRPr="00241843">
              <w:rPr>
                <w:rFonts w:ascii="Arial" w:hAnsi="Arial" w:cs="Arial"/>
                <w:szCs w:val="24"/>
                <w:lang w:val="en-GB" w:eastAsia="en-GB"/>
              </w:rPr>
              <w:t>Three and four year olds</w:t>
            </w:r>
            <w:proofErr w:type="gramEnd"/>
            <w:r w:rsidRPr="00241843">
              <w:rPr>
                <w:rFonts w:ascii="Arial" w:hAnsi="Arial" w:cs="Arial"/>
                <w:szCs w:val="24"/>
                <w:lang w:val="en-GB" w:eastAsia="en-GB"/>
              </w:rPr>
              <w:t xml:space="preserve"> - additional entitlement</w:t>
            </w:r>
          </w:p>
        </w:tc>
        <w:tc>
          <w:tcPr>
            <w:tcW w:w="1559" w:type="dxa"/>
            <w:tcBorders>
              <w:top w:val="nil"/>
              <w:left w:val="nil"/>
              <w:bottom w:val="single" w:sz="8" w:space="0" w:color="auto"/>
              <w:right w:val="single" w:sz="8" w:space="0" w:color="auto"/>
            </w:tcBorders>
            <w:shd w:val="clear" w:color="000000" w:fill="FFFFFF"/>
            <w:noWrap/>
            <w:vAlign w:val="center"/>
            <w:hideMark/>
          </w:tcPr>
          <w:p w14:paraId="61EF5CC9" w14:textId="65DFF743" w:rsidR="00A94BB5" w:rsidRPr="00241843" w:rsidRDefault="00A94BB5" w:rsidP="00A94BB5">
            <w:pPr>
              <w:spacing w:after="0"/>
              <w:jc w:val="right"/>
              <w:rPr>
                <w:rFonts w:ascii="Arial" w:hAnsi="Arial" w:cs="Arial"/>
                <w:szCs w:val="24"/>
                <w:lang w:val="en-GB" w:eastAsia="en-GB"/>
              </w:rPr>
            </w:pPr>
            <w:r w:rsidRPr="00241843">
              <w:rPr>
                <w:rFonts w:ascii="Arial" w:hAnsi="Arial" w:cs="Arial"/>
                <w:szCs w:val="24"/>
                <w:lang w:val="en-GB" w:eastAsia="en-GB"/>
              </w:rPr>
              <w:t>2</w:t>
            </w:r>
            <w:r w:rsidR="00241843" w:rsidRPr="00241843">
              <w:rPr>
                <w:rFonts w:ascii="Arial" w:hAnsi="Arial" w:cs="Arial"/>
                <w:szCs w:val="24"/>
                <w:lang w:val="en-GB" w:eastAsia="en-GB"/>
              </w:rPr>
              <w:t>9</w:t>
            </w:r>
            <w:r w:rsidRPr="00241843">
              <w:rPr>
                <w:rFonts w:ascii="Arial" w:hAnsi="Arial" w:cs="Arial"/>
                <w:szCs w:val="24"/>
                <w:lang w:val="en-GB" w:eastAsia="en-GB"/>
              </w:rPr>
              <w:t>,</w:t>
            </w:r>
            <w:r w:rsidR="00241843" w:rsidRPr="00241843">
              <w:rPr>
                <w:rFonts w:ascii="Arial" w:hAnsi="Arial" w:cs="Arial"/>
                <w:szCs w:val="24"/>
                <w:lang w:val="en-GB" w:eastAsia="en-GB"/>
              </w:rPr>
              <w:t>26</w:t>
            </w:r>
            <w:r w:rsidR="00AC56CE" w:rsidRPr="00241843">
              <w:rPr>
                <w:rFonts w:ascii="Arial" w:hAnsi="Arial" w:cs="Arial"/>
                <w:szCs w:val="24"/>
                <w:lang w:val="en-GB" w:eastAsia="en-GB"/>
              </w:rPr>
              <w:t>6</w:t>
            </w:r>
          </w:p>
        </w:tc>
        <w:tc>
          <w:tcPr>
            <w:tcW w:w="5397" w:type="dxa"/>
            <w:vMerge/>
            <w:tcBorders>
              <w:top w:val="nil"/>
              <w:left w:val="single" w:sz="8" w:space="0" w:color="auto"/>
              <w:bottom w:val="single" w:sz="8" w:space="0" w:color="000000"/>
              <w:right w:val="single" w:sz="8" w:space="0" w:color="auto"/>
            </w:tcBorders>
            <w:vAlign w:val="center"/>
            <w:hideMark/>
          </w:tcPr>
          <w:p w14:paraId="36C76E27" w14:textId="77777777" w:rsidR="00A94BB5" w:rsidRPr="00241843" w:rsidRDefault="00A94BB5" w:rsidP="00A94BB5">
            <w:pPr>
              <w:spacing w:after="0"/>
              <w:jc w:val="left"/>
              <w:rPr>
                <w:rFonts w:ascii="Arial" w:hAnsi="Arial" w:cs="Arial"/>
                <w:szCs w:val="24"/>
                <w:lang w:val="en-GB" w:eastAsia="en-GB"/>
              </w:rPr>
            </w:pPr>
          </w:p>
        </w:tc>
      </w:tr>
      <w:tr w:rsidR="0033457D" w:rsidRPr="0033457D" w14:paraId="5259B8D0" w14:textId="77777777" w:rsidTr="00FB3EF7">
        <w:trPr>
          <w:trHeight w:val="630"/>
        </w:trPr>
        <w:tc>
          <w:tcPr>
            <w:tcW w:w="2967" w:type="dxa"/>
            <w:tcBorders>
              <w:top w:val="nil"/>
              <w:left w:val="single" w:sz="8" w:space="0" w:color="auto"/>
              <w:bottom w:val="single" w:sz="8" w:space="0" w:color="auto"/>
              <w:right w:val="single" w:sz="8" w:space="0" w:color="auto"/>
            </w:tcBorders>
            <w:shd w:val="clear" w:color="auto" w:fill="auto"/>
            <w:vAlign w:val="center"/>
            <w:hideMark/>
          </w:tcPr>
          <w:p w14:paraId="4D3598D9" w14:textId="77777777" w:rsidR="00A94BB5" w:rsidRPr="00241843" w:rsidRDefault="00A94BB5" w:rsidP="00A94BB5">
            <w:pPr>
              <w:spacing w:after="0"/>
              <w:jc w:val="left"/>
              <w:rPr>
                <w:rFonts w:ascii="Arial" w:hAnsi="Arial" w:cs="Arial"/>
                <w:szCs w:val="24"/>
                <w:lang w:val="en-GB" w:eastAsia="en-GB"/>
              </w:rPr>
            </w:pPr>
            <w:proofErr w:type="gramStart"/>
            <w:r w:rsidRPr="00241843">
              <w:rPr>
                <w:rFonts w:ascii="Arial" w:hAnsi="Arial" w:cs="Arial"/>
                <w:szCs w:val="24"/>
                <w:lang w:val="en-GB" w:eastAsia="en-GB"/>
              </w:rPr>
              <w:t>Three and four year olds</w:t>
            </w:r>
            <w:proofErr w:type="gramEnd"/>
            <w:r w:rsidRPr="00241843">
              <w:rPr>
                <w:rFonts w:ascii="Arial" w:hAnsi="Arial" w:cs="Arial"/>
                <w:szCs w:val="24"/>
                <w:lang w:val="en-GB" w:eastAsia="en-GB"/>
              </w:rPr>
              <w:t xml:space="preserve"> - SEN Inclusion Fund</w:t>
            </w:r>
          </w:p>
        </w:tc>
        <w:tc>
          <w:tcPr>
            <w:tcW w:w="1559" w:type="dxa"/>
            <w:tcBorders>
              <w:top w:val="nil"/>
              <w:left w:val="nil"/>
              <w:bottom w:val="single" w:sz="8" w:space="0" w:color="auto"/>
              <w:right w:val="single" w:sz="8" w:space="0" w:color="auto"/>
            </w:tcBorders>
            <w:shd w:val="clear" w:color="000000" w:fill="FFFFFF"/>
            <w:noWrap/>
            <w:vAlign w:val="center"/>
            <w:hideMark/>
          </w:tcPr>
          <w:p w14:paraId="1C359B8B" w14:textId="2B7615B0" w:rsidR="00A94BB5" w:rsidRPr="00241843" w:rsidRDefault="00241843" w:rsidP="00A94BB5">
            <w:pPr>
              <w:spacing w:after="0"/>
              <w:jc w:val="right"/>
              <w:rPr>
                <w:rFonts w:ascii="Arial" w:hAnsi="Arial" w:cs="Arial"/>
                <w:szCs w:val="24"/>
                <w:lang w:val="en-GB" w:eastAsia="en-GB"/>
              </w:rPr>
            </w:pPr>
            <w:r w:rsidRPr="00241843">
              <w:rPr>
                <w:rFonts w:ascii="Arial" w:hAnsi="Arial" w:cs="Arial"/>
                <w:szCs w:val="24"/>
                <w:lang w:val="en-GB" w:eastAsia="en-GB"/>
              </w:rPr>
              <w:t>2</w:t>
            </w:r>
            <w:r w:rsidR="00A94BB5" w:rsidRPr="00241843">
              <w:rPr>
                <w:rFonts w:ascii="Arial" w:hAnsi="Arial" w:cs="Arial"/>
                <w:szCs w:val="24"/>
                <w:lang w:val="en-GB" w:eastAsia="en-GB"/>
              </w:rPr>
              <w:t>,</w:t>
            </w:r>
            <w:r w:rsidRPr="00241843">
              <w:rPr>
                <w:rFonts w:ascii="Arial" w:hAnsi="Arial" w:cs="Arial"/>
                <w:szCs w:val="24"/>
                <w:lang w:val="en-GB" w:eastAsia="en-GB"/>
              </w:rPr>
              <w:t>855</w:t>
            </w:r>
          </w:p>
        </w:tc>
        <w:tc>
          <w:tcPr>
            <w:tcW w:w="5397" w:type="dxa"/>
            <w:tcBorders>
              <w:top w:val="nil"/>
              <w:left w:val="nil"/>
              <w:bottom w:val="single" w:sz="8" w:space="0" w:color="auto"/>
              <w:right w:val="single" w:sz="8" w:space="0" w:color="auto"/>
            </w:tcBorders>
            <w:shd w:val="clear" w:color="auto" w:fill="auto"/>
            <w:vAlign w:val="center"/>
            <w:hideMark/>
          </w:tcPr>
          <w:p w14:paraId="4F9CEDC0" w14:textId="77777777" w:rsidR="00A94BB5" w:rsidRPr="00241843" w:rsidRDefault="00A94BB5" w:rsidP="00A94BB5">
            <w:pPr>
              <w:spacing w:after="0"/>
              <w:jc w:val="left"/>
              <w:rPr>
                <w:rFonts w:ascii="Arial" w:hAnsi="Arial" w:cs="Arial"/>
                <w:szCs w:val="24"/>
                <w:lang w:val="en-GB" w:eastAsia="en-GB"/>
              </w:rPr>
            </w:pPr>
            <w:r w:rsidRPr="00241843">
              <w:rPr>
                <w:rFonts w:ascii="Arial" w:hAnsi="Arial" w:cs="Arial"/>
                <w:szCs w:val="24"/>
                <w:lang w:val="en-GB" w:eastAsia="en-GB"/>
              </w:rPr>
              <w:t> </w:t>
            </w:r>
          </w:p>
        </w:tc>
      </w:tr>
      <w:tr w:rsidR="0033457D" w:rsidRPr="0033457D" w14:paraId="0F1B4916" w14:textId="77777777" w:rsidTr="00FB3EF7">
        <w:trPr>
          <w:trHeight w:val="630"/>
        </w:trPr>
        <w:tc>
          <w:tcPr>
            <w:tcW w:w="2967" w:type="dxa"/>
            <w:tcBorders>
              <w:top w:val="nil"/>
              <w:left w:val="single" w:sz="8" w:space="0" w:color="auto"/>
              <w:bottom w:val="single" w:sz="8" w:space="0" w:color="auto"/>
              <w:right w:val="single" w:sz="8" w:space="0" w:color="auto"/>
            </w:tcBorders>
            <w:shd w:val="clear" w:color="000000" w:fill="D9D9D9"/>
            <w:vAlign w:val="center"/>
            <w:hideMark/>
          </w:tcPr>
          <w:p w14:paraId="5713EA23" w14:textId="77777777" w:rsidR="00A94BB5" w:rsidRPr="00241843" w:rsidRDefault="00A94BB5" w:rsidP="00A94BB5">
            <w:pPr>
              <w:spacing w:after="0"/>
              <w:jc w:val="left"/>
              <w:rPr>
                <w:rFonts w:ascii="Arial" w:hAnsi="Arial" w:cs="Arial"/>
                <w:szCs w:val="24"/>
                <w:lang w:val="en-GB" w:eastAsia="en-GB"/>
              </w:rPr>
            </w:pPr>
            <w:r w:rsidRPr="00241843">
              <w:rPr>
                <w:rFonts w:ascii="Arial" w:hAnsi="Arial" w:cs="Arial"/>
                <w:szCs w:val="24"/>
                <w:lang w:val="en-GB" w:eastAsia="en-GB"/>
              </w:rPr>
              <w:t xml:space="preserve">Funding for </w:t>
            </w:r>
            <w:proofErr w:type="gramStart"/>
            <w:r w:rsidRPr="00241843">
              <w:rPr>
                <w:rFonts w:ascii="Arial" w:hAnsi="Arial" w:cs="Arial"/>
                <w:szCs w:val="24"/>
                <w:lang w:val="en-GB" w:eastAsia="en-GB"/>
              </w:rPr>
              <w:t>three and four year olds</w:t>
            </w:r>
            <w:proofErr w:type="gramEnd"/>
          </w:p>
        </w:tc>
        <w:tc>
          <w:tcPr>
            <w:tcW w:w="1559" w:type="dxa"/>
            <w:tcBorders>
              <w:top w:val="nil"/>
              <w:left w:val="nil"/>
              <w:bottom w:val="single" w:sz="8" w:space="0" w:color="auto"/>
              <w:right w:val="single" w:sz="8" w:space="0" w:color="auto"/>
            </w:tcBorders>
            <w:shd w:val="clear" w:color="000000" w:fill="D9D9D9"/>
            <w:noWrap/>
            <w:vAlign w:val="center"/>
            <w:hideMark/>
          </w:tcPr>
          <w:p w14:paraId="320A341B" w14:textId="508334A9" w:rsidR="00A94BB5" w:rsidRPr="00241843" w:rsidRDefault="00241843" w:rsidP="00A94BB5">
            <w:pPr>
              <w:spacing w:after="0"/>
              <w:jc w:val="right"/>
              <w:rPr>
                <w:rFonts w:ascii="Arial" w:hAnsi="Arial" w:cs="Arial"/>
                <w:szCs w:val="24"/>
                <w:lang w:val="en-GB" w:eastAsia="en-GB"/>
              </w:rPr>
            </w:pPr>
            <w:r w:rsidRPr="00241843">
              <w:rPr>
                <w:rFonts w:ascii="Arial" w:hAnsi="Arial" w:cs="Arial"/>
                <w:szCs w:val="24"/>
                <w:lang w:val="en-GB" w:eastAsia="en-GB"/>
              </w:rPr>
              <w:t>91</w:t>
            </w:r>
            <w:r w:rsidR="00A94BB5" w:rsidRPr="00241843">
              <w:rPr>
                <w:rFonts w:ascii="Arial" w:hAnsi="Arial" w:cs="Arial"/>
                <w:szCs w:val="24"/>
                <w:lang w:val="en-GB" w:eastAsia="en-GB"/>
              </w:rPr>
              <w:t>,</w:t>
            </w:r>
            <w:r w:rsidRPr="00241843">
              <w:rPr>
                <w:rFonts w:ascii="Arial" w:hAnsi="Arial" w:cs="Arial"/>
                <w:szCs w:val="24"/>
                <w:lang w:val="en-GB" w:eastAsia="en-GB"/>
              </w:rPr>
              <w:t>07</w:t>
            </w:r>
            <w:r w:rsidR="00533F54">
              <w:rPr>
                <w:rFonts w:ascii="Arial" w:hAnsi="Arial" w:cs="Arial"/>
                <w:szCs w:val="24"/>
                <w:lang w:val="en-GB" w:eastAsia="en-GB"/>
              </w:rPr>
              <w:t>7</w:t>
            </w:r>
          </w:p>
        </w:tc>
        <w:tc>
          <w:tcPr>
            <w:tcW w:w="5397" w:type="dxa"/>
            <w:tcBorders>
              <w:top w:val="nil"/>
              <w:left w:val="nil"/>
              <w:bottom w:val="single" w:sz="8" w:space="0" w:color="auto"/>
              <w:right w:val="single" w:sz="8" w:space="0" w:color="auto"/>
            </w:tcBorders>
            <w:shd w:val="clear" w:color="000000" w:fill="D9D9D9"/>
            <w:vAlign w:val="center"/>
            <w:hideMark/>
          </w:tcPr>
          <w:p w14:paraId="4C7DBF28" w14:textId="77777777" w:rsidR="00A94BB5" w:rsidRPr="00241843" w:rsidRDefault="00A94BB5" w:rsidP="00A94BB5">
            <w:pPr>
              <w:spacing w:after="0"/>
              <w:jc w:val="left"/>
              <w:rPr>
                <w:rFonts w:ascii="Arial" w:hAnsi="Arial" w:cs="Arial"/>
                <w:szCs w:val="24"/>
                <w:lang w:val="en-GB" w:eastAsia="en-GB"/>
              </w:rPr>
            </w:pPr>
            <w:r w:rsidRPr="00241843">
              <w:rPr>
                <w:rFonts w:ascii="Arial" w:hAnsi="Arial" w:cs="Arial"/>
                <w:szCs w:val="24"/>
                <w:lang w:val="en-GB" w:eastAsia="en-GB"/>
              </w:rPr>
              <w:t> </w:t>
            </w:r>
          </w:p>
        </w:tc>
      </w:tr>
      <w:tr w:rsidR="0033457D" w:rsidRPr="0033457D" w14:paraId="5CB17FEF" w14:textId="77777777" w:rsidTr="00030358">
        <w:trPr>
          <w:trHeight w:val="630"/>
        </w:trPr>
        <w:tc>
          <w:tcPr>
            <w:tcW w:w="2967"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1B8AD23E" w14:textId="5789F688" w:rsidR="00AE2E44" w:rsidRPr="00E25153" w:rsidRDefault="00AE2E44" w:rsidP="00AE2E44">
            <w:pPr>
              <w:spacing w:after="0"/>
              <w:jc w:val="left"/>
              <w:rPr>
                <w:rFonts w:ascii="Arial" w:hAnsi="Arial" w:cs="Arial"/>
                <w:szCs w:val="24"/>
                <w:lang w:val="en-GB" w:eastAsia="en-GB"/>
              </w:rPr>
            </w:pPr>
            <w:r w:rsidRPr="00E25153">
              <w:rPr>
                <w:rFonts w:ascii="Arial" w:hAnsi="Arial" w:cs="Arial"/>
                <w:szCs w:val="24"/>
                <w:lang w:val="en-GB" w:eastAsia="en-GB"/>
              </w:rPr>
              <w:t>Disability access fund</w:t>
            </w:r>
          </w:p>
        </w:tc>
        <w:tc>
          <w:tcPr>
            <w:tcW w:w="1559" w:type="dxa"/>
            <w:tcBorders>
              <w:top w:val="nil"/>
              <w:left w:val="nil"/>
              <w:bottom w:val="single" w:sz="8" w:space="0" w:color="auto"/>
              <w:right w:val="single" w:sz="8" w:space="0" w:color="auto"/>
            </w:tcBorders>
            <w:shd w:val="clear" w:color="auto" w:fill="D9D9D9" w:themeFill="background1" w:themeFillShade="D9"/>
            <w:noWrap/>
            <w:vAlign w:val="center"/>
          </w:tcPr>
          <w:p w14:paraId="37B045E7" w14:textId="4F9D05D0" w:rsidR="00AE2E44" w:rsidRPr="00E25153" w:rsidRDefault="00E25153" w:rsidP="00AE2E44">
            <w:pPr>
              <w:spacing w:after="0"/>
              <w:jc w:val="right"/>
              <w:rPr>
                <w:rFonts w:ascii="Arial" w:hAnsi="Arial" w:cs="Arial"/>
                <w:szCs w:val="24"/>
                <w:lang w:val="en-GB" w:eastAsia="en-GB"/>
              </w:rPr>
            </w:pPr>
            <w:r w:rsidRPr="00E25153">
              <w:rPr>
                <w:rFonts w:ascii="Arial" w:hAnsi="Arial" w:cs="Arial"/>
                <w:szCs w:val="24"/>
                <w:lang w:val="en-GB" w:eastAsia="en-GB"/>
              </w:rPr>
              <w:t>934</w:t>
            </w:r>
          </w:p>
        </w:tc>
        <w:tc>
          <w:tcPr>
            <w:tcW w:w="5397" w:type="dxa"/>
            <w:tcBorders>
              <w:top w:val="nil"/>
              <w:left w:val="nil"/>
              <w:bottom w:val="single" w:sz="8" w:space="0" w:color="auto"/>
              <w:right w:val="single" w:sz="8" w:space="0" w:color="auto"/>
            </w:tcBorders>
            <w:shd w:val="clear" w:color="auto" w:fill="D9D9D9" w:themeFill="background1" w:themeFillShade="D9"/>
            <w:vAlign w:val="center"/>
          </w:tcPr>
          <w:p w14:paraId="00767D4C" w14:textId="77777777" w:rsidR="00AE2E44" w:rsidRPr="0033457D" w:rsidRDefault="00AE2E44" w:rsidP="00AE2E44">
            <w:pPr>
              <w:spacing w:after="0"/>
              <w:jc w:val="left"/>
              <w:rPr>
                <w:rFonts w:ascii="Arial" w:hAnsi="Arial" w:cs="Arial"/>
                <w:color w:val="FF0000"/>
                <w:szCs w:val="24"/>
                <w:lang w:val="en-GB" w:eastAsia="en-GB"/>
              </w:rPr>
            </w:pPr>
          </w:p>
        </w:tc>
      </w:tr>
      <w:tr w:rsidR="0033457D" w:rsidRPr="0033457D" w14:paraId="6AB33D91" w14:textId="77777777" w:rsidTr="00030358">
        <w:trPr>
          <w:trHeight w:val="630"/>
        </w:trPr>
        <w:tc>
          <w:tcPr>
            <w:tcW w:w="2967"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183A7AAC" w14:textId="03AFE503" w:rsidR="00AE2E44" w:rsidRPr="00E25153" w:rsidRDefault="00AE2E44" w:rsidP="00AE2E44">
            <w:pPr>
              <w:spacing w:after="0"/>
              <w:jc w:val="left"/>
              <w:rPr>
                <w:rFonts w:ascii="Arial" w:hAnsi="Arial" w:cs="Arial"/>
                <w:szCs w:val="24"/>
                <w:lang w:val="en-GB" w:eastAsia="en-GB"/>
              </w:rPr>
            </w:pPr>
            <w:r w:rsidRPr="00E25153">
              <w:rPr>
                <w:rFonts w:ascii="Arial" w:hAnsi="Arial" w:cs="Arial"/>
                <w:szCs w:val="24"/>
                <w:lang w:val="en-GB" w:eastAsia="en-GB"/>
              </w:rPr>
              <w:t>Early years pupil premium</w:t>
            </w:r>
          </w:p>
        </w:tc>
        <w:tc>
          <w:tcPr>
            <w:tcW w:w="1559" w:type="dxa"/>
            <w:tcBorders>
              <w:top w:val="nil"/>
              <w:left w:val="nil"/>
              <w:bottom w:val="single" w:sz="8" w:space="0" w:color="auto"/>
              <w:right w:val="single" w:sz="8" w:space="0" w:color="auto"/>
            </w:tcBorders>
            <w:shd w:val="clear" w:color="auto" w:fill="D9D9D9" w:themeFill="background1" w:themeFillShade="D9"/>
            <w:noWrap/>
            <w:vAlign w:val="center"/>
          </w:tcPr>
          <w:p w14:paraId="1680CB97" w14:textId="46A8C32B" w:rsidR="00AE2E44" w:rsidRPr="00E25153" w:rsidRDefault="00AE2E44" w:rsidP="00AE2E44">
            <w:pPr>
              <w:spacing w:after="0"/>
              <w:jc w:val="right"/>
              <w:rPr>
                <w:rFonts w:ascii="Arial" w:hAnsi="Arial" w:cs="Arial"/>
                <w:szCs w:val="24"/>
                <w:lang w:val="en-GB" w:eastAsia="en-GB"/>
              </w:rPr>
            </w:pPr>
            <w:r w:rsidRPr="00E25153">
              <w:rPr>
                <w:rFonts w:ascii="Arial" w:hAnsi="Arial" w:cs="Arial"/>
                <w:szCs w:val="24"/>
                <w:lang w:val="en-GB" w:eastAsia="en-GB"/>
              </w:rPr>
              <w:t>1,</w:t>
            </w:r>
            <w:r w:rsidR="00E25153" w:rsidRPr="00E25153">
              <w:rPr>
                <w:rFonts w:ascii="Arial" w:hAnsi="Arial" w:cs="Arial"/>
                <w:szCs w:val="24"/>
                <w:lang w:val="en-GB" w:eastAsia="en-GB"/>
              </w:rPr>
              <w:t>38</w:t>
            </w:r>
            <w:r w:rsidRPr="00E25153">
              <w:rPr>
                <w:rFonts w:ascii="Arial" w:hAnsi="Arial" w:cs="Arial"/>
                <w:szCs w:val="24"/>
                <w:lang w:val="en-GB" w:eastAsia="en-GB"/>
              </w:rPr>
              <w:t>4</w:t>
            </w:r>
          </w:p>
        </w:tc>
        <w:tc>
          <w:tcPr>
            <w:tcW w:w="5397" w:type="dxa"/>
            <w:tcBorders>
              <w:top w:val="nil"/>
              <w:left w:val="nil"/>
              <w:bottom w:val="single" w:sz="8" w:space="0" w:color="auto"/>
              <w:right w:val="single" w:sz="8" w:space="0" w:color="auto"/>
            </w:tcBorders>
            <w:shd w:val="clear" w:color="auto" w:fill="D9D9D9" w:themeFill="background1" w:themeFillShade="D9"/>
            <w:vAlign w:val="center"/>
          </w:tcPr>
          <w:p w14:paraId="660F0EAF" w14:textId="77777777" w:rsidR="00AE2E44" w:rsidRPr="0033457D" w:rsidRDefault="00AE2E44" w:rsidP="00AE2E44">
            <w:pPr>
              <w:spacing w:after="0"/>
              <w:jc w:val="left"/>
              <w:rPr>
                <w:rFonts w:ascii="Arial" w:hAnsi="Arial" w:cs="Arial"/>
                <w:color w:val="FF0000"/>
                <w:szCs w:val="24"/>
                <w:lang w:val="en-GB" w:eastAsia="en-GB"/>
              </w:rPr>
            </w:pPr>
          </w:p>
        </w:tc>
      </w:tr>
      <w:tr w:rsidR="0033457D" w:rsidRPr="0033457D" w14:paraId="2ACCF4C9" w14:textId="77777777" w:rsidTr="00FB3EF7">
        <w:trPr>
          <w:trHeight w:val="630"/>
        </w:trPr>
        <w:tc>
          <w:tcPr>
            <w:tcW w:w="2967" w:type="dxa"/>
            <w:tcBorders>
              <w:top w:val="nil"/>
              <w:left w:val="single" w:sz="8" w:space="0" w:color="auto"/>
              <w:bottom w:val="single" w:sz="8" w:space="0" w:color="auto"/>
              <w:right w:val="single" w:sz="8" w:space="0" w:color="auto"/>
            </w:tcBorders>
            <w:shd w:val="clear" w:color="000000" w:fill="D9D9D9"/>
            <w:vAlign w:val="center"/>
            <w:hideMark/>
          </w:tcPr>
          <w:p w14:paraId="24CF8585" w14:textId="77777777" w:rsidR="00A94BB5" w:rsidRPr="00E25153" w:rsidRDefault="00A94BB5" w:rsidP="00A94BB5">
            <w:pPr>
              <w:spacing w:after="0"/>
              <w:jc w:val="left"/>
              <w:rPr>
                <w:rFonts w:ascii="Arial" w:hAnsi="Arial" w:cs="Arial"/>
                <w:szCs w:val="24"/>
                <w:lang w:val="en-GB" w:eastAsia="en-GB"/>
              </w:rPr>
            </w:pPr>
            <w:r w:rsidRPr="00E25153">
              <w:rPr>
                <w:rFonts w:ascii="Arial" w:hAnsi="Arial" w:cs="Arial"/>
                <w:szCs w:val="24"/>
                <w:lang w:val="en-GB" w:eastAsia="en-GB"/>
              </w:rPr>
              <w:t>Maintained nursery schools funding</w:t>
            </w:r>
          </w:p>
        </w:tc>
        <w:tc>
          <w:tcPr>
            <w:tcW w:w="1559" w:type="dxa"/>
            <w:tcBorders>
              <w:top w:val="nil"/>
              <w:left w:val="nil"/>
              <w:bottom w:val="single" w:sz="8" w:space="0" w:color="auto"/>
              <w:right w:val="single" w:sz="8" w:space="0" w:color="auto"/>
            </w:tcBorders>
            <w:shd w:val="clear" w:color="000000" w:fill="D9D9D9"/>
            <w:vAlign w:val="center"/>
            <w:hideMark/>
          </w:tcPr>
          <w:p w14:paraId="4841FF74" w14:textId="5F924554" w:rsidR="00A94BB5" w:rsidRPr="00E25153" w:rsidRDefault="00B7289D" w:rsidP="00A94BB5">
            <w:pPr>
              <w:spacing w:after="0"/>
              <w:jc w:val="right"/>
              <w:rPr>
                <w:rFonts w:ascii="Arial" w:hAnsi="Arial" w:cs="Arial"/>
                <w:szCs w:val="24"/>
                <w:lang w:val="en-GB" w:eastAsia="en-GB"/>
              </w:rPr>
            </w:pPr>
            <w:r w:rsidRPr="00E25153">
              <w:rPr>
                <w:rFonts w:ascii="Arial" w:hAnsi="Arial" w:cs="Arial"/>
                <w:szCs w:val="24"/>
                <w:lang w:val="en-GB" w:eastAsia="en-GB"/>
              </w:rPr>
              <w:t>6</w:t>
            </w:r>
            <w:r w:rsidR="00E25153" w:rsidRPr="00E25153">
              <w:rPr>
                <w:rFonts w:ascii="Arial" w:hAnsi="Arial" w:cs="Arial"/>
                <w:szCs w:val="24"/>
                <w:lang w:val="en-GB" w:eastAsia="en-GB"/>
              </w:rPr>
              <w:t>7</w:t>
            </w:r>
            <w:r w:rsidRPr="00E25153">
              <w:rPr>
                <w:rFonts w:ascii="Arial" w:hAnsi="Arial" w:cs="Arial"/>
                <w:szCs w:val="24"/>
                <w:lang w:val="en-GB" w:eastAsia="en-GB"/>
              </w:rPr>
              <w:t>4</w:t>
            </w:r>
          </w:p>
        </w:tc>
        <w:tc>
          <w:tcPr>
            <w:tcW w:w="5397" w:type="dxa"/>
            <w:tcBorders>
              <w:top w:val="nil"/>
              <w:left w:val="nil"/>
              <w:bottom w:val="single" w:sz="8" w:space="0" w:color="auto"/>
              <w:right w:val="single" w:sz="8" w:space="0" w:color="auto"/>
            </w:tcBorders>
            <w:shd w:val="clear" w:color="000000" w:fill="D9D9D9"/>
            <w:vAlign w:val="center"/>
            <w:hideMark/>
          </w:tcPr>
          <w:p w14:paraId="26F1F190" w14:textId="77777777" w:rsidR="00A94BB5" w:rsidRPr="0033457D" w:rsidRDefault="00A94BB5" w:rsidP="00A94BB5">
            <w:pPr>
              <w:spacing w:after="0"/>
              <w:jc w:val="left"/>
              <w:rPr>
                <w:rFonts w:ascii="Arial" w:hAnsi="Arial" w:cs="Arial"/>
                <w:color w:val="FF0000"/>
                <w:szCs w:val="24"/>
                <w:lang w:val="en-GB" w:eastAsia="en-GB"/>
              </w:rPr>
            </w:pPr>
            <w:r w:rsidRPr="0019662D">
              <w:rPr>
                <w:rFonts w:ascii="Arial" w:hAnsi="Arial" w:cs="Arial"/>
                <w:szCs w:val="24"/>
                <w:lang w:val="en-GB" w:eastAsia="en-GB"/>
              </w:rPr>
              <w:t>Supplementary funding to protect funding at 2016/17 levels.</w:t>
            </w:r>
          </w:p>
        </w:tc>
      </w:tr>
      <w:tr w:rsidR="0033457D" w:rsidRPr="0033457D" w14:paraId="27C71A3A" w14:textId="77777777" w:rsidTr="00FB3EF7">
        <w:trPr>
          <w:trHeight w:val="630"/>
        </w:trPr>
        <w:tc>
          <w:tcPr>
            <w:tcW w:w="2967" w:type="dxa"/>
            <w:tcBorders>
              <w:top w:val="nil"/>
              <w:left w:val="single" w:sz="8" w:space="0" w:color="auto"/>
              <w:bottom w:val="single" w:sz="8" w:space="0" w:color="auto"/>
              <w:right w:val="single" w:sz="8" w:space="0" w:color="auto"/>
            </w:tcBorders>
            <w:shd w:val="clear" w:color="000000" w:fill="D9D9D9"/>
            <w:vAlign w:val="center"/>
            <w:hideMark/>
          </w:tcPr>
          <w:p w14:paraId="59151CB8" w14:textId="77777777" w:rsidR="00A94BB5" w:rsidRPr="002B5CF0" w:rsidRDefault="00A94BB5" w:rsidP="00A94BB5">
            <w:pPr>
              <w:spacing w:after="0"/>
              <w:jc w:val="left"/>
              <w:rPr>
                <w:rFonts w:ascii="Arial" w:hAnsi="Arial" w:cs="Arial"/>
                <w:szCs w:val="24"/>
                <w:lang w:val="en-GB" w:eastAsia="en-GB"/>
              </w:rPr>
            </w:pPr>
            <w:r w:rsidRPr="002B5CF0">
              <w:rPr>
                <w:rFonts w:ascii="Arial" w:hAnsi="Arial" w:cs="Arial"/>
                <w:szCs w:val="24"/>
                <w:lang w:val="en-GB" w:eastAsia="en-GB"/>
              </w:rPr>
              <w:t>Early years central expenditure</w:t>
            </w:r>
          </w:p>
        </w:tc>
        <w:tc>
          <w:tcPr>
            <w:tcW w:w="1559" w:type="dxa"/>
            <w:tcBorders>
              <w:top w:val="nil"/>
              <w:left w:val="nil"/>
              <w:bottom w:val="single" w:sz="8" w:space="0" w:color="auto"/>
              <w:right w:val="single" w:sz="8" w:space="0" w:color="auto"/>
            </w:tcBorders>
            <w:shd w:val="clear" w:color="000000" w:fill="D9D9D9"/>
            <w:noWrap/>
            <w:vAlign w:val="center"/>
            <w:hideMark/>
          </w:tcPr>
          <w:p w14:paraId="19FBADF7" w14:textId="0F3C3166" w:rsidR="00A94BB5" w:rsidRPr="002B5CF0" w:rsidRDefault="002B5CF0" w:rsidP="00A94BB5">
            <w:pPr>
              <w:spacing w:after="0"/>
              <w:jc w:val="right"/>
              <w:rPr>
                <w:rFonts w:ascii="Arial" w:hAnsi="Arial" w:cs="Arial"/>
                <w:szCs w:val="24"/>
                <w:lang w:val="en-GB" w:eastAsia="en-GB"/>
              </w:rPr>
            </w:pPr>
            <w:r w:rsidRPr="002B5CF0">
              <w:rPr>
                <w:rFonts w:ascii="Arial" w:hAnsi="Arial" w:cs="Arial"/>
                <w:szCs w:val="24"/>
                <w:lang w:val="en-GB" w:eastAsia="en-GB"/>
              </w:rPr>
              <w:t>6</w:t>
            </w:r>
            <w:r w:rsidR="00A94BB5" w:rsidRPr="002B5CF0">
              <w:rPr>
                <w:rFonts w:ascii="Arial" w:hAnsi="Arial" w:cs="Arial"/>
                <w:szCs w:val="24"/>
                <w:lang w:val="en-GB" w:eastAsia="en-GB"/>
              </w:rPr>
              <w:t>,</w:t>
            </w:r>
            <w:r w:rsidRPr="002B5CF0">
              <w:rPr>
                <w:rFonts w:ascii="Arial" w:hAnsi="Arial" w:cs="Arial"/>
                <w:szCs w:val="24"/>
                <w:lang w:val="en-GB" w:eastAsia="en-GB"/>
              </w:rPr>
              <w:t>459</w:t>
            </w:r>
          </w:p>
        </w:tc>
        <w:tc>
          <w:tcPr>
            <w:tcW w:w="5397" w:type="dxa"/>
            <w:tcBorders>
              <w:top w:val="nil"/>
              <w:left w:val="nil"/>
              <w:bottom w:val="single" w:sz="8" w:space="0" w:color="auto"/>
              <w:right w:val="single" w:sz="8" w:space="0" w:color="auto"/>
            </w:tcBorders>
            <w:shd w:val="clear" w:color="000000" w:fill="D9D9D9"/>
            <w:vAlign w:val="center"/>
            <w:hideMark/>
          </w:tcPr>
          <w:p w14:paraId="674D9E84" w14:textId="77777777" w:rsidR="00A94BB5" w:rsidRPr="0033457D" w:rsidRDefault="00A94BB5" w:rsidP="00A94BB5">
            <w:pPr>
              <w:spacing w:after="0"/>
              <w:jc w:val="left"/>
              <w:rPr>
                <w:rFonts w:ascii="Arial" w:hAnsi="Arial" w:cs="Arial"/>
                <w:color w:val="FF0000"/>
                <w:szCs w:val="24"/>
                <w:lang w:val="en-GB" w:eastAsia="en-GB"/>
              </w:rPr>
            </w:pPr>
            <w:r w:rsidRPr="0033457D">
              <w:rPr>
                <w:rFonts w:ascii="Arial" w:hAnsi="Arial" w:cs="Arial"/>
                <w:color w:val="FF0000"/>
                <w:szCs w:val="24"/>
                <w:lang w:val="en-GB" w:eastAsia="en-GB"/>
              </w:rPr>
              <w:t> </w:t>
            </w:r>
          </w:p>
        </w:tc>
      </w:tr>
      <w:tr w:rsidR="0033457D" w:rsidRPr="0033457D" w14:paraId="73634D33" w14:textId="77777777" w:rsidTr="00FB3EF7">
        <w:trPr>
          <w:trHeight w:val="320"/>
        </w:trPr>
        <w:tc>
          <w:tcPr>
            <w:tcW w:w="2967" w:type="dxa"/>
            <w:tcBorders>
              <w:top w:val="nil"/>
              <w:left w:val="single" w:sz="8" w:space="0" w:color="auto"/>
              <w:bottom w:val="single" w:sz="8" w:space="0" w:color="auto"/>
              <w:right w:val="single" w:sz="8" w:space="0" w:color="auto"/>
            </w:tcBorders>
            <w:shd w:val="clear" w:color="000000" w:fill="808080"/>
            <w:vAlign w:val="center"/>
            <w:hideMark/>
          </w:tcPr>
          <w:p w14:paraId="1C45E89B" w14:textId="77777777" w:rsidR="00A94BB5" w:rsidRPr="002B5CF0" w:rsidRDefault="00A94BB5" w:rsidP="00A94BB5">
            <w:pPr>
              <w:spacing w:after="0"/>
              <w:jc w:val="left"/>
              <w:rPr>
                <w:rFonts w:ascii="Arial" w:hAnsi="Arial" w:cs="Arial"/>
                <w:b/>
                <w:szCs w:val="24"/>
                <w:lang w:val="en-GB" w:eastAsia="en-GB"/>
              </w:rPr>
            </w:pPr>
            <w:r w:rsidRPr="002B5CF0">
              <w:rPr>
                <w:rFonts w:ascii="Arial" w:hAnsi="Arial" w:cs="Arial"/>
                <w:b/>
                <w:szCs w:val="24"/>
                <w:lang w:val="en-GB" w:eastAsia="en-GB"/>
              </w:rPr>
              <w:t>Early Years Block</w:t>
            </w:r>
          </w:p>
        </w:tc>
        <w:tc>
          <w:tcPr>
            <w:tcW w:w="1559" w:type="dxa"/>
            <w:tcBorders>
              <w:top w:val="nil"/>
              <w:left w:val="nil"/>
              <w:bottom w:val="single" w:sz="8" w:space="0" w:color="auto"/>
              <w:right w:val="single" w:sz="8" w:space="0" w:color="auto"/>
            </w:tcBorders>
            <w:shd w:val="clear" w:color="000000" w:fill="808080"/>
            <w:noWrap/>
            <w:vAlign w:val="center"/>
            <w:hideMark/>
          </w:tcPr>
          <w:p w14:paraId="40F94B5D" w14:textId="43189FE5" w:rsidR="00A94BB5" w:rsidRPr="002B5CF0" w:rsidRDefault="002B5CF0" w:rsidP="00A94BB5">
            <w:pPr>
              <w:spacing w:after="0"/>
              <w:jc w:val="right"/>
              <w:rPr>
                <w:rFonts w:ascii="Arial" w:hAnsi="Arial" w:cs="Arial"/>
                <w:b/>
                <w:szCs w:val="24"/>
                <w:lang w:val="en-GB" w:eastAsia="en-GB"/>
              </w:rPr>
            </w:pPr>
            <w:r w:rsidRPr="002B5CF0">
              <w:rPr>
                <w:rFonts w:ascii="Arial" w:hAnsi="Arial" w:cs="Arial"/>
                <w:b/>
                <w:bCs/>
                <w:szCs w:val="24"/>
                <w:lang w:val="en-GB" w:eastAsia="en-GB"/>
              </w:rPr>
              <w:t>219</w:t>
            </w:r>
            <w:r w:rsidR="00A94BB5" w:rsidRPr="002B5CF0">
              <w:rPr>
                <w:rFonts w:ascii="Arial" w:hAnsi="Arial" w:cs="Arial"/>
                <w:b/>
                <w:bCs/>
                <w:szCs w:val="24"/>
                <w:lang w:val="en-GB" w:eastAsia="en-GB"/>
              </w:rPr>
              <w:t>,</w:t>
            </w:r>
            <w:r w:rsidRPr="002B5CF0">
              <w:rPr>
                <w:rFonts w:ascii="Arial" w:hAnsi="Arial" w:cs="Arial"/>
                <w:b/>
                <w:bCs/>
                <w:szCs w:val="24"/>
                <w:lang w:val="en-GB" w:eastAsia="en-GB"/>
              </w:rPr>
              <w:t>185</w:t>
            </w:r>
          </w:p>
        </w:tc>
        <w:tc>
          <w:tcPr>
            <w:tcW w:w="5397" w:type="dxa"/>
            <w:tcBorders>
              <w:top w:val="nil"/>
              <w:left w:val="nil"/>
              <w:bottom w:val="single" w:sz="8" w:space="0" w:color="auto"/>
              <w:right w:val="single" w:sz="8" w:space="0" w:color="auto"/>
            </w:tcBorders>
            <w:shd w:val="clear" w:color="000000" w:fill="808080"/>
            <w:vAlign w:val="center"/>
            <w:hideMark/>
          </w:tcPr>
          <w:p w14:paraId="36CD0C72" w14:textId="77777777" w:rsidR="00A94BB5" w:rsidRPr="0033457D" w:rsidRDefault="00A94BB5" w:rsidP="00A94BB5">
            <w:pPr>
              <w:spacing w:after="0"/>
              <w:jc w:val="left"/>
              <w:rPr>
                <w:rFonts w:ascii="Arial" w:hAnsi="Arial" w:cs="Arial"/>
                <w:b/>
                <w:bCs/>
                <w:color w:val="FF0000"/>
                <w:szCs w:val="24"/>
                <w:lang w:val="en-GB" w:eastAsia="en-GB"/>
              </w:rPr>
            </w:pPr>
            <w:r w:rsidRPr="0033457D">
              <w:rPr>
                <w:rFonts w:ascii="Arial" w:hAnsi="Arial" w:cs="Arial"/>
                <w:b/>
                <w:bCs/>
                <w:color w:val="FF0000"/>
                <w:szCs w:val="24"/>
                <w:lang w:val="en-GB" w:eastAsia="en-GB"/>
              </w:rPr>
              <w:t> </w:t>
            </w:r>
          </w:p>
        </w:tc>
      </w:tr>
      <w:tr w:rsidR="0033457D" w:rsidRPr="0033457D" w14:paraId="14A1C55C" w14:textId="77777777" w:rsidTr="007B48CC">
        <w:trPr>
          <w:trHeight w:val="630"/>
        </w:trPr>
        <w:tc>
          <w:tcPr>
            <w:tcW w:w="2967" w:type="dxa"/>
            <w:tcBorders>
              <w:top w:val="nil"/>
              <w:left w:val="single" w:sz="8" w:space="0" w:color="auto"/>
              <w:bottom w:val="single" w:sz="8" w:space="0" w:color="auto"/>
              <w:right w:val="single" w:sz="8" w:space="0" w:color="auto"/>
            </w:tcBorders>
            <w:shd w:val="clear" w:color="000000" w:fill="D9D9D9"/>
            <w:vAlign w:val="center"/>
            <w:hideMark/>
          </w:tcPr>
          <w:p w14:paraId="43958AEC" w14:textId="77777777" w:rsidR="00A94BB5" w:rsidRPr="005742E9" w:rsidRDefault="00A94BB5" w:rsidP="00A94BB5">
            <w:pPr>
              <w:spacing w:after="0"/>
              <w:jc w:val="left"/>
              <w:rPr>
                <w:rFonts w:ascii="Arial" w:hAnsi="Arial" w:cs="Arial"/>
                <w:szCs w:val="24"/>
                <w:lang w:val="en-GB" w:eastAsia="en-GB"/>
              </w:rPr>
            </w:pPr>
            <w:r w:rsidRPr="005742E9">
              <w:rPr>
                <w:rFonts w:ascii="Arial" w:hAnsi="Arial" w:cs="Arial"/>
                <w:szCs w:val="24"/>
                <w:lang w:val="en-GB" w:eastAsia="en-GB"/>
              </w:rPr>
              <w:t>Mainstream schools budget shares</w:t>
            </w:r>
          </w:p>
        </w:tc>
        <w:tc>
          <w:tcPr>
            <w:tcW w:w="1559" w:type="dxa"/>
            <w:tcBorders>
              <w:top w:val="nil"/>
              <w:left w:val="nil"/>
              <w:bottom w:val="single" w:sz="8" w:space="0" w:color="auto"/>
              <w:right w:val="single" w:sz="8" w:space="0" w:color="auto"/>
            </w:tcBorders>
            <w:shd w:val="clear" w:color="000000" w:fill="D9D9D9"/>
            <w:noWrap/>
            <w:vAlign w:val="center"/>
            <w:hideMark/>
          </w:tcPr>
          <w:p w14:paraId="5AFF6111" w14:textId="5537BB9B" w:rsidR="00A94BB5" w:rsidRPr="005742E9" w:rsidRDefault="0048701C" w:rsidP="00A94BB5">
            <w:pPr>
              <w:spacing w:after="0"/>
              <w:jc w:val="right"/>
              <w:rPr>
                <w:rFonts w:ascii="Arial" w:hAnsi="Arial" w:cs="Arial"/>
                <w:szCs w:val="24"/>
                <w:lang w:val="en-GB" w:eastAsia="en-GB"/>
              </w:rPr>
            </w:pPr>
            <w:r w:rsidRPr="005742E9">
              <w:rPr>
                <w:rFonts w:ascii="Arial" w:hAnsi="Arial" w:cs="Arial"/>
                <w:szCs w:val="24"/>
                <w:lang w:val="en-GB" w:eastAsia="en-GB"/>
              </w:rPr>
              <w:t>7</w:t>
            </w:r>
            <w:r w:rsidR="005742E9" w:rsidRPr="005742E9">
              <w:rPr>
                <w:rFonts w:ascii="Arial" w:hAnsi="Arial" w:cs="Arial"/>
                <w:szCs w:val="24"/>
                <w:lang w:val="en-GB" w:eastAsia="en-GB"/>
              </w:rPr>
              <w:t>26</w:t>
            </w:r>
            <w:r w:rsidR="00A94BB5" w:rsidRPr="005742E9">
              <w:rPr>
                <w:rFonts w:ascii="Arial" w:hAnsi="Arial" w:cs="Arial"/>
                <w:szCs w:val="24"/>
                <w:lang w:val="en-GB" w:eastAsia="en-GB"/>
              </w:rPr>
              <w:t>,</w:t>
            </w:r>
            <w:r w:rsidR="005742E9" w:rsidRPr="005742E9">
              <w:rPr>
                <w:rFonts w:ascii="Arial" w:hAnsi="Arial" w:cs="Arial"/>
                <w:szCs w:val="24"/>
                <w:lang w:val="en-GB" w:eastAsia="en-GB"/>
              </w:rPr>
              <w:t>69</w:t>
            </w:r>
            <w:r w:rsidR="00DF1EFD">
              <w:rPr>
                <w:rFonts w:ascii="Arial" w:hAnsi="Arial" w:cs="Arial"/>
                <w:szCs w:val="24"/>
                <w:lang w:val="en-GB" w:eastAsia="en-GB"/>
              </w:rPr>
              <w:t>3</w:t>
            </w:r>
          </w:p>
        </w:tc>
        <w:tc>
          <w:tcPr>
            <w:tcW w:w="5397" w:type="dxa"/>
            <w:tcBorders>
              <w:top w:val="nil"/>
              <w:left w:val="nil"/>
              <w:bottom w:val="single" w:sz="8" w:space="0" w:color="auto"/>
              <w:right w:val="single" w:sz="8" w:space="0" w:color="auto"/>
            </w:tcBorders>
            <w:shd w:val="clear" w:color="auto" w:fill="D9D9D9" w:themeFill="background1" w:themeFillShade="D9"/>
            <w:vAlign w:val="center"/>
            <w:hideMark/>
          </w:tcPr>
          <w:p w14:paraId="123BA125" w14:textId="77777777" w:rsidR="00A94BB5" w:rsidRPr="007B48CC" w:rsidRDefault="00A94BB5" w:rsidP="00A94BB5">
            <w:pPr>
              <w:spacing w:after="0"/>
              <w:jc w:val="left"/>
              <w:rPr>
                <w:rFonts w:ascii="Arial" w:hAnsi="Arial" w:cs="Arial"/>
                <w:szCs w:val="24"/>
                <w:lang w:val="en-GB" w:eastAsia="en-GB"/>
              </w:rPr>
            </w:pPr>
            <w:r w:rsidRPr="000B25E7">
              <w:rPr>
                <w:rFonts w:ascii="Arial" w:hAnsi="Arial" w:cs="Arial"/>
                <w:szCs w:val="24"/>
                <w:lang w:val="en-GB" w:eastAsia="en-GB"/>
              </w:rPr>
              <w:t>Excludes funding for academies.</w:t>
            </w:r>
          </w:p>
        </w:tc>
      </w:tr>
      <w:tr w:rsidR="0033457D" w:rsidRPr="0033457D" w14:paraId="4904470D" w14:textId="77777777" w:rsidTr="007B48CC">
        <w:trPr>
          <w:trHeight w:val="1560"/>
        </w:trPr>
        <w:tc>
          <w:tcPr>
            <w:tcW w:w="2967" w:type="dxa"/>
            <w:tcBorders>
              <w:top w:val="nil"/>
              <w:left w:val="single" w:sz="8" w:space="0" w:color="auto"/>
              <w:bottom w:val="single" w:sz="8" w:space="0" w:color="auto"/>
              <w:right w:val="single" w:sz="8" w:space="0" w:color="auto"/>
            </w:tcBorders>
            <w:shd w:val="clear" w:color="000000" w:fill="D9D9D9"/>
            <w:vAlign w:val="center"/>
            <w:hideMark/>
          </w:tcPr>
          <w:p w14:paraId="1D1D27C0" w14:textId="77777777" w:rsidR="00A94BB5" w:rsidRPr="00492255" w:rsidRDefault="00A94BB5" w:rsidP="00A94BB5">
            <w:pPr>
              <w:spacing w:after="0"/>
              <w:jc w:val="left"/>
              <w:rPr>
                <w:rFonts w:ascii="Arial" w:hAnsi="Arial" w:cs="Arial"/>
                <w:szCs w:val="24"/>
                <w:lang w:val="en-GB" w:eastAsia="en-GB"/>
              </w:rPr>
            </w:pPr>
            <w:r w:rsidRPr="00492255">
              <w:rPr>
                <w:rFonts w:ascii="Arial" w:hAnsi="Arial" w:cs="Arial"/>
                <w:szCs w:val="24"/>
                <w:lang w:val="en-GB" w:eastAsia="en-GB"/>
              </w:rPr>
              <w:t>Central provision funded by maintained schools</w:t>
            </w:r>
          </w:p>
        </w:tc>
        <w:tc>
          <w:tcPr>
            <w:tcW w:w="1559" w:type="dxa"/>
            <w:tcBorders>
              <w:top w:val="nil"/>
              <w:left w:val="nil"/>
              <w:bottom w:val="single" w:sz="8" w:space="0" w:color="auto"/>
              <w:right w:val="single" w:sz="8" w:space="0" w:color="auto"/>
            </w:tcBorders>
            <w:shd w:val="clear" w:color="000000" w:fill="D9D9D9"/>
            <w:noWrap/>
            <w:vAlign w:val="center"/>
            <w:hideMark/>
          </w:tcPr>
          <w:p w14:paraId="028AB59D" w14:textId="0766B37F" w:rsidR="00A94BB5" w:rsidRPr="00492255" w:rsidRDefault="00E03325" w:rsidP="00A94BB5">
            <w:pPr>
              <w:spacing w:after="0"/>
              <w:jc w:val="right"/>
              <w:rPr>
                <w:rFonts w:ascii="Arial" w:hAnsi="Arial" w:cs="Arial"/>
                <w:szCs w:val="24"/>
                <w:lang w:val="en-GB" w:eastAsia="en-GB"/>
              </w:rPr>
            </w:pPr>
            <w:r w:rsidRPr="00492255">
              <w:rPr>
                <w:rFonts w:ascii="Arial" w:hAnsi="Arial" w:cs="Arial"/>
                <w:szCs w:val="24"/>
                <w:lang w:val="en-GB" w:eastAsia="en-GB"/>
              </w:rPr>
              <w:t>6</w:t>
            </w:r>
            <w:r w:rsidR="00A94BB5" w:rsidRPr="00492255">
              <w:rPr>
                <w:rFonts w:ascii="Arial" w:hAnsi="Arial" w:cs="Arial"/>
                <w:szCs w:val="24"/>
                <w:lang w:val="en-GB" w:eastAsia="en-GB"/>
              </w:rPr>
              <w:t>,</w:t>
            </w:r>
            <w:r w:rsidR="00D4476A" w:rsidRPr="00492255">
              <w:rPr>
                <w:rFonts w:ascii="Arial" w:hAnsi="Arial" w:cs="Arial"/>
                <w:szCs w:val="24"/>
                <w:lang w:val="en-GB" w:eastAsia="en-GB"/>
              </w:rPr>
              <w:t>5</w:t>
            </w:r>
            <w:r w:rsidR="005742E9" w:rsidRPr="00492255">
              <w:rPr>
                <w:rFonts w:ascii="Arial" w:hAnsi="Arial" w:cs="Arial"/>
                <w:szCs w:val="24"/>
                <w:lang w:val="en-GB" w:eastAsia="en-GB"/>
              </w:rPr>
              <w:t>6</w:t>
            </w:r>
            <w:r w:rsidR="0081712D">
              <w:rPr>
                <w:rFonts w:ascii="Arial" w:hAnsi="Arial" w:cs="Arial"/>
                <w:szCs w:val="24"/>
                <w:lang w:val="en-GB" w:eastAsia="en-GB"/>
              </w:rPr>
              <w:t>5</w:t>
            </w:r>
          </w:p>
        </w:tc>
        <w:tc>
          <w:tcPr>
            <w:tcW w:w="5397" w:type="dxa"/>
            <w:tcBorders>
              <w:top w:val="nil"/>
              <w:left w:val="nil"/>
              <w:bottom w:val="single" w:sz="8" w:space="0" w:color="auto"/>
              <w:right w:val="single" w:sz="8" w:space="0" w:color="auto"/>
            </w:tcBorders>
            <w:shd w:val="clear" w:color="auto" w:fill="D9D9D9" w:themeFill="background1" w:themeFillShade="D9"/>
            <w:vAlign w:val="center"/>
            <w:hideMark/>
          </w:tcPr>
          <w:p w14:paraId="1E65F8BE" w14:textId="77777777" w:rsidR="00A94BB5" w:rsidRPr="007B48CC" w:rsidRDefault="00A94BB5" w:rsidP="00A94BB5">
            <w:pPr>
              <w:spacing w:after="0"/>
              <w:jc w:val="left"/>
              <w:rPr>
                <w:rFonts w:ascii="Arial" w:hAnsi="Arial" w:cs="Arial"/>
                <w:szCs w:val="24"/>
                <w:lang w:val="en-GB" w:eastAsia="en-GB"/>
              </w:rPr>
            </w:pPr>
            <w:r w:rsidRPr="00741410">
              <w:rPr>
                <w:rFonts w:ascii="Arial" w:hAnsi="Arial" w:cs="Arial"/>
                <w:szCs w:val="24"/>
                <w:lang w:val="en-GB" w:eastAsia="en-GB"/>
              </w:rPr>
              <w:t>Includes premature retirement and redundancy, asset management, statutory and regulatory services, monitoring of national curriculum and central support services.</w:t>
            </w:r>
          </w:p>
        </w:tc>
      </w:tr>
      <w:tr w:rsidR="0033457D" w:rsidRPr="0033457D" w14:paraId="1A4083FF" w14:textId="77777777" w:rsidTr="00FB3EF7">
        <w:trPr>
          <w:trHeight w:val="320"/>
        </w:trPr>
        <w:tc>
          <w:tcPr>
            <w:tcW w:w="2967" w:type="dxa"/>
            <w:tcBorders>
              <w:top w:val="nil"/>
              <w:left w:val="single" w:sz="8" w:space="0" w:color="auto"/>
              <w:bottom w:val="single" w:sz="8" w:space="0" w:color="auto"/>
              <w:right w:val="single" w:sz="8" w:space="0" w:color="auto"/>
            </w:tcBorders>
            <w:shd w:val="clear" w:color="auto" w:fill="auto"/>
            <w:vAlign w:val="center"/>
            <w:hideMark/>
          </w:tcPr>
          <w:p w14:paraId="442686C7" w14:textId="77777777" w:rsidR="00A94BB5" w:rsidRPr="00492255" w:rsidRDefault="00A94BB5" w:rsidP="00A94BB5">
            <w:pPr>
              <w:spacing w:after="0"/>
              <w:jc w:val="left"/>
              <w:rPr>
                <w:rFonts w:ascii="Arial" w:hAnsi="Arial" w:cs="Arial"/>
                <w:szCs w:val="24"/>
                <w:lang w:val="en-GB" w:eastAsia="en-GB"/>
              </w:rPr>
            </w:pPr>
            <w:proofErr w:type="gramStart"/>
            <w:r w:rsidRPr="00492255">
              <w:rPr>
                <w:rFonts w:ascii="Arial" w:hAnsi="Arial" w:cs="Arial"/>
                <w:szCs w:val="24"/>
                <w:lang w:val="en-GB" w:eastAsia="en-GB"/>
              </w:rPr>
              <w:t>Schools</w:t>
            </w:r>
            <w:proofErr w:type="gramEnd"/>
            <w:r w:rsidRPr="00492255">
              <w:rPr>
                <w:rFonts w:ascii="Arial" w:hAnsi="Arial" w:cs="Arial"/>
                <w:szCs w:val="24"/>
                <w:lang w:val="en-GB" w:eastAsia="en-GB"/>
              </w:rPr>
              <w:t xml:space="preserve"> contingency</w:t>
            </w:r>
          </w:p>
        </w:tc>
        <w:tc>
          <w:tcPr>
            <w:tcW w:w="1559" w:type="dxa"/>
            <w:tcBorders>
              <w:top w:val="nil"/>
              <w:left w:val="nil"/>
              <w:bottom w:val="single" w:sz="8" w:space="0" w:color="auto"/>
              <w:right w:val="single" w:sz="8" w:space="0" w:color="auto"/>
            </w:tcBorders>
            <w:shd w:val="clear" w:color="auto" w:fill="auto"/>
            <w:noWrap/>
            <w:vAlign w:val="center"/>
            <w:hideMark/>
          </w:tcPr>
          <w:p w14:paraId="150D5DF5" w14:textId="0C7D3FCE" w:rsidR="00A94BB5" w:rsidRPr="00492255" w:rsidRDefault="00E03325" w:rsidP="00A94BB5">
            <w:pPr>
              <w:spacing w:after="0"/>
              <w:jc w:val="right"/>
              <w:rPr>
                <w:rFonts w:ascii="Arial" w:hAnsi="Arial" w:cs="Arial"/>
                <w:szCs w:val="24"/>
                <w:lang w:val="en-GB" w:eastAsia="en-GB"/>
              </w:rPr>
            </w:pPr>
            <w:r w:rsidRPr="00492255">
              <w:rPr>
                <w:rFonts w:ascii="Arial" w:hAnsi="Arial" w:cs="Arial"/>
                <w:szCs w:val="24"/>
                <w:lang w:val="en-GB" w:eastAsia="en-GB"/>
              </w:rPr>
              <w:t>29</w:t>
            </w:r>
            <w:r w:rsidR="00D214A3" w:rsidRPr="00492255">
              <w:rPr>
                <w:rFonts w:ascii="Arial" w:hAnsi="Arial" w:cs="Arial"/>
                <w:szCs w:val="24"/>
                <w:lang w:val="en-GB" w:eastAsia="en-GB"/>
              </w:rPr>
              <w:t>6</w:t>
            </w:r>
          </w:p>
        </w:tc>
        <w:tc>
          <w:tcPr>
            <w:tcW w:w="5397" w:type="dxa"/>
            <w:tcBorders>
              <w:top w:val="nil"/>
              <w:left w:val="nil"/>
              <w:bottom w:val="single" w:sz="8" w:space="0" w:color="auto"/>
              <w:right w:val="single" w:sz="8" w:space="0" w:color="auto"/>
            </w:tcBorders>
            <w:shd w:val="clear" w:color="auto" w:fill="auto"/>
            <w:vAlign w:val="center"/>
            <w:hideMark/>
          </w:tcPr>
          <w:p w14:paraId="3CDA356E" w14:textId="77777777" w:rsidR="00A94BB5" w:rsidRPr="0033457D" w:rsidRDefault="00A94BB5" w:rsidP="00A94BB5">
            <w:pPr>
              <w:spacing w:after="0"/>
              <w:jc w:val="left"/>
              <w:rPr>
                <w:rFonts w:ascii="Arial" w:hAnsi="Arial" w:cs="Arial"/>
                <w:color w:val="FF0000"/>
                <w:szCs w:val="24"/>
                <w:lang w:val="en-GB" w:eastAsia="en-GB"/>
              </w:rPr>
            </w:pPr>
            <w:r w:rsidRPr="0045648D">
              <w:rPr>
                <w:rFonts w:ascii="Arial" w:hAnsi="Arial" w:cs="Arial"/>
                <w:szCs w:val="24"/>
                <w:lang w:val="en-GB" w:eastAsia="en-GB"/>
              </w:rPr>
              <w:t>Funding de-delegated per pupil</w:t>
            </w:r>
          </w:p>
        </w:tc>
      </w:tr>
      <w:tr w:rsidR="0033457D" w:rsidRPr="0033457D" w14:paraId="0428BD72" w14:textId="77777777" w:rsidTr="00FB3EF7">
        <w:trPr>
          <w:trHeight w:val="940"/>
        </w:trPr>
        <w:tc>
          <w:tcPr>
            <w:tcW w:w="2967" w:type="dxa"/>
            <w:tcBorders>
              <w:top w:val="nil"/>
              <w:left w:val="single" w:sz="8" w:space="0" w:color="auto"/>
              <w:bottom w:val="single" w:sz="8" w:space="0" w:color="auto"/>
              <w:right w:val="single" w:sz="8" w:space="0" w:color="auto"/>
            </w:tcBorders>
            <w:shd w:val="clear" w:color="auto" w:fill="auto"/>
            <w:vAlign w:val="center"/>
            <w:hideMark/>
          </w:tcPr>
          <w:p w14:paraId="3814889B" w14:textId="77777777" w:rsidR="00A94BB5" w:rsidRPr="00492255" w:rsidRDefault="00A94BB5" w:rsidP="00A94BB5">
            <w:pPr>
              <w:spacing w:after="0"/>
              <w:jc w:val="left"/>
              <w:rPr>
                <w:rFonts w:ascii="Arial" w:hAnsi="Arial" w:cs="Arial"/>
                <w:szCs w:val="24"/>
                <w:lang w:val="en-GB" w:eastAsia="en-GB"/>
              </w:rPr>
            </w:pPr>
            <w:r w:rsidRPr="00492255">
              <w:rPr>
                <w:rFonts w:ascii="Arial" w:hAnsi="Arial" w:cs="Arial"/>
                <w:szCs w:val="24"/>
                <w:lang w:val="en-GB" w:eastAsia="en-GB"/>
              </w:rPr>
              <w:t>Licences and subscription</w:t>
            </w:r>
          </w:p>
        </w:tc>
        <w:tc>
          <w:tcPr>
            <w:tcW w:w="1559" w:type="dxa"/>
            <w:tcBorders>
              <w:top w:val="nil"/>
              <w:left w:val="nil"/>
              <w:bottom w:val="single" w:sz="8" w:space="0" w:color="auto"/>
              <w:right w:val="single" w:sz="8" w:space="0" w:color="auto"/>
            </w:tcBorders>
            <w:shd w:val="clear" w:color="auto" w:fill="auto"/>
            <w:noWrap/>
            <w:vAlign w:val="center"/>
            <w:hideMark/>
          </w:tcPr>
          <w:p w14:paraId="06C97A47" w14:textId="001E4D55" w:rsidR="00A94BB5" w:rsidRPr="00492255" w:rsidRDefault="00A94BB5" w:rsidP="00A94BB5">
            <w:pPr>
              <w:spacing w:after="0"/>
              <w:jc w:val="right"/>
              <w:rPr>
                <w:rFonts w:ascii="Arial" w:hAnsi="Arial" w:cs="Arial"/>
                <w:szCs w:val="24"/>
                <w:lang w:val="en-GB" w:eastAsia="en-GB"/>
              </w:rPr>
            </w:pPr>
            <w:r w:rsidRPr="00492255">
              <w:rPr>
                <w:rFonts w:ascii="Arial" w:hAnsi="Arial" w:cs="Arial"/>
                <w:szCs w:val="24"/>
                <w:lang w:val="en-GB" w:eastAsia="en-GB"/>
              </w:rPr>
              <w:t>18</w:t>
            </w:r>
            <w:r w:rsidR="00F3512A" w:rsidRPr="00492255">
              <w:rPr>
                <w:rFonts w:ascii="Arial" w:hAnsi="Arial" w:cs="Arial"/>
                <w:szCs w:val="24"/>
                <w:lang w:val="en-GB" w:eastAsia="en-GB"/>
              </w:rPr>
              <w:t>6</w:t>
            </w:r>
          </w:p>
        </w:tc>
        <w:tc>
          <w:tcPr>
            <w:tcW w:w="5397" w:type="dxa"/>
            <w:tcBorders>
              <w:top w:val="nil"/>
              <w:left w:val="nil"/>
              <w:bottom w:val="single" w:sz="8" w:space="0" w:color="auto"/>
              <w:right w:val="single" w:sz="8" w:space="0" w:color="auto"/>
            </w:tcBorders>
            <w:shd w:val="clear" w:color="auto" w:fill="auto"/>
            <w:vAlign w:val="center"/>
            <w:hideMark/>
          </w:tcPr>
          <w:p w14:paraId="7A64B2B5" w14:textId="77777777" w:rsidR="00A94BB5" w:rsidRPr="0033457D" w:rsidRDefault="00A94BB5" w:rsidP="00A94BB5">
            <w:pPr>
              <w:spacing w:after="0"/>
              <w:jc w:val="left"/>
              <w:rPr>
                <w:rFonts w:ascii="Arial" w:hAnsi="Arial" w:cs="Arial"/>
                <w:color w:val="FF0000"/>
                <w:szCs w:val="24"/>
                <w:lang w:val="en-GB" w:eastAsia="en-GB"/>
              </w:rPr>
            </w:pPr>
            <w:r w:rsidRPr="0045648D">
              <w:rPr>
                <w:rFonts w:ascii="Arial" w:hAnsi="Arial" w:cs="Arial"/>
                <w:szCs w:val="24"/>
                <w:lang w:val="en-GB" w:eastAsia="en-GB"/>
              </w:rPr>
              <w:t>Funding de-delegated per pupil for Fischer Family Trust subscription and headteacher conferences.</w:t>
            </w:r>
          </w:p>
        </w:tc>
      </w:tr>
      <w:tr w:rsidR="0033457D" w:rsidRPr="0033457D" w14:paraId="4D164418" w14:textId="77777777" w:rsidTr="00FB3EF7">
        <w:trPr>
          <w:trHeight w:val="1250"/>
        </w:trPr>
        <w:tc>
          <w:tcPr>
            <w:tcW w:w="2967" w:type="dxa"/>
            <w:tcBorders>
              <w:top w:val="nil"/>
              <w:left w:val="single" w:sz="8" w:space="0" w:color="auto"/>
              <w:bottom w:val="single" w:sz="8" w:space="0" w:color="auto"/>
              <w:right w:val="single" w:sz="8" w:space="0" w:color="auto"/>
            </w:tcBorders>
            <w:shd w:val="clear" w:color="auto" w:fill="auto"/>
            <w:vAlign w:val="center"/>
            <w:hideMark/>
          </w:tcPr>
          <w:p w14:paraId="29F88346" w14:textId="77777777" w:rsidR="00A94BB5" w:rsidRPr="00492255" w:rsidRDefault="00A94BB5" w:rsidP="00A94BB5">
            <w:pPr>
              <w:spacing w:after="0"/>
              <w:jc w:val="left"/>
              <w:rPr>
                <w:rFonts w:ascii="Arial" w:hAnsi="Arial" w:cs="Arial"/>
                <w:szCs w:val="24"/>
                <w:lang w:val="en-GB" w:eastAsia="en-GB"/>
              </w:rPr>
            </w:pPr>
            <w:r w:rsidRPr="00492255">
              <w:rPr>
                <w:rFonts w:ascii="Arial" w:hAnsi="Arial" w:cs="Arial"/>
                <w:szCs w:val="24"/>
                <w:lang w:val="en-GB" w:eastAsia="en-GB"/>
              </w:rPr>
              <w:t>Staff supply cover (not sickness)</w:t>
            </w:r>
          </w:p>
        </w:tc>
        <w:tc>
          <w:tcPr>
            <w:tcW w:w="1559" w:type="dxa"/>
            <w:tcBorders>
              <w:top w:val="nil"/>
              <w:left w:val="nil"/>
              <w:bottom w:val="single" w:sz="8" w:space="0" w:color="auto"/>
              <w:right w:val="single" w:sz="8" w:space="0" w:color="auto"/>
            </w:tcBorders>
            <w:shd w:val="clear" w:color="auto" w:fill="auto"/>
            <w:noWrap/>
            <w:vAlign w:val="center"/>
            <w:hideMark/>
          </w:tcPr>
          <w:p w14:paraId="3DD0EB7F" w14:textId="186FAB78" w:rsidR="00A94BB5" w:rsidRPr="00492255" w:rsidRDefault="00A94BB5" w:rsidP="00A94BB5">
            <w:pPr>
              <w:spacing w:after="0"/>
              <w:jc w:val="right"/>
              <w:rPr>
                <w:rFonts w:ascii="Arial" w:hAnsi="Arial" w:cs="Arial"/>
                <w:szCs w:val="24"/>
                <w:lang w:val="en-GB" w:eastAsia="en-GB"/>
              </w:rPr>
            </w:pPr>
            <w:r w:rsidRPr="00492255">
              <w:rPr>
                <w:rFonts w:ascii="Arial" w:hAnsi="Arial" w:cs="Arial"/>
                <w:szCs w:val="24"/>
                <w:lang w:val="en-GB" w:eastAsia="en-GB"/>
              </w:rPr>
              <w:t>6</w:t>
            </w:r>
            <w:r w:rsidR="00492255" w:rsidRPr="00492255">
              <w:rPr>
                <w:rFonts w:ascii="Arial" w:hAnsi="Arial" w:cs="Arial"/>
                <w:szCs w:val="24"/>
                <w:lang w:val="en-GB" w:eastAsia="en-GB"/>
              </w:rPr>
              <w:t>69</w:t>
            </w:r>
          </w:p>
        </w:tc>
        <w:tc>
          <w:tcPr>
            <w:tcW w:w="5397" w:type="dxa"/>
            <w:tcBorders>
              <w:top w:val="nil"/>
              <w:left w:val="nil"/>
              <w:bottom w:val="single" w:sz="8" w:space="0" w:color="auto"/>
              <w:right w:val="single" w:sz="8" w:space="0" w:color="auto"/>
            </w:tcBorders>
            <w:shd w:val="clear" w:color="auto" w:fill="auto"/>
            <w:vAlign w:val="center"/>
            <w:hideMark/>
          </w:tcPr>
          <w:p w14:paraId="12E74387" w14:textId="77777777" w:rsidR="00A94BB5" w:rsidRPr="0033457D" w:rsidRDefault="00A94BB5" w:rsidP="00A94BB5">
            <w:pPr>
              <w:spacing w:after="0"/>
              <w:jc w:val="left"/>
              <w:rPr>
                <w:rFonts w:ascii="Arial" w:hAnsi="Arial" w:cs="Arial"/>
                <w:color w:val="FF0000"/>
                <w:szCs w:val="24"/>
                <w:lang w:val="en-GB" w:eastAsia="en-GB"/>
              </w:rPr>
            </w:pPr>
            <w:r w:rsidRPr="0045648D">
              <w:rPr>
                <w:rFonts w:ascii="Arial" w:hAnsi="Arial" w:cs="Arial"/>
                <w:szCs w:val="24"/>
                <w:lang w:val="en-GB" w:eastAsia="en-GB"/>
              </w:rPr>
              <w:t>Funding de-delegated per pupil. Includes suspended staff, trade union duties, teacher liaison panel and public duties.</w:t>
            </w:r>
          </w:p>
        </w:tc>
      </w:tr>
      <w:tr w:rsidR="0033457D" w:rsidRPr="0033457D" w14:paraId="72AB9744" w14:textId="77777777" w:rsidTr="00FB3EF7">
        <w:trPr>
          <w:trHeight w:val="630"/>
        </w:trPr>
        <w:tc>
          <w:tcPr>
            <w:tcW w:w="2967" w:type="dxa"/>
            <w:tcBorders>
              <w:top w:val="nil"/>
              <w:left w:val="single" w:sz="8" w:space="0" w:color="auto"/>
              <w:bottom w:val="single" w:sz="8" w:space="0" w:color="auto"/>
              <w:right w:val="single" w:sz="8" w:space="0" w:color="auto"/>
            </w:tcBorders>
            <w:shd w:val="clear" w:color="auto" w:fill="auto"/>
            <w:vAlign w:val="center"/>
            <w:hideMark/>
          </w:tcPr>
          <w:p w14:paraId="6A3F3371" w14:textId="5E420982" w:rsidR="00A94BB5" w:rsidRPr="00492255" w:rsidRDefault="00A94BB5" w:rsidP="00A94BB5">
            <w:pPr>
              <w:spacing w:after="0"/>
              <w:jc w:val="left"/>
              <w:rPr>
                <w:rFonts w:ascii="Arial" w:hAnsi="Arial" w:cs="Arial"/>
                <w:szCs w:val="24"/>
                <w:lang w:val="en-GB" w:eastAsia="en-GB"/>
              </w:rPr>
            </w:pPr>
            <w:r w:rsidRPr="00492255">
              <w:rPr>
                <w:rFonts w:ascii="Arial" w:hAnsi="Arial" w:cs="Arial"/>
                <w:szCs w:val="24"/>
                <w:lang w:val="en-GB" w:eastAsia="en-GB"/>
              </w:rPr>
              <w:t xml:space="preserve">Ethnic minority and </w:t>
            </w:r>
            <w:r w:rsidR="00FC5CFA" w:rsidRPr="00492255">
              <w:rPr>
                <w:rFonts w:ascii="Arial" w:hAnsi="Arial" w:cs="Arial"/>
                <w:szCs w:val="24"/>
                <w:lang w:val="en-GB" w:eastAsia="en-GB"/>
              </w:rPr>
              <w:t>travellers’</w:t>
            </w:r>
            <w:r w:rsidRPr="00492255">
              <w:rPr>
                <w:rFonts w:ascii="Arial" w:hAnsi="Arial" w:cs="Arial"/>
                <w:szCs w:val="24"/>
                <w:lang w:val="en-GB" w:eastAsia="en-GB"/>
              </w:rPr>
              <w:t xml:space="preserve"> achievement</w:t>
            </w:r>
            <w:r w:rsidR="00E3395A">
              <w:rPr>
                <w:rFonts w:ascii="Arial" w:hAnsi="Arial" w:cs="Arial"/>
                <w:szCs w:val="24"/>
                <w:lang w:val="en-GB" w:eastAsia="en-GB"/>
              </w:rPr>
              <w:t xml:space="preserve"> service</w:t>
            </w:r>
          </w:p>
        </w:tc>
        <w:tc>
          <w:tcPr>
            <w:tcW w:w="1559" w:type="dxa"/>
            <w:tcBorders>
              <w:top w:val="nil"/>
              <w:left w:val="nil"/>
              <w:bottom w:val="single" w:sz="8" w:space="0" w:color="auto"/>
              <w:right w:val="single" w:sz="8" w:space="0" w:color="auto"/>
            </w:tcBorders>
            <w:shd w:val="clear" w:color="auto" w:fill="auto"/>
            <w:noWrap/>
            <w:vAlign w:val="center"/>
            <w:hideMark/>
          </w:tcPr>
          <w:p w14:paraId="15A57761" w14:textId="3B7DFB35" w:rsidR="00A94BB5" w:rsidRPr="00492255" w:rsidRDefault="00A94BB5" w:rsidP="00A94BB5">
            <w:pPr>
              <w:spacing w:after="0"/>
              <w:jc w:val="right"/>
              <w:rPr>
                <w:rFonts w:ascii="Arial" w:hAnsi="Arial" w:cs="Arial"/>
                <w:szCs w:val="24"/>
                <w:lang w:val="en-GB" w:eastAsia="en-GB"/>
              </w:rPr>
            </w:pPr>
            <w:r w:rsidRPr="00492255">
              <w:rPr>
                <w:rFonts w:ascii="Arial" w:hAnsi="Arial" w:cs="Arial"/>
                <w:szCs w:val="24"/>
                <w:lang w:val="en-GB" w:eastAsia="en-GB"/>
              </w:rPr>
              <w:t>1,</w:t>
            </w:r>
            <w:r w:rsidR="00AD5E92" w:rsidRPr="00492255">
              <w:rPr>
                <w:rFonts w:ascii="Arial" w:hAnsi="Arial" w:cs="Arial"/>
                <w:szCs w:val="24"/>
                <w:lang w:val="en-GB" w:eastAsia="en-GB"/>
              </w:rPr>
              <w:t>4</w:t>
            </w:r>
            <w:r w:rsidR="0052742D">
              <w:rPr>
                <w:rFonts w:ascii="Arial" w:hAnsi="Arial" w:cs="Arial"/>
                <w:szCs w:val="24"/>
                <w:lang w:val="en-GB" w:eastAsia="en-GB"/>
              </w:rPr>
              <w:t>57</w:t>
            </w:r>
          </w:p>
        </w:tc>
        <w:tc>
          <w:tcPr>
            <w:tcW w:w="5397" w:type="dxa"/>
            <w:tcBorders>
              <w:top w:val="nil"/>
              <w:left w:val="nil"/>
              <w:bottom w:val="single" w:sz="8" w:space="0" w:color="auto"/>
              <w:right w:val="single" w:sz="8" w:space="0" w:color="auto"/>
            </w:tcBorders>
            <w:shd w:val="clear" w:color="auto" w:fill="auto"/>
            <w:vAlign w:val="center"/>
            <w:hideMark/>
          </w:tcPr>
          <w:p w14:paraId="07E18B59" w14:textId="77777777" w:rsidR="00A94BB5" w:rsidRPr="0033457D" w:rsidRDefault="00A94BB5" w:rsidP="00A94BB5">
            <w:pPr>
              <w:spacing w:after="0"/>
              <w:jc w:val="left"/>
              <w:rPr>
                <w:rFonts w:ascii="Arial" w:hAnsi="Arial" w:cs="Arial"/>
                <w:color w:val="FF0000"/>
                <w:szCs w:val="24"/>
                <w:lang w:val="en-GB" w:eastAsia="en-GB"/>
              </w:rPr>
            </w:pPr>
            <w:r w:rsidRPr="000056B7">
              <w:rPr>
                <w:rFonts w:ascii="Arial" w:hAnsi="Arial" w:cs="Arial"/>
                <w:szCs w:val="24"/>
                <w:lang w:val="en-GB" w:eastAsia="en-GB"/>
              </w:rPr>
              <w:t>Funding de-delegated per pupil and EAL</w:t>
            </w:r>
          </w:p>
        </w:tc>
      </w:tr>
      <w:tr w:rsidR="0033457D" w:rsidRPr="0033457D" w14:paraId="195310CE" w14:textId="77777777" w:rsidTr="00FB3EF7">
        <w:trPr>
          <w:trHeight w:val="320"/>
        </w:trPr>
        <w:tc>
          <w:tcPr>
            <w:tcW w:w="2967" w:type="dxa"/>
            <w:tcBorders>
              <w:top w:val="nil"/>
              <w:left w:val="single" w:sz="8" w:space="0" w:color="auto"/>
              <w:bottom w:val="single" w:sz="8" w:space="0" w:color="auto"/>
              <w:right w:val="single" w:sz="8" w:space="0" w:color="auto"/>
            </w:tcBorders>
            <w:shd w:val="clear" w:color="000000" w:fill="D9D9D9"/>
            <w:vAlign w:val="center"/>
            <w:hideMark/>
          </w:tcPr>
          <w:p w14:paraId="3BD705E9" w14:textId="77777777" w:rsidR="00A94BB5" w:rsidRPr="00492255" w:rsidRDefault="00A94BB5" w:rsidP="00A94BB5">
            <w:pPr>
              <w:spacing w:after="0"/>
              <w:jc w:val="left"/>
              <w:rPr>
                <w:rFonts w:ascii="Arial" w:hAnsi="Arial" w:cs="Arial"/>
                <w:szCs w:val="24"/>
                <w:lang w:val="en-GB" w:eastAsia="en-GB"/>
              </w:rPr>
            </w:pPr>
            <w:r w:rsidRPr="00492255">
              <w:rPr>
                <w:rFonts w:ascii="Arial" w:hAnsi="Arial" w:cs="Arial"/>
                <w:szCs w:val="24"/>
                <w:lang w:val="en-GB" w:eastAsia="en-GB"/>
              </w:rPr>
              <w:t>De-delegation</w:t>
            </w:r>
          </w:p>
        </w:tc>
        <w:tc>
          <w:tcPr>
            <w:tcW w:w="1559" w:type="dxa"/>
            <w:tcBorders>
              <w:top w:val="nil"/>
              <w:left w:val="nil"/>
              <w:bottom w:val="single" w:sz="8" w:space="0" w:color="auto"/>
              <w:right w:val="single" w:sz="8" w:space="0" w:color="auto"/>
            </w:tcBorders>
            <w:shd w:val="clear" w:color="000000" w:fill="D9D9D9"/>
            <w:noWrap/>
            <w:vAlign w:val="center"/>
            <w:hideMark/>
          </w:tcPr>
          <w:p w14:paraId="430A9F60" w14:textId="4C20C85A" w:rsidR="00A94BB5" w:rsidRPr="00492255" w:rsidRDefault="00A94BB5" w:rsidP="00A94BB5">
            <w:pPr>
              <w:spacing w:after="0"/>
              <w:jc w:val="right"/>
              <w:rPr>
                <w:rFonts w:ascii="Arial" w:hAnsi="Arial" w:cs="Arial"/>
                <w:szCs w:val="24"/>
                <w:lang w:val="en-GB" w:eastAsia="en-GB"/>
              </w:rPr>
            </w:pPr>
            <w:r w:rsidRPr="00492255">
              <w:rPr>
                <w:rFonts w:ascii="Arial" w:hAnsi="Arial" w:cs="Arial"/>
                <w:szCs w:val="24"/>
                <w:lang w:val="en-GB" w:eastAsia="en-GB"/>
              </w:rPr>
              <w:t>2,</w:t>
            </w:r>
            <w:r w:rsidR="00492255" w:rsidRPr="00492255">
              <w:rPr>
                <w:rFonts w:ascii="Arial" w:hAnsi="Arial" w:cs="Arial"/>
                <w:szCs w:val="24"/>
                <w:lang w:val="en-GB" w:eastAsia="en-GB"/>
              </w:rPr>
              <w:t>6</w:t>
            </w:r>
            <w:r w:rsidR="00336BE9">
              <w:rPr>
                <w:rFonts w:ascii="Arial" w:hAnsi="Arial" w:cs="Arial"/>
                <w:szCs w:val="24"/>
                <w:lang w:val="en-GB" w:eastAsia="en-GB"/>
              </w:rPr>
              <w:t>08</w:t>
            </w:r>
          </w:p>
        </w:tc>
        <w:tc>
          <w:tcPr>
            <w:tcW w:w="5397" w:type="dxa"/>
            <w:tcBorders>
              <w:top w:val="nil"/>
              <w:left w:val="nil"/>
              <w:bottom w:val="single" w:sz="8" w:space="0" w:color="auto"/>
              <w:right w:val="single" w:sz="8" w:space="0" w:color="auto"/>
            </w:tcBorders>
            <w:shd w:val="clear" w:color="000000" w:fill="D9D9D9"/>
            <w:vAlign w:val="center"/>
            <w:hideMark/>
          </w:tcPr>
          <w:p w14:paraId="0990F6A7" w14:textId="77777777" w:rsidR="00A94BB5" w:rsidRPr="0033457D" w:rsidRDefault="00A94BB5" w:rsidP="00A94BB5">
            <w:pPr>
              <w:spacing w:after="0"/>
              <w:jc w:val="left"/>
              <w:rPr>
                <w:rFonts w:ascii="Arial" w:hAnsi="Arial" w:cs="Arial"/>
                <w:color w:val="FF0000"/>
                <w:szCs w:val="24"/>
                <w:lang w:val="en-GB" w:eastAsia="en-GB"/>
              </w:rPr>
            </w:pPr>
            <w:r w:rsidRPr="0033457D">
              <w:rPr>
                <w:rFonts w:ascii="Arial" w:hAnsi="Arial" w:cs="Arial"/>
                <w:color w:val="FF0000"/>
                <w:szCs w:val="24"/>
                <w:lang w:val="en-GB" w:eastAsia="en-GB"/>
              </w:rPr>
              <w:t> </w:t>
            </w:r>
          </w:p>
        </w:tc>
      </w:tr>
      <w:tr w:rsidR="0033457D" w:rsidRPr="0033457D" w14:paraId="416F75BE" w14:textId="77777777" w:rsidTr="00FB3EF7">
        <w:trPr>
          <w:trHeight w:val="853"/>
        </w:trPr>
        <w:tc>
          <w:tcPr>
            <w:tcW w:w="2967" w:type="dxa"/>
            <w:tcBorders>
              <w:top w:val="nil"/>
              <w:left w:val="single" w:sz="8" w:space="0" w:color="auto"/>
              <w:bottom w:val="single" w:sz="8" w:space="0" w:color="auto"/>
              <w:right w:val="single" w:sz="8" w:space="0" w:color="auto"/>
            </w:tcBorders>
            <w:shd w:val="clear" w:color="000000" w:fill="FFFFFF"/>
            <w:vAlign w:val="center"/>
            <w:hideMark/>
          </w:tcPr>
          <w:p w14:paraId="22B861CA" w14:textId="77777777" w:rsidR="00A94BB5" w:rsidRPr="00801700" w:rsidRDefault="00A94BB5" w:rsidP="00A94BB5">
            <w:pPr>
              <w:spacing w:after="0"/>
              <w:jc w:val="left"/>
              <w:rPr>
                <w:rFonts w:ascii="Arial" w:hAnsi="Arial" w:cs="Arial"/>
                <w:szCs w:val="24"/>
                <w:lang w:val="en-GB" w:eastAsia="en-GB"/>
              </w:rPr>
            </w:pPr>
            <w:r w:rsidRPr="00801700">
              <w:rPr>
                <w:rFonts w:ascii="Arial" w:hAnsi="Arial" w:cs="Arial"/>
                <w:szCs w:val="24"/>
                <w:lang w:val="en-GB" w:eastAsia="en-GB"/>
              </w:rPr>
              <w:t>Temporary classrooms</w:t>
            </w:r>
          </w:p>
        </w:tc>
        <w:tc>
          <w:tcPr>
            <w:tcW w:w="1559" w:type="dxa"/>
            <w:tcBorders>
              <w:top w:val="nil"/>
              <w:left w:val="nil"/>
              <w:bottom w:val="single" w:sz="8" w:space="0" w:color="auto"/>
              <w:right w:val="single" w:sz="8" w:space="0" w:color="auto"/>
            </w:tcBorders>
            <w:shd w:val="clear" w:color="000000" w:fill="FFFFFF"/>
            <w:noWrap/>
            <w:vAlign w:val="center"/>
            <w:hideMark/>
          </w:tcPr>
          <w:p w14:paraId="168C49A4" w14:textId="77777777" w:rsidR="00A94BB5" w:rsidRPr="00801700" w:rsidRDefault="00A94BB5" w:rsidP="00A94BB5">
            <w:pPr>
              <w:spacing w:after="0"/>
              <w:jc w:val="right"/>
              <w:rPr>
                <w:rFonts w:ascii="Arial" w:hAnsi="Arial" w:cs="Arial"/>
                <w:szCs w:val="24"/>
                <w:lang w:val="en-GB" w:eastAsia="en-GB"/>
              </w:rPr>
            </w:pPr>
            <w:r w:rsidRPr="00801700">
              <w:rPr>
                <w:rFonts w:ascii="Arial" w:hAnsi="Arial" w:cs="Arial"/>
                <w:szCs w:val="24"/>
                <w:lang w:val="en-GB" w:eastAsia="en-GB"/>
              </w:rPr>
              <w:t>1,100</w:t>
            </w:r>
          </w:p>
        </w:tc>
        <w:tc>
          <w:tcPr>
            <w:tcW w:w="5397"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EF1E874" w14:textId="77777777" w:rsidR="00A94BB5" w:rsidRPr="0033457D" w:rsidRDefault="00A94BB5" w:rsidP="00A94BB5">
            <w:pPr>
              <w:spacing w:after="0"/>
              <w:jc w:val="left"/>
              <w:rPr>
                <w:rFonts w:ascii="Arial" w:hAnsi="Arial" w:cs="Arial"/>
                <w:color w:val="FF0000"/>
                <w:szCs w:val="24"/>
                <w:lang w:val="en-GB" w:eastAsia="en-GB"/>
              </w:rPr>
            </w:pPr>
            <w:r w:rsidRPr="000056B7">
              <w:rPr>
                <w:rFonts w:ascii="Arial" w:hAnsi="Arial" w:cs="Arial"/>
                <w:szCs w:val="24"/>
                <w:lang w:val="en-GB" w:eastAsia="en-GB"/>
              </w:rPr>
              <w:t>Policies for funding agreed by Schools Forum.  Excludes growth funding recouped for academies.</w:t>
            </w:r>
          </w:p>
        </w:tc>
      </w:tr>
      <w:tr w:rsidR="0033457D" w:rsidRPr="0033457D" w14:paraId="03FC1362" w14:textId="77777777" w:rsidTr="00FB3EF7">
        <w:trPr>
          <w:trHeight w:val="320"/>
        </w:trPr>
        <w:tc>
          <w:tcPr>
            <w:tcW w:w="2967" w:type="dxa"/>
            <w:tcBorders>
              <w:top w:val="nil"/>
              <w:left w:val="single" w:sz="8" w:space="0" w:color="auto"/>
              <w:bottom w:val="single" w:sz="8" w:space="0" w:color="auto"/>
              <w:right w:val="single" w:sz="8" w:space="0" w:color="auto"/>
            </w:tcBorders>
            <w:shd w:val="clear" w:color="000000" w:fill="FFFFFF"/>
            <w:vAlign w:val="center"/>
            <w:hideMark/>
          </w:tcPr>
          <w:p w14:paraId="6C04DE6D" w14:textId="77777777" w:rsidR="00A94BB5" w:rsidRPr="00801700" w:rsidRDefault="00A94BB5" w:rsidP="00A94BB5">
            <w:pPr>
              <w:spacing w:after="0"/>
              <w:jc w:val="left"/>
              <w:rPr>
                <w:rFonts w:ascii="Arial" w:hAnsi="Arial" w:cs="Arial"/>
                <w:szCs w:val="24"/>
                <w:lang w:val="en-GB" w:eastAsia="en-GB"/>
              </w:rPr>
            </w:pPr>
            <w:r w:rsidRPr="00801700">
              <w:rPr>
                <w:rFonts w:ascii="Arial" w:hAnsi="Arial" w:cs="Arial"/>
                <w:szCs w:val="24"/>
                <w:lang w:val="en-GB" w:eastAsia="en-GB"/>
              </w:rPr>
              <w:t>Infant class size funding</w:t>
            </w:r>
          </w:p>
        </w:tc>
        <w:tc>
          <w:tcPr>
            <w:tcW w:w="1559" w:type="dxa"/>
            <w:tcBorders>
              <w:top w:val="nil"/>
              <w:left w:val="nil"/>
              <w:bottom w:val="single" w:sz="8" w:space="0" w:color="auto"/>
              <w:right w:val="single" w:sz="8" w:space="0" w:color="auto"/>
            </w:tcBorders>
            <w:shd w:val="clear" w:color="000000" w:fill="FFFFFF"/>
            <w:noWrap/>
            <w:vAlign w:val="center"/>
            <w:hideMark/>
          </w:tcPr>
          <w:p w14:paraId="11D5E4BA" w14:textId="77777777" w:rsidR="00A94BB5" w:rsidRPr="00801700" w:rsidRDefault="00A94BB5" w:rsidP="00A94BB5">
            <w:pPr>
              <w:spacing w:after="0"/>
              <w:jc w:val="right"/>
              <w:rPr>
                <w:rFonts w:ascii="Arial" w:hAnsi="Arial" w:cs="Arial"/>
                <w:szCs w:val="24"/>
                <w:lang w:val="en-GB" w:eastAsia="en-GB"/>
              </w:rPr>
            </w:pPr>
            <w:r w:rsidRPr="00801700">
              <w:rPr>
                <w:rFonts w:ascii="Arial" w:hAnsi="Arial" w:cs="Arial"/>
                <w:szCs w:val="24"/>
                <w:lang w:val="en-GB" w:eastAsia="en-GB"/>
              </w:rPr>
              <w:t>100</w:t>
            </w:r>
          </w:p>
        </w:tc>
        <w:tc>
          <w:tcPr>
            <w:tcW w:w="5397" w:type="dxa"/>
            <w:vMerge/>
            <w:tcBorders>
              <w:top w:val="nil"/>
              <w:left w:val="single" w:sz="8" w:space="0" w:color="auto"/>
              <w:bottom w:val="single" w:sz="8" w:space="0" w:color="000000"/>
              <w:right w:val="single" w:sz="8" w:space="0" w:color="auto"/>
            </w:tcBorders>
            <w:vAlign w:val="center"/>
            <w:hideMark/>
          </w:tcPr>
          <w:p w14:paraId="55B4610D" w14:textId="77777777" w:rsidR="00A94BB5" w:rsidRPr="0033457D" w:rsidRDefault="00A94BB5" w:rsidP="00A94BB5">
            <w:pPr>
              <w:spacing w:after="0"/>
              <w:jc w:val="left"/>
              <w:rPr>
                <w:rFonts w:ascii="Arial" w:hAnsi="Arial" w:cs="Arial"/>
                <w:color w:val="FF0000"/>
                <w:szCs w:val="24"/>
                <w:lang w:val="en-GB" w:eastAsia="en-GB"/>
              </w:rPr>
            </w:pPr>
          </w:p>
        </w:tc>
      </w:tr>
      <w:tr w:rsidR="0033457D" w:rsidRPr="0033457D" w14:paraId="273F429A" w14:textId="77777777" w:rsidTr="00FB3EF7">
        <w:trPr>
          <w:trHeight w:val="320"/>
        </w:trPr>
        <w:tc>
          <w:tcPr>
            <w:tcW w:w="2967" w:type="dxa"/>
            <w:tcBorders>
              <w:top w:val="nil"/>
              <w:left w:val="single" w:sz="8" w:space="0" w:color="auto"/>
              <w:bottom w:val="single" w:sz="8" w:space="0" w:color="auto"/>
              <w:right w:val="single" w:sz="8" w:space="0" w:color="auto"/>
            </w:tcBorders>
            <w:shd w:val="clear" w:color="000000" w:fill="FFFFFF"/>
            <w:vAlign w:val="center"/>
            <w:hideMark/>
          </w:tcPr>
          <w:p w14:paraId="78803A0A" w14:textId="77777777" w:rsidR="00A94BB5" w:rsidRPr="00801700" w:rsidRDefault="00A94BB5" w:rsidP="00A94BB5">
            <w:pPr>
              <w:spacing w:after="0"/>
              <w:jc w:val="left"/>
              <w:rPr>
                <w:rFonts w:ascii="Arial" w:hAnsi="Arial" w:cs="Arial"/>
                <w:szCs w:val="24"/>
                <w:lang w:val="en-GB" w:eastAsia="en-GB"/>
              </w:rPr>
            </w:pPr>
            <w:r w:rsidRPr="00801700">
              <w:rPr>
                <w:rFonts w:ascii="Arial" w:hAnsi="Arial" w:cs="Arial"/>
                <w:szCs w:val="24"/>
                <w:lang w:val="en-GB" w:eastAsia="en-GB"/>
              </w:rPr>
              <w:t>Growing schools</w:t>
            </w:r>
          </w:p>
        </w:tc>
        <w:tc>
          <w:tcPr>
            <w:tcW w:w="1559" w:type="dxa"/>
            <w:tcBorders>
              <w:top w:val="nil"/>
              <w:left w:val="nil"/>
              <w:bottom w:val="single" w:sz="8" w:space="0" w:color="auto"/>
              <w:right w:val="single" w:sz="8" w:space="0" w:color="auto"/>
            </w:tcBorders>
            <w:shd w:val="clear" w:color="000000" w:fill="FFFFFF"/>
            <w:noWrap/>
            <w:vAlign w:val="center"/>
            <w:hideMark/>
          </w:tcPr>
          <w:p w14:paraId="6A3F8E9C" w14:textId="4568B469" w:rsidR="00A94BB5" w:rsidRPr="00801700" w:rsidRDefault="00F71197" w:rsidP="00A94BB5">
            <w:pPr>
              <w:spacing w:after="0"/>
              <w:jc w:val="right"/>
              <w:rPr>
                <w:rFonts w:ascii="Arial" w:hAnsi="Arial" w:cs="Arial"/>
                <w:szCs w:val="24"/>
                <w:lang w:val="en-GB" w:eastAsia="en-GB"/>
              </w:rPr>
            </w:pPr>
            <w:r w:rsidRPr="00801700">
              <w:rPr>
                <w:rFonts w:ascii="Arial" w:hAnsi="Arial" w:cs="Arial"/>
                <w:szCs w:val="24"/>
                <w:lang w:val="en-GB" w:eastAsia="en-GB"/>
              </w:rPr>
              <w:t>9</w:t>
            </w:r>
            <w:r w:rsidR="0081712D">
              <w:rPr>
                <w:rFonts w:ascii="Arial" w:hAnsi="Arial" w:cs="Arial"/>
                <w:szCs w:val="24"/>
                <w:lang w:val="en-GB" w:eastAsia="en-GB"/>
              </w:rPr>
              <w:t>44</w:t>
            </w:r>
          </w:p>
        </w:tc>
        <w:tc>
          <w:tcPr>
            <w:tcW w:w="5397" w:type="dxa"/>
            <w:vMerge/>
            <w:tcBorders>
              <w:top w:val="nil"/>
              <w:left w:val="single" w:sz="8" w:space="0" w:color="auto"/>
              <w:bottom w:val="single" w:sz="8" w:space="0" w:color="000000"/>
              <w:right w:val="single" w:sz="8" w:space="0" w:color="auto"/>
            </w:tcBorders>
            <w:vAlign w:val="center"/>
            <w:hideMark/>
          </w:tcPr>
          <w:p w14:paraId="234EF5FA" w14:textId="77777777" w:rsidR="00A94BB5" w:rsidRPr="0033457D" w:rsidRDefault="00A94BB5" w:rsidP="00A94BB5">
            <w:pPr>
              <w:spacing w:after="0"/>
              <w:jc w:val="left"/>
              <w:rPr>
                <w:rFonts w:ascii="Arial" w:hAnsi="Arial" w:cs="Arial"/>
                <w:color w:val="FF0000"/>
                <w:szCs w:val="24"/>
                <w:lang w:val="en-GB" w:eastAsia="en-GB"/>
              </w:rPr>
            </w:pPr>
          </w:p>
        </w:tc>
      </w:tr>
      <w:tr w:rsidR="0033457D" w:rsidRPr="0033457D" w14:paraId="5237DF80" w14:textId="77777777" w:rsidTr="00FB3EF7">
        <w:trPr>
          <w:trHeight w:val="630"/>
        </w:trPr>
        <w:tc>
          <w:tcPr>
            <w:tcW w:w="2967" w:type="dxa"/>
            <w:tcBorders>
              <w:top w:val="nil"/>
              <w:left w:val="single" w:sz="8" w:space="0" w:color="auto"/>
              <w:bottom w:val="single" w:sz="8" w:space="0" w:color="auto"/>
              <w:right w:val="single" w:sz="8" w:space="0" w:color="auto"/>
            </w:tcBorders>
            <w:shd w:val="clear" w:color="000000" w:fill="FFFFFF"/>
            <w:vAlign w:val="center"/>
            <w:hideMark/>
          </w:tcPr>
          <w:p w14:paraId="40EACC10" w14:textId="77777777" w:rsidR="00A94BB5" w:rsidRPr="007B4BA7" w:rsidRDefault="00A94BB5" w:rsidP="00A94BB5">
            <w:pPr>
              <w:spacing w:after="0"/>
              <w:jc w:val="left"/>
              <w:rPr>
                <w:rFonts w:ascii="Arial" w:hAnsi="Arial" w:cs="Arial"/>
                <w:szCs w:val="24"/>
                <w:lang w:val="en-GB" w:eastAsia="en-GB"/>
              </w:rPr>
            </w:pPr>
            <w:r w:rsidRPr="007B4BA7">
              <w:rPr>
                <w:rFonts w:ascii="Arial" w:hAnsi="Arial" w:cs="Arial"/>
                <w:szCs w:val="24"/>
                <w:lang w:val="en-GB" w:eastAsia="en-GB"/>
              </w:rPr>
              <w:t>New, closing and re-organised schools</w:t>
            </w:r>
          </w:p>
        </w:tc>
        <w:tc>
          <w:tcPr>
            <w:tcW w:w="1559" w:type="dxa"/>
            <w:tcBorders>
              <w:top w:val="nil"/>
              <w:left w:val="nil"/>
              <w:bottom w:val="single" w:sz="8" w:space="0" w:color="auto"/>
              <w:right w:val="single" w:sz="8" w:space="0" w:color="auto"/>
            </w:tcBorders>
            <w:shd w:val="clear" w:color="000000" w:fill="FFFFFF"/>
            <w:noWrap/>
            <w:vAlign w:val="center"/>
            <w:hideMark/>
          </w:tcPr>
          <w:p w14:paraId="0AA34B8C" w14:textId="77777777" w:rsidR="00A94BB5" w:rsidRPr="007B4BA7" w:rsidRDefault="00A94BB5" w:rsidP="00A94BB5">
            <w:pPr>
              <w:spacing w:after="0"/>
              <w:jc w:val="right"/>
              <w:rPr>
                <w:rFonts w:ascii="Arial" w:hAnsi="Arial" w:cs="Arial"/>
                <w:szCs w:val="24"/>
                <w:lang w:val="en-GB" w:eastAsia="en-GB"/>
              </w:rPr>
            </w:pPr>
            <w:r w:rsidRPr="007B4BA7">
              <w:rPr>
                <w:rFonts w:ascii="Arial" w:hAnsi="Arial" w:cs="Arial"/>
                <w:szCs w:val="24"/>
                <w:lang w:val="en-GB" w:eastAsia="en-GB"/>
              </w:rPr>
              <w:t>106</w:t>
            </w:r>
          </w:p>
        </w:tc>
        <w:tc>
          <w:tcPr>
            <w:tcW w:w="5397" w:type="dxa"/>
            <w:vMerge/>
            <w:tcBorders>
              <w:top w:val="nil"/>
              <w:left w:val="single" w:sz="8" w:space="0" w:color="auto"/>
              <w:bottom w:val="single" w:sz="8" w:space="0" w:color="000000"/>
              <w:right w:val="single" w:sz="8" w:space="0" w:color="auto"/>
            </w:tcBorders>
            <w:vAlign w:val="center"/>
            <w:hideMark/>
          </w:tcPr>
          <w:p w14:paraId="3595E325" w14:textId="77777777" w:rsidR="00A94BB5" w:rsidRPr="0033457D" w:rsidRDefault="00A94BB5" w:rsidP="00A94BB5">
            <w:pPr>
              <w:spacing w:after="0"/>
              <w:jc w:val="left"/>
              <w:rPr>
                <w:rFonts w:ascii="Arial" w:hAnsi="Arial" w:cs="Arial"/>
                <w:color w:val="FF0000"/>
                <w:szCs w:val="24"/>
                <w:lang w:val="en-GB" w:eastAsia="en-GB"/>
              </w:rPr>
            </w:pPr>
          </w:p>
        </w:tc>
      </w:tr>
      <w:tr w:rsidR="0033457D" w:rsidRPr="0033457D" w14:paraId="43944A59" w14:textId="77777777" w:rsidTr="00FB3EF7">
        <w:trPr>
          <w:trHeight w:val="320"/>
        </w:trPr>
        <w:tc>
          <w:tcPr>
            <w:tcW w:w="2967" w:type="dxa"/>
            <w:tcBorders>
              <w:top w:val="nil"/>
              <w:left w:val="single" w:sz="8" w:space="0" w:color="auto"/>
              <w:bottom w:val="single" w:sz="8" w:space="0" w:color="auto"/>
              <w:right w:val="single" w:sz="8" w:space="0" w:color="auto"/>
            </w:tcBorders>
            <w:shd w:val="clear" w:color="auto" w:fill="auto"/>
            <w:vAlign w:val="center"/>
            <w:hideMark/>
          </w:tcPr>
          <w:p w14:paraId="44862244" w14:textId="77777777" w:rsidR="00A94BB5" w:rsidRPr="007B4BA7" w:rsidRDefault="00A94BB5" w:rsidP="00A94BB5">
            <w:pPr>
              <w:spacing w:after="0"/>
              <w:jc w:val="left"/>
              <w:rPr>
                <w:rFonts w:ascii="Arial" w:hAnsi="Arial" w:cs="Arial"/>
                <w:szCs w:val="24"/>
                <w:lang w:val="en-GB" w:eastAsia="en-GB"/>
              </w:rPr>
            </w:pPr>
            <w:r w:rsidRPr="007B4BA7">
              <w:rPr>
                <w:rFonts w:ascii="Arial" w:hAnsi="Arial" w:cs="Arial"/>
                <w:szCs w:val="24"/>
                <w:lang w:val="en-GB" w:eastAsia="en-GB"/>
              </w:rPr>
              <w:t>Falling rolls fund</w:t>
            </w:r>
          </w:p>
        </w:tc>
        <w:tc>
          <w:tcPr>
            <w:tcW w:w="1559" w:type="dxa"/>
            <w:tcBorders>
              <w:top w:val="nil"/>
              <w:left w:val="nil"/>
              <w:bottom w:val="single" w:sz="8" w:space="0" w:color="auto"/>
              <w:right w:val="single" w:sz="8" w:space="0" w:color="auto"/>
            </w:tcBorders>
            <w:shd w:val="clear" w:color="000000" w:fill="FFFFFF"/>
            <w:noWrap/>
            <w:vAlign w:val="center"/>
            <w:hideMark/>
          </w:tcPr>
          <w:p w14:paraId="68DD72B4" w14:textId="44E40A2B" w:rsidR="00A94BB5" w:rsidRPr="007B4BA7" w:rsidRDefault="004E5CAF" w:rsidP="00A94BB5">
            <w:pPr>
              <w:spacing w:after="0"/>
              <w:jc w:val="right"/>
              <w:rPr>
                <w:rFonts w:ascii="Arial" w:hAnsi="Arial" w:cs="Arial"/>
                <w:szCs w:val="24"/>
                <w:lang w:val="en-GB" w:eastAsia="en-GB"/>
              </w:rPr>
            </w:pPr>
            <w:r w:rsidRPr="007B4BA7">
              <w:rPr>
                <w:rFonts w:ascii="Arial" w:hAnsi="Arial" w:cs="Arial"/>
                <w:szCs w:val="24"/>
                <w:lang w:val="en-GB" w:eastAsia="en-GB"/>
              </w:rPr>
              <w:t>3</w:t>
            </w:r>
            <w:r w:rsidR="00801700" w:rsidRPr="007B4BA7">
              <w:rPr>
                <w:rFonts w:ascii="Arial" w:hAnsi="Arial" w:cs="Arial"/>
                <w:szCs w:val="24"/>
                <w:lang w:val="en-GB" w:eastAsia="en-GB"/>
              </w:rPr>
              <w:t>03</w:t>
            </w:r>
          </w:p>
        </w:tc>
        <w:tc>
          <w:tcPr>
            <w:tcW w:w="5397" w:type="dxa"/>
            <w:vMerge/>
            <w:tcBorders>
              <w:top w:val="nil"/>
              <w:left w:val="single" w:sz="8" w:space="0" w:color="auto"/>
              <w:bottom w:val="single" w:sz="8" w:space="0" w:color="000000"/>
              <w:right w:val="single" w:sz="8" w:space="0" w:color="auto"/>
            </w:tcBorders>
            <w:vAlign w:val="center"/>
            <w:hideMark/>
          </w:tcPr>
          <w:p w14:paraId="128641BA" w14:textId="77777777" w:rsidR="00A94BB5" w:rsidRPr="0033457D" w:rsidRDefault="00A94BB5" w:rsidP="00A94BB5">
            <w:pPr>
              <w:spacing w:after="0"/>
              <w:jc w:val="left"/>
              <w:rPr>
                <w:rFonts w:ascii="Arial" w:hAnsi="Arial" w:cs="Arial"/>
                <w:color w:val="FF0000"/>
                <w:szCs w:val="24"/>
                <w:lang w:val="en-GB" w:eastAsia="en-GB"/>
              </w:rPr>
            </w:pPr>
          </w:p>
        </w:tc>
      </w:tr>
      <w:tr w:rsidR="0033457D" w:rsidRPr="0033457D" w14:paraId="29ABA704" w14:textId="77777777" w:rsidTr="00FB3EF7">
        <w:trPr>
          <w:trHeight w:val="320"/>
        </w:trPr>
        <w:tc>
          <w:tcPr>
            <w:tcW w:w="2967" w:type="dxa"/>
            <w:tcBorders>
              <w:top w:val="nil"/>
              <w:left w:val="single" w:sz="8" w:space="0" w:color="auto"/>
              <w:bottom w:val="single" w:sz="8" w:space="0" w:color="auto"/>
              <w:right w:val="single" w:sz="8" w:space="0" w:color="auto"/>
            </w:tcBorders>
            <w:shd w:val="clear" w:color="000000" w:fill="D9D9D9"/>
            <w:vAlign w:val="center"/>
            <w:hideMark/>
          </w:tcPr>
          <w:p w14:paraId="2AF500A4" w14:textId="77777777" w:rsidR="00A94BB5" w:rsidRPr="007B4BA7" w:rsidRDefault="00A94BB5" w:rsidP="00A94BB5">
            <w:pPr>
              <w:spacing w:after="0"/>
              <w:jc w:val="left"/>
              <w:rPr>
                <w:rFonts w:ascii="Arial" w:hAnsi="Arial" w:cs="Arial"/>
                <w:szCs w:val="24"/>
                <w:lang w:val="en-GB" w:eastAsia="en-GB"/>
              </w:rPr>
            </w:pPr>
            <w:r w:rsidRPr="007B4BA7">
              <w:rPr>
                <w:rFonts w:ascii="Arial" w:hAnsi="Arial" w:cs="Arial"/>
                <w:szCs w:val="24"/>
                <w:lang w:val="en-GB" w:eastAsia="en-GB"/>
              </w:rPr>
              <w:t>Growth fund</w:t>
            </w:r>
          </w:p>
        </w:tc>
        <w:tc>
          <w:tcPr>
            <w:tcW w:w="1559" w:type="dxa"/>
            <w:tcBorders>
              <w:top w:val="nil"/>
              <w:left w:val="nil"/>
              <w:bottom w:val="single" w:sz="8" w:space="0" w:color="auto"/>
              <w:right w:val="single" w:sz="8" w:space="0" w:color="auto"/>
            </w:tcBorders>
            <w:shd w:val="clear" w:color="000000" w:fill="D9D9D9"/>
            <w:vAlign w:val="center"/>
            <w:hideMark/>
          </w:tcPr>
          <w:p w14:paraId="142651EC" w14:textId="2527647E" w:rsidR="00A94BB5" w:rsidRPr="007B4BA7" w:rsidRDefault="00801700" w:rsidP="00A94BB5">
            <w:pPr>
              <w:spacing w:after="0"/>
              <w:jc w:val="right"/>
              <w:rPr>
                <w:rFonts w:ascii="Arial" w:hAnsi="Arial" w:cs="Arial"/>
                <w:szCs w:val="24"/>
                <w:lang w:val="en-GB" w:eastAsia="en-GB"/>
              </w:rPr>
            </w:pPr>
            <w:r w:rsidRPr="007B4BA7">
              <w:rPr>
                <w:rFonts w:ascii="Arial" w:hAnsi="Arial" w:cs="Arial"/>
                <w:szCs w:val="24"/>
                <w:lang w:val="en-GB" w:eastAsia="en-GB"/>
              </w:rPr>
              <w:t>2</w:t>
            </w:r>
            <w:r w:rsidR="00A94BB5" w:rsidRPr="007B4BA7">
              <w:rPr>
                <w:rFonts w:ascii="Arial" w:hAnsi="Arial" w:cs="Arial"/>
                <w:szCs w:val="24"/>
                <w:lang w:val="en-GB" w:eastAsia="en-GB"/>
              </w:rPr>
              <w:t>,</w:t>
            </w:r>
            <w:r w:rsidR="000817D8">
              <w:rPr>
                <w:rFonts w:ascii="Arial" w:hAnsi="Arial" w:cs="Arial"/>
                <w:szCs w:val="24"/>
                <w:lang w:val="en-GB" w:eastAsia="en-GB"/>
              </w:rPr>
              <w:t>553</w:t>
            </w:r>
          </w:p>
        </w:tc>
        <w:tc>
          <w:tcPr>
            <w:tcW w:w="5397" w:type="dxa"/>
            <w:tcBorders>
              <w:top w:val="nil"/>
              <w:left w:val="nil"/>
              <w:bottom w:val="single" w:sz="8" w:space="0" w:color="auto"/>
              <w:right w:val="single" w:sz="8" w:space="0" w:color="auto"/>
            </w:tcBorders>
            <w:shd w:val="clear" w:color="000000" w:fill="D9D9D9"/>
            <w:vAlign w:val="center"/>
            <w:hideMark/>
          </w:tcPr>
          <w:p w14:paraId="1D218302" w14:textId="77777777" w:rsidR="00A94BB5" w:rsidRPr="0033457D" w:rsidRDefault="00A94BB5" w:rsidP="00A94BB5">
            <w:pPr>
              <w:spacing w:after="0"/>
              <w:jc w:val="left"/>
              <w:rPr>
                <w:rFonts w:ascii="Arial" w:hAnsi="Arial" w:cs="Arial"/>
                <w:color w:val="FF0000"/>
                <w:szCs w:val="24"/>
                <w:lang w:val="en-GB" w:eastAsia="en-GB"/>
              </w:rPr>
            </w:pPr>
            <w:r w:rsidRPr="0033457D">
              <w:rPr>
                <w:rFonts w:ascii="Arial" w:hAnsi="Arial" w:cs="Arial"/>
                <w:color w:val="FF0000"/>
                <w:szCs w:val="24"/>
                <w:lang w:val="en-GB" w:eastAsia="en-GB"/>
              </w:rPr>
              <w:t> </w:t>
            </w:r>
          </w:p>
        </w:tc>
      </w:tr>
      <w:tr w:rsidR="0033457D" w:rsidRPr="0033457D" w14:paraId="06522F16" w14:textId="77777777" w:rsidTr="00FB3EF7">
        <w:trPr>
          <w:trHeight w:val="320"/>
        </w:trPr>
        <w:tc>
          <w:tcPr>
            <w:tcW w:w="2967" w:type="dxa"/>
            <w:tcBorders>
              <w:top w:val="nil"/>
              <w:left w:val="single" w:sz="8" w:space="0" w:color="auto"/>
              <w:bottom w:val="single" w:sz="8" w:space="0" w:color="auto"/>
              <w:right w:val="single" w:sz="8" w:space="0" w:color="auto"/>
            </w:tcBorders>
            <w:shd w:val="clear" w:color="000000" w:fill="808080"/>
            <w:vAlign w:val="center"/>
            <w:hideMark/>
          </w:tcPr>
          <w:p w14:paraId="3932FC47" w14:textId="77777777" w:rsidR="00A94BB5" w:rsidRPr="007B4BA7" w:rsidRDefault="00A94BB5" w:rsidP="00A94BB5">
            <w:pPr>
              <w:spacing w:after="0"/>
              <w:jc w:val="left"/>
              <w:rPr>
                <w:rFonts w:ascii="Arial" w:hAnsi="Arial" w:cs="Arial"/>
                <w:b/>
                <w:szCs w:val="24"/>
                <w:lang w:val="en-GB" w:eastAsia="en-GB"/>
              </w:rPr>
            </w:pPr>
            <w:r w:rsidRPr="007B4BA7">
              <w:rPr>
                <w:rFonts w:ascii="Arial" w:hAnsi="Arial" w:cs="Arial"/>
                <w:b/>
                <w:szCs w:val="24"/>
                <w:lang w:val="en-GB" w:eastAsia="en-GB"/>
              </w:rPr>
              <w:t>Schools Block</w:t>
            </w:r>
          </w:p>
        </w:tc>
        <w:tc>
          <w:tcPr>
            <w:tcW w:w="1559" w:type="dxa"/>
            <w:tcBorders>
              <w:top w:val="nil"/>
              <w:left w:val="nil"/>
              <w:bottom w:val="single" w:sz="8" w:space="0" w:color="auto"/>
              <w:right w:val="single" w:sz="8" w:space="0" w:color="auto"/>
            </w:tcBorders>
            <w:shd w:val="clear" w:color="000000" w:fill="808080"/>
            <w:noWrap/>
            <w:vAlign w:val="center"/>
            <w:hideMark/>
          </w:tcPr>
          <w:p w14:paraId="7404EFA1" w14:textId="5D7214FC" w:rsidR="00A94BB5" w:rsidRPr="007B4BA7" w:rsidRDefault="00BC101A" w:rsidP="00A94BB5">
            <w:pPr>
              <w:spacing w:after="0"/>
              <w:jc w:val="right"/>
              <w:rPr>
                <w:rFonts w:ascii="Arial" w:hAnsi="Arial" w:cs="Arial"/>
                <w:b/>
                <w:szCs w:val="24"/>
                <w:lang w:val="en-GB" w:eastAsia="en-GB"/>
              </w:rPr>
            </w:pPr>
            <w:r w:rsidRPr="007B4BA7">
              <w:rPr>
                <w:rFonts w:ascii="Arial" w:hAnsi="Arial" w:cs="Arial"/>
                <w:b/>
                <w:bCs/>
                <w:szCs w:val="24"/>
                <w:lang w:val="en-GB" w:eastAsia="en-GB"/>
              </w:rPr>
              <w:t>7</w:t>
            </w:r>
            <w:r w:rsidR="007B4BA7" w:rsidRPr="007B4BA7">
              <w:rPr>
                <w:rFonts w:ascii="Arial" w:hAnsi="Arial" w:cs="Arial"/>
                <w:b/>
                <w:bCs/>
                <w:szCs w:val="24"/>
                <w:lang w:val="en-GB" w:eastAsia="en-GB"/>
              </w:rPr>
              <w:t>38</w:t>
            </w:r>
            <w:r w:rsidR="00A94BB5" w:rsidRPr="007B4BA7">
              <w:rPr>
                <w:rFonts w:ascii="Arial" w:hAnsi="Arial" w:cs="Arial"/>
                <w:b/>
                <w:bCs/>
                <w:szCs w:val="24"/>
                <w:lang w:val="en-GB" w:eastAsia="en-GB"/>
              </w:rPr>
              <w:t>,</w:t>
            </w:r>
            <w:r w:rsidR="007B4BA7" w:rsidRPr="007B4BA7">
              <w:rPr>
                <w:rFonts w:ascii="Arial" w:hAnsi="Arial" w:cs="Arial"/>
                <w:b/>
                <w:bCs/>
                <w:szCs w:val="24"/>
                <w:lang w:val="en-GB" w:eastAsia="en-GB"/>
              </w:rPr>
              <w:t>4</w:t>
            </w:r>
            <w:r w:rsidR="0081712D">
              <w:rPr>
                <w:rFonts w:ascii="Arial" w:hAnsi="Arial" w:cs="Arial"/>
                <w:b/>
                <w:bCs/>
                <w:szCs w:val="24"/>
                <w:lang w:val="en-GB" w:eastAsia="en-GB"/>
              </w:rPr>
              <w:t>19</w:t>
            </w:r>
          </w:p>
        </w:tc>
        <w:tc>
          <w:tcPr>
            <w:tcW w:w="5397" w:type="dxa"/>
            <w:tcBorders>
              <w:top w:val="nil"/>
              <w:left w:val="nil"/>
              <w:bottom w:val="single" w:sz="8" w:space="0" w:color="auto"/>
              <w:right w:val="single" w:sz="8" w:space="0" w:color="auto"/>
            </w:tcBorders>
            <w:shd w:val="clear" w:color="000000" w:fill="808080"/>
            <w:vAlign w:val="center"/>
            <w:hideMark/>
          </w:tcPr>
          <w:p w14:paraId="7C69EA65" w14:textId="77777777" w:rsidR="00A94BB5" w:rsidRPr="0033457D" w:rsidRDefault="00A94BB5" w:rsidP="00A94BB5">
            <w:pPr>
              <w:spacing w:after="0"/>
              <w:jc w:val="left"/>
              <w:rPr>
                <w:rFonts w:ascii="Arial" w:hAnsi="Arial" w:cs="Arial"/>
                <w:b/>
                <w:bCs/>
                <w:color w:val="FF0000"/>
                <w:szCs w:val="24"/>
                <w:lang w:val="en-GB" w:eastAsia="en-GB"/>
              </w:rPr>
            </w:pPr>
            <w:r w:rsidRPr="0033457D">
              <w:rPr>
                <w:rFonts w:ascii="Arial" w:hAnsi="Arial" w:cs="Arial"/>
                <w:b/>
                <w:bCs/>
                <w:color w:val="FF0000"/>
                <w:szCs w:val="24"/>
                <w:lang w:val="en-GB" w:eastAsia="en-GB"/>
              </w:rPr>
              <w:t> </w:t>
            </w:r>
          </w:p>
        </w:tc>
      </w:tr>
      <w:tr w:rsidR="0033457D" w:rsidRPr="0033457D" w14:paraId="661B4B0A" w14:textId="77777777" w:rsidTr="00FB3EF7">
        <w:trPr>
          <w:trHeight w:val="940"/>
        </w:trPr>
        <w:tc>
          <w:tcPr>
            <w:tcW w:w="2967" w:type="dxa"/>
            <w:tcBorders>
              <w:top w:val="nil"/>
              <w:left w:val="single" w:sz="8" w:space="0" w:color="auto"/>
              <w:bottom w:val="single" w:sz="8" w:space="0" w:color="auto"/>
              <w:right w:val="single" w:sz="8" w:space="0" w:color="auto"/>
            </w:tcBorders>
            <w:shd w:val="clear" w:color="auto" w:fill="auto"/>
            <w:vAlign w:val="center"/>
            <w:hideMark/>
          </w:tcPr>
          <w:p w14:paraId="19E5255A" w14:textId="77777777" w:rsidR="00A94BB5" w:rsidRPr="005C26D1" w:rsidRDefault="00A94BB5" w:rsidP="00A94BB5">
            <w:pPr>
              <w:spacing w:after="0"/>
              <w:jc w:val="left"/>
              <w:rPr>
                <w:rFonts w:ascii="Arial" w:hAnsi="Arial" w:cs="Arial"/>
                <w:szCs w:val="24"/>
                <w:lang w:val="en-GB" w:eastAsia="en-GB"/>
              </w:rPr>
            </w:pPr>
            <w:r w:rsidRPr="005C26D1">
              <w:rPr>
                <w:rFonts w:ascii="Arial" w:hAnsi="Arial" w:cs="Arial"/>
                <w:szCs w:val="24"/>
                <w:lang w:val="en-GB" w:eastAsia="en-GB"/>
              </w:rPr>
              <w:t>Place funding - special schools</w:t>
            </w:r>
          </w:p>
        </w:tc>
        <w:tc>
          <w:tcPr>
            <w:tcW w:w="1559" w:type="dxa"/>
            <w:tcBorders>
              <w:top w:val="nil"/>
              <w:left w:val="nil"/>
              <w:bottom w:val="single" w:sz="8" w:space="0" w:color="auto"/>
              <w:right w:val="single" w:sz="8" w:space="0" w:color="auto"/>
            </w:tcBorders>
            <w:shd w:val="clear" w:color="auto" w:fill="auto"/>
            <w:vAlign w:val="center"/>
            <w:hideMark/>
          </w:tcPr>
          <w:p w14:paraId="06D6B6AE" w14:textId="6A166B51" w:rsidR="00A94BB5" w:rsidRPr="005C26D1" w:rsidRDefault="00772DFE" w:rsidP="00A94BB5">
            <w:pPr>
              <w:spacing w:after="0"/>
              <w:jc w:val="right"/>
              <w:rPr>
                <w:rFonts w:ascii="Arial" w:hAnsi="Arial" w:cs="Arial"/>
                <w:szCs w:val="24"/>
                <w:lang w:val="en-GB" w:eastAsia="en-GB"/>
              </w:rPr>
            </w:pPr>
            <w:r>
              <w:rPr>
                <w:rFonts w:ascii="Arial" w:hAnsi="Arial" w:cs="Arial"/>
                <w:szCs w:val="24"/>
                <w:lang w:val="en-GB" w:eastAsia="en-GB"/>
              </w:rPr>
              <w:t>34,06</w:t>
            </w:r>
            <w:r w:rsidR="00237D8F">
              <w:rPr>
                <w:rFonts w:ascii="Arial" w:hAnsi="Arial" w:cs="Arial"/>
                <w:szCs w:val="24"/>
                <w:lang w:val="en-GB" w:eastAsia="en-GB"/>
              </w:rPr>
              <w:t>8</w:t>
            </w:r>
          </w:p>
        </w:tc>
        <w:tc>
          <w:tcPr>
            <w:tcW w:w="5397" w:type="dxa"/>
            <w:tcBorders>
              <w:top w:val="nil"/>
              <w:left w:val="nil"/>
              <w:bottom w:val="single" w:sz="8" w:space="0" w:color="auto"/>
              <w:right w:val="single" w:sz="8" w:space="0" w:color="auto"/>
            </w:tcBorders>
            <w:shd w:val="clear" w:color="auto" w:fill="auto"/>
            <w:vAlign w:val="center"/>
            <w:hideMark/>
          </w:tcPr>
          <w:p w14:paraId="762AE189" w14:textId="77777777" w:rsidR="00A94BB5" w:rsidRPr="005C26D1" w:rsidRDefault="00A94BB5" w:rsidP="00A94BB5">
            <w:pPr>
              <w:spacing w:after="0"/>
              <w:jc w:val="left"/>
              <w:rPr>
                <w:rFonts w:ascii="Arial" w:hAnsi="Arial" w:cs="Arial"/>
                <w:szCs w:val="24"/>
                <w:lang w:val="en-GB" w:eastAsia="en-GB"/>
              </w:rPr>
            </w:pPr>
            <w:r w:rsidRPr="005C26D1">
              <w:rPr>
                <w:rFonts w:ascii="Arial" w:hAnsi="Arial" w:cs="Arial"/>
                <w:szCs w:val="24"/>
                <w:lang w:val="en-GB" w:eastAsia="en-GB"/>
              </w:rPr>
              <w:t>Place funding at £10,000 per place, includes post-16 places in maintained special schools.</w:t>
            </w:r>
          </w:p>
        </w:tc>
      </w:tr>
      <w:tr w:rsidR="0033457D" w:rsidRPr="0033457D" w14:paraId="01DBF1E0" w14:textId="77777777" w:rsidTr="00E3395A">
        <w:trPr>
          <w:trHeight w:val="630"/>
        </w:trPr>
        <w:tc>
          <w:tcPr>
            <w:tcW w:w="2967" w:type="dxa"/>
            <w:tcBorders>
              <w:top w:val="nil"/>
              <w:left w:val="single" w:sz="8" w:space="0" w:color="auto"/>
              <w:bottom w:val="single" w:sz="4" w:space="0" w:color="auto"/>
              <w:right w:val="single" w:sz="8" w:space="0" w:color="auto"/>
            </w:tcBorders>
            <w:shd w:val="clear" w:color="auto" w:fill="auto"/>
            <w:vAlign w:val="center"/>
            <w:hideMark/>
          </w:tcPr>
          <w:p w14:paraId="401AABA7" w14:textId="77777777" w:rsidR="00A94BB5" w:rsidRPr="005C26D1" w:rsidRDefault="00A94BB5" w:rsidP="00A94BB5">
            <w:pPr>
              <w:spacing w:after="0"/>
              <w:jc w:val="left"/>
              <w:rPr>
                <w:rFonts w:ascii="Arial" w:hAnsi="Arial" w:cs="Arial"/>
                <w:szCs w:val="24"/>
                <w:lang w:val="en-GB" w:eastAsia="en-GB"/>
              </w:rPr>
            </w:pPr>
            <w:r w:rsidRPr="005C26D1">
              <w:rPr>
                <w:rFonts w:ascii="Arial" w:hAnsi="Arial" w:cs="Arial"/>
                <w:szCs w:val="24"/>
                <w:lang w:val="en-GB" w:eastAsia="en-GB"/>
              </w:rPr>
              <w:t>Place funding - resourced provisions</w:t>
            </w:r>
          </w:p>
        </w:tc>
        <w:tc>
          <w:tcPr>
            <w:tcW w:w="1559" w:type="dxa"/>
            <w:tcBorders>
              <w:top w:val="nil"/>
              <w:left w:val="nil"/>
              <w:bottom w:val="single" w:sz="4" w:space="0" w:color="auto"/>
              <w:right w:val="single" w:sz="8" w:space="0" w:color="auto"/>
            </w:tcBorders>
            <w:shd w:val="clear" w:color="auto" w:fill="auto"/>
            <w:vAlign w:val="center"/>
            <w:hideMark/>
          </w:tcPr>
          <w:p w14:paraId="5A380A85" w14:textId="076F1C70" w:rsidR="00A94BB5" w:rsidRPr="005C26D1" w:rsidRDefault="00C874DD" w:rsidP="00A94BB5">
            <w:pPr>
              <w:spacing w:after="0"/>
              <w:jc w:val="right"/>
              <w:rPr>
                <w:rFonts w:ascii="Arial" w:hAnsi="Arial" w:cs="Arial"/>
                <w:szCs w:val="24"/>
                <w:lang w:val="en-GB" w:eastAsia="en-GB"/>
              </w:rPr>
            </w:pPr>
            <w:r>
              <w:rPr>
                <w:rFonts w:ascii="Arial" w:hAnsi="Arial" w:cs="Arial"/>
                <w:szCs w:val="24"/>
                <w:lang w:val="en-GB" w:eastAsia="en-GB"/>
              </w:rPr>
              <w:t>3,909</w:t>
            </w:r>
          </w:p>
        </w:tc>
        <w:tc>
          <w:tcPr>
            <w:tcW w:w="5397" w:type="dxa"/>
            <w:tcBorders>
              <w:top w:val="nil"/>
              <w:left w:val="nil"/>
              <w:bottom w:val="single" w:sz="4" w:space="0" w:color="auto"/>
              <w:right w:val="single" w:sz="8" w:space="0" w:color="auto"/>
            </w:tcBorders>
            <w:shd w:val="clear" w:color="auto" w:fill="auto"/>
            <w:vAlign w:val="center"/>
            <w:hideMark/>
          </w:tcPr>
          <w:p w14:paraId="32F87CE3" w14:textId="77777777" w:rsidR="00A94BB5" w:rsidRPr="005C26D1" w:rsidRDefault="00A94BB5" w:rsidP="00A94BB5">
            <w:pPr>
              <w:spacing w:after="0"/>
              <w:jc w:val="left"/>
              <w:rPr>
                <w:rFonts w:ascii="Arial" w:hAnsi="Arial" w:cs="Arial"/>
                <w:szCs w:val="24"/>
                <w:lang w:val="en-GB" w:eastAsia="en-GB"/>
              </w:rPr>
            </w:pPr>
            <w:r w:rsidRPr="005C26D1">
              <w:rPr>
                <w:rFonts w:ascii="Arial" w:hAnsi="Arial" w:cs="Arial"/>
                <w:szCs w:val="24"/>
                <w:lang w:val="en-GB" w:eastAsia="en-GB"/>
              </w:rPr>
              <w:t>Place funding at £6,000 per place in maintained units.</w:t>
            </w:r>
          </w:p>
        </w:tc>
      </w:tr>
      <w:tr w:rsidR="0033457D" w:rsidRPr="0033457D" w14:paraId="01CE4AE5" w14:textId="77777777" w:rsidTr="00E3395A">
        <w:trPr>
          <w:trHeight w:val="1250"/>
        </w:trPr>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6DDAD6F2" w14:textId="77777777" w:rsidR="00A94BB5" w:rsidRPr="005C26D1" w:rsidRDefault="00A94BB5" w:rsidP="00A94BB5">
            <w:pPr>
              <w:spacing w:after="0"/>
              <w:jc w:val="left"/>
              <w:rPr>
                <w:rFonts w:ascii="Arial" w:hAnsi="Arial" w:cs="Arial"/>
                <w:szCs w:val="24"/>
                <w:lang w:val="en-GB" w:eastAsia="en-GB"/>
              </w:rPr>
            </w:pPr>
            <w:r w:rsidRPr="005C26D1">
              <w:rPr>
                <w:rFonts w:ascii="Arial" w:hAnsi="Arial" w:cs="Arial"/>
                <w:szCs w:val="24"/>
                <w:lang w:val="en-GB" w:eastAsia="en-GB"/>
              </w:rPr>
              <w:t>Place funding - education centres</w:t>
            </w:r>
          </w:p>
        </w:tc>
        <w:tc>
          <w:tcPr>
            <w:tcW w:w="1559" w:type="dxa"/>
            <w:tcBorders>
              <w:top w:val="single" w:sz="4" w:space="0" w:color="auto"/>
              <w:left w:val="nil"/>
              <w:bottom w:val="single" w:sz="4" w:space="0" w:color="auto"/>
              <w:right w:val="single" w:sz="8" w:space="0" w:color="auto"/>
            </w:tcBorders>
            <w:shd w:val="clear" w:color="auto" w:fill="auto"/>
            <w:vAlign w:val="center"/>
            <w:hideMark/>
          </w:tcPr>
          <w:p w14:paraId="7F74E112" w14:textId="185D31DB" w:rsidR="00A94BB5" w:rsidRPr="005C26D1" w:rsidRDefault="00FA4AE1" w:rsidP="00A94BB5">
            <w:pPr>
              <w:spacing w:after="0"/>
              <w:jc w:val="right"/>
              <w:rPr>
                <w:rFonts w:ascii="Arial" w:hAnsi="Arial" w:cs="Arial"/>
                <w:szCs w:val="24"/>
                <w:lang w:val="en-GB" w:eastAsia="en-GB"/>
              </w:rPr>
            </w:pPr>
            <w:r>
              <w:rPr>
                <w:rFonts w:ascii="Arial" w:hAnsi="Arial" w:cs="Arial"/>
                <w:szCs w:val="24"/>
                <w:lang w:val="en-GB" w:eastAsia="en-GB"/>
              </w:rPr>
              <w:t>6,145</w:t>
            </w:r>
          </w:p>
        </w:tc>
        <w:tc>
          <w:tcPr>
            <w:tcW w:w="5397" w:type="dxa"/>
            <w:tcBorders>
              <w:top w:val="single" w:sz="4" w:space="0" w:color="auto"/>
              <w:left w:val="nil"/>
              <w:bottom w:val="single" w:sz="4" w:space="0" w:color="auto"/>
              <w:right w:val="single" w:sz="8" w:space="0" w:color="auto"/>
            </w:tcBorders>
            <w:shd w:val="clear" w:color="auto" w:fill="auto"/>
            <w:vAlign w:val="center"/>
            <w:hideMark/>
          </w:tcPr>
          <w:p w14:paraId="41EB7AAE" w14:textId="0FF9BD65" w:rsidR="00A94BB5" w:rsidRPr="005C26D1" w:rsidRDefault="00A94BB5" w:rsidP="00A94BB5">
            <w:pPr>
              <w:spacing w:after="0"/>
              <w:jc w:val="left"/>
              <w:rPr>
                <w:rFonts w:ascii="Arial" w:hAnsi="Arial" w:cs="Arial"/>
                <w:szCs w:val="24"/>
                <w:lang w:val="en-GB" w:eastAsia="en-GB"/>
              </w:rPr>
            </w:pPr>
            <w:r w:rsidRPr="005C26D1">
              <w:rPr>
                <w:rFonts w:ascii="Arial" w:hAnsi="Arial" w:cs="Arial"/>
                <w:szCs w:val="24"/>
                <w:lang w:val="en-GB" w:eastAsia="en-GB"/>
              </w:rPr>
              <w:t>Place funding at £10,000 per behaviour place and £</w:t>
            </w:r>
            <w:r w:rsidR="00D76105">
              <w:rPr>
                <w:rFonts w:ascii="Arial" w:hAnsi="Arial" w:cs="Arial"/>
                <w:szCs w:val="24"/>
                <w:lang w:val="en-GB" w:eastAsia="en-GB"/>
              </w:rPr>
              <w:t>17,105</w:t>
            </w:r>
            <w:r w:rsidRPr="005C26D1">
              <w:rPr>
                <w:rFonts w:ascii="Arial" w:hAnsi="Arial" w:cs="Arial"/>
                <w:szCs w:val="24"/>
                <w:lang w:val="en-GB" w:eastAsia="en-GB"/>
              </w:rPr>
              <w:t xml:space="preserve"> per emotionally vulnerable / medically unwell place in maintained centres.</w:t>
            </w:r>
          </w:p>
        </w:tc>
      </w:tr>
      <w:tr w:rsidR="0033457D" w:rsidRPr="0033457D" w14:paraId="4FEB67E9" w14:textId="77777777" w:rsidTr="00711A89">
        <w:trPr>
          <w:trHeight w:val="630"/>
        </w:trPr>
        <w:tc>
          <w:tcPr>
            <w:tcW w:w="2967"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621BD2F6" w14:textId="77777777" w:rsidR="00A94BB5" w:rsidRPr="005C26D1" w:rsidRDefault="00A94BB5" w:rsidP="00A94BB5">
            <w:pPr>
              <w:spacing w:after="0"/>
              <w:jc w:val="left"/>
              <w:rPr>
                <w:rFonts w:ascii="Arial" w:hAnsi="Arial" w:cs="Arial"/>
                <w:szCs w:val="24"/>
                <w:lang w:val="en-GB" w:eastAsia="en-GB"/>
              </w:rPr>
            </w:pPr>
            <w:r w:rsidRPr="005C26D1">
              <w:rPr>
                <w:rFonts w:ascii="Arial" w:hAnsi="Arial" w:cs="Arial"/>
                <w:szCs w:val="24"/>
                <w:lang w:val="en-GB" w:eastAsia="en-GB"/>
              </w:rPr>
              <w:t>Place funding - maintained school sixth form</w:t>
            </w:r>
          </w:p>
        </w:tc>
        <w:tc>
          <w:tcPr>
            <w:tcW w:w="1559" w:type="dxa"/>
            <w:tcBorders>
              <w:top w:val="single" w:sz="4" w:space="0" w:color="auto"/>
              <w:left w:val="nil"/>
              <w:bottom w:val="single" w:sz="8" w:space="0" w:color="auto"/>
              <w:right w:val="single" w:sz="8" w:space="0" w:color="auto"/>
            </w:tcBorders>
            <w:shd w:val="clear" w:color="auto" w:fill="auto"/>
            <w:vAlign w:val="center"/>
            <w:hideMark/>
          </w:tcPr>
          <w:p w14:paraId="607901CE" w14:textId="77777777" w:rsidR="00A94BB5" w:rsidRPr="005C26D1" w:rsidRDefault="00A94BB5" w:rsidP="00A94BB5">
            <w:pPr>
              <w:spacing w:after="0"/>
              <w:jc w:val="right"/>
              <w:rPr>
                <w:rFonts w:ascii="Arial" w:hAnsi="Arial" w:cs="Arial"/>
                <w:szCs w:val="24"/>
                <w:lang w:val="en-GB" w:eastAsia="en-GB"/>
              </w:rPr>
            </w:pPr>
            <w:r w:rsidRPr="005C26D1">
              <w:rPr>
                <w:rFonts w:ascii="Arial" w:hAnsi="Arial" w:cs="Arial"/>
                <w:szCs w:val="24"/>
                <w:lang w:val="en-GB" w:eastAsia="en-GB"/>
              </w:rPr>
              <w:t xml:space="preserve">                                                         12 </w:t>
            </w:r>
          </w:p>
        </w:tc>
        <w:tc>
          <w:tcPr>
            <w:tcW w:w="5397" w:type="dxa"/>
            <w:tcBorders>
              <w:top w:val="single" w:sz="4" w:space="0" w:color="auto"/>
              <w:left w:val="nil"/>
              <w:bottom w:val="single" w:sz="8" w:space="0" w:color="auto"/>
              <w:right w:val="single" w:sz="8" w:space="0" w:color="auto"/>
            </w:tcBorders>
            <w:shd w:val="clear" w:color="auto" w:fill="auto"/>
            <w:vAlign w:val="center"/>
            <w:hideMark/>
          </w:tcPr>
          <w:p w14:paraId="1D4735E6" w14:textId="77777777" w:rsidR="00A94BB5" w:rsidRPr="005C26D1" w:rsidRDefault="00A94BB5" w:rsidP="00A94BB5">
            <w:pPr>
              <w:spacing w:after="0"/>
              <w:jc w:val="left"/>
              <w:rPr>
                <w:rFonts w:ascii="Arial" w:hAnsi="Arial" w:cs="Arial"/>
                <w:szCs w:val="24"/>
                <w:lang w:val="en-GB" w:eastAsia="en-GB"/>
              </w:rPr>
            </w:pPr>
            <w:r w:rsidRPr="005C26D1">
              <w:rPr>
                <w:rFonts w:ascii="Arial" w:hAnsi="Arial" w:cs="Arial"/>
                <w:szCs w:val="24"/>
                <w:lang w:val="en-GB" w:eastAsia="en-GB"/>
              </w:rPr>
              <w:t>£6,000 per place.</w:t>
            </w:r>
          </w:p>
        </w:tc>
      </w:tr>
      <w:tr w:rsidR="0033457D" w:rsidRPr="0033457D" w14:paraId="70707402" w14:textId="77777777" w:rsidTr="00FB3EF7">
        <w:trPr>
          <w:trHeight w:val="630"/>
        </w:trPr>
        <w:tc>
          <w:tcPr>
            <w:tcW w:w="2967" w:type="dxa"/>
            <w:tcBorders>
              <w:top w:val="nil"/>
              <w:left w:val="single" w:sz="8" w:space="0" w:color="auto"/>
              <w:bottom w:val="single" w:sz="8" w:space="0" w:color="auto"/>
              <w:right w:val="single" w:sz="8" w:space="0" w:color="auto"/>
            </w:tcBorders>
            <w:shd w:val="clear" w:color="auto" w:fill="auto"/>
            <w:vAlign w:val="center"/>
            <w:hideMark/>
          </w:tcPr>
          <w:p w14:paraId="14FE27B2" w14:textId="77777777" w:rsidR="00A94BB5" w:rsidRPr="00C62658" w:rsidRDefault="00A94BB5" w:rsidP="00A94BB5">
            <w:pPr>
              <w:spacing w:after="0"/>
              <w:jc w:val="left"/>
              <w:rPr>
                <w:rFonts w:ascii="Arial" w:hAnsi="Arial" w:cs="Arial"/>
                <w:szCs w:val="24"/>
                <w:lang w:val="en-GB" w:eastAsia="en-GB"/>
              </w:rPr>
            </w:pPr>
            <w:r w:rsidRPr="00C62658">
              <w:rPr>
                <w:rFonts w:ascii="Arial" w:hAnsi="Arial" w:cs="Arial"/>
                <w:szCs w:val="24"/>
                <w:lang w:val="en-GB" w:eastAsia="en-GB"/>
              </w:rPr>
              <w:t>High needs places in early years provision</w:t>
            </w:r>
          </w:p>
        </w:tc>
        <w:tc>
          <w:tcPr>
            <w:tcW w:w="1559" w:type="dxa"/>
            <w:tcBorders>
              <w:top w:val="nil"/>
              <w:left w:val="nil"/>
              <w:bottom w:val="single" w:sz="8" w:space="0" w:color="auto"/>
              <w:right w:val="single" w:sz="8" w:space="0" w:color="auto"/>
            </w:tcBorders>
            <w:shd w:val="clear" w:color="auto" w:fill="auto"/>
            <w:vAlign w:val="center"/>
            <w:hideMark/>
          </w:tcPr>
          <w:p w14:paraId="7545872A" w14:textId="679B914E" w:rsidR="00A94BB5" w:rsidRPr="00C62658" w:rsidRDefault="00A94BB5" w:rsidP="00A94BB5">
            <w:pPr>
              <w:spacing w:after="0"/>
              <w:jc w:val="right"/>
              <w:rPr>
                <w:rFonts w:ascii="Arial" w:hAnsi="Arial" w:cs="Arial"/>
                <w:szCs w:val="24"/>
                <w:lang w:val="en-GB" w:eastAsia="en-GB"/>
              </w:rPr>
            </w:pPr>
            <w:r w:rsidRPr="00C62658">
              <w:rPr>
                <w:rFonts w:ascii="Arial" w:hAnsi="Arial" w:cs="Arial"/>
                <w:szCs w:val="24"/>
                <w:lang w:val="en-GB" w:eastAsia="en-GB"/>
              </w:rPr>
              <w:t xml:space="preserve">                                                    1,</w:t>
            </w:r>
            <w:r w:rsidR="00C62658" w:rsidRPr="00C62658">
              <w:rPr>
                <w:rFonts w:ascii="Arial" w:hAnsi="Arial" w:cs="Arial"/>
                <w:szCs w:val="24"/>
                <w:lang w:val="en-GB" w:eastAsia="en-GB"/>
              </w:rPr>
              <w:t>906</w:t>
            </w:r>
            <w:r w:rsidRPr="00C62658">
              <w:rPr>
                <w:rFonts w:ascii="Arial" w:hAnsi="Arial" w:cs="Arial"/>
                <w:szCs w:val="24"/>
                <w:lang w:val="en-GB" w:eastAsia="en-GB"/>
              </w:rPr>
              <w:t xml:space="preserve"> </w:t>
            </w:r>
          </w:p>
        </w:tc>
        <w:tc>
          <w:tcPr>
            <w:tcW w:w="5397" w:type="dxa"/>
            <w:tcBorders>
              <w:top w:val="nil"/>
              <w:left w:val="nil"/>
              <w:bottom w:val="single" w:sz="8" w:space="0" w:color="auto"/>
              <w:right w:val="single" w:sz="8" w:space="0" w:color="auto"/>
            </w:tcBorders>
            <w:shd w:val="clear" w:color="auto" w:fill="auto"/>
            <w:vAlign w:val="center"/>
            <w:hideMark/>
          </w:tcPr>
          <w:p w14:paraId="075F5C9C" w14:textId="77777777" w:rsidR="00A94BB5" w:rsidRPr="00C62658" w:rsidRDefault="00A94BB5" w:rsidP="00A94BB5">
            <w:pPr>
              <w:spacing w:after="0"/>
              <w:jc w:val="left"/>
              <w:rPr>
                <w:rFonts w:ascii="Arial" w:hAnsi="Arial" w:cs="Arial"/>
                <w:szCs w:val="24"/>
                <w:lang w:val="en-GB" w:eastAsia="en-GB"/>
              </w:rPr>
            </w:pPr>
            <w:r w:rsidRPr="00C62658">
              <w:rPr>
                <w:rFonts w:ascii="Arial" w:hAnsi="Arial" w:cs="Arial"/>
                <w:szCs w:val="24"/>
                <w:lang w:val="en-GB" w:eastAsia="en-GB"/>
              </w:rPr>
              <w:t>Commissioned SEN places in static and peripatetic SEN hubs.</w:t>
            </w:r>
          </w:p>
        </w:tc>
      </w:tr>
      <w:tr w:rsidR="0033457D" w:rsidRPr="0033457D" w14:paraId="25B3EDF2" w14:textId="77777777" w:rsidTr="00FB3EF7">
        <w:trPr>
          <w:trHeight w:val="940"/>
        </w:trPr>
        <w:tc>
          <w:tcPr>
            <w:tcW w:w="2967" w:type="dxa"/>
            <w:tcBorders>
              <w:top w:val="nil"/>
              <w:left w:val="single" w:sz="8" w:space="0" w:color="auto"/>
              <w:bottom w:val="single" w:sz="8" w:space="0" w:color="auto"/>
              <w:right w:val="single" w:sz="8" w:space="0" w:color="auto"/>
            </w:tcBorders>
            <w:shd w:val="clear" w:color="000000" w:fill="D9D9D9"/>
            <w:vAlign w:val="center"/>
            <w:hideMark/>
          </w:tcPr>
          <w:p w14:paraId="251F586E" w14:textId="77777777" w:rsidR="00A94BB5" w:rsidRPr="0079332B" w:rsidRDefault="00A94BB5" w:rsidP="00A94BB5">
            <w:pPr>
              <w:spacing w:after="0"/>
              <w:jc w:val="left"/>
              <w:rPr>
                <w:rFonts w:ascii="Arial" w:hAnsi="Arial" w:cs="Arial"/>
                <w:szCs w:val="24"/>
                <w:lang w:val="en-GB" w:eastAsia="en-GB"/>
              </w:rPr>
            </w:pPr>
            <w:r w:rsidRPr="0079332B">
              <w:rPr>
                <w:rFonts w:ascii="Arial" w:hAnsi="Arial" w:cs="Arial"/>
                <w:szCs w:val="24"/>
                <w:lang w:val="en-GB" w:eastAsia="en-GB"/>
              </w:rPr>
              <w:t>High needs place funding</w:t>
            </w:r>
          </w:p>
        </w:tc>
        <w:tc>
          <w:tcPr>
            <w:tcW w:w="1559" w:type="dxa"/>
            <w:tcBorders>
              <w:top w:val="nil"/>
              <w:left w:val="nil"/>
              <w:bottom w:val="single" w:sz="8" w:space="0" w:color="auto"/>
              <w:right w:val="single" w:sz="8" w:space="0" w:color="auto"/>
            </w:tcBorders>
            <w:shd w:val="clear" w:color="000000" w:fill="D9D9D9"/>
            <w:vAlign w:val="center"/>
            <w:hideMark/>
          </w:tcPr>
          <w:p w14:paraId="3E90366C" w14:textId="682F6942" w:rsidR="00A94BB5" w:rsidRPr="0079332B" w:rsidRDefault="00A94BB5" w:rsidP="00A94BB5">
            <w:pPr>
              <w:spacing w:after="0"/>
              <w:jc w:val="right"/>
              <w:rPr>
                <w:rFonts w:ascii="Arial" w:hAnsi="Arial" w:cs="Arial"/>
                <w:szCs w:val="24"/>
                <w:lang w:val="en-GB" w:eastAsia="en-GB"/>
              </w:rPr>
            </w:pPr>
            <w:r w:rsidRPr="0079332B">
              <w:rPr>
                <w:rFonts w:ascii="Arial" w:hAnsi="Arial" w:cs="Arial"/>
                <w:szCs w:val="24"/>
                <w:lang w:val="en-GB" w:eastAsia="en-GB"/>
              </w:rPr>
              <w:t xml:space="preserve">                                                  </w:t>
            </w:r>
            <w:r w:rsidR="00C62658">
              <w:rPr>
                <w:rFonts w:ascii="Arial" w:hAnsi="Arial" w:cs="Arial"/>
                <w:szCs w:val="24"/>
                <w:lang w:val="en-GB" w:eastAsia="en-GB"/>
              </w:rPr>
              <w:t>46,0</w:t>
            </w:r>
            <w:r w:rsidR="00237D8F">
              <w:rPr>
                <w:rFonts w:ascii="Arial" w:hAnsi="Arial" w:cs="Arial"/>
                <w:szCs w:val="24"/>
                <w:lang w:val="en-GB" w:eastAsia="en-GB"/>
              </w:rPr>
              <w:t>40</w:t>
            </w:r>
            <w:r w:rsidRPr="0079332B">
              <w:rPr>
                <w:rFonts w:ascii="Arial" w:hAnsi="Arial" w:cs="Arial"/>
                <w:szCs w:val="24"/>
                <w:lang w:val="en-GB" w:eastAsia="en-GB"/>
              </w:rPr>
              <w:t xml:space="preserve"> </w:t>
            </w:r>
          </w:p>
        </w:tc>
        <w:tc>
          <w:tcPr>
            <w:tcW w:w="5397" w:type="dxa"/>
            <w:tcBorders>
              <w:top w:val="nil"/>
              <w:left w:val="nil"/>
              <w:bottom w:val="single" w:sz="8" w:space="0" w:color="auto"/>
              <w:right w:val="single" w:sz="8" w:space="0" w:color="auto"/>
            </w:tcBorders>
            <w:shd w:val="clear" w:color="000000" w:fill="D9D9D9"/>
            <w:vAlign w:val="center"/>
            <w:hideMark/>
          </w:tcPr>
          <w:p w14:paraId="3D84AB7F" w14:textId="77777777" w:rsidR="00A94BB5" w:rsidRPr="0079332B" w:rsidRDefault="00A94BB5" w:rsidP="00A94BB5">
            <w:pPr>
              <w:spacing w:after="0"/>
              <w:jc w:val="left"/>
              <w:rPr>
                <w:rFonts w:ascii="Arial" w:hAnsi="Arial" w:cs="Arial"/>
                <w:szCs w:val="24"/>
                <w:lang w:val="en-GB" w:eastAsia="en-GB"/>
              </w:rPr>
            </w:pPr>
            <w:r w:rsidRPr="0079332B">
              <w:rPr>
                <w:rFonts w:ascii="Arial" w:hAnsi="Arial" w:cs="Arial"/>
                <w:szCs w:val="24"/>
                <w:lang w:val="en-GB" w:eastAsia="en-GB"/>
              </w:rPr>
              <w:t>Excludes place funding for academies, FE colleges and independent learning providers.</w:t>
            </w:r>
          </w:p>
        </w:tc>
      </w:tr>
      <w:tr w:rsidR="0033457D" w:rsidRPr="0033457D" w14:paraId="4D581811" w14:textId="77777777" w:rsidTr="00FB3EF7">
        <w:trPr>
          <w:trHeight w:val="1560"/>
        </w:trPr>
        <w:tc>
          <w:tcPr>
            <w:tcW w:w="2967" w:type="dxa"/>
            <w:tcBorders>
              <w:top w:val="nil"/>
              <w:left w:val="single" w:sz="8" w:space="0" w:color="auto"/>
              <w:bottom w:val="single" w:sz="8" w:space="0" w:color="auto"/>
              <w:right w:val="single" w:sz="8" w:space="0" w:color="auto"/>
            </w:tcBorders>
            <w:shd w:val="clear" w:color="000000" w:fill="D9D9D9"/>
            <w:vAlign w:val="center"/>
            <w:hideMark/>
          </w:tcPr>
          <w:p w14:paraId="02BC2958" w14:textId="77777777" w:rsidR="00A94BB5" w:rsidRPr="0079332B" w:rsidRDefault="00A94BB5" w:rsidP="00A94BB5">
            <w:pPr>
              <w:spacing w:after="0"/>
              <w:jc w:val="left"/>
              <w:rPr>
                <w:rFonts w:ascii="Arial" w:hAnsi="Arial" w:cs="Arial"/>
                <w:szCs w:val="24"/>
                <w:lang w:val="en-GB" w:eastAsia="en-GB"/>
              </w:rPr>
            </w:pPr>
            <w:r w:rsidRPr="0079332B">
              <w:rPr>
                <w:rFonts w:ascii="Arial" w:hAnsi="Arial" w:cs="Arial"/>
                <w:szCs w:val="24"/>
                <w:lang w:val="en-GB" w:eastAsia="en-GB"/>
              </w:rPr>
              <w:t>Central provision funded by maintained schools</w:t>
            </w:r>
          </w:p>
        </w:tc>
        <w:tc>
          <w:tcPr>
            <w:tcW w:w="1559" w:type="dxa"/>
            <w:tcBorders>
              <w:top w:val="nil"/>
              <w:left w:val="nil"/>
              <w:bottom w:val="single" w:sz="8" w:space="0" w:color="auto"/>
              <w:right w:val="single" w:sz="8" w:space="0" w:color="auto"/>
            </w:tcBorders>
            <w:shd w:val="clear" w:color="000000" w:fill="D9D9D9"/>
            <w:vAlign w:val="center"/>
            <w:hideMark/>
          </w:tcPr>
          <w:p w14:paraId="078AD2F0" w14:textId="177535C5" w:rsidR="00A94BB5" w:rsidRPr="0079332B" w:rsidRDefault="00A94BB5" w:rsidP="00A94BB5">
            <w:pPr>
              <w:spacing w:after="0"/>
              <w:jc w:val="right"/>
              <w:rPr>
                <w:rFonts w:ascii="Arial" w:hAnsi="Arial" w:cs="Arial"/>
                <w:szCs w:val="24"/>
                <w:lang w:val="en-GB" w:eastAsia="en-GB"/>
              </w:rPr>
            </w:pPr>
            <w:r w:rsidRPr="0079332B">
              <w:rPr>
                <w:rFonts w:ascii="Arial" w:hAnsi="Arial" w:cs="Arial"/>
                <w:szCs w:val="24"/>
                <w:lang w:val="en-GB" w:eastAsia="en-GB"/>
              </w:rPr>
              <w:t xml:space="preserve">                                                       </w:t>
            </w:r>
            <w:r w:rsidR="0079332B" w:rsidRPr="0079332B">
              <w:rPr>
                <w:rFonts w:ascii="Arial" w:hAnsi="Arial" w:cs="Arial"/>
                <w:szCs w:val="24"/>
                <w:lang w:val="en-GB" w:eastAsia="en-GB"/>
              </w:rPr>
              <w:t>1</w:t>
            </w:r>
            <w:r w:rsidR="00220532">
              <w:rPr>
                <w:rFonts w:ascii="Arial" w:hAnsi="Arial" w:cs="Arial"/>
                <w:szCs w:val="24"/>
                <w:lang w:val="en-GB" w:eastAsia="en-GB"/>
              </w:rPr>
              <w:t>78</w:t>
            </w:r>
            <w:r w:rsidRPr="0079332B">
              <w:rPr>
                <w:rFonts w:ascii="Arial" w:hAnsi="Arial" w:cs="Arial"/>
                <w:szCs w:val="24"/>
                <w:lang w:val="en-GB" w:eastAsia="en-GB"/>
              </w:rPr>
              <w:t xml:space="preserve"> </w:t>
            </w:r>
          </w:p>
        </w:tc>
        <w:tc>
          <w:tcPr>
            <w:tcW w:w="5397" w:type="dxa"/>
            <w:tcBorders>
              <w:top w:val="nil"/>
              <w:left w:val="nil"/>
              <w:bottom w:val="single" w:sz="8" w:space="0" w:color="auto"/>
              <w:right w:val="single" w:sz="8" w:space="0" w:color="auto"/>
            </w:tcBorders>
            <w:shd w:val="clear" w:color="000000" w:fill="D9D9D9"/>
            <w:vAlign w:val="center"/>
            <w:hideMark/>
          </w:tcPr>
          <w:p w14:paraId="73CAFCFB" w14:textId="77777777" w:rsidR="00A94BB5" w:rsidRPr="0079332B" w:rsidRDefault="00A94BB5" w:rsidP="00A94BB5">
            <w:pPr>
              <w:spacing w:after="0"/>
              <w:jc w:val="left"/>
              <w:rPr>
                <w:rFonts w:ascii="Arial" w:hAnsi="Arial" w:cs="Arial"/>
                <w:szCs w:val="24"/>
                <w:lang w:val="en-GB" w:eastAsia="en-GB"/>
              </w:rPr>
            </w:pPr>
            <w:r w:rsidRPr="0079332B">
              <w:rPr>
                <w:rFonts w:ascii="Arial" w:hAnsi="Arial" w:cs="Arial"/>
                <w:szCs w:val="24"/>
                <w:lang w:val="en-GB" w:eastAsia="en-GB"/>
              </w:rPr>
              <w:t>Includes premature retirement and redundancy, asset management, statutory and regulatory services, monitoring of national curriculum and central support services.</w:t>
            </w:r>
          </w:p>
        </w:tc>
      </w:tr>
      <w:tr w:rsidR="0033457D" w:rsidRPr="0033457D" w14:paraId="1D3A7EB2" w14:textId="77777777" w:rsidTr="00FC5CFA">
        <w:trPr>
          <w:trHeight w:val="631"/>
        </w:trPr>
        <w:tc>
          <w:tcPr>
            <w:tcW w:w="2967" w:type="dxa"/>
            <w:tcBorders>
              <w:top w:val="nil"/>
              <w:left w:val="single" w:sz="8" w:space="0" w:color="auto"/>
              <w:bottom w:val="single" w:sz="8" w:space="0" w:color="auto"/>
              <w:right w:val="single" w:sz="8" w:space="0" w:color="auto"/>
            </w:tcBorders>
            <w:shd w:val="clear" w:color="auto" w:fill="auto"/>
            <w:vAlign w:val="center"/>
            <w:hideMark/>
          </w:tcPr>
          <w:p w14:paraId="47A02EA6" w14:textId="77777777" w:rsidR="00A94BB5" w:rsidRPr="00C041CD" w:rsidRDefault="00A94BB5" w:rsidP="00A94BB5">
            <w:pPr>
              <w:spacing w:after="0"/>
              <w:jc w:val="left"/>
              <w:rPr>
                <w:rFonts w:ascii="Arial" w:hAnsi="Arial" w:cs="Arial"/>
                <w:szCs w:val="24"/>
                <w:lang w:val="en-GB" w:eastAsia="en-GB"/>
              </w:rPr>
            </w:pPr>
            <w:r w:rsidRPr="00C041CD">
              <w:rPr>
                <w:rFonts w:ascii="Arial" w:hAnsi="Arial" w:cs="Arial"/>
                <w:szCs w:val="24"/>
                <w:lang w:val="en-GB" w:eastAsia="en-GB"/>
              </w:rPr>
              <w:t>Special school top-up</w:t>
            </w:r>
          </w:p>
        </w:tc>
        <w:tc>
          <w:tcPr>
            <w:tcW w:w="1559" w:type="dxa"/>
            <w:tcBorders>
              <w:top w:val="nil"/>
              <w:left w:val="nil"/>
              <w:bottom w:val="single" w:sz="8" w:space="0" w:color="auto"/>
              <w:right w:val="single" w:sz="8" w:space="0" w:color="auto"/>
            </w:tcBorders>
            <w:shd w:val="clear" w:color="auto" w:fill="auto"/>
            <w:noWrap/>
            <w:vAlign w:val="center"/>
            <w:hideMark/>
          </w:tcPr>
          <w:p w14:paraId="672A746A" w14:textId="6BB9DF0C" w:rsidR="00A94BB5" w:rsidRPr="00C041CD" w:rsidRDefault="00A94BB5" w:rsidP="00A94BB5">
            <w:pPr>
              <w:spacing w:after="0"/>
              <w:jc w:val="right"/>
              <w:rPr>
                <w:rFonts w:ascii="Arial" w:hAnsi="Arial" w:cs="Arial"/>
                <w:szCs w:val="24"/>
                <w:lang w:val="en-GB" w:eastAsia="en-GB"/>
              </w:rPr>
            </w:pPr>
            <w:r w:rsidRPr="00C041CD">
              <w:rPr>
                <w:rFonts w:ascii="Arial" w:hAnsi="Arial" w:cs="Arial"/>
                <w:szCs w:val="24"/>
                <w:lang w:val="en-GB" w:eastAsia="en-GB"/>
              </w:rPr>
              <w:t xml:space="preserve">                                                  </w:t>
            </w:r>
            <w:r w:rsidR="00C041CD" w:rsidRPr="00C041CD">
              <w:rPr>
                <w:rFonts w:ascii="Arial" w:hAnsi="Arial" w:cs="Arial"/>
                <w:szCs w:val="24"/>
                <w:lang w:val="en-GB" w:eastAsia="en-GB"/>
              </w:rPr>
              <w:t>45,328</w:t>
            </w:r>
            <w:r w:rsidRPr="00C041CD">
              <w:rPr>
                <w:rFonts w:ascii="Arial" w:hAnsi="Arial" w:cs="Arial"/>
                <w:szCs w:val="24"/>
                <w:lang w:val="en-GB" w:eastAsia="en-GB"/>
              </w:rPr>
              <w:t xml:space="preserve"> </w:t>
            </w:r>
          </w:p>
        </w:tc>
        <w:tc>
          <w:tcPr>
            <w:tcW w:w="5397"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14:paraId="62C0E5BD" w14:textId="77777777" w:rsidR="00A94BB5" w:rsidRPr="00C041CD" w:rsidRDefault="00A94BB5" w:rsidP="00A94BB5">
            <w:pPr>
              <w:spacing w:after="0"/>
              <w:jc w:val="left"/>
              <w:rPr>
                <w:rFonts w:ascii="Arial" w:hAnsi="Arial" w:cs="Arial"/>
                <w:szCs w:val="24"/>
                <w:lang w:val="en-GB" w:eastAsia="en-GB"/>
              </w:rPr>
            </w:pPr>
            <w:r w:rsidRPr="00C041CD">
              <w:rPr>
                <w:rFonts w:ascii="Arial" w:hAnsi="Arial" w:cs="Arial"/>
                <w:szCs w:val="24"/>
                <w:lang w:val="en-GB" w:eastAsia="en-GB"/>
              </w:rPr>
              <w:t>Top-up funding follows pupils in real time and is allocated throughout the year.</w:t>
            </w:r>
          </w:p>
        </w:tc>
      </w:tr>
      <w:tr w:rsidR="0033457D" w:rsidRPr="0033457D" w14:paraId="60EDD4BC" w14:textId="77777777" w:rsidTr="007B48CC">
        <w:trPr>
          <w:trHeight w:val="320"/>
        </w:trPr>
        <w:tc>
          <w:tcPr>
            <w:tcW w:w="2967" w:type="dxa"/>
            <w:tcBorders>
              <w:top w:val="nil"/>
              <w:left w:val="single" w:sz="8" w:space="0" w:color="auto"/>
              <w:bottom w:val="single" w:sz="8" w:space="0" w:color="auto"/>
              <w:right w:val="single" w:sz="8" w:space="0" w:color="auto"/>
            </w:tcBorders>
            <w:shd w:val="clear" w:color="auto" w:fill="auto"/>
            <w:vAlign w:val="center"/>
            <w:hideMark/>
          </w:tcPr>
          <w:p w14:paraId="681B2FE1" w14:textId="77777777" w:rsidR="00A94BB5" w:rsidRPr="00C041CD" w:rsidRDefault="00A94BB5" w:rsidP="00A94BB5">
            <w:pPr>
              <w:spacing w:after="0"/>
              <w:jc w:val="left"/>
              <w:rPr>
                <w:rFonts w:ascii="Arial" w:hAnsi="Arial" w:cs="Arial"/>
                <w:szCs w:val="24"/>
                <w:lang w:val="en-GB" w:eastAsia="en-GB"/>
              </w:rPr>
            </w:pPr>
            <w:r w:rsidRPr="00C041CD">
              <w:rPr>
                <w:rFonts w:ascii="Arial" w:hAnsi="Arial" w:cs="Arial"/>
                <w:szCs w:val="24"/>
                <w:lang w:val="en-GB" w:eastAsia="en-GB"/>
              </w:rPr>
              <w:t>Resourced provision top-up</w:t>
            </w:r>
          </w:p>
        </w:tc>
        <w:tc>
          <w:tcPr>
            <w:tcW w:w="1559" w:type="dxa"/>
            <w:tcBorders>
              <w:top w:val="nil"/>
              <w:left w:val="nil"/>
              <w:bottom w:val="single" w:sz="8" w:space="0" w:color="auto"/>
              <w:right w:val="single" w:sz="8" w:space="0" w:color="auto"/>
            </w:tcBorders>
            <w:shd w:val="clear" w:color="auto" w:fill="auto"/>
            <w:noWrap/>
            <w:vAlign w:val="center"/>
            <w:hideMark/>
          </w:tcPr>
          <w:p w14:paraId="7608B3EF" w14:textId="1952B9DC" w:rsidR="00A94BB5" w:rsidRPr="00C041CD" w:rsidRDefault="00A94BB5" w:rsidP="00A94BB5">
            <w:pPr>
              <w:spacing w:after="0"/>
              <w:jc w:val="right"/>
              <w:rPr>
                <w:rFonts w:ascii="Arial" w:hAnsi="Arial" w:cs="Arial"/>
                <w:szCs w:val="24"/>
                <w:lang w:val="en-GB" w:eastAsia="en-GB"/>
              </w:rPr>
            </w:pPr>
            <w:r w:rsidRPr="00C041CD">
              <w:rPr>
                <w:rFonts w:ascii="Arial" w:hAnsi="Arial" w:cs="Arial"/>
                <w:szCs w:val="24"/>
                <w:lang w:val="en-GB" w:eastAsia="en-GB"/>
              </w:rPr>
              <w:t xml:space="preserve">                                                    </w:t>
            </w:r>
            <w:r w:rsidR="00C041CD" w:rsidRPr="00C041CD">
              <w:rPr>
                <w:rFonts w:ascii="Arial" w:hAnsi="Arial" w:cs="Arial"/>
                <w:szCs w:val="24"/>
                <w:lang w:val="en-GB" w:eastAsia="en-GB"/>
              </w:rPr>
              <w:t>5,072</w:t>
            </w:r>
            <w:r w:rsidRPr="00C041CD">
              <w:rPr>
                <w:rFonts w:ascii="Arial" w:hAnsi="Arial" w:cs="Arial"/>
                <w:szCs w:val="24"/>
                <w:lang w:val="en-GB" w:eastAsia="en-GB"/>
              </w:rPr>
              <w:t xml:space="preserve"> </w:t>
            </w:r>
          </w:p>
        </w:tc>
        <w:tc>
          <w:tcPr>
            <w:tcW w:w="5397" w:type="dxa"/>
            <w:vMerge/>
            <w:tcBorders>
              <w:top w:val="single" w:sz="8" w:space="0" w:color="000000"/>
              <w:left w:val="single" w:sz="8" w:space="0" w:color="auto"/>
              <w:bottom w:val="single" w:sz="4" w:space="0" w:color="auto"/>
              <w:right w:val="single" w:sz="8" w:space="0" w:color="auto"/>
            </w:tcBorders>
            <w:vAlign w:val="center"/>
            <w:hideMark/>
          </w:tcPr>
          <w:p w14:paraId="46EBD8ED" w14:textId="77777777" w:rsidR="00A94BB5" w:rsidRPr="00C041CD" w:rsidRDefault="00A94BB5" w:rsidP="00A94BB5">
            <w:pPr>
              <w:spacing w:after="0"/>
              <w:jc w:val="left"/>
              <w:rPr>
                <w:rFonts w:ascii="Arial" w:hAnsi="Arial" w:cs="Arial"/>
                <w:szCs w:val="24"/>
                <w:lang w:val="en-GB" w:eastAsia="en-GB"/>
              </w:rPr>
            </w:pPr>
          </w:p>
        </w:tc>
      </w:tr>
      <w:tr w:rsidR="0033457D" w:rsidRPr="0033457D" w14:paraId="3F8611BB" w14:textId="77777777" w:rsidTr="007B48CC">
        <w:trPr>
          <w:trHeight w:val="320"/>
        </w:trPr>
        <w:tc>
          <w:tcPr>
            <w:tcW w:w="2967" w:type="dxa"/>
            <w:tcBorders>
              <w:top w:val="nil"/>
              <w:left w:val="single" w:sz="8" w:space="0" w:color="auto"/>
              <w:bottom w:val="single" w:sz="8" w:space="0" w:color="auto"/>
              <w:right w:val="single" w:sz="8" w:space="0" w:color="auto"/>
            </w:tcBorders>
            <w:shd w:val="clear" w:color="auto" w:fill="auto"/>
            <w:vAlign w:val="center"/>
            <w:hideMark/>
          </w:tcPr>
          <w:p w14:paraId="1F072BEE" w14:textId="77777777" w:rsidR="00A94BB5" w:rsidRPr="00C041CD" w:rsidRDefault="00A94BB5" w:rsidP="00A94BB5">
            <w:pPr>
              <w:spacing w:after="0"/>
              <w:jc w:val="left"/>
              <w:rPr>
                <w:rFonts w:ascii="Arial" w:hAnsi="Arial" w:cs="Arial"/>
                <w:szCs w:val="24"/>
                <w:lang w:val="en-GB" w:eastAsia="en-GB"/>
              </w:rPr>
            </w:pPr>
            <w:r w:rsidRPr="00C041CD">
              <w:rPr>
                <w:rFonts w:ascii="Arial" w:hAnsi="Arial" w:cs="Arial"/>
                <w:szCs w:val="24"/>
                <w:lang w:val="en-GB" w:eastAsia="en-GB"/>
              </w:rPr>
              <w:t>Education centre top-up</w:t>
            </w:r>
          </w:p>
        </w:tc>
        <w:tc>
          <w:tcPr>
            <w:tcW w:w="1559" w:type="dxa"/>
            <w:tcBorders>
              <w:top w:val="nil"/>
              <w:left w:val="nil"/>
              <w:bottom w:val="single" w:sz="8" w:space="0" w:color="auto"/>
              <w:right w:val="single" w:sz="8" w:space="0" w:color="auto"/>
            </w:tcBorders>
            <w:shd w:val="clear" w:color="auto" w:fill="auto"/>
            <w:noWrap/>
            <w:vAlign w:val="center"/>
            <w:hideMark/>
          </w:tcPr>
          <w:p w14:paraId="712D180F" w14:textId="4AA99896" w:rsidR="00A94BB5" w:rsidRPr="00C041CD" w:rsidRDefault="00C041CD" w:rsidP="00A94BB5">
            <w:pPr>
              <w:spacing w:after="0"/>
              <w:jc w:val="right"/>
              <w:rPr>
                <w:rFonts w:ascii="Arial" w:hAnsi="Arial" w:cs="Arial"/>
                <w:szCs w:val="24"/>
                <w:lang w:val="en-GB" w:eastAsia="en-GB"/>
              </w:rPr>
            </w:pPr>
            <w:r w:rsidRPr="00C041CD">
              <w:rPr>
                <w:rFonts w:ascii="Arial" w:hAnsi="Arial" w:cs="Arial"/>
                <w:szCs w:val="24"/>
                <w:lang w:val="en-GB" w:eastAsia="en-GB"/>
              </w:rPr>
              <w:t>3,927</w:t>
            </w:r>
          </w:p>
        </w:tc>
        <w:tc>
          <w:tcPr>
            <w:tcW w:w="5397" w:type="dxa"/>
            <w:vMerge/>
            <w:tcBorders>
              <w:top w:val="single" w:sz="8" w:space="0" w:color="000000"/>
              <w:left w:val="single" w:sz="8" w:space="0" w:color="auto"/>
              <w:bottom w:val="single" w:sz="4" w:space="0" w:color="auto"/>
              <w:right w:val="single" w:sz="8" w:space="0" w:color="auto"/>
            </w:tcBorders>
            <w:vAlign w:val="center"/>
            <w:hideMark/>
          </w:tcPr>
          <w:p w14:paraId="6A00E60B" w14:textId="77777777" w:rsidR="00A94BB5" w:rsidRPr="00C041CD" w:rsidRDefault="00A94BB5" w:rsidP="00A94BB5">
            <w:pPr>
              <w:spacing w:after="0"/>
              <w:jc w:val="left"/>
              <w:rPr>
                <w:rFonts w:ascii="Arial" w:hAnsi="Arial" w:cs="Arial"/>
                <w:szCs w:val="24"/>
                <w:lang w:val="en-GB" w:eastAsia="en-GB"/>
              </w:rPr>
            </w:pPr>
          </w:p>
        </w:tc>
      </w:tr>
      <w:tr w:rsidR="0033457D" w:rsidRPr="0033457D" w14:paraId="7AC27398" w14:textId="77777777" w:rsidTr="007B48CC">
        <w:trPr>
          <w:trHeight w:val="2180"/>
        </w:trPr>
        <w:tc>
          <w:tcPr>
            <w:tcW w:w="2967" w:type="dxa"/>
            <w:tcBorders>
              <w:top w:val="nil"/>
              <w:left w:val="single" w:sz="8" w:space="0" w:color="auto"/>
              <w:bottom w:val="single" w:sz="8" w:space="0" w:color="auto"/>
              <w:right w:val="single" w:sz="8" w:space="0" w:color="auto"/>
            </w:tcBorders>
            <w:shd w:val="clear" w:color="auto" w:fill="auto"/>
            <w:vAlign w:val="center"/>
            <w:hideMark/>
          </w:tcPr>
          <w:p w14:paraId="156315B1" w14:textId="77777777" w:rsidR="00A94BB5" w:rsidRPr="00144E31" w:rsidRDefault="00A94BB5" w:rsidP="00A94BB5">
            <w:pPr>
              <w:spacing w:after="0"/>
              <w:jc w:val="left"/>
              <w:rPr>
                <w:rFonts w:ascii="Arial" w:hAnsi="Arial" w:cs="Arial"/>
                <w:szCs w:val="24"/>
                <w:lang w:val="en-GB" w:eastAsia="en-GB"/>
              </w:rPr>
            </w:pPr>
            <w:r w:rsidRPr="00144E31">
              <w:rPr>
                <w:rFonts w:ascii="Arial" w:hAnsi="Arial" w:cs="Arial"/>
                <w:szCs w:val="24"/>
                <w:lang w:val="en-GB" w:eastAsia="en-GB"/>
              </w:rPr>
              <w:t>Mainstream school top-up</w:t>
            </w:r>
          </w:p>
        </w:tc>
        <w:tc>
          <w:tcPr>
            <w:tcW w:w="1559" w:type="dxa"/>
            <w:tcBorders>
              <w:top w:val="nil"/>
              <w:left w:val="nil"/>
              <w:bottom w:val="single" w:sz="8" w:space="0" w:color="auto"/>
              <w:right w:val="single" w:sz="8" w:space="0" w:color="auto"/>
            </w:tcBorders>
            <w:shd w:val="clear" w:color="auto" w:fill="auto"/>
            <w:vAlign w:val="center"/>
            <w:hideMark/>
          </w:tcPr>
          <w:p w14:paraId="1543EA37" w14:textId="0D763D1D" w:rsidR="00A94BB5" w:rsidRPr="00144E31" w:rsidRDefault="00A94BB5" w:rsidP="00A94BB5">
            <w:pPr>
              <w:spacing w:after="0"/>
              <w:jc w:val="right"/>
              <w:rPr>
                <w:rFonts w:ascii="Arial" w:hAnsi="Arial" w:cs="Arial"/>
                <w:szCs w:val="24"/>
                <w:lang w:val="en-GB" w:eastAsia="en-GB"/>
              </w:rPr>
            </w:pPr>
            <w:r w:rsidRPr="00144E31">
              <w:rPr>
                <w:rFonts w:ascii="Arial" w:hAnsi="Arial" w:cs="Arial"/>
                <w:szCs w:val="24"/>
                <w:lang w:val="en-GB" w:eastAsia="en-GB"/>
              </w:rPr>
              <w:t xml:space="preserve">                                                  </w:t>
            </w:r>
            <w:r w:rsidR="00144E31" w:rsidRPr="00144E31">
              <w:rPr>
                <w:rFonts w:ascii="Arial" w:hAnsi="Arial" w:cs="Arial"/>
                <w:szCs w:val="24"/>
                <w:lang w:val="en-GB" w:eastAsia="en-GB"/>
              </w:rPr>
              <w:t>40,297</w:t>
            </w:r>
            <w:r w:rsidRPr="00144E31">
              <w:rPr>
                <w:rFonts w:ascii="Arial" w:hAnsi="Arial" w:cs="Arial"/>
                <w:szCs w:val="24"/>
                <w:lang w:val="en-GB" w:eastAsia="en-GB"/>
              </w:rPr>
              <w:t xml:space="preserve"> </w:t>
            </w:r>
          </w:p>
        </w:tc>
        <w:tc>
          <w:tcPr>
            <w:tcW w:w="5397" w:type="dxa"/>
            <w:tcBorders>
              <w:top w:val="single" w:sz="4" w:space="0" w:color="auto"/>
              <w:left w:val="nil"/>
              <w:bottom w:val="single" w:sz="8" w:space="0" w:color="auto"/>
              <w:right w:val="single" w:sz="8" w:space="0" w:color="auto"/>
            </w:tcBorders>
            <w:shd w:val="clear" w:color="auto" w:fill="auto"/>
            <w:vAlign w:val="center"/>
            <w:hideMark/>
          </w:tcPr>
          <w:p w14:paraId="697CFB52" w14:textId="77777777" w:rsidR="00A94BB5" w:rsidRPr="00144E31" w:rsidRDefault="00A94BB5" w:rsidP="00A94BB5">
            <w:pPr>
              <w:spacing w:after="0"/>
              <w:jc w:val="left"/>
              <w:rPr>
                <w:rFonts w:ascii="Arial" w:hAnsi="Arial" w:cs="Arial"/>
                <w:szCs w:val="24"/>
                <w:lang w:val="en-GB" w:eastAsia="en-GB"/>
              </w:rPr>
            </w:pPr>
            <w:r w:rsidRPr="00144E31">
              <w:rPr>
                <w:rFonts w:ascii="Arial" w:hAnsi="Arial" w:cs="Arial"/>
                <w:szCs w:val="24"/>
                <w:lang w:val="en-GB" w:eastAsia="en-GB"/>
              </w:rPr>
              <w:t>Top-up funding follows pupils in real time so is allocated throughout the year. Funding for pupils with an EHCP costing more than £6,000 per year. Also includes the notional SEN top-up for schools with disproportionate SEN spend.</w:t>
            </w:r>
          </w:p>
        </w:tc>
      </w:tr>
      <w:tr w:rsidR="0033457D" w:rsidRPr="0033457D" w14:paraId="05D78948" w14:textId="77777777" w:rsidTr="00FB3EF7">
        <w:trPr>
          <w:trHeight w:val="1250"/>
        </w:trPr>
        <w:tc>
          <w:tcPr>
            <w:tcW w:w="2967" w:type="dxa"/>
            <w:tcBorders>
              <w:top w:val="nil"/>
              <w:left w:val="single" w:sz="8" w:space="0" w:color="auto"/>
              <w:bottom w:val="single" w:sz="8" w:space="0" w:color="auto"/>
              <w:right w:val="single" w:sz="8" w:space="0" w:color="auto"/>
            </w:tcBorders>
            <w:shd w:val="clear" w:color="auto" w:fill="auto"/>
            <w:vAlign w:val="center"/>
            <w:hideMark/>
          </w:tcPr>
          <w:p w14:paraId="10D98343" w14:textId="77777777" w:rsidR="00A94BB5" w:rsidRPr="003F6E3A" w:rsidRDefault="00A94BB5" w:rsidP="00A94BB5">
            <w:pPr>
              <w:spacing w:after="0"/>
              <w:jc w:val="left"/>
              <w:rPr>
                <w:rFonts w:ascii="Arial" w:hAnsi="Arial" w:cs="Arial"/>
                <w:szCs w:val="24"/>
                <w:lang w:val="en-GB" w:eastAsia="en-GB"/>
              </w:rPr>
            </w:pPr>
            <w:r w:rsidRPr="003F6E3A">
              <w:rPr>
                <w:rFonts w:ascii="Arial" w:hAnsi="Arial" w:cs="Arial"/>
                <w:szCs w:val="24"/>
                <w:lang w:val="en-GB" w:eastAsia="en-GB"/>
              </w:rPr>
              <w:t>Post-16 top-up</w:t>
            </w:r>
          </w:p>
        </w:tc>
        <w:tc>
          <w:tcPr>
            <w:tcW w:w="1559" w:type="dxa"/>
            <w:tcBorders>
              <w:top w:val="nil"/>
              <w:left w:val="nil"/>
              <w:bottom w:val="single" w:sz="8" w:space="0" w:color="auto"/>
              <w:right w:val="single" w:sz="8" w:space="0" w:color="auto"/>
            </w:tcBorders>
            <w:shd w:val="clear" w:color="auto" w:fill="auto"/>
            <w:vAlign w:val="center"/>
            <w:hideMark/>
          </w:tcPr>
          <w:p w14:paraId="038D4A54" w14:textId="55A92C19" w:rsidR="00A94BB5" w:rsidRPr="003F6E3A" w:rsidRDefault="00A94BB5" w:rsidP="00A94BB5">
            <w:pPr>
              <w:spacing w:after="0"/>
              <w:jc w:val="right"/>
              <w:rPr>
                <w:rFonts w:ascii="Arial" w:hAnsi="Arial" w:cs="Arial"/>
                <w:szCs w:val="24"/>
                <w:lang w:val="en-GB" w:eastAsia="en-GB"/>
              </w:rPr>
            </w:pPr>
            <w:r w:rsidRPr="003F6E3A">
              <w:rPr>
                <w:rFonts w:ascii="Arial" w:hAnsi="Arial" w:cs="Arial"/>
                <w:szCs w:val="24"/>
                <w:lang w:val="en-GB" w:eastAsia="en-GB"/>
              </w:rPr>
              <w:t xml:space="preserve">                                                  </w:t>
            </w:r>
            <w:r w:rsidR="003F6E3A" w:rsidRPr="003F6E3A">
              <w:rPr>
                <w:rFonts w:ascii="Arial" w:hAnsi="Arial" w:cs="Arial"/>
                <w:szCs w:val="24"/>
                <w:lang w:val="en-GB" w:eastAsia="en-GB"/>
              </w:rPr>
              <w:t>11,653</w:t>
            </w:r>
          </w:p>
        </w:tc>
        <w:tc>
          <w:tcPr>
            <w:tcW w:w="5397" w:type="dxa"/>
            <w:tcBorders>
              <w:top w:val="nil"/>
              <w:left w:val="nil"/>
              <w:bottom w:val="single" w:sz="8" w:space="0" w:color="auto"/>
              <w:right w:val="single" w:sz="8" w:space="0" w:color="auto"/>
            </w:tcBorders>
            <w:shd w:val="clear" w:color="auto" w:fill="auto"/>
            <w:vAlign w:val="center"/>
            <w:hideMark/>
          </w:tcPr>
          <w:p w14:paraId="5E6939B4" w14:textId="77777777" w:rsidR="00A94BB5" w:rsidRPr="003F6E3A" w:rsidRDefault="00A94BB5" w:rsidP="00A94BB5">
            <w:pPr>
              <w:spacing w:after="0"/>
              <w:jc w:val="left"/>
              <w:rPr>
                <w:rFonts w:ascii="Arial" w:hAnsi="Arial" w:cs="Arial"/>
                <w:szCs w:val="24"/>
                <w:lang w:val="en-GB" w:eastAsia="en-GB"/>
              </w:rPr>
            </w:pPr>
            <w:r w:rsidRPr="003F6E3A">
              <w:rPr>
                <w:rFonts w:ascii="Arial" w:hAnsi="Arial" w:cs="Arial"/>
                <w:szCs w:val="24"/>
                <w:lang w:val="en-GB" w:eastAsia="en-GB"/>
              </w:rPr>
              <w:t>Top-up funding for post-16 high needs learners in FE colleges, employability hubs and post-16 resourced provisions.</w:t>
            </w:r>
          </w:p>
        </w:tc>
      </w:tr>
      <w:tr w:rsidR="0033457D" w:rsidRPr="0033457D" w14:paraId="26C60B09" w14:textId="77777777" w:rsidTr="00FB3EF7">
        <w:trPr>
          <w:trHeight w:val="940"/>
        </w:trPr>
        <w:tc>
          <w:tcPr>
            <w:tcW w:w="2967" w:type="dxa"/>
            <w:tcBorders>
              <w:top w:val="nil"/>
              <w:left w:val="single" w:sz="8" w:space="0" w:color="auto"/>
              <w:bottom w:val="single" w:sz="8" w:space="0" w:color="auto"/>
              <w:right w:val="single" w:sz="8" w:space="0" w:color="auto"/>
            </w:tcBorders>
            <w:shd w:val="clear" w:color="auto" w:fill="auto"/>
            <w:vAlign w:val="center"/>
            <w:hideMark/>
          </w:tcPr>
          <w:p w14:paraId="38BA4F4C" w14:textId="77777777" w:rsidR="00A94BB5" w:rsidRPr="00242AD8" w:rsidRDefault="00A94BB5" w:rsidP="00A94BB5">
            <w:pPr>
              <w:spacing w:after="0"/>
              <w:jc w:val="left"/>
              <w:rPr>
                <w:rFonts w:ascii="Arial" w:hAnsi="Arial" w:cs="Arial"/>
                <w:szCs w:val="24"/>
                <w:lang w:val="en-GB" w:eastAsia="en-GB"/>
              </w:rPr>
            </w:pPr>
            <w:r w:rsidRPr="00242AD8">
              <w:rPr>
                <w:rFonts w:ascii="Arial" w:hAnsi="Arial" w:cs="Arial"/>
                <w:szCs w:val="24"/>
                <w:lang w:val="en-GB" w:eastAsia="en-GB"/>
              </w:rPr>
              <w:t>Pupils in OLA &amp; free schools top-up</w:t>
            </w:r>
          </w:p>
        </w:tc>
        <w:tc>
          <w:tcPr>
            <w:tcW w:w="1559" w:type="dxa"/>
            <w:tcBorders>
              <w:top w:val="nil"/>
              <w:left w:val="nil"/>
              <w:bottom w:val="single" w:sz="8" w:space="0" w:color="auto"/>
              <w:right w:val="single" w:sz="8" w:space="0" w:color="auto"/>
            </w:tcBorders>
            <w:shd w:val="clear" w:color="auto" w:fill="auto"/>
            <w:vAlign w:val="center"/>
            <w:hideMark/>
          </w:tcPr>
          <w:p w14:paraId="5E80DCAA" w14:textId="5ED88140" w:rsidR="00A94BB5" w:rsidRPr="00242AD8" w:rsidRDefault="0088411E" w:rsidP="00A94BB5">
            <w:pPr>
              <w:spacing w:after="0"/>
              <w:jc w:val="right"/>
              <w:rPr>
                <w:rFonts w:ascii="Arial" w:hAnsi="Arial" w:cs="Arial"/>
                <w:szCs w:val="24"/>
                <w:lang w:val="en-GB" w:eastAsia="en-GB"/>
              </w:rPr>
            </w:pPr>
            <w:r>
              <w:rPr>
                <w:rFonts w:ascii="Arial" w:hAnsi="Arial" w:cs="Arial"/>
                <w:szCs w:val="24"/>
                <w:lang w:val="en-GB" w:eastAsia="en-GB"/>
              </w:rPr>
              <w:t>8</w:t>
            </w:r>
            <w:r w:rsidR="009F4381">
              <w:rPr>
                <w:rFonts w:ascii="Arial" w:hAnsi="Arial" w:cs="Arial"/>
                <w:szCs w:val="24"/>
                <w:lang w:val="en-GB" w:eastAsia="en-GB"/>
              </w:rPr>
              <w:t>,</w:t>
            </w:r>
            <w:r>
              <w:rPr>
                <w:rFonts w:ascii="Arial" w:hAnsi="Arial" w:cs="Arial"/>
                <w:szCs w:val="24"/>
                <w:lang w:val="en-GB" w:eastAsia="en-GB"/>
              </w:rPr>
              <w:t>848</w:t>
            </w:r>
            <w:r w:rsidR="00A94BB5" w:rsidRPr="00242AD8">
              <w:rPr>
                <w:rFonts w:ascii="Arial" w:hAnsi="Arial" w:cs="Arial"/>
                <w:szCs w:val="24"/>
                <w:lang w:val="en-GB" w:eastAsia="en-GB"/>
              </w:rPr>
              <w:t xml:space="preserve">                                                    </w:t>
            </w:r>
          </w:p>
        </w:tc>
        <w:tc>
          <w:tcPr>
            <w:tcW w:w="5397" w:type="dxa"/>
            <w:tcBorders>
              <w:top w:val="nil"/>
              <w:left w:val="nil"/>
              <w:bottom w:val="single" w:sz="8" w:space="0" w:color="auto"/>
              <w:right w:val="single" w:sz="8" w:space="0" w:color="auto"/>
            </w:tcBorders>
            <w:shd w:val="clear" w:color="auto" w:fill="auto"/>
            <w:vAlign w:val="center"/>
            <w:hideMark/>
          </w:tcPr>
          <w:p w14:paraId="109E5F98" w14:textId="77777777" w:rsidR="00A94BB5" w:rsidRPr="00242AD8" w:rsidRDefault="00A94BB5" w:rsidP="00A94BB5">
            <w:pPr>
              <w:spacing w:after="0"/>
              <w:jc w:val="left"/>
              <w:rPr>
                <w:rFonts w:ascii="Arial" w:hAnsi="Arial" w:cs="Arial"/>
                <w:szCs w:val="24"/>
                <w:lang w:val="en-GB" w:eastAsia="en-GB"/>
              </w:rPr>
            </w:pPr>
            <w:r w:rsidRPr="00242AD8">
              <w:rPr>
                <w:rFonts w:ascii="Arial" w:hAnsi="Arial" w:cs="Arial"/>
                <w:szCs w:val="24"/>
                <w:lang w:val="en-GB" w:eastAsia="en-GB"/>
              </w:rPr>
              <w:t>Top-up funding for pupils in other local authority mainstream or special schools, and free schools.</w:t>
            </w:r>
          </w:p>
        </w:tc>
      </w:tr>
      <w:tr w:rsidR="0033457D" w:rsidRPr="0033457D" w14:paraId="4C20CAB3" w14:textId="77777777" w:rsidTr="00D948A7">
        <w:trPr>
          <w:trHeight w:val="1560"/>
        </w:trPr>
        <w:tc>
          <w:tcPr>
            <w:tcW w:w="2967" w:type="dxa"/>
            <w:tcBorders>
              <w:top w:val="nil"/>
              <w:left w:val="single" w:sz="8" w:space="0" w:color="auto"/>
              <w:bottom w:val="single" w:sz="4" w:space="0" w:color="auto"/>
              <w:right w:val="single" w:sz="8" w:space="0" w:color="auto"/>
            </w:tcBorders>
            <w:shd w:val="clear" w:color="auto" w:fill="auto"/>
            <w:vAlign w:val="center"/>
            <w:hideMark/>
          </w:tcPr>
          <w:p w14:paraId="16A21052" w14:textId="77777777" w:rsidR="00A94BB5" w:rsidRPr="00DC7E6F" w:rsidRDefault="00A94BB5" w:rsidP="00A94BB5">
            <w:pPr>
              <w:spacing w:after="0"/>
              <w:jc w:val="left"/>
              <w:rPr>
                <w:rFonts w:ascii="Arial" w:hAnsi="Arial" w:cs="Arial"/>
                <w:szCs w:val="24"/>
                <w:lang w:val="en-GB" w:eastAsia="en-GB"/>
              </w:rPr>
            </w:pPr>
            <w:r w:rsidRPr="00DC7E6F">
              <w:rPr>
                <w:rFonts w:ascii="Arial" w:hAnsi="Arial" w:cs="Arial"/>
                <w:szCs w:val="24"/>
                <w:lang w:val="en-GB" w:eastAsia="en-GB"/>
              </w:rPr>
              <w:t>Discretionary payments</w:t>
            </w:r>
          </w:p>
        </w:tc>
        <w:tc>
          <w:tcPr>
            <w:tcW w:w="1559" w:type="dxa"/>
            <w:tcBorders>
              <w:top w:val="nil"/>
              <w:left w:val="nil"/>
              <w:bottom w:val="single" w:sz="4" w:space="0" w:color="auto"/>
              <w:right w:val="single" w:sz="8" w:space="0" w:color="auto"/>
            </w:tcBorders>
            <w:shd w:val="clear" w:color="auto" w:fill="auto"/>
            <w:vAlign w:val="center"/>
            <w:hideMark/>
          </w:tcPr>
          <w:p w14:paraId="6258C82B" w14:textId="30425EFA" w:rsidR="00A94BB5" w:rsidRPr="00DC7E6F" w:rsidRDefault="00A94BB5" w:rsidP="00A94BB5">
            <w:pPr>
              <w:spacing w:after="0"/>
              <w:jc w:val="right"/>
              <w:rPr>
                <w:rFonts w:ascii="Arial" w:hAnsi="Arial" w:cs="Arial"/>
                <w:szCs w:val="24"/>
                <w:lang w:val="en-GB" w:eastAsia="en-GB"/>
              </w:rPr>
            </w:pPr>
            <w:r w:rsidRPr="00DC7E6F">
              <w:rPr>
                <w:rFonts w:ascii="Arial" w:hAnsi="Arial" w:cs="Arial"/>
                <w:szCs w:val="24"/>
                <w:lang w:val="en-GB" w:eastAsia="en-GB"/>
              </w:rPr>
              <w:t xml:space="preserve">                                                  </w:t>
            </w:r>
            <w:r w:rsidR="00242AD8">
              <w:rPr>
                <w:rFonts w:ascii="Arial" w:hAnsi="Arial" w:cs="Arial"/>
                <w:szCs w:val="24"/>
                <w:lang w:val="en-GB" w:eastAsia="en-GB"/>
              </w:rPr>
              <w:t>31,170</w:t>
            </w:r>
            <w:r w:rsidRPr="00DC7E6F">
              <w:rPr>
                <w:rFonts w:ascii="Arial" w:hAnsi="Arial" w:cs="Arial"/>
                <w:szCs w:val="24"/>
                <w:lang w:val="en-GB" w:eastAsia="en-GB"/>
              </w:rPr>
              <w:t xml:space="preserve"> </w:t>
            </w:r>
          </w:p>
        </w:tc>
        <w:tc>
          <w:tcPr>
            <w:tcW w:w="5397" w:type="dxa"/>
            <w:tcBorders>
              <w:top w:val="nil"/>
              <w:left w:val="nil"/>
              <w:bottom w:val="single" w:sz="4" w:space="0" w:color="auto"/>
              <w:right w:val="single" w:sz="8" w:space="0" w:color="auto"/>
            </w:tcBorders>
            <w:shd w:val="clear" w:color="auto" w:fill="auto"/>
            <w:vAlign w:val="center"/>
            <w:hideMark/>
          </w:tcPr>
          <w:p w14:paraId="0304042C" w14:textId="77777777" w:rsidR="00A94BB5" w:rsidRPr="00DC7E6F" w:rsidRDefault="00A94BB5" w:rsidP="00A94BB5">
            <w:pPr>
              <w:spacing w:after="0"/>
              <w:jc w:val="left"/>
              <w:rPr>
                <w:rFonts w:ascii="Arial" w:hAnsi="Arial" w:cs="Arial"/>
                <w:szCs w:val="24"/>
                <w:lang w:val="en-GB" w:eastAsia="en-GB"/>
              </w:rPr>
            </w:pPr>
            <w:r w:rsidRPr="00DC7E6F">
              <w:rPr>
                <w:rFonts w:ascii="Arial" w:hAnsi="Arial" w:cs="Arial"/>
                <w:szCs w:val="24"/>
                <w:lang w:val="en-GB" w:eastAsia="en-GB"/>
              </w:rPr>
              <w:t>Additional top-up funding for exceptional cases and to prevent escalation to a more expensive placement, agreed through SEN panels.</w:t>
            </w:r>
          </w:p>
        </w:tc>
      </w:tr>
      <w:tr w:rsidR="0033457D" w:rsidRPr="0033457D" w14:paraId="4E8845D1" w14:textId="77777777" w:rsidTr="00D948A7">
        <w:trPr>
          <w:trHeight w:val="320"/>
        </w:trPr>
        <w:tc>
          <w:tcPr>
            <w:tcW w:w="2967"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210D1025" w14:textId="77777777" w:rsidR="00A94BB5" w:rsidRPr="00AF7758" w:rsidRDefault="00A94BB5" w:rsidP="00A94BB5">
            <w:pPr>
              <w:spacing w:after="0"/>
              <w:jc w:val="left"/>
              <w:rPr>
                <w:rFonts w:ascii="Arial" w:hAnsi="Arial" w:cs="Arial"/>
                <w:szCs w:val="24"/>
                <w:lang w:val="en-GB" w:eastAsia="en-GB"/>
              </w:rPr>
            </w:pPr>
            <w:r w:rsidRPr="00AF7758">
              <w:rPr>
                <w:rFonts w:ascii="Arial" w:hAnsi="Arial" w:cs="Arial"/>
                <w:szCs w:val="24"/>
                <w:lang w:val="en-GB" w:eastAsia="en-GB"/>
              </w:rPr>
              <w:t>Direct payments</w:t>
            </w:r>
          </w:p>
        </w:tc>
        <w:tc>
          <w:tcPr>
            <w:tcW w:w="1559" w:type="dxa"/>
            <w:tcBorders>
              <w:top w:val="single" w:sz="4" w:space="0" w:color="auto"/>
              <w:left w:val="nil"/>
              <w:bottom w:val="single" w:sz="8" w:space="0" w:color="auto"/>
              <w:right w:val="single" w:sz="8" w:space="0" w:color="auto"/>
            </w:tcBorders>
            <w:shd w:val="clear" w:color="auto" w:fill="auto"/>
            <w:vAlign w:val="center"/>
            <w:hideMark/>
          </w:tcPr>
          <w:p w14:paraId="0D312121" w14:textId="4B608827" w:rsidR="00A94BB5" w:rsidRPr="00AF7758" w:rsidRDefault="00A94BB5" w:rsidP="00A94BB5">
            <w:pPr>
              <w:spacing w:after="0"/>
              <w:jc w:val="right"/>
              <w:rPr>
                <w:rFonts w:ascii="Arial" w:hAnsi="Arial" w:cs="Arial"/>
                <w:szCs w:val="24"/>
                <w:lang w:val="en-GB" w:eastAsia="en-GB"/>
              </w:rPr>
            </w:pPr>
            <w:r w:rsidRPr="00AF7758">
              <w:rPr>
                <w:rFonts w:ascii="Arial" w:hAnsi="Arial" w:cs="Arial"/>
                <w:szCs w:val="24"/>
                <w:lang w:val="en-GB" w:eastAsia="en-GB"/>
              </w:rPr>
              <w:t xml:space="preserve">                                                    </w:t>
            </w:r>
            <w:r w:rsidR="00441438" w:rsidRPr="00AF7758">
              <w:rPr>
                <w:rFonts w:ascii="Arial" w:hAnsi="Arial" w:cs="Arial"/>
                <w:szCs w:val="24"/>
                <w:lang w:val="en-GB" w:eastAsia="en-GB"/>
              </w:rPr>
              <w:t>3,0</w:t>
            </w:r>
            <w:r w:rsidR="00AF7758" w:rsidRPr="00AF7758">
              <w:rPr>
                <w:rFonts w:ascii="Arial" w:hAnsi="Arial" w:cs="Arial"/>
                <w:szCs w:val="24"/>
                <w:lang w:val="en-GB" w:eastAsia="en-GB"/>
              </w:rPr>
              <w:t>04</w:t>
            </w:r>
            <w:r w:rsidRPr="00AF7758">
              <w:rPr>
                <w:rFonts w:ascii="Arial" w:hAnsi="Arial" w:cs="Arial"/>
                <w:szCs w:val="24"/>
                <w:lang w:val="en-GB" w:eastAsia="en-GB"/>
              </w:rPr>
              <w:t xml:space="preserve"> </w:t>
            </w:r>
          </w:p>
        </w:tc>
        <w:tc>
          <w:tcPr>
            <w:tcW w:w="5397" w:type="dxa"/>
            <w:tcBorders>
              <w:top w:val="single" w:sz="4" w:space="0" w:color="auto"/>
              <w:left w:val="nil"/>
              <w:bottom w:val="single" w:sz="8" w:space="0" w:color="auto"/>
              <w:right w:val="single" w:sz="8" w:space="0" w:color="auto"/>
            </w:tcBorders>
            <w:shd w:val="clear" w:color="auto" w:fill="auto"/>
            <w:vAlign w:val="center"/>
            <w:hideMark/>
          </w:tcPr>
          <w:p w14:paraId="30D09F9E" w14:textId="77777777" w:rsidR="00A94BB5" w:rsidRPr="0033457D" w:rsidRDefault="00A94BB5" w:rsidP="00A94BB5">
            <w:pPr>
              <w:spacing w:after="0"/>
              <w:jc w:val="left"/>
              <w:rPr>
                <w:rFonts w:ascii="Arial" w:hAnsi="Arial" w:cs="Arial"/>
                <w:color w:val="FF0000"/>
                <w:szCs w:val="24"/>
                <w:lang w:val="en-GB" w:eastAsia="en-GB"/>
              </w:rPr>
            </w:pPr>
            <w:r w:rsidRPr="0033457D">
              <w:rPr>
                <w:rFonts w:ascii="Arial" w:hAnsi="Arial" w:cs="Arial"/>
                <w:color w:val="FF0000"/>
                <w:szCs w:val="24"/>
                <w:lang w:val="en-GB" w:eastAsia="en-GB"/>
              </w:rPr>
              <w:t> </w:t>
            </w:r>
          </w:p>
        </w:tc>
      </w:tr>
      <w:tr w:rsidR="0033457D" w:rsidRPr="0033457D" w14:paraId="6536B675" w14:textId="77777777" w:rsidTr="00FB3EF7">
        <w:trPr>
          <w:trHeight w:val="630"/>
        </w:trPr>
        <w:tc>
          <w:tcPr>
            <w:tcW w:w="2967" w:type="dxa"/>
            <w:tcBorders>
              <w:top w:val="nil"/>
              <w:left w:val="single" w:sz="8" w:space="0" w:color="auto"/>
              <w:bottom w:val="single" w:sz="8" w:space="0" w:color="auto"/>
              <w:right w:val="single" w:sz="8" w:space="0" w:color="auto"/>
            </w:tcBorders>
            <w:shd w:val="clear" w:color="000000" w:fill="D9D9D9"/>
            <w:vAlign w:val="center"/>
            <w:hideMark/>
          </w:tcPr>
          <w:p w14:paraId="6AF20FFF" w14:textId="77777777" w:rsidR="00A94BB5" w:rsidRPr="00A6336E" w:rsidRDefault="00A94BB5" w:rsidP="00A94BB5">
            <w:pPr>
              <w:spacing w:after="0"/>
              <w:jc w:val="left"/>
              <w:rPr>
                <w:rFonts w:ascii="Arial" w:hAnsi="Arial" w:cs="Arial"/>
                <w:szCs w:val="24"/>
                <w:lang w:val="en-GB" w:eastAsia="en-GB"/>
              </w:rPr>
            </w:pPr>
            <w:r w:rsidRPr="00A6336E">
              <w:rPr>
                <w:rFonts w:ascii="Arial" w:hAnsi="Arial" w:cs="Arial"/>
                <w:szCs w:val="24"/>
                <w:lang w:val="en-GB" w:eastAsia="en-GB"/>
              </w:rPr>
              <w:t>High needs top-up funding - maintained</w:t>
            </w:r>
          </w:p>
        </w:tc>
        <w:tc>
          <w:tcPr>
            <w:tcW w:w="1559" w:type="dxa"/>
            <w:tcBorders>
              <w:top w:val="nil"/>
              <w:left w:val="nil"/>
              <w:bottom w:val="single" w:sz="8" w:space="0" w:color="auto"/>
              <w:right w:val="single" w:sz="8" w:space="0" w:color="auto"/>
            </w:tcBorders>
            <w:shd w:val="clear" w:color="000000" w:fill="D9D9D9"/>
            <w:vAlign w:val="center"/>
            <w:hideMark/>
          </w:tcPr>
          <w:p w14:paraId="635C8F16" w14:textId="04E9DDB9" w:rsidR="00A94BB5" w:rsidRPr="00A6336E" w:rsidRDefault="000630FE" w:rsidP="00A94BB5">
            <w:pPr>
              <w:spacing w:after="0"/>
              <w:jc w:val="right"/>
              <w:rPr>
                <w:rFonts w:ascii="Arial" w:hAnsi="Arial" w:cs="Arial"/>
                <w:szCs w:val="24"/>
                <w:lang w:val="en-GB" w:eastAsia="en-GB"/>
              </w:rPr>
            </w:pPr>
            <w:r>
              <w:rPr>
                <w:rFonts w:ascii="Arial" w:hAnsi="Arial" w:cs="Arial"/>
                <w:szCs w:val="24"/>
                <w:lang w:val="en-GB" w:eastAsia="en-GB"/>
              </w:rPr>
              <w:t>14</w:t>
            </w:r>
            <w:r w:rsidR="00C10E93">
              <w:rPr>
                <w:rFonts w:ascii="Arial" w:hAnsi="Arial" w:cs="Arial"/>
                <w:szCs w:val="24"/>
                <w:lang w:val="en-GB" w:eastAsia="en-GB"/>
              </w:rPr>
              <w:t>9,299</w:t>
            </w:r>
          </w:p>
        </w:tc>
        <w:tc>
          <w:tcPr>
            <w:tcW w:w="5397" w:type="dxa"/>
            <w:tcBorders>
              <w:top w:val="nil"/>
              <w:left w:val="nil"/>
              <w:bottom w:val="single" w:sz="8" w:space="0" w:color="auto"/>
              <w:right w:val="single" w:sz="8" w:space="0" w:color="auto"/>
            </w:tcBorders>
            <w:shd w:val="clear" w:color="000000" w:fill="D9D9D9"/>
            <w:vAlign w:val="center"/>
            <w:hideMark/>
          </w:tcPr>
          <w:p w14:paraId="70EA3D18" w14:textId="77777777" w:rsidR="00A94BB5" w:rsidRPr="0033457D" w:rsidRDefault="00A94BB5" w:rsidP="00A94BB5">
            <w:pPr>
              <w:spacing w:after="0"/>
              <w:jc w:val="left"/>
              <w:rPr>
                <w:rFonts w:ascii="Arial" w:hAnsi="Arial" w:cs="Arial"/>
                <w:color w:val="FF0000"/>
                <w:szCs w:val="24"/>
                <w:lang w:val="en-GB" w:eastAsia="en-GB"/>
              </w:rPr>
            </w:pPr>
            <w:r w:rsidRPr="0033457D">
              <w:rPr>
                <w:rFonts w:ascii="Arial" w:hAnsi="Arial" w:cs="Arial"/>
                <w:color w:val="FF0000"/>
                <w:szCs w:val="24"/>
                <w:lang w:val="en-GB" w:eastAsia="en-GB"/>
              </w:rPr>
              <w:t> </w:t>
            </w:r>
          </w:p>
        </w:tc>
      </w:tr>
      <w:tr w:rsidR="0033457D" w:rsidRPr="0033457D" w14:paraId="2E0C3D10" w14:textId="77777777" w:rsidTr="00FB3EF7">
        <w:trPr>
          <w:trHeight w:val="630"/>
        </w:trPr>
        <w:tc>
          <w:tcPr>
            <w:tcW w:w="2967" w:type="dxa"/>
            <w:tcBorders>
              <w:top w:val="nil"/>
              <w:left w:val="single" w:sz="8" w:space="0" w:color="auto"/>
              <w:bottom w:val="single" w:sz="8" w:space="0" w:color="auto"/>
              <w:right w:val="single" w:sz="8" w:space="0" w:color="auto"/>
            </w:tcBorders>
            <w:shd w:val="clear" w:color="auto" w:fill="auto"/>
            <w:vAlign w:val="center"/>
            <w:hideMark/>
          </w:tcPr>
          <w:p w14:paraId="7F028057" w14:textId="77777777" w:rsidR="00A94BB5" w:rsidRPr="00A622AD" w:rsidRDefault="00A94BB5" w:rsidP="00A94BB5">
            <w:pPr>
              <w:spacing w:after="0"/>
              <w:jc w:val="left"/>
              <w:rPr>
                <w:rFonts w:ascii="Arial" w:hAnsi="Arial" w:cs="Arial"/>
                <w:szCs w:val="24"/>
                <w:lang w:val="en-GB" w:eastAsia="en-GB"/>
              </w:rPr>
            </w:pPr>
            <w:r w:rsidRPr="00A622AD">
              <w:rPr>
                <w:rFonts w:ascii="Arial" w:hAnsi="Arial" w:cs="Arial"/>
                <w:szCs w:val="24"/>
                <w:lang w:val="en-GB" w:eastAsia="en-GB"/>
              </w:rPr>
              <w:t>Independent &amp; non-maintained special schools</w:t>
            </w:r>
          </w:p>
        </w:tc>
        <w:tc>
          <w:tcPr>
            <w:tcW w:w="1559" w:type="dxa"/>
            <w:tcBorders>
              <w:top w:val="nil"/>
              <w:left w:val="nil"/>
              <w:bottom w:val="single" w:sz="8" w:space="0" w:color="auto"/>
              <w:right w:val="single" w:sz="8" w:space="0" w:color="auto"/>
            </w:tcBorders>
            <w:shd w:val="clear" w:color="auto" w:fill="auto"/>
            <w:vAlign w:val="center"/>
            <w:hideMark/>
          </w:tcPr>
          <w:p w14:paraId="1E0281A5" w14:textId="675031FB" w:rsidR="00A94BB5" w:rsidRPr="00A622AD" w:rsidRDefault="00A94BB5" w:rsidP="00A94BB5">
            <w:pPr>
              <w:spacing w:after="0"/>
              <w:jc w:val="right"/>
              <w:rPr>
                <w:rFonts w:ascii="Arial" w:hAnsi="Arial" w:cs="Arial"/>
                <w:szCs w:val="24"/>
                <w:lang w:val="en-GB" w:eastAsia="en-GB"/>
              </w:rPr>
            </w:pPr>
            <w:r w:rsidRPr="00A622AD">
              <w:rPr>
                <w:rFonts w:ascii="Arial" w:hAnsi="Arial" w:cs="Arial"/>
                <w:szCs w:val="24"/>
                <w:lang w:val="en-GB" w:eastAsia="en-GB"/>
              </w:rPr>
              <w:t xml:space="preserve">                                                  </w:t>
            </w:r>
            <w:r w:rsidR="00A6336E">
              <w:rPr>
                <w:rFonts w:ascii="Arial" w:hAnsi="Arial" w:cs="Arial"/>
                <w:szCs w:val="24"/>
                <w:lang w:val="en-GB" w:eastAsia="en-GB"/>
              </w:rPr>
              <w:t>99,</w:t>
            </w:r>
            <w:r w:rsidR="009679BF">
              <w:rPr>
                <w:rFonts w:ascii="Arial" w:hAnsi="Arial" w:cs="Arial"/>
                <w:szCs w:val="24"/>
                <w:lang w:val="en-GB" w:eastAsia="en-GB"/>
              </w:rPr>
              <w:t>818</w:t>
            </w:r>
            <w:r w:rsidRPr="00A622AD">
              <w:rPr>
                <w:rFonts w:ascii="Arial" w:hAnsi="Arial" w:cs="Arial"/>
                <w:szCs w:val="24"/>
                <w:lang w:val="en-GB" w:eastAsia="en-GB"/>
              </w:rPr>
              <w:t xml:space="preserve"> </w:t>
            </w:r>
          </w:p>
        </w:tc>
        <w:tc>
          <w:tcPr>
            <w:tcW w:w="5397" w:type="dxa"/>
            <w:tcBorders>
              <w:top w:val="nil"/>
              <w:left w:val="nil"/>
              <w:bottom w:val="single" w:sz="8" w:space="0" w:color="auto"/>
              <w:right w:val="single" w:sz="8" w:space="0" w:color="auto"/>
            </w:tcBorders>
            <w:shd w:val="clear" w:color="auto" w:fill="auto"/>
            <w:vAlign w:val="center"/>
            <w:hideMark/>
          </w:tcPr>
          <w:p w14:paraId="61344A1E" w14:textId="77777777" w:rsidR="00A94BB5" w:rsidRPr="0033457D" w:rsidRDefault="00A94BB5" w:rsidP="00A94BB5">
            <w:pPr>
              <w:spacing w:after="0"/>
              <w:jc w:val="left"/>
              <w:rPr>
                <w:rFonts w:ascii="Arial" w:hAnsi="Arial" w:cs="Arial"/>
                <w:color w:val="FF0000"/>
                <w:szCs w:val="24"/>
                <w:lang w:val="en-GB" w:eastAsia="en-GB"/>
              </w:rPr>
            </w:pPr>
            <w:r w:rsidRPr="0033457D">
              <w:rPr>
                <w:rFonts w:ascii="Arial" w:hAnsi="Arial" w:cs="Arial"/>
                <w:color w:val="FF0000"/>
                <w:szCs w:val="24"/>
                <w:lang w:val="en-GB" w:eastAsia="en-GB"/>
              </w:rPr>
              <w:t> </w:t>
            </w:r>
          </w:p>
        </w:tc>
      </w:tr>
      <w:tr w:rsidR="0033457D" w:rsidRPr="0033457D" w14:paraId="5F8C6270" w14:textId="77777777" w:rsidTr="00FB3EF7">
        <w:trPr>
          <w:trHeight w:val="320"/>
        </w:trPr>
        <w:tc>
          <w:tcPr>
            <w:tcW w:w="2967" w:type="dxa"/>
            <w:tcBorders>
              <w:top w:val="nil"/>
              <w:left w:val="single" w:sz="8" w:space="0" w:color="auto"/>
              <w:bottom w:val="single" w:sz="8" w:space="0" w:color="auto"/>
              <w:right w:val="single" w:sz="8" w:space="0" w:color="auto"/>
            </w:tcBorders>
            <w:shd w:val="clear" w:color="auto" w:fill="auto"/>
            <w:vAlign w:val="center"/>
            <w:hideMark/>
          </w:tcPr>
          <w:p w14:paraId="268F5253" w14:textId="77777777" w:rsidR="00A94BB5" w:rsidRPr="00A622AD" w:rsidRDefault="00A94BB5" w:rsidP="00A94BB5">
            <w:pPr>
              <w:spacing w:after="0"/>
              <w:jc w:val="left"/>
              <w:rPr>
                <w:rFonts w:ascii="Arial" w:hAnsi="Arial" w:cs="Arial"/>
                <w:szCs w:val="24"/>
                <w:lang w:val="en-GB" w:eastAsia="en-GB"/>
              </w:rPr>
            </w:pPr>
            <w:r w:rsidRPr="00A622AD">
              <w:rPr>
                <w:rFonts w:ascii="Arial" w:hAnsi="Arial" w:cs="Arial"/>
                <w:szCs w:val="24"/>
                <w:lang w:val="en-GB" w:eastAsia="en-GB"/>
              </w:rPr>
              <w:t>Specialist post-16 institutions</w:t>
            </w:r>
          </w:p>
        </w:tc>
        <w:tc>
          <w:tcPr>
            <w:tcW w:w="1559" w:type="dxa"/>
            <w:tcBorders>
              <w:top w:val="nil"/>
              <w:left w:val="nil"/>
              <w:bottom w:val="single" w:sz="8" w:space="0" w:color="auto"/>
              <w:right w:val="single" w:sz="8" w:space="0" w:color="auto"/>
            </w:tcBorders>
            <w:shd w:val="clear" w:color="auto" w:fill="auto"/>
            <w:vAlign w:val="center"/>
            <w:hideMark/>
          </w:tcPr>
          <w:p w14:paraId="635606E1" w14:textId="67566363" w:rsidR="00A94BB5" w:rsidRPr="00A622AD" w:rsidRDefault="00A6336E" w:rsidP="00A94BB5">
            <w:pPr>
              <w:spacing w:after="0"/>
              <w:jc w:val="right"/>
              <w:rPr>
                <w:rFonts w:ascii="Arial" w:hAnsi="Arial" w:cs="Arial"/>
                <w:szCs w:val="24"/>
                <w:lang w:val="en-GB" w:eastAsia="en-GB"/>
              </w:rPr>
            </w:pPr>
            <w:r>
              <w:rPr>
                <w:rFonts w:ascii="Arial" w:hAnsi="Arial" w:cs="Arial"/>
                <w:szCs w:val="24"/>
                <w:lang w:val="en-GB" w:eastAsia="en-GB"/>
              </w:rPr>
              <w:t>10,580</w:t>
            </w:r>
          </w:p>
        </w:tc>
        <w:tc>
          <w:tcPr>
            <w:tcW w:w="5397" w:type="dxa"/>
            <w:tcBorders>
              <w:top w:val="nil"/>
              <w:left w:val="nil"/>
              <w:bottom w:val="single" w:sz="8" w:space="0" w:color="auto"/>
              <w:right w:val="single" w:sz="8" w:space="0" w:color="auto"/>
            </w:tcBorders>
            <w:shd w:val="clear" w:color="auto" w:fill="auto"/>
            <w:vAlign w:val="center"/>
            <w:hideMark/>
          </w:tcPr>
          <w:p w14:paraId="7652BF93" w14:textId="77777777" w:rsidR="00A94BB5" w:rsidRPr="0033457D" w:rsidRDefault="00A94BB5" w:rsidP="00A94BB5">
            <w:pPr>
              <w:spacing w:after="0"/>
              <w:jc w:val="left"/>
              <w:rPr>
                <w:rFonts w:ascii="Arial" w:hAnsi="Arial" w:cs="Arial"/>
                <w:color w:val="FF0000"/>
                <w:szCs w:val="24"/>
                <w:lang w:val="en-GB" w:eastAsia="en-GB"/>
              </w:rPr>
            </w:pPr>
            <w:r w:rsidRPr="0033457D">
              <w:rPr>
                <w:rFonts w:ascii="Arial" w:hAnsi="Arial" w:cs="Arial"/>
                <w:color w:val="FF0000"/>
                <w:szCs w:val="24"/>
                <w:lang w:val="en-GB" w:eastAsia="en-GB"/>
              </w:rPr>
              <w:t> </w:t>
            </w:r>
          </w:p>
        </w:tc>
      </w:tr>
      <w:tr w:rsidR="0033457D" w:rsidRPr="0033457D" w14:paraId="7DD8A16C" w14:textId="77777777" w:rsidTr="00FB3EF7">
        <w:trPr>
          <w:trHeight w:val="630"/>
        </w:trPr>
        <w:tc>
          <w:tcPr>
            <w:tcW w:w="2967" w:type="dxa"/>
            <w:tcBorders>
              <w:top w:val="nil"/>
              <w:left w:val="single" w:sz="8" w:space="0" w:color="auto"/>
              <w:bottom w:val="single" w:sz="8" w:space="0" w:color="auto"/>
              <w:right w:val="single" w:sz="8" w:space="0" w:color="auto"/>
            </w:tcBorders>
            <w:shd w:val="clear" w:color="000000" w:fill="D9D9D9"/>
            <w:vAlign w:val="center"/>
            <w:hideMark/>
          </w:tcPr>
          <w:p w14:paraId="27A93C3B" w14:textId="0A0317D4" w:rsidR="00A94BB5" w:rsidRPr="00A622AD" w:rsidRDefault="00A94BB5" w:rsidP="00A94BB5">
            <w:pPr>
              <w:spacing w:after="0"/>
              <w:jc w:val="left"/>
              <w:rPr>
                <w:rFonts w:ascii="Arial" w:hAnsi="Arial" w:cs="Arial"/>
                <w:szCs w:val="24"/>
                <w:lang w:val="en-GB" w:eastAsia="en-GB"/>
              </w:rPr>
            </w:pPr>
            <w:r w:rsidRPr="00A622AD">
              <w:rPr>
                <w:rFonts w:ascii="Arial" w:hAnsi="Arial" w:cs="Arial"/>
                <w:szCs w:val="24"/>
                <w:lang w:val="en-GB" w:eastAsia="en-GB"/>
              </w:rPr>
              <w:t xml:space="preserve">High needs funding </w:t>
            </w:r>
            <w:r w:rsidR="00236DE0">
              <w:rPr>
                <w:rFonts w:ascii="Arial" w:hAnsi="Arial" w:cs="Arial"/>
                <w:szCs w:val="24"/>
                <w:lang w:val="en-GB" w:eastAsia="en-GB"/>
              </w:rPr>
              <w:t>–</w:t>
            </w:r>
            <w:r w:rsidRPr="00A622AD">
              <w:rPr>
                <w:rFonts w:ascii="Arial" w:hAnsi="Arial" w:cs="Arial"/>
                <w:szCs w:val="24"/>
                <w:lang w:val="en-GB" w:eastAsia="en-GB"/>
              </w:rPr>
              <w:t xml:space="preserve"> independent</w:t>
            </w:r>
            <w:r w:rsidR="00236DE0">
              <w:rPr>
                <w:rFonts w:ascii="Arial" w:hAnsi="Arial" w:cs="Arial"/>
                <w:szCs w:val="24"/>
                <w:lang w:val="en-GB" w:eastAsia="en-GB"/>
              </w:rPr>
              <w:t xml:space="preserve"> providers</w:t>
            </w:r>
          </w:p>
        </w:tc>
        <w:tc>
          <w:tcPr>
            <w:tcW w:w="1559" w:type="dxa"/>
            <w:tcBorders>
              <w:top w:val="nil"/>
              <w:left w:val="nil"/>
              <w:bottom w:val="single" w:sz="8" w:space="0" w:color="auto"/>
              <w:right w:val="single" w:sz="8" w:space="0" w:color="auto"/>
            </w:tcBorders>
            <w:shd w:val="clear" w:color="000000" w:fill="D9D9D9"/>
            <w:vAlign w:val="center"/>
            <w:hideMark/>
          </w:tcPr>
          <w:p w14:paraId="2278593C" w14:textId="2D1FAC12" w:rsidR="00A94BB5" w:rsidRPr="00A622AD" w:rsidRDefault="00D644EE" w:rsidP="00A94BB5">
            <w:pPr>
              <w:spacing w:after="0"/>
              <w:jc w:val="right"/>
              <w:rPr>
                <w:rFonts w:ascii="Arial" w:hAnsi="Arial" w:cs="Arial"/>
                <w:szCs w:val="24"/>
                <w:lang w:val="en-GB" w:eastAsia="en-GB"/>
              </w:rPr>
            </w:pPr>
            <w:r w:rsidRPr="00A622AD">
              <w:rPr>
                <w:rFonts w:ascii="Arial" w:hAnsi="Arial" w:cs="Arial"/>
                <w:szCs w:val="24"/>
                <w:lang w:val="en-GB" w:eastAsia="en-GB"/>
              </w:rPr>
              <w:t>110,398</w:t>
            </w:r>
          </w:p>
        </w:tc>
        <w:tc>
          <w:tcPr>
            <w:tcW w:w="5397" w:type="dxa"/>
            <w:tcBorders>
              <w:top w:val="nil"/>
              <w:left w:val="nil"/>
              <w:bottom w:val="single" w:sz="8" w:space="0" w:color="auto"/>
              <w:right w:val="single" w:sz="8" w:space="0" w:color="auto"/>
            </w:tcBorders>
            <w:shd w:val="clear" w:color="000000" w:fill="D9D9D9"/>
            <w:vAlign w:val="center"/>
            <w:hideMark/>
          </w:tcPr>
          <w:p w14:paraId="7E04164E" w14:textId="29316C45" w:rsidR="00A94BB5" w:rsidRPr="0033457D" w:rsidRDefault="00A94BB5" w:rsidP="00A94BB5">
            <w:pPr>
              <w:spacing w:after="0"/>
              <w:jc w:val="left"/>
              <w:rPr>
                <w:rFonts w:ascii="Arial" w:hAnsi="Arial" w:cs="Arial"/>
                <w:color w:val="FF0000"/>
                <w:szCs w:val="24"/>
                <w:lang w:val="en-GB" w:eastAsia="en-GB"/>
              </w:rPr>
            </w:pPr>
            <w:r w:rsidRPr="00236DE0">
              <w:rPr>
                <w:rFonts w:ascii="Arial" w:hAnsi="Arial" w:cs="Arial"/>
                <w:szCs w:val="24"/>
                <w:lang w:val="en-GB" w:eastAsia="en-GB"/>
              </w:rPr>
              <w:t> </w:t>
            </w:r>
            <w:r w:rsidR="00236DE0" w:rsidRPr="00236DE0">
              <w:rPr>
                <w:rFonts w:ascii="Arial" w:hAnsi="Arial" w:cs="Arial"/>
                <w:szCs w:val="24"/>
                <w:lang w:val="en-GB" w:eastAsia="en-GB"/>
              </w:rPr>
              <w:t xml:space="preserve">Funding for commissioned placements in the independent </w:t>
            </w:r>
            <w:r w:rsidR="00236DE0">
              <w:rPr>
                <w:rFonts w:ascii="Arial" w:hAnsi="Arial" w:cs="Arial"/>
                <w:szCs w:val="24"/>
                <w:lang w:val="en-GB" w:eastAsia="en-GB"/>
              </w:rPr>
              <w:t xml:space="preserve">and </w:t>
            </w:r>
            <w:r w:rsidR="00F91752">
              <w:rPr>
                <w:rFonts w:ascii="Arial" w:hAnsi="Arial" w:cs="Arial"/>
                <w:szCs w:val="24"/>
                <w:lang w:val="en-GB" w:eastAsia="en-GB"/>
              </w:rPr>
              <w:t>non-maintained</w:t>
            </w:r>
            <w:r w:rsidR="00236DE0">
              <w:rPr>
                <w:rFonts w:ascii="Arial" w:hAnsi="Arial" w:cs="Arial"/>
                <w:szCs w:val="24"/>
                <w:lang w:val="en-GB" w:eastAsia="en-GB"/>
              </w:rPr>
              <w:t xml:space="preserve"> </w:t>
            </w:r>
            <w:r w:rsidR="00236DE0" w:rsidRPr="00236DE0">
              <w:rPr>
                <w:rFonts w:ascii="Arial" w:hAnsi="Arial" w:cs="Arial"/>
                <w:szCs w:val="24"/>
                <w:lang w:val="en-GB" w:eastAsia="en-GB"/>
              </w:rPr>
              <w:t>sector</w:t>
            </w:r>
          </w:p>
        </w:tc>
      </w:tr>
      <w:tr w:rsidR="0033457D" w:rsidRPr="0033457D" w14:paraId="2ADF0323" w14:textId="77777777" w:rsidTr="00FB3EF7">
        <w:trPr>
          <w:trHeight w:val="940"/>
        </w:trPr>
        <w:tc>
          <w:tcPr>
            <w:tcW w:w="2967" w:type="dxa"/>
            <w:tcBorders>
              <w:top w:val="nil"/>
              <w:left w:val="single" w:sz="8" w:space="0" w:color="auto"/>
              <w:bottom w:val="single" w:sz="8" w:space="0" w:color="auto"/>
              <w:right w:val="single" w:sz="8" w:space="0" w:color="auto"/>
            </w:tcBorders>
            <w:shd w:val="clear" w:color="auto" w:fill="auto"/>
            <w:vAlign w:val="center"/>
          </w:tcPr>
          <w:p w14:paraId="5380DFED" w14:textId="4BAC657E" w:rsidR="009C3692" w:rsidRPr="00036081" w:rsidRDefault="009C3692" w:rsidP="00A94BB5">
            <w:pPr>
              <w:spacing w:after="0"/>
              <w:jc w:val="left"/>
              <w:rPr>
                <w:rFonts w:ascii="Arial" w:hAnsi="Arial" w:cs="Arial"/>
                <w:szCs w:val="24"/>
                <w:lang w:val="en-GB" w:eastAsia="en-GB"/>
              </w:rPr>
            </w:pPr>
            <w:r w:rsidRPr="00036081">
              <w:rPr>
                <w:rFonts w:ascii="Arial" w:hAnsi="Arial" w:cs="Arial"/>
                <w:szCs w:val="24"/>
                <w:lang w:val="en-GB" w:eastAsia="en-GB"/>
              </w:rPr>
              <w:t xml:space="preserve">Early Years SEN Inclusion </w:t>
            </w:r>
            <w:r w:rsidR="006A6019" w:rsidRPr="00036081">
              <w:rPr>
                <w:rFonts w:ascii="Arial" w:hAnsi="Arial" w:cs="Arial"/>
                <w:szCs w:val="24"/>
                <w:lang w:val="en-GB" w:eastAsia="en-GB"/>
              </w:rPr>
              <w:t>f</w:t>
            </w:r>
            <w:r w:rsidR="006C396A" w:rsidRPr="00036081">
              <w:rPr>
                <w:rFonts w:ascii="Arial" w:hAnsi="Arial" w:cs="Arial"/>
                <w:szCs w:val="24"/>
                <w:lang w:val="en-GB" w:eastAsia="en-GB"/>
              </w:rPr>
              <w:t xml:space="preserve">unding for </w:t>
            </w:r>
            <w:r w:rsidR="009605E4" w:rsidRPr="00036081">
              <w:rPr>
                <w:rFonts w:ascii="Arial" w:hAnsi="Arial" w:cs="Arial"/>
                <w:szCs w:val="24"/>
                <w:lang w:val="en-GB" w:eastAsia="en-GB"/>
              </w:rPr>
              <w:t>children with EHCPs</w:t>
            </w:r>
          </w:p>
        </w:tc>
        <w:tc>
          <w:tcPr>
            <w:tcW w:w="1559" w:type="dxa"/>
            <w:tcBorders>
              <w:top w:val="nil"/>
              <w:left w:val="nil"/>
              <w:bottom w:val="single" w:sz="8" w:space="0" w:color="auto"/>
              <w:right w:val="single" w:sz="8" w:space="0" w:color="auto"/>
            </w:tcBorders>
            <w:shd w:val="clear" w:color="auto" w:fill="auto"/>
            <w:vAlign w:val="center"/>
          </w:tcPr>
          <w:p w14:paraId="37153FF3" w14:textId="77777777" w:rsidR="009C3692" w:rsidRDefault="008E536B" w:rsidP="00A94BB5">
            <w:pPr>
              <w:spacing w:after="0"/>
              <w:jc w:val="right"/>
              <w:rPr>
                <w:rFonts w:ascii="Arial" w:hAnsi="Arial" w:cs="Arial"/>
                <w:szCs w:val="24"/>
                <w:lang w:val="en-GB" w:eastAsia="en-GB"/>
              </w:rPr>
            </w:pPr>
            <w:r w:rsidRPr="00036081">
              <w:rPr>
                <w:rFonts w:ascii="Arial" w:hAnsi="Arial" w:cs="Arial"/>
                <w:szCs w:val="24"/>
                <w:lang w:val="en-GB" w:eastAsia="en-GB"/>
              </w:rPr>
              <w:t>883</w:t>
            </w:r>
          </w:p>
          <w:p w14:paraId="121B759F" w14:textId="3BFBD0D1" w:rsidR="009C3692" w:rsidRPr="00036081" w:rsidRDefault="009C3692" w:rsidP="00A94BB5">
            <w:pPr>
              <w:spacing w:after="0"/>
              <w:jc w:val="right"/>
              <w:rPr>
                <w:rFonts w:ascii="Arial" w:hAnsi="Arial" w:cs="Arial"/>
                <w:szCs w:val="24"/>
                <w:lang w:val="en-GB" w:eastAsia="en-GB"/>
              </w:rPr>
            </w:pPr>
          </w:p>
        </w:tc>
        <w:tc>
          <w:tcPr>
            <w:tcW w:w="5397" w:type="dxa"/>
            <w:tcBorders>
              <w:top w:val="nil"/>
              <w:left w:val="nil"/>
              <w:bottom w:val="single" w:sz="8" w:space="0" w:color="auto"/>
              <w:right w:val="single" w:sz="8" w:space="0" w:color="auto"/>
            </w:tcBorders>
            <w:shd w:val="clear" w:color="auto" w:fill="auto"/>
            <w:vAlign w:val="center"/>
          </w:tcPr>
          <w:p w14:paraId="427C052A" w14:textId="031A19BD" w:rsidR="009C3692" w:rsidRPr="00036081" w:rsidRDefault="009C3692" w:rsidP="00A94BB5">
            <w:pPr>
              <w:spacing w:after="0"/>
              <w:jc w:val="left"/>
              <w:rPr>
                <w:rFonts w:ascii="Arial" w:hAnsi="Arial" w:cs="Arial"/>
                <w:szCs w:val="24"/>
                <w:lang w:val="en-GB" w:eastAsia="en-GB"/>
              </w:rPr>
            </w:pPr>
          </w:p>
        </w:tc>
      </w:tr>
      <w:tr w:rsidR="0033457D" w:rsidRPr="0033457D" w14:paraId="790A638C" w14:textId="77777777" w:rsidTr="00FB3EF7">
        <w:trPr>
          <w:trHeight w:val="940"/>
        </w:trPr>
        <w:tc>
          <w:tcPr>
            <w:tcW w:w="2967" w:type="dxa"/>
            <w:tcBorders>
              <w:top w:val="nil"/>
              <w:left w:val="single" w:sz="8" w:space="0" w:color="auto"/>
              <w:bottom w:val="single" w:sz="8" w:space="0" w:color="auto"/>
              <w:right w:val="single" w:sz="8" w:space="0" w:color="auto"/>
            </w:tcBorders>
            <w:shd w:val="clear" w:color="auto" w:fill="auto"/>
            <w:vAlign w:val="center"/>
            <w:hideMark/>
          </w:tcPr>
          <w:p w14:paraId="7AB5AC6F" w14:textId="77777777" w:rsidR="00A94BB5" w:rsidRPr="001F79AF" w:rsidRDefault="00A94BB5" w:rsidP="00A94BB5">
            <w:pPr>
              <w:spacing w:after="0"/>
              <w:jc w:val="left"/>
              <w:rPr>
                <w:rFonts w:ascii="Arial" w:hAnsi="Arial" w:cs="Arial"/>
                <w:szCs w:val="24"/>
                <w:lang w:val="en-GB" w:eastAsia="en-GB"/>
              </w:rPr>
            </w:pPr>
            <w:r w:rsidRPr="001F79AF">
              <w:rPr>
                <w:rFonts w:ascii="Arial" w:hAnsi="Arial" w:cs="Arial"/>
                <w:szCs w:val="24"/>
                <w:lang w:val="en-GB" w:eastAsia="en-GB"/>
              </w:rPr>
              <w:t>Specialist teacher advisory service</w:t>
            </w:r>
          </w:p>
        </w:tc>
        <w:tc>
          <w:tcPr>
            <w:tcW w:w="1559" w:type="dxa"/>
            <w:tcBorders>
              <w:top w:val="nil"/>
              <w:left w:val="nil"/>
              <w:bottom w:val="single" w:sz="8" w:space="0" w:color="auto"/>
              <w:right w:val="single" w:sz="8" w:space="0" w:color="auto"/>
            </w:tcBorders>
            <w:shd w:val="clear" w:color="auto" w:fill="auto"/>
            <w:vAlign w:val="center"/>
            <w:hideMark/>
          </w:tcPr>
          <w:p w14:paraId="26A51670" w14:textId="56B59959" w:rsidR="00A94BB5" w:rsidRPr="001F79AF" w:rsidRDefault="00A94BB5" w:rsidP="00A94BB5">
            <w:pPr>
              <w:spacing w:after="0"/>
              <w:jc w:val="right"/>
              <w:rPr>
                <w:rFonts w:ascii="Arial" w:hAnsi="Arial" w:cs="Arial"/>
                <w:szCs w:val="24"/>
                <w:lang w:val="en-GB" w:eastAsia="en-GB"/>
              </w:rPr>
            </w:pPr>
            <w:r w:rsidRPr="001F79AF">
              <w:rPr>
                <w:rFonts w:ascii="Arial" w:hAnsi="Arial" w:cs="Arial"/>
                <w:szCs w:val="24"/>
                <w:lang w:val="en-GB" w:eastAsia="en-GB"/>
              </w:rPr>
              <w:t xml:space="preserve">                                                    </w:t>
            </w:r>
            <w:r w:rsidR="00BF3170" w:rsidRPr="001F79AF">
              <w:rPr>
                <w:rFonts w:ascii="Arial" w:hAnsi="Arial" w:cs="Arial"/>
                <w:szCs w:val="24"/>
                <w:lang w:val="en-GB" w:eastAsia="en-GB"/>
              </w:rPr>
              <w:t>5,095</w:t>
            </w:r>
            <w:r w:rsidRPr="001F79AF">
              <w:rPr>
                <w:rFonts w:ascii="Arial" w:hAnsi="Arial" w:cs="Arial"/>
                <w:szCs w:val="24"/>
                <w:lang w:val="en-GB" w:eastAsia="en-GB"/>
              </w:rPr>
              <w:t xml:space="preserve"> </w:t>
            </w:r>
          </w:p>
        </w:tc>
        <w:tc>
          <w:tcPr>
            <w:tcW w:w="5397" w:type="dxa"/>
            <w:tcBorders>
              <w:top w:val="nil"/>
              <w:left w:val="nil"/>
              <w:bottom w:val="single" w:sz="8" w:space="0" w:color="auto"/>
              <w:right w:val="single" w:sz="8" w:space="0" w:color="auto"/>
            </w:tcBorders>
            <w:shd w:val="clear" w:color="auto" w:fill="auto"/>
            <w:vAlign w:val="center"/>
            <w:hideMark/>
          </w:tcPr>
          <w:p w14:paraId="265A80C2" w14:textId="77777777" w:rsidR="00A94BB5" w:rsidRPr="001F79AF" w:rsidRDefault="00A94BB5" w:rsidP="00A94BB5">
            <w:pPr>
              <w:spacing w:after="0"/>
              <w:jc w:val="left"/>
              <w:rPr>
                <w:rFonts w:ascii="Arial" w:hAnsi="Arial" w:cs="Arial"/>
                <w:szCs w:val="24"/>
                <w:lang w:val="en-GB" w:eastAsia="en-GB"/>
              </w:rPr>
            </w:pPr>
            <w:r w:rsidRPr="001F79AF">
              <w:rPr>
                <w:rFonts w:ascii="Arial" w:hAnsi="Arial" w:cs="Arial"/>
                <w:szCs w:val="24"/>
                <w:lang w:val="en-GB" w:eastAsia="en-GB"/>
              </w:rPr>
              <w:t>Includes specialist teacher advisors, speech and language therapy and equipment.</w:t>
            </w:r>
          </w:p>
        </w:tc>
      </w:tr>
      <w:tr w:rsidR="0033457D" w:rsidRPr="0033457D" w14:paraId="54CF4F8B" w14:textId="77777777" w:rsidTr="00FB3EF7">
        <w:trPr>
          <w:trHeight w:val="1250"/>
        </w:trPr>
        <w:tc>
          <w:tcPr>
            <w:tcW w:w="2967" w:type="dxa"/>
            <w:tcBorders>
              <w:top w:val="nil"/>
              <w:left w:val="single" w:sz="8" w:space="0" w:color="auto"/>
              <w:bottom w:val="single" w:sz="8" w:space="0" w:color="auto"/>
              <w:right w:val="single" w:sz="8" w:space="0" w:color="auto"/>
            </w:tcBorders>
            <w:shd w:val="clear" w:color="auto" w:fill="auto"/>
            <w:vAlign w:val="center"/>
            <w:hideMark/>
          </w:tcPr>
          <w:p w14:paraId="1E99E03B" w14:textId="77777777" w:rsidR="00A94BB5" w:rsidRPr="00EC6EBF" w:rsidRDefault="00A94BB5" w:rsidP="00A94BB5">
            <w:pPr>
              <w:spacing w:after="0"/>
              <w:jc w:val="left"/>
              <w:rPr>
                <w:rFonts w:ascii="Arial" w:hAnsi="Arial" w:cs="Arial"/>
                <w:szCs w:val="24"/>
                <w:lang w:val="en-GB" w:eastAsia="en-GB"/>
              </w:rPr>
            </w:pPr>
            <w:r w:rsidRPr="00EC6EBF">
              <w:rPr>
                <w:rFonts w:ascii="Arial" w:hAnsi="Arial" w:cs="Arial"/>
                <w:szCs w:val="24"/>
                <w:lang w:val="en-GB" w:eastAsia="en-GB"/>
              </w:rPr>
              <w:t>High needs centrally funded provision</w:t>
            </w:r>
          </w:p>
        </w:tc>
        <w:tc>
          <w:tcPr>
            <w:tcW w:w="1559" w:type="dxa"/>
            <w:tcBorders>
              <w:top w:val="nil"/>
              <w:left w:val="nil"/>
              <w:bottom w:val="single" w:sz="8" w:space="0" w:color="auto"/>
              <w:right w:val="single" w:sz="8" w:space="0" w:color="auto"/>
            </w:tcBorders>
            <w:shd w:val="clear" w:color="auto" w:fill="auto"/>
            <w:vAlign w:val="center"/>
            <w:hideMark/>
          </w:tcPr>
          <w:p w14:paraId="103C0058" w14:textId="3E052DD0" w:rsidR="00A94BB5" w:rsidRPr="00EC6EBF" w:rsidRDefault="00A94BB5" w:rsidP="00A94BB5">
            <w:pPr>
              <w:spacing w:after="0"/>
              <w:jc w:val="right"/>
              <w:rPr>
                <w:rFonts w:ascii="Arial" w:hAnsi="Arial" w:cs="Arial"/>
                <w:szCs w:val="24"/>
                <w:lang w:val="en-GB" w:eastAsia="en-GB"/>
              </w:rPr>
            </w:pPr>
            <w:r w:rsidRPr="00EC6EBF">
              <w:rPr>
                <w:rFonts w:ascii="Arial" w:hAnsi="Arial" w:cs="Arial"/>
                <w:szCs w:val="24"/>
                <w:lang w:val="en-GB" w:eastAsia="en-GB"/>
              </w:rPr>
              <w:t xml:space="preserve">                                                    </w:t>
            </w:r>
            <w:r w:rsidR="00121E0B" w:rsidRPr="00EC6EBF">
              <w:rPr>
                <w:rFonts w:ascii="Arial" w:hAnsi="Arial" w:cs="Arial"/>
                <w:szCs w:val="24"/>
                <w:lang w:val="en-GB" w:eastAsia="en-GB"/>
              </w:rPr>
              <w:t>2,</w:t>
            </w:r>
            <w:r w:rsidR="00EC6EBF" w:rsidRPr="00EC6EBF">
              <w:rPr>
                <w:rFonts w:ascii="Arial" w:hAnsi="Arial" w:cs="Arial"/>
                <w:szCs w:val="24"/>
                <w:lang w:val="en-GB" w:eastAsia="en-GB"/>
              </w:rPr>
              <w:t>836</w:t>
            </w:r>
            <w:r w:rsidRPr="00EC6EBF">
              <w:rPr>
                <w:rFonts w:ascii="Arial" w:hAnsi="Arial" w:cs="Arial"/>
                <w:szCs w:val="24"/>
                <w:lang w:val="en-GB" w:eastAsia="en-GB"/>
              </w:rPr>
              <w:t xml:space="preserve"> </w:t>
            </w:r>
          </w:p>
        </w:tc>
        <w:tc>
          <w:tcPr>
            <w:tcW w:w="5397" w:type="dxa"/>
            <w:tcBorders>
              <w:top w:val="nil"/>
              <w:left w:val="nil"/>
              <w:bottom w:val="single" w:sz="8" w:space="0" w:color="auto"/>
              <w:right w:val="single" w:sz="8" w:space="0" w:color="auto"/>
            </w:tcBorders>
            <w:shd w:val="clear" w:color="auto" w:fill="auto"/>
            <w:vAlign w:val="center"/>
            <w:hideMark/>
          </w:tcPr>
          <w:p w14:paraId="68E5D954" w14:textId="04CB56A5" w:rsidR="00A94BB5" w:rsidRPr="00EC6EBF" w:rsidRDefault="00A94BB5" w:rsidP="00A94BB5">
            <w:pPr>
              <w:spacing w:after="0"/>
              <w:jc w:val="left"/>
              <w:rPr>
                <w:rFonts w:ascii="Arial" w:hAnsi="Arial" w:cs="Arial"/>
                <w:szCs w:val="24"/>
                <w:lang w:val="en-GB" w:eastAsia="en-GB"/>
              </w:rPr>
            </w:pPr>
            <w:r w:rsidRPr="00EC6EBF">
              <w:rPr>
                <w:rFonts w:ascii="Arial" w:hAnsi="Arial" w:cs="Arial"/>
                <w:szCs w:val="24"/>
                <w:lang w:val="en-GB" w:eastAsia="en-GB"/>
              </w:rPr>
              <w:t>Includes SHIP, TOP, early bird funding</w:t>
            </w:r>
            <w:r w:rsidR="00F149AE" w:rsidRPr="00EC6EBF">
              <w:rPr>
                <w:rFonts w:ascii="Arial" w:hAnsi="Arial" w:cs="Arial"/>
                <w:szCs w:val="24"/>
                <w:lang w:val="en-GB" w:eastAsia="en-GB"/>
              </w:rPr>
              <w:t xml:space="preserve"> and</w:t>
            </w:r>
            <w:r w:rsidRPr="00EC6EBF">
              <w:rPr>
                <w:rFonts w:ascii="Arial" w:hAnsi="Arial" w:cs="Arial"/>
                <w:szCs w:val="24"/>
                <w:lang w:val="en-GB" w:eastAsia="en-GB"/>
              </w:rPr>
              <w:t xml:space="preserve"> invest to save recharges and projects.</w:t>
            </w:r>
          </w:p>
        </w:tc>
      </w:tr>
      <w:tr w:rsidR="0033457D" w:rsidRPr="0033457D" w14:paraId="28C5F52D" w14:textId="77777777" w:rsidTr="00FB3EF7">
        <w:trPr>
          <w:trHeight w:val="320"/>
        </w:trPr>
        <w:tc>
          <w:tcPr>
            <w:tcW w:w="2967" w:type="dxa"/>
            <w:tcBorders>
              <w:top w:val="nil"/>
              <w:left w:val="single" w:sz="8" w:space="0" w:color="auto"/>
              <w:bottom w:val="single" w:sz="8" w:space="0" w:color="auto"/>
              <w:right w:val="single" w:sz="8" w:space="0" w:color="auto"/>
            </w:tcBorders>
            <w:shd w:val="clear" w:color="000000" w:fill="D9D9D9"/>
            <w:vAlign w:val="center"/>
            <w:hideMark/>
          </w:tcPr>
          <w:p w14:paraId="302B7425" w14:textId="77777777" w:rsidR="00A94BB5" w:rsidRPr="004219FE" w:rsidRDefault="00A94BB5" w:rsidP="00A94BB5">
            <w:pPr>
              <w:spacing w:after="0"/>
              <w:jc w:val="left"/>
              <w:rPr>
                <w:rFonts w:ascii="Arial" w:hAnsi="Arial" w:cs="Arial"/>
                <w:szCs w:val="24"/>
                <w:lang w:val="en-GB" w:eastAsia="en-GB"/>
              </w:rPr>
            </w:pPr>
            <w:r w:rsidRPr="004219FE">
              <w:rPr>
                <w:rFonts w:ascii="Arial" w:hAnsi="Arial" w:cs="Arial"/>
                <w:szCs w:val="24"/>
                <w:lang w:val="en-GB" w:eastAsia="en-GB"/>
              </w:rPr>
              <w:t>SEN support services</w:t>
            </w:r>
          </w:p>
        </w:tc>
        <w:tc>
          <w:tcPr>
            <w:tcW w:w="1559" w:type="dxa"/>
            <w:tcBorders>
              <w:top w:val="nil"/>
              <w:left w:val="nil"/>
              <w:bottom w:val="single" w:sz="8" w:space="0" w:color="auto"/>
              <w:right w:val="single" w:sz="8" w:space="0" w:color="auto"/>
            </w:tcBorders>
            <w:shd w:val="clear" w:color="000000" w:fill="D9D9D9"/>
            <w:vAlign w:val="center"/>
            <w:hideMark/>
          </w:tcPr>
          <w:p w14:paraId="0E137175" w14:textId="091CA5BC" w:rsidR="00A94BB5" w:rsidRPr="004219FE" w:rsidRDefault="00A94BB5" w:rsidP="00A94BB5">
            <w:pPr>
              <w:spacing w:after="0"/>
              <w:jc w:val="right"/>
              <w:rPr>
                <w:rFonts w:ascii="Arial" w:hAnsi="Arial" w:cs="Arial"/>
                <w:szCs w:val="24"/>
                <w:lang w:val="en-GB" w:eastAsia="en-GB"/>
              </w:rPr>
            </w:pPr>
            <w:r w:rsidRPr="004219FE">
              <w:rPr>
                <w:rFonts w:ascii="Arial" w:hAnsi="Arial" w:cs="Arial"/>
                <w:szCs w:val="24"/>
                <w:lang w:val="en-GB" w:eastAsia="en-GB"/>
              </w:rPr>
              <w:t xml:space="preserve">                                                    </w:t>
            </w:r>
            <w:r w:rsidR="004219FE" w:rsidRPr="004219FE">
              <w:rPr>
                <w:rFonts w:ascii="Arial" w:hAnsi="Arial" w:cs="Arial"/>
                <w:szCs w:val="24"/>
                <w:lang w:val="en-GB" w:eastAsia="en-GB"/>
              </w:rPr>
              <w:t>8,814</w:t>
            </w:r>
            <w:r w:rsidRPr="004219FE">
              <w:rPr>
                <w:rFonts w:ascii="Arial" w:hAnsi="Arial" w:cs="Arial"/>
                <w:szCs w:val="24"/>
                <w:lang w:val="en-GB" w:eastAsia="en-GB"/>
              </w:rPr>
              <w:t xml:space="preserve"> </w:t>
            </w:r>
          </w:p>
        </w:tc>
        <w:tc>
          <w:tcPr>
            <w:tcW w:w="5397" w:type="dxa"/>
            <w:tcBorders>
              <w:top w:val="nil"/>
              <w:left w:val="nil"/>
              <w:bottom w:val="single" w:sz="8" w:space="0" w:color="auto"/>
              <w:right w:val="single" w:sz="8" w:space="0" w:color="auto"/>
            </w:tcBorders>
            <w:shd w:val="clear" w:color="000000" w:fill="D9D9D9"/>
            <w:vAlign w:val="center"/>
            <w:hideMark/>
          </w:tcPr>
          <w:p w14:paraId="1AF449F5" w14:textId="77777777" w:rsidR="00A94BB5" w:rsidRPr="0033457D" w:rsidRDefault="00A94BB5" w:rsidP="00A94BB5">
            <w:pPr>
              <w:spacing w:after="0"/>
              <w:jc w:val="left"/>
              <w:rPr>
                <w:rFonts w:ascii="Arial" w:hAnsi="Arial" w:cs="Arial"/>
                <w:color w:val="FF0000"/>
                <w:szCs w:val="24"/>
                <w:lang w:val="en-GB" w:eastAsia="en-GB"/>
              </w:rPr>
            </w:pPr>
            <w:r w:rsidRPr="0033457D">
              <w:rPr>
                <w:rFonts w:ascii="Arial" w:hAnsi="Arial" w:cs="Arial"/>
                <w:color w:val="FF0000"/>
                <w:szCs w:val="24"/>
                <w:lang w:val="en-GB" w:eastAsia="en-GB"/>
              </w:rPr>
              <w:t> </w:t>
            </w:r>
          </w:p>
        </w:tc>
      </w:tr>
      <w:tr w:rsidR="0033457D" w:rsidRPr="0033457D" w14:paraId="39E73F29" w14:textId="77777777" w:rsidTr="00FB3EF7">
        <w:trPr>
          <w:trHeight w:val="940"/>
        </w:trPr>
        <w:tc>
          <w:tcPr>
            <w:tcW w:w="2967" w:type="dxa"/>
            <w:tcBorders>
              <w:top w:val="nil"/>
              <w:left w:val="single" w:sz="8" w:space="0" w:color="auto"/>
              <w:bottom w:val="single" w:sz="8" w:space="0" w:color="auto"/>
              <w:right w:val="single" w:sz="8" w:space="0" w:color="auto"/>
            </w:tcBorders>
            <w:shd w:val="clear" w:color="000000" w:fill="D9D9D9"/>
            <w:vAlign w:val="center"/>
            <w:hideMark/>
          </w:tcPr>
          <w:p w14:paraId="4D5B8987" w14:textId="77777777" w:rsidR="00A94BB5" w:rsidRPr="008A473B" w:rsidRDefault="00A94BB5" w:rsidP="00A94BB5">
            <w:pPr>
              <w:spacing w:after="0"/>
              <w:jc w:val="left"/>
              <w:rPr>
                <w:rFonts w:ascii="Arial" w:hAnsi="Arial" w:cs="Arial"/>
                <w:szCs w:val="24"/>
                <w:lang w:val="en-GB" w:eastAsia="en-GB"/>
              </w:rPr>
            </w:pPr>
            <w:r w:rsidRPr="008A473B">
              <w:rPr>
                <w:rFonts w:ascii="Arial" w:hAnsi="Arial" w:cs="Arial"/>
                <w:szCs w:val="24"/>
                <w:lang w:val="en-GB" w:eastAsia="en-GB"/>
              </w:rPr>
              <w:t>High needs support for inclusion</w:t>
            </w:r>
          </w:p>
        </w:tc>
        <w:tc>
          <w:tcPr>
            <w:tcW w:w="1559" w:type="dxa"/>
            <w:tcBorders>
              <w:top w:val="nil"/>
              <w:left w:val="nil"/>
              <w:bottom w:val="single" w:sz="8" w:space="0" w:color="auto"/>
              <w:right w:val="single" w:sz="8" w:space="0" w:color="auto"/>
            </w:tcBorders>
            <w:shd w:val="clear" w:color="000000" w:fill="D9D9D9"/>
            <w:vAlign w:val="center"/>
            <w:hideMark/>
          </w:tcPr>
          <w:p w14:paraId="4BB7D323" w14:textId="7E9A8970" w:rsidR="00A94BB5" w:rsidRPr="008A473B" w:rsidRDefault="00A94BB5" w:rsidP="00A94BB5">
            <w:pPr>
              <w:spacing w:after="0"/>
              <w:jc w:val="right"/>
              <w:rPr>
                <w:rFonts w:ascii="Arial" w:hAnsi="Arial" w:cs="Arial"/>
                <w:szCs w:val="24"/>
                <w:lang w:val="en-GB" w:eastAsia="en-GB"/>
              </w:rPr>
            </w:pPr>
            <w:r w:rsidRPr="008A473B">
              <w:rPr>
                <w:rFonts w:ascii="Arial" w:hAnsi="Arial" w:cs="Arial"/>
                <w:szCs w:val="24"/>
                <w:lang w:val="en-GB" w:eastAsia="en-GB"/>
              </w:rPr>
              <w:t xml:space="preserve">                                                    3,</w:t>
            </w:r>
            <w:r w:rsidR="008A473B" w:rsidRPr="008A473B">
              <w:rPr>
                <w:rFonts w:ascii="Arial" w:hAnsi="Arial" w:cs="Arial"/>
                <w:szCs w:val="24"/>
                <w:lang w:val="en-GB" w:eastAsia="en-GB"/>
              </w:rPr>
              <w:t>954</w:t>
            </w:r>
            <w:r w:rsidRPr="008A473B">
              <w:rPr>
                <w:rFonts w:ascii="Arial" w:hAnsi="Arial" w:cs="Arial"/>
                <w:szCs w:val="24"/>
                <w:lang w:val="en-GB" w:eastAsia="en-GB"/>
              </w:rPr>
              <w:t xml:space="preserve"> </w:t>
            </w:r>
          </w:p>
        </w:tc>
        <w:tc>
          <w:tcPr>
            <w:tcW w:w="5397" w:type="dxa"/>
            <w:tcBorders>
              <w:top w:val="nil"/>
              <w:left w:val="nil"/>
              <w:bottom w:val="single" w:sz="8" w:space="0" w:color="auto"/>
              <w:right w:val="single" w:sz="8" w:space="0" w:color="auto"/>
            </w:tcBorders>
            <w:shd w:val="clear" w:color="000000" w:fill="D9D9D9"/>
            <w:vAlign w:val="center"/>
            <w:hideMark/>
          </w:tcPr>
          <w:p w14:paraId="662BD069" w14:textId="1AB52E06" w:rsidR="00A94BB5" w:rsidRPr="008A473B" w:rsidRDefault="00A94BB5" w:rsidP="00A94BB5">
            <w:pPr>
              <w:spacing w:after="0"/>
              <w:jc w:val="left"/>
              <w:rPr>
                <w:rFonts w:ascii="Arial" w:hAnsi="Arial" w:cs="Arial"/>
                <w:szCs w:val="24"/>
                <w:lang w:val="en-GB" w:eastAsia="en-GB"/>
              </w:rPr>
            </w:pPr>
            <w:r w:rsidRPr="008A473B">
              <w:rPr>
                <w:rFonts w:ascii="Arial" w:hAnsi="Arial" w:cs="Arial"/>
                <w:szCs w:val="24"/>
                <w:lang w:val="en-GB" w:eastAsia="en-GB"/>
              </w:rPr>
              <w:t>Includes Inclusion Support Service, Primary Behaviour Service</w:t>
            </w:r>
            <w:r w:rsidR="00B16DF8" w:rsidRPr="008A473B">
              <w:rPr>
                <w:rFonts w:ascii="Arial" w:hAnsi="Arial" w:cs="Arial"/>
                <w:szCs w:val="24"/>
                <w:lang w:val="en-GB" w:eastAsia="en-GB"/>
              </w:rPr>
              <w:t>,</w:t>
            </w:r>
            <w:r w:rsidRPr="008A473B">
              <w:rPr>
                <w:rFonts w:ascii="Arial" w:hAnsi="Arial" w:cs="Arial"/>
                <w:szCs w:val="24"/>
                <w:lang w:val="en-GB" w:eastAsia="en-GB"/>
              </w:rPr>
              <w:t xml:space="preserve"> virtual learning environments</w:t>
            </w:r>
            <w:r w:rsidR="00B16DF8" w:rsidRPr="008A473B">
              <w:rPr>
                <w:rFonts w:ascii="Arial" w:hAnsi="Arial" w:cs="Arial"/>
                <w:szCs w:val="24"/>
                <w:lang w:val="en-GB" w:eastAsia="en-GB"/>
              </w:rPr>
              <w:t xml:space="preserve"> and </w:t>
            </w:r>
            <w:r w:rsidR="008D42C0" w:rsidRPr="008A473B">
              <w:rPr>
                <w:rFonts w:ascii="Arial" w:hAnsi="Arial" w:cs="Arial"/>
                <w:szCs w:val="24"/>
                <w:lang w:val="en-GB" w:eastAsia="en-GB"/>
              </w:rPr>
              <w:t>complex admissions team</w:t>
            </w:r>
            <w:r w:rsidRPr="008A473B">
              <w:rPr>
                <w:rFonts w:ascii="Arial" w:hAnsi="Arial" w:cs="Arial"/>
                <w:szCs w:val="24"/>
                <w:lang w:val="en-GB" w:eastAsia="en-GB"/>
              </w:rPr>
              <w:t>.</w:t>
            </w:r>
          </w:p>
        </w:tc>
      </w:tr>
      <w:tr w:rsidR="0033457D" w:rsidRPr="0033457D" w14:paraId="76F0415B" w14:textId="77777777" w:rsidTr="00FB3EF7">
        <w:trPr>
          <w:trHeight w:val="940"/>
        </w:trPr>
        <w:tc>
          <w:tcPr>
            <w:tcW w:w="2967" w:type="dxa"/>
            <w:tcBorders>
              <w:top w:val="nil"/>
              <w:left w:val="single" w:sz="8" w:space="0" w:color="auto"/>
              <w:bottom w:val="single" w:sz="8" w:space="0" w:color="auto"/>
              <w:right w:val="single" w:sz="8" w:space="0" w:color="auto"/>
            </w:tcBorders>
            <w:shd w:val="clear" w:color="000000" w:fill="D9D9D9"/>
            <w:vAlign w:val="center"/>
            <w:hideMark/>
          </w:tcPr>
          <w:p w14:paraId="776EDAC3" w14:textId="77777777" w:rsidR="00A94BB5" w:rsidRPr="006D6BAF" w:rsidRDefault="00A94BB5" w:rsidP="00A94BB5">
            <w:pPr>
              <w:spacing w:after="0"/>
              <w:jc w:val="left"/>
              <w:rPr>
                <w:rFonts w:ascii="Arial" w:hAnsi="Arial" w:cs="Arial"/>
                <w:szCs w:val="24"/>
                <w:lang w:val="en-GB" w:eastAsia="en-GB"/>
              </w:rPr>
            </w:pPr>
            <w:r w:rsidRPr="006D6BAF">
              <w:rPr>
                <w:rFonts w:ascii="Arial" w:hAnsi="Arial" w:cs="Arial"/>
                <w:szCs w:val="24"/>
                <w:lang w:val="en-GB" w:eastAsia="en-GB"/>
              </w:rPr>
              <w:t>Hospital education service</w:t>
            </w:r>
          </w:p>
        </w:tc>
        <w:tc>
          <w:tcPr>
            <w:tcW w:w="1559" w:type="dxa"/>
            <w:tcBorders>
              <w:top w:val="nil"/>
              <w:left w:val="nil"/>
              <w:bottom w:val="single" w:sz="8" w:space="0" w:color="auto"/>
              <w:right w:val="single" w:sz="8" w:space="0" w:color="auto"/>
            </w:tcBorders>
            <w:shd w:val="clear" w:color="000000" w:fill="D9D9D9"/>
            <w:vAlign w:val="center"/>
            <w:hideMark/>
          </w:tcPr>
          <w:p w14:paraId="72CB66FE" w14:textId="3AD96B0A" w:rsidR="00A94BB5" w:rsidRPr="006D6BAF" w:rsidRDefault="00611389" w:rsidP="00A94BB5">
            <w:pPr>
              <w:spacing w:after="0"/>
              <w:jc w:val="right"/>
              <w:rPr>
                <w:rFonts w:ascii="Arial" w:hAnsi="Arial" w:cs="Arial"/>
                <w:szCs w:val="24"/>
                <w:lang w:val="en-GB" w:eastAsia="en-GB"/>
              </w:rPr>
            </w:pPr>
            <w:r w:rsidRPr="006D6BAF">
              <w:rPr>
                <w:rFonts w:ascii="Arial" w:hAnsi="Arial" w:cs="Arial"/>
                <w:szCs w:val="24"/>
                <w:lang w:val="en-GB" w:eastAsia="en-GB"/>
              </w:rPr>
              <w:t>1</w:t>
            </w:r>
            <w:r w:rsidR="006D6BAF" w:rsidRPr="006D6BAF">
              <w:rPr>
                <w:rFonts w:ascii="Arial" w:hAnsi="Arial" w:cs="Arial"/>
                <w:szCs w:val="24"/>
                <w:lang w:val="en-GB" w:eastAsia="en-GB"/>
              </w:rPr>
              <w:t>,904</w:t>
            </w:r>
          </w:p>
        </w:tc>
        <w:tc>
          <w:tcPr>
            <w:tcW w:w="5397" w:type="dxa"/>
            <w:tcBorders>
              <w:top w:val="nil"/>
              <w:left w:val="nil"/>
              <w:bottom w:val="single" w:sz="8" w:space="0" w:color="auto"/>
              <w:right w:val="single" w:sz="8" w:space="0" w:color="auto"/>
            </w:tcBorders>
            <w:shd w:val="clear" w:color="000000" w:fill="D9D9D9"/>
            <w:vAlign w:val="center"/>
            <w:hideMark/>
          </w:tcPr>
          <w:p w14:paraId="003B1DBB" w14:textId="0C1D108E" w:rsidR="00A94BB5" w:rsidRPr="006D6BAF" w:rsidRDefault="00A94BB5" w:rsidP="00A94BB5">
            <w:pPr>
              <w:spacing w:after="0"/>
              <w:jc w:val="left"/>
              <w:rPr>
                <w:rFonts w:ascii="Arial" w:hAnsi="Arial" w:cs="Arial"/>
                <w:szCs w:val="24"/>
                <w:lang w:val="en-GB" w:eastAsia="en-GB"/>
              </w:rPr>
            </w:pPr>
            <w:r w:rsidRPr="006D6BAF">
              <w:rPr>
                <w:rFonts w:ascii="Arial" w:hAnsi="Arial" w:cs="Arial"/>
                <w:szCs w:val="24"/>
                <w:lang w:val="en-GB" w:eastAsia="en-GB"/>
              </w:rPr>
              <w:t xml:space="preserve">Includes </w:t>
            </w:r>
            <w:r w:rsidR="006D6BAF">
              <w:rPr>
                <w:rFonts w:ascii="Arial" w:hAnsi="Arial" w:cs="Arial"/>
                <w:szCs w:val="24"/>
                <w:lang w:val="en-GB" w:eastAsia="en-GB"/>
              </w:rPr>
              <w:t>Serenity Path</w:t>
            </w:r>
            <w:r w:rsidRPr="006D6BAF">
              <w:rPr>
                <w:rFonts w:ascii="Arial" w:hAnsi="Arial" w:cs="Arial"/>
                <w:szCs w:val="24"/>
                <w:lang w:val="en-GB" w:eastAsia="en-GB"/>
              </w:rPr>
              <w:t>, Austen House, Bluebird and independent hospital placements.</w:t>
            </w:r>
          </w:p>
        </w:tc>
      </w:tr>
      <w:tr w:rsidR="00287707" w:rsidRPr="00E15246" w14:paraId="0A0F959A" w14:textId="77777777" w:rsidTr="00FB3EF7">
        <w:trPr>
          <w:trHeight w:val="940"/>
        </w:trPr>
        <w:tc>
          <w:tcPr>
            <w:tcW w:w="2967" w:type="dxa"/>
            <w:tcBorders>
              <w:top w:val="nil"/>
              <w:left w:val="single" w:sz="8" w:space="0" w:color="auto"/>
              <w:bottom w:val="single" w:sz="8" w:space="0" w:color="auto"/>
              <w:right w:val="single" w:sz="8" w:space="0" w:color="auto"/>
            </w:tcBorders>
            <w:shd w:val="clear" w:color="000000" w:fill="D9D9D9"/>
            <w:vAlign w:val="center"/>
          </w:tcPr>
          <w:p w14:paraId="1C4BD3A0" w14:textId="400BA7BD" w:rsidR="00287707" w:rsidRPr="006D6BAF" w:rsidRDefault="00287707" w:rsidP="00A94BB5">
            <w:pPr>
              <w:spacing w:after="0"/>
              <w:jc w:val="left"/>
              <w:rPr>
                <w:rFonts w:ascii="Arial" w:hAnsi="Arial" w:cs="Arial"/>
                <w:szCs w:val="24"/>
                <w:lang w:val="en-GB" w:eastAsia="en-GB"/>
              </w:rPr>
            </w:pPr>
            <w:r>
              <w:rPr>
                <w:rFonts w:ascii="Arial" w:hAnsi="Arial" w:cs="Arial"/>
                <w:szCs w:val="24"/>
                <w:lang w:val="en-GB" w:eastAsia="en-GB"/>
              </w:rPr>
              <w:t>SEN Contingency</w:t>
            </w:r>
          </w:p>
        </w:tc>
        <w:tc>
          <w:tcPr>
            <w:tcW w:w="1559" w:type="dxa"/>
            <w:tcBorders>
              <w:top w:val="nil"/>
              <w:left w:val="nil"/>
              <w:bottom w:val="single" w:sz="8" w:space="0" w:color="auto"/>
              <w:right w:val="single" w:sz="8" w:space="0" w:color="auto"/>
            </w:tcBorders>
            <w:shd w:val="clear" w:color="000000" w:fill="D9D9D9"/>
            <w:vAlign w:val="center"/>
          </w:tcPr>
          <w:p w14:paraId="24026D67" w14:textId="401EDA56" w:rsidR="00287707" w:rsidRPr="006D6BAF" w:rsidRDefault="005F3F02" w:rsidP="00A94BB5">
            <w:pPr>
              <w:spacing w:after="0"/>
              <w:jc w:val="right"/>
              <w:rPr>
                <w:rFonts w:ascii="Arial" w:hAnsi="Arial" w:cs="Arial"/>
                <w:szCs w:val="24"/>
                <w:lang w:val="en-GB" w:eastAsia="en-GB"/>
              </w:rPr>
            </w:pPr>
            <w:r>
              <w:rPr>
                <w:rFonts w:ascii="Arial" w:hAnsi="Arial" w:cs="Arial"/>
                <w:szCs w:val="24"/>
                <w:lang w:val="en-GB" w:eastAsia="en-GB"/>
              </w:rPr>
              <w:t>(</w:t>
            </w:r>
            <w:r w:rsidR="00B07D77">
              <w:rPr>
                <w:rFonts w:ascii="Arial" w:hAnsi="Arial" w:cs="Arial"/>
                <w:szCs w:val="24"/>
                <w:lang w:val="en-GB" w:eastAsia="en-GB"/>
              </w:rPr>
              <w:t>110,674</w:t>
            </w:r>
            <w:r>
              <w:rPr>
                <w:rFonts w:ascii="Arial" w:hAnsi="Arial" w:cs="Arial"/>
                <w:szCs w:val="24"/>
                <w:lang w:val="en-GB" w:eastAsia="en-GB"/>
              </w:rPr>
              <w:t>)</w:t>
            </w:r>
          </w:p>
        </w:tc>
        <w:tc>
          <w:tcPr>
            <w:tcW w:w="5397" w:type="dxa"/>
            <w:tcBorders>
              <w:top w:val="nil"/>
              <w:left w:val="nil"/>
              <w:bottom w:val="single" w:sz="8" w:space="0" w:color="auto"/>
              <w:right w:val="single" w:sz="8" w:space="0" w:color="auto"/>
            </w:tcBorders>
            <w:shd w:val="clear" w:color="000000" w:fill="D9D9D9"/>
            <w:vAlign w:val="center"/>
          </w:tcPr>
          <w:p w14:paraId="0C2BDED0" w14:textId="5D70D295" w:rsidR="00287707" w:rsidRPr="006D6BAF" w:rsidRDefault="00EC5494" w:rsidP="00A94BB5">
            <w:pPr>
              <w:spacing w:after="0"/>
              <w:jc w:val="left"/>
              <w:rPr>
                <w:rFonts w:ascii="Arial" w:hAnsi="Arial" w:cs="Arial"/>
                <w:szCs w:val="24"/>
                <w:lang w:val="en-GB" w:eastAsia="en-GB"/>
              </w:rPr>
            </w:pPr>
            <w:r>
              <w:rPr>
                <w:rFonts w:ascii="Arial" w:hAnsi="Arial" w:cs="Arial"/>
                <w:szCs w:val="24"/>
                <w:lang w:val="en-GB" w:eastAsia="en-GB"/>
              </w:rPr>
              <w:t>O</w:t>
            </w:r>
            <w:r w:rsidRPr="00EC5494">
              <w:rPr>
                <w:rFonts w:ascii="Arial" w:hAnsi="Arial" w:cs="Arial"/>
                <w:szCs w:val="24"/>
                <w:lang w:val="en-GB" w:eastAsia="en-GB"/>
              </w:rPr>
              <w:t xml:space="preserve">ffset </w:t>
            </w:r>
            <w:r w:rsidR="004E0FCF">
              <w:rPr>
                <w:rFonts w:ascii="Arial" w:hAnsi="Arial" w:cs="Arial"/>
                <w:szCs w:val="24"/>
                <w:lang w:val="en-GB" w:eastAsia="en-GB"/>
              </w:rPr>
              <w:t>representing</w:t>
            </w:r>
            <w:r w:rsidRPr="00EC5494">
              <w:rPr>
                <w:rFonts w:ascii="Arial" w:hAnsi="Arial" w:cs="Arial"/>
                <w:szCs w:val="24"/>
                <w:lang w:val="en-GB" w:eastAsia="en-GB"/>
              </w:rPr>
              <w:t xml:space="preserve"> expected shortfall in funding </w:t>
            </w:r>
            <w:r w:rsidR="00FE0366">
              <w:rPr>
                <w:rFonts w:ascii="Arial" w:hAnsi="Arial" w:cs="Arial"/>
                <w:szCs w:val="24"/>
                <w:lang w:val="en-GB" w:eastAsia="en-GB"/>
              </w:rPr>
              <w:t xml:space="preserve">allocation </w:t>
            </w:r>
            <w:r w:rsidRPr="00EC5494">
              <w:rPr>
                <w:rFonts w:ascii="Arial" w:hAnsi="Arial" w:cs="Arial"/>
                <w:szCs w:val="24"/>
                <w:lang w:val="en-GB" w:eastAsia="en-GB"/>
              </w:rPr>
              <w:t>vs budget requirements</w:t>
            </w:r>
          </w:p>
        </w:tc>
      </w:tr>
      <w:tr w:rsidR="0033457D" w:rsidRPr="0033457D" w14:paraId="16D94923" w14:textId="77777777" w:rsidTr="00FB3EF7">
        <w:trPr>
          <w:trHeight w:val="320"/>
        </w:trPr>
        <w:tc>
          <w:tcPr>
            <w:tcW w:w="2967" w:type="dxa"/>
            <w:tcBorders>
              <w:top w:val="nil"/>
              <w:left w:val="single" w:sz="8" w:space="0" w:color="auto"/>
              <w:bottom w:val="single" w:sz="8" w:space="0" w:color="auto"/>
              <w:right w:val="single" w:sz="8" w:space="0" w:color="auto"/>
            </w:tcBorders>
            <w:shd w:val="clear" w:color="000000" w:fill="808080"/>
            <w:vAlign w:val="center"/>
            <w:hideMark/>
          </w:tcPr>
          <w:p w14:paraId="7A0849A0" w14:textId="77777777" w:rsidR="00A94BB5" w:rsidRPr="006C2144" w:rsidRDefault="00A94BB5" w:rsidP="00A94BB5">
            <w:pPr>
              <w:spacing w:after="0"/>
              <w:jc w:val="left"/>
              <w:rPr>
                <w:rFonts w:ascii="Arial" w:hAnsi="Arial" w:cs="Arial"/>
                <w:b/>
                <w:szCs w:val="24"/>
                <w:lang w:val="en-GB" w:eastAsia="en-GB"/>
              </w:rPr>
            </w:pPr>
            <w:r w:rsidRPr="006C2144">
              <w:rPr>
                <w:rFonts w:ascii="Arial" w:hAnsi="Arial" w:cs="Arial"/>
                <w:b/>
                <w:szCs w:val="24"/>
                <w:lang w:val="en-GB" w:eastAsia="en-GB"/>
              </w:rPr>
              <w:t>High Needs Block</w:t>
            </w:r>
          </w:p>
        </w:tc>
        <w:tc>
          <w:tcPr>
            <w:tcW w:w="1559" w:type="dxa"/>
            <w:tcBorders>
              <w:top w:val="nil"/>
              <w:left w:val="nil"/>
              <w:bottom w:val="single" w:sz="8" w:space="0" w:color="auto"/>
              <w:right w:val="single" w:sz="8" w:space="0" w:color="auto"/>
            </w:tcBorders>
            <w:shd w:val="clear" w:color="000000" w:fill="808080"/>
            <w:vAlign w:val="center"/>
            <w:hideMark/>
          </w:tcPr>
          <w:p w14:paraId="2AFD7A3C" w14:textId="19479338" w:rsidR="00A94BB5" w:rsidRPr="006C2144" w:rsidRDefault="00A94BB5" w:rsidP="00A94BB5">
            <w:pPr>
              <w:spacing w:after="0"/>
              <w:jc w:val="right"/>
              <w:rPr>
                <w:rFonts w:ascii="Arial" w:hAnsi="Arial" w:cs="Arial"/>
                <w:b/>
                <w:szCs w:val="24"/>
                <w:lang w:val="en-GB" w:eastAsia="en-GB"/>
              </w:rPr>
            </w:pPr>
            <w:r w:rsidRPr="006C2144">
              <w:rPr>
                <w:rFonts w:ascii="Arial" w:hAnsi="Arial" w:cs="Arial"/>
                <w:b/>
                <w:szCs w:val="24"/>
                <w:lang w:val="en-GB" w:eastAsia="en-GB"/>
              </w:rPr>
              <w:t xml:space="preserve">                                             </w:t>
            </w:r>
            <w:r w:rsidR="009C03DB">
              <w:rPr>
                <w:rFonts w:ascii="Arial" w:hAnsi="Arial" w:cs="Arial"/>
                <w:b/>
                <w:szCs w:val="24"/>
                <w:lang w:val="en-GB" w:eastAsia="en-GB"/>
              </w:rPr>
              <w:t>209</w:t>
            </w:r>
            <w:r w:rsidR="002F72DE">
              <w:rPr>
                <w:rFonts w:ascii="Arial" w:hAnsi="Arial" w:cs="Arial"/>
                <w:b/>
                <w:szCs w:val="24"/>
                <w:lang w:val="en-GB" w:eastAsia="en-GB"/>
              </w:rPr>
              <w:t>,913</w:t>
            </w:r>
            <w:r w:rsidRPr="006C2144">
              <w:rPr>
                <w:rFonts w:ascii="Arial" w:hAnsi="Arial" w:cs="Arial"/>
                <w:b/>
                <w:szCs w:val="24"/>
                <w:lang w:val="en-GB" w:eastAsia="en-GB"/>
              </w:rPr>
              <w:t xml:space="preserve"> </w:t>
            </w:r>
          </w:p>
        </w:tc>
        <w:tc>
          <w:tcPr>
            <w:tcW w:w="5397" w:type="dxa"/>
            <w:tcBorders>
              <w:top w:val="nil"/>
              <w:left w:val="nil"/>
              <w:bottom w:val="single" w:sz="8" w:space="0" w:color="auto"/>
              <w:right w:val="single" w:sz="8" w:space="0" w:color="auto"/>
            </w:tcBorders>
            <w:shd w:val="clear" w:color="000000" w:fill="808080"/>
            <w:vAlign w:val="center"/>
            <w:hideMark/>
          </w:tcPr>
          <w:p w14:paraId="5947140E" w14:textId="38EF7096" w:rsidR="00A94BB5" w:rsidRPr="006C2144" w:rsidRDefault="00A94BB5" w:rsidP="00A94BB5">
            <w:pPr>
              <w:spacing w:after="0"/>
              <w:jc w:val="left"/>
              <w:rPr>
                <w:rFonts w:ascii="Arial" w:hAnsi="Arial" w:cs="Arial"/>
                <w:szCs w:val="24"/>
                <w:lang w:val="en-GB" w:eastAsia="en-GB"/>
              </w:rPr>
            </w:pPr>
            <w:r w:rsidRPr="006C2144">
              <w:rPr>
                <w:rFonts w:ascii="Arial" w:hAnsi="Arial" w:cs="Arial"/>
                <w:b/>
                <w:szCs w:val="24"/>
                <w:lang w:val="en-GB" w:eastAsia="en-GB"/>
              </w:rPr>
              <w:t> </w:t>
            </w:r>
            <w:r w:rsidR="00B16BDB" w:rsidRPr="006C2144">
              <w:rPr>
                <w:rFonts w:ascii="Arial" w:hAnsi="Arial" w:cs="Arial"/>
                <w:szCs w:val="24"/>
                <w:lang w:val="en-GB" w:eastAsia="en-GB"/>
              </w:rPr>
              <w:t>Reflects the budget post recoupment</w:t>
            </w:r>
          </w:p>
        </w:tc>
      </w:tr>
      <w:tr w:rsidR="0033457D" w:rsidRPr="0033457D" w14:paraId="087E8FEC" w14:textId="77777777" w:rsidTr="00FB3EF7">
        <w:trPr>
          <w:trHeight w:val="630"/>
        </w:trPr>
        <w:tc>
          <w:tcPr>
            <w:tcW w:w="2967" w:type="dxa"/>
            <w:tcBorders>
              <w:top w:val="nil"/>
              <w:left w:val="single" w:sz="8" w:space="0" w:color="auto"/>
              <w:bottom w:val="single" w:sz="8" w:space="0" w:color="auto"/>
              <w:right w:val="single" w:sz="8" w:space="0" w:color="auto"/>
            </w:tcBorders>
            <w:shd w:val="clear" w:color="auto" w:fill="auto"/>
            <w:vAlign w:val="center"/>
            <w:hideMark/>
          </w:tcPr>
          <w:p w14:paraId="43F43CA0" w14:textId="77777777" w:rsidR="00A94BB5" w:rsidRPr="007B4BA7" w:rsidRDefault="00A94BB5" w:rsidP="00A94BB5">
            <w:pPr>
              <w:spacing w:after="0"/>
              <w:jc w:val="left"/>
              <w:rPr>
                <w:rFonts w:ascii="Arial" w:hAnsi="Arial" w:cs="Arial"/>
                <w:szCs w:val="24"/>
                <w:lang w:val="en-GB" w:eastAsia="en-GB"/>
              </w:rPr>
            </w:pPr>
            <w:r w:rsidRPr="007B4BA7">
              <w:rPr>
                <w:rFonts w:ascii="Arial" w:hAnsi="Arial" w:cs="Arial"/>
                <w:szCs w:val="24"/>
                <w:lang w:val="en-GB" w:eastAsia="en-GB"/>
              </w:rPr>
              <w:t>Termination of employment costs</w:t>
            </w:r>
          </w:p>
        </w:tc>
        <w:tc>
          <w:tcPr>
            <w:tcW w:w="1559" w:type="dxa"/>
            <w:tcBorders>
              <w:top w:val="nil"/>
              <w:left w:val="nil"/>
              <w:bottom w:val="single" w:sz="8" w:space="0" w:color="auto"/>
              <w:right w:val="single" w:sz="8" w:space="0" w:color="auto"/>
            </w:tcBorders>
            <w:shd w:val="clear" w:color="auto" w:fill="auto"/>
            <w:noWrap/>
            <w:vAlign w:val="center"/>
            <w:hideMark/>
          </w:tcPr>
          <w:p w14:paraId="0BC6A4B0" w14:textId="77777777" w:rsidR="00A94BB5" w:rsidRPr="007B4BA7" w:rsidRDefault="00A94BB5" w:rsidP="00A94BB5">
            <w:pPr>
              <w:spacing w:after="0"/>
              <w:jc w:val="right"/>
              <w:rPr>
                <w:rFonts w:ascii="Arial" w:hAnsi="Arial" w:cs="Arial"/>
                <w:szCs w:val="24"/>
                <w:lang w:val="en-GB" w:eastAsia="en-GB"/>
              </w:rPr>
            </w:pPr>
            <w:r w:rsidRPr="007B4BA7">
              <w:rPr>
                <w:rFonts w:ascii="Arial" w:hAnsi="Arial" w:cs="Arial"/>
                <w:szCs w:val="24"/>
                <w:lang w:val="en-GB" w:eastAsia="en-GB"/>
              </w:rPr>
              <w:t xml:space="preserve">                                                       658 </w:t>
            </w:r>
          </w:p>
        </w:tc>
        <w:tc>
          <w:tcPr>
            <w:tcW w:w="5397" w:type="dxa"/>
            <w:tcBorders>
              <w:top w:val="nil"/>
              <w:left w:val="nil"/>
              <w:bottom w:val="single" w:sz="8" w:space="0" w:color="auto"/>
              <w:right w:val="single" w:sz="8" w:space="0" w:color="auto"/>
            </w:tcBorders>
            <w:shd w:val="clear" w:color="auto" w:fill="auto"/>
            <w:vAlign w:val="center"/>
            <w:hideMark/>
          </w:tcPr>
          <w:p w14:paraId="5EA8B041" w14:textId="77777777" w:rsidR="00A94BB5" w:rsidRPr="0033457D" w:rsidRDefault="00A94BB5" w:rsidP="00A94BB5">
            <w:pPr>
              <w:spacing w:after="0"/>
              <w:jc w:val="left"/>
              <w:rPr>
                <w:rFonts w:ascii="Arial" w:hAnsi="Arial" w:cs="Arial"/>
                <w:color w:val="FF0000"/>
                <w:szCs w:val="24"/>
                <w:lang w:val="en-GB" w:eastAsia="en-GB"/>
              </w:rPr>
            </w:pPr>
            <w:r w:rsidRPr="0033457D">
              <w:rPr>
                <w:rFonts w:ascii="Arial" w:hAnsi="Arial" w:cs="Arial"/>
                <w:color w:val="FF0000"/>
                <w:szCs w:val="24"/>
                <w:lang w:val="en-GB" w:eastAsia="en-GB"/>
              </w:rPr>
              <w:t> </w:t>
            </w:r>
          </w:p>
        </w:tc>
      </w:tr>
      <w:tr w:rsidR="0033457D" w:rsidRPr="0033457D" w14:paraId="6DA560E9" w14:textId="77777777" w:rsidTr="00FB3EF7">
        <w:trPr>
          <w:trHeight w:val="320"/>
        </w:trPr>
        <w:tc>
          <w:tcPr>
            <w:tcW w:w="2967" w:type="dxa"/>
            <w:tcBorders>
              <w:top w:val="nil"/>
              <w:left w:val="single" w:sz="8" w:space="0" w:color="auto"/>
              <w:bottom w:val="single" w:sz="8" w:space="0" w:color="auto"/>
              <w:right w:val="single" w:sz="8" w:space="0" w:color="auto"/>
            </w:tcBorders>
            <w:shd w:val="clear" w:color="000000" w:fill="D9D9D9"/>
            <w:vAlign w:val="center"/>
            <w:hideMark/>
          </w:tcPr>
          <w:p w14:paraId="7A641032" w14:textId="77777777" w:rsidR="00A94BB5" w:rsidRPr="007B4BA7" w:rsidRDefault="00A94BB5" w:rsidP="00A94BB5">
            <w:pPr>
              <w:spacing w:after="0"/>
              <w:jc w:val="left"/>
              <w:rPr>
                <w:rFonts w:ascii="Arial" w:hAnsi="Arial" w:cs="Arial"/>
                <w:szCs w:val="24"/>
                <w:lang w:val="en-GB" w:eastAsia="en-GB"/>
              </w:rPr>
            </w:pPr>
            <w:r w:rsidRPr="007B4BA7">
              <w:rPr>
                <w:rFonts w:ascii="Arial" w:hAnsi="Arial" w:cs="Arial"/>
                <w:szCs w:val="24"/>
                <w:lang w:val="en-GB" w:eastAsia="en-GB"/>
              </w:rPr>
              <w:t>Historic commitments</w:t>
            </w:r>
          </w:p>
        </w:tc>
        <w:tc>
          <w:tcPr>
            <w:tcW w:w="1559" w:type="dxa"/>
            <w:tcBorders>
              <w:top w:val="nil"/>
              <w:left w:val="nil"/>
              <w:bottom w:val="single" w:sz="8" w:space="0" w:color="auto"/>
              <w:right w:val="single" w:sz="8" w:space="0" w:color="auto"/>
            </w:tcBorders>
            <w:shd w:val="clear" w:color="000000" w:fill="D9D9D9"/>
            <w:noWrap/>
            <w:vAlign w:val="center"/>
            <w:hideMark/>
          </w:tcPr>
          <w:p w14:paraId="6BCE4898" w14:textId="438D082E" w:rsidR="00A94BB5" w:rsidRPr="007B4BA7" w:rsidRDefault="00E736BA" w:rsidP="00A94BB5">
            <w:pPr>
              <w:spacing w:after="0"/>
              <w:jc w:val="right"/>
              <w:rPr>
                <w:rFonts w:ascii="Arial" w:hAnsi="Arial" w:cs="Arial"/>
                <w:szCs w:val="24"/>
                <w:lang w:val="en-GB" w:eastAsia="en-GB"/>
              </w:rPr>
            </w:pPr>
            <w:r w:rsidRPr="007B4BA7">
              <w:rPr>
                <w:rFonts w:ascii="Arial" w:hAnsi="Arial" w:cs="Arial"/>
                <w:szCs w:val="24"/>
                <w:lang w:val="en-GB" w:eastAsia="en-GB"/>
              </w:rPr>
              <w:t>6</w:t>
            </w:r>
            <w:r w:rsidR="00A94BB5" w:rsidRPr="007B4BA7">
              <w:rPr>
                <w:rFonts w:ascii="Arial" w:hAnsi="Arial" w:cs="Arial"/>
                <w:szCs w:val="24"/>
                <w:lang w:val="en-GB" w:eastAsia="en-GB"/>
              </w:rPr>
              <w:t>58</w:t>
            </w:r>
          </w:p>
        </w:tc>
        <w:tc>
          <w:tcPr>
            <w:tcW w:w="5397" w:type="dxa"/>
            <w:tcBorders>
              <w:top w:val="nil"/>
              <w:left w:val="nil"/>
              <w:bottom w:val="single" w:sz="8" w:space="0" w:color="auto"/>
              <w:right w:val="single" w:sz="8" w:space="0" w:color="auto"/>
            </w:tcBorders>
            <w:shd w:val="clear" w:color="000000" w:fill="D9D9D9"/>
            <w:vAlign w:val="center"/>
            <w:hideMark/>
          </w:tcPr>
          <w:p w14:paraId="63C3E7ED" w14:textId="77777777" w:rsidR="00A94BB5" w:rsidRPr="0033457D" w:rsidRDefault="00A94BB5" w:rsidP="00A94BB5">
            <w:pPr>
              <w:spacing w:after="0"/>
              <w:jc w:val="left"/>
              <w:rPr>
                <w:rFonts w:ascii="Arial" w:hAnsi="Arial" w:cs="Arial"/>
                <w:color w:val="FF0000"/>
                <w:szCs w:val="24"/>
                <w:lang w:val="en-GB" w:eastAsia="en-GB"/>
              </w:rPr>
            </w:pPr>
            <w:r w:rsidRPr="0033457D">
              <w:rPr>
                <w:rFonts w:ascii="Arial" w:hAnsi="Arial" w:cs="Arial"/>
                <w:color w:val="FF0000"/>
                <w:szCs w:val="24"/>
                <w:lang w:val="en-GB" w:eastAsia="en-GB"/>
              </w:rPr>
              <w:t> </w:t>
            </w:r>
          </w:p>
        </w:tc>
      </w:tr>
      <w:tr w:rsidR="0033457D" w:rsidRPr="0033457D" w14:paraId="603A545D" w14:textId="77777777" w:rsidTr="00FB3EF7">
        <w:trPr>
          <w:trHeight w:val="630"/>
        </w:trPr>
        <w:tc>
          <w:tcPr>
            <w:tcW w:w="2967" w:type="dxa"/>
            <w:tcBorders>
              <w:top w:val="nil"/>
              <w:left w:val="single" w:sz="8" w:space="0" w:color="auto"/>
              <w:bottom w:val="single" w:sz="8" w:space="0" w:color="auto"/>
              <w:right w:val="single" w:sz="8" w:space="0" w:color="auto"/>
            </w:tcBorders>
            <w:shd w:val="clear" w:color="auto" w:fill="auto"/>
            <w:vAlign w:val="center"/>
            <w:hideMark/>
          </w:tcPr>
          <w:p w14:paraId="7C83C779" w14:textId="77777777" w:rsidR="00A94BB5" w:rsidRPr="008B43D5" w:rsidRDefault="00A94BB5" w:rsidP="00A94BB5">
            <w:pPr>
              <w:spacing w:after="0"/>
              <w:jc w:val="left"/>
              <w:rPr>
                <w:rFonts w:ascii="Arial" w:hAnsi="Arial" w:cs="Arial"/>
                <w:szCs w:val="24"/>
                <w:lang w:val="en-GB" w:eastAsia="en-GB"/>
              </w:rPr>
            </w:pPr>
            <w:r w:rsidRPr="008B43D5">
              <w:rPr>
                <w:rFonts w:ascii="Arial" w:hAnsi="Arial" w:cs="Arial"/>
                <w:szCs w:val="24"/>
                <w:lang w:val="en-GB" w:eastAsia="en-GB"/>
              </w:rPr>
              <w:t>Copyright</w:t>
            </w:r>
          </w:p>
        </w:tc>
        <w:tc>
          <w:tcPr>
            <w:tcW w:w="1559" w:type="dxa"/>
            <w:tcBorders>
              <w:top w:val="nil"/>
              <w:left w:val="nil"/>
              <w:bottom w:val="single" w:sz="8" w:space="0" w:color="auto"/>
              <w:right w:val="single" w:sz="8" w:space="0" w:color="auto"/>
            </w:tcBorders>
            <w:shd w:val="clear" w:color="auto" w:fill="auto"/>
            <w:noWrap/>
            <w:vAlign w:val="center"/>
            <w:hideMark/>
          </w:tcPr>
          <w:p w14:paraId="66885E79" w14:textId="23306FDA" w:rsidR="00A94BB5" w:rsidRPr="008B43D5" w:rsidRDefault="00A94BB5" w:rsidP="00A94BB5">
            <w:pPr>
              <w:spacing w:after="0"/>
              <w:jc w:val="right"/>
              <w:rPr>
                <w:rFonts w:ascii="Arial" w:hAnsi="Arial" w:cs="Arial"/>
                <w:szCs w:val="24"/>
                <w:lang w:val="en-GB" w:eastAsia="en-GB"/>
              </w:rPr>
            </w:pPr>
            <w:r w:rsidRPr="008B43D5">
              <w:rPr>
                <w:rFonts w:ascii="Arial" w:hAnsi="Arial" w:cs="Arial"/>
                <w:szCs w:val="24"/>
                <w:lang w:val="en-GB" w:eastAsia="en-GB"/>
              </w:rPr>
              <w:t xml:space="preserve">                                                    1,</w:t>
            </w:r>
            <w:r w:rsidR="00137FF3" w:rsidRPr="008B43D5">
              <w:rPr>
                <w:rFonts w:ascii="Arial" w:hAnsi="Arial" w:cs="Arial"/>
                <w:szCs w:val="24"/>
                <w:lang w:val="en-GB" w:eastAsia="en-GB"/>
              </w:rPr>
              <w:t>349</w:t>
            </w:r>
            <w:r w:rsidRPr="008B43D5">
              <w:rPr>
                <w:rFonts w:ascii="Arial" w:hAnsi="Arial" w:cs="Arial"/>
                <w:szCs w:val="24"/>
                <w:lang w:val="en-GB" w:eastAsia="en-GB"/>
              </w:rPr>
              <w:t xml:space="preserve"> </w:t>
            </w:r>
          </w:p>
        </w:tc>
        <w:tc>
          <w:tcPr>
            <w:tcW w:w="5397" w:type="dxa"/>
            <w:tcBorders>
              <w:top w:val="nil"/>
              <w:left w:val="nil"/>
              <w:bottom w:val="single" w:sz="8" w:space="0" w:color="auto"/>
              <w:right w:val="single" w:sz="8" w:space="0" w:color="auto"/>
            </w:tcBorders>
            <w:shd w:val="clear" w:color="auto" w:fill="auto"/>
            <w:vAlign w:val="center"/>
            <w:hideMark/>
          </w:tcPr>
          <w:p w14:paraId="189D28FE" w14:textId="78316E43" w:rsidR="00A94BB5" w:rsidRPr="008B43D5" w:rsidRDefault="00A94BB5" w:rsidP="00A94BB5">
            <w:pPr>
              <w:spacing w:after="0"/>
              <w:jc w:val="left"/>
              <w:rPr>
                <w:rFonts w:ascii="Arial" w:hAnsi="Arial" w:cs="Arial"/>
                <w:szCs w:val="24"/>
                <w:lang w:val="en-GB" w:eastAsia="en-GB"/>
              </w:rPr>
            </w:pPr>
            <w:r w:rsidRPr="00A16B1F">
              <w:rPr>
                <w:rFonts w:ascii="Arial" w:hAnsi="Arial" w:cs="Arial"/>
                <w:szCs w:val="24"/>
                <w:lang w:val="en-GB" w:eastAsia="en-GB"/>
              </w:rPr>
              <w:t xml:space="preserve">National agreement, amount set by DfE each year, </w:t>
            </w:r>
            <w:r w:rsidR="00AB14F5" w:rsidRPr="00A16B1F">
              <w:rPr>
                <w:rFonts w:ascii="Arial" w:hAnsi="Arial" w:cs="Arial"/>
                <w:szCs w:val="24"/>
                <w:lang w:val="en-GB" w:eastAsia="en-GB"/>
              </w:rPr>
              <w:t xml:space="preserve">Still </w:t>
            </w:r>
            <w:r w:rsidRPr="00A16B1F">
              <w:rPr>
                <w:rFonts w:ascii="Arial" w:hAnsi="Arial" w:cs="Arial"/>
                <w:szCs w:val="24"/>
                <w:lang w:val="en-GB" w:eastAsia="en-GB"/>
              </w:rPr>
              <w:t>TBC for 202</w:t>
            </w:r>
            <w:r w:rsidR="00A16B1F" w:rsidRPr="00A16B1F">
              <w:rPr>
                <w:rFonts w:ascii="Arial" w:hAnsi="Arial" w:cs="Arial"/>
                <w:szCs w:val="24"/>
                <w:lang w:val="en-GB" w:eastAsia="en-GB"/>
              </w:rPr>
              <w:t>5</w:t>
            </w:r>
            <w:r w:rsidRPr="00A16B1F">
              <w:rPr>
                <w:rFonts w:ascii="Arial" w:hAnsi="Arial" w:cs="Arial"/>
                <w:szCs w:val="24"/>
                <w:lang w:val="en-GB" w:eastAsia="en-GB"/>
              </w:rPr>
              <w:t>/2</w:t>
            </w:r>
            <w:r w:rsidR="00A16B1F" w:rsidRPr="00A16B1F">
              <w:rPr>
                <w:rFonts w:ascii="Arial" w:hAnsi="Arial" w:cs="Arial"/>
                <w:szCs w:val="24"/>
                <w:lang w:val="en-GB" w:eastAsia="en-GB"/>
              </w:rPr>
              <w:t>6</w:t>
            </w:r>
          </w:p>
        </w:tc>
      </w:tr>
      <w:tr w:rsidR="0033457D" w:rsidRPr="0033457D" w14:paraId="76A725E1" w14:textId="77777777" w:rsidTr="00FB3EF7">
        <w:trPr>
          <w:trHeight w:val="320"/>
        </w:trPr>
        <w:tc>
          <w:tcPr>
            <w:tcW w:w="2967" w:type="dxa"/>
            <w:tcBorders>
              <w:top w:val="nil"/>
              <w:left w:val="single" w:sz="8" w:space="0" w:color="auto"/>
              <w:bottom w:val="single" w:sz="8" w:space="0" w:color="auto"/>
              <w:right w:val="single" w:sz="8" w:space="0" w:color="auto"/>
            </w:tcBorders>
            <w:shd w:val="clear" w:color="auto" w:fill="auto"/>
            <w:vAlign w:val="center"/>
            <w:hideMark/>
          </w:tcPr>
          <w:p w14:paraId="38C3678D" w14:textId="77777777" w:rsidR="00A94BB5" w:rsidRPr="008B43D5" w:rsidRDefault="00A94BB5" w:rsidP="00A94BB5">
            <w:pPr>
              <w:spacing w:after="0"/>
              <w:jc w:val="left"/>
              <w:rPr>
                <w:rFonts w:ascii="Arial" w:hAnsi="Arial" w:cs="Arial"/>
                <w:szCs w:val="24"/>
                <w:lang w:val="en-GB" w:eastAsia="en-GB"/>
              </w:rPr>
            </w:pPr>
            <w:r w:rsidRPr="008B43D5">
              <w:rPr>
                <w:rFonts w:ascii="Arial" w:hAnsi="Arial" w:cs="Arial"/>
                <w:szCs w:val="24"/>
                <w:lang w:val="en-GB" w:eastAsia="en-GB"/>
              </w:rPr>
              <w:t>Admissions</w:t>
            </w:r>
          </w:p>
        </w:tc>
        <w:tc>
          <w:tcPr>
            <w:tcW w:w="1559" w:type="dxa"/>
            <w:tcBorders>
              <w:top w:val="nil"/>
              <w:left w:val="nil"/>
              <w:bottom w:val="single" w:sz="8" w:space="0" w:color="auto"/>
              <w:right w:val="single" w:sz="8" w:space="0" w:color="auto"/>
            </w:tcBorders>
            <w:shd w:val="clear" w:color="auto" w:fill="auto"/>
            <w:noWrap/>
            <w:vAlign w:val="center"/>
            <w:hideMark/>
          </w:tcPr>
          <w:p w14:paraId="3B68580D" w14:textId="1BD99BD1" w:rsidR="00A94BB5" w:rsidRPr="008B43D5" w:rsidRDefault="00A94BB5" w:rsidP="00A94BB5">
            <w:pPr>
              <w:spacing w:after="0"/>
              <w:jc w:val="right"/>
              <w:rPr>
                <w:rFonts w:ascii="Arial" w:hAnsi="Arial" w:cs="Arial"/>
                <w:szCs w:val="24"/>
                <w:lang w:val="en-GB" w:eastAsia="en-GB"/>
              </w:rPr>
            </w:pPr>
            <w:r w:rsidRPr="008B43D5">
              <w:rPr>
                <w:rFonts w:ascii="Arial" w:hAnsi="Arial" w:cs="Arial"/>
                <w:szCs w:val="24"/>
                <w:lang w:val="en-GB" w:eastAsia="en-GB"/>
              </w:rPr>
              <w:t>1,</w:t>
            </w:r>
            <w:r w:rsidR="00137FF3" w:rsidRPr="008B43D5">
              <w:rPr>
                <w:rFonts w:ascii="Arial" w:hAnsi="Arial" w:cs="Arial"/>
                <w:szCs w:val="24"/>
                <w:lang w:val="en-GB" w:eastAsia="en-GB"/>
              </w:rPr>
              <w:t>605</w:t>
            </w:r>
          </w:p>
        </w:tc>
        <w:tc>
          <w:tcPr>
            <w:tcW w:w="5397" w:type="dxa"/>
            <w:tcBorders>
              <w:top w:val="nil"/>
              <w:left w:val="nil"/>
              <w:bottom w:val="single" w:sz="8" w:space="0" w:color="auto"/>
              <w:right w:val="single" w:sz="8" w:space="0" w:color="auto"/>
            </w:tcBorders>
            <w:shd w:val="clear" w:color="auto" w:fill="auto"/>
            <w:vAlign w:val="center"/>
            <w:hideMark/>
          </w:tcPr>
          <w:p w14:paraId="2D06BDAB" w14:textId="4AF8C528" w:rsidR="00A94BB5" w:rsidRPr="008B43D5" w:rsidRDefault="00A94BB5" w:rsidP="00A94BB5">
            <w:pPr>
              <w:spacing w:after="0"/>
              <w:jc w:val="left"/>
              <w:rPr>
                <w:rFonts w:ascii="Arial" w:hAnsi="Arial" w:cs="Arial"/>
                <w:szCs w:val="24"/>
                <w:lang w:val="en-GB" w:eastAsia="en-GB"/>
              </w:rPr>
            </w:pPr>
            <w:r w:rsidRPr="008B43D5">
              <w:rPr>
                <w:rFonts w:ascii="Arial" w:hAnsi="Arial" w:cs="Arial"/>
                <w:szCs w:val="24"/>
                <w:lang w:val="en-GB" w:eastAsia="en-GB"/>
              </w:rPr>
              <w:t> </w:t>
            </w:r>
            <w:r w:rsidR="00137FF3" w:rsidRPr="008B43D5">
              <w:rPr>
                <w:rFonts w:ascii="Arial" w:hAnsi="Arial" w:cs="Arial"/>
                <w:szCs w:val="24"/>
                <w:lang w:val="en-GB" w:eastAsia="en-GB"/>
              </w:rPr>
              <w:t>Including Appeals</w:t>
            </w:r>
          </w:p>
        </w:tc>
      </w:tr>
      <w:tr w:rsidR="0033457D" w:rsidRPr="0033457D" w14:paraId="18600CD1" w14:textId="77777777" w:rsidTr="00FB3EF7">
        <w:trPr>
          <w:trHeight w:val="320"/>
        </w:trPr>
        <w:tc>
          <w:tcPr>
            <w:tcW w:w="2967" w:type="dxa"/>
            <w:tcBorders>
              <w:top w:val="nil"/>
              <w:left w:val="single" w:sz="8" w:space="0" w:color="auto"/>
              <w:bottom w:val="single" w:sz="8" w:space="0" w:color="auto"/>
              <w:right w:val="single" w:sz="8" w:space="0" w:color="auto"/>
            </w:tcBorders>
            <w:shd w:val="clear" w:color="auto" w:fill="auto"/>
            <w:vAlign w:val="center"/>
            <w:hideMark/>
          </w:tcPr>
          <w:p w14:paraId="05652400" w14:textId="77777777" w:rsidR="00A94BB5" w:rsidRPr="008B43D5" w:rsidRDefault="00A94BB5" w:rsidP="00A94BB5">
            <w:pPr>
              <w:spacing w:after="0"/>
              <w:jc w:val="left"/>
              <w:rPr>
                <w:rFonts w:ascii="Arial" w:hAnsi="Arial" w:cs="Arial"/>
                <w:szCs w:val="24"/>
                <w:lang w:val="en-GB" w:eastAsia="en-GB"/>
              </w:rPr>
            </w:pPr>
            <w:r w:rsidRPr="008B43D5">
              <w:rPr>
                <w:rFonts w:ascii="Arial" w:hAnsi="Arial" w:cs="Arial"/>
                <w:szCs w:val="24"/>
                <w:lang w:val="en-GB" w:eastAsia="en-GB"/>
              </w:rPr>
              <w:t>Servicing of Schools Forum</w:t>
            </w:r>
          </w:p>
        </w:tc>
        <w:tc>
          <w:tcPr>
            <w:tcW w:w="1559" w:type="dxa"/>
            <w:tcBorders>
              <w:top w:val="nil"/>
              <w:left w:val="nil"/>
              <w:bottom w:val="single" w:sz="8" w:space="0" w:color="auto"/>
              <w:right w:val="single" w:sz="8" w:space="0" w:color="auto"/>
            </w:tcBorders>
            <w:shd w:val="clear" w:color="auto" w:fill="auto"/>
            <w:noWrap/>
            <w:vAlign w:val="center"/>
            <w:hideMark/>
          </w:tcPr>
          <w:p w14:paraId="1422BFD6" w14:textId="10003716" w:rsidR="00A94BB5" w:rsidRPr="008B43D5" w:rsidRDefault="00A94BB5" w:rsidP="00A94BB5">
            <w:pPr>
              <w:spacing w:after="0"/>
              <w:jc w:val="right"/>
              <w:rPr>
                <w:rFonts w:ascii="Arial" w:hAnsi="Arial" w:cs="Arial"/>
                <w:szCs w:val="24"/>
                <w:lang w:val="en-GB" w:eastAsia="en-GB"/>
              </w:rPr>
            </w:pPr>
            <w:r w:rsidRPr="008B43D5">
              <w:rPr>
                <w:rFonts w:ascii="Arial" w:hAnsi="Arial" w:cs="Arial"/>
                <w:szCs w:val="24"/>
                <w:lang w:val="en-GB" w:eastAsia="en-GB"/>
              </w:rPr>
              <w:t xml:space="preserve">                                                         </w:t>
            </w:r>
            <w:r w:rsidR="00137FF3" w:rsidRPr="008B43D5">
              <w:rPr>
                <w:rFonts w:ascii="Arial" w:hAnsi="Arial" w:cs="Arial"/>
                <w:szCs w:val="24"/>
                <w:lang w:val="en-GB" w:eastAsia="en-GB"/>
              </w:rPr>
              <w:t>40</w:t>
            </w:r>
            <w:r w:rsidRPr="008B43D5">
              <w:rPr>
                <w:rFonts w:ascii="Arial" w:hAnsi="Arial" w:cs="Arial"/>
                <w:szCs w:val="24"/>
                <w:lang w:val="en-GB" w:eastAsia="en-GB"/>
              </w:rPr>
              <w:t xml:space="preserve"> </w:t>
            </w:r>
          </w:p>
        </w:tc>
        <w:tc>
          <w:tcPr>
            <w:tcW w:w="5397" w:type="dxa"/>
            <w:tcBorders>
              <w:top w:val="nil"/>
              <w:left w:val="nil"/>
              <w:bottom w:val="single" w:sz="8" w:space="0" w:color="auto"/>
              <w:right w:val="single" w:sz="8" w:space="0" w:color="auto"/>
            </w:tcBorders>
            <w:shd w:val="clear" w:color="auto" w:fill="auto"/>
            <w:vAlign w:val="center"/>
            <w:hideMark/>
          </w:tcPr>
          <w:p w14:paraId="14263230" w14:textId="77777777" w:rsidR="00A94BB5" w:rsidRPr="008B43D5" w:rsidRDefault="00A94BB5" w:rsidP="00A94BB5">
            <w:pPr>
              <w:spacing w:after="0"/>
              <w:jc w:val="left"/>
              <w:rPr>
                <w:rFonts w:ascii="Arial" w:hAnsi="Arial" w:cs="Arial"/>
                <w:szCs w:val="24"/>
                <w:lang w:val="en-GB" w:eastAsia="en-GB"/>
              </w:rPr>
            </w:pPr>
            <w:r w:rsidRPr="008B43D5">
              <w:rPr>
                <w:rFonts w:ascii="Arial" w:hAnsi="Arial" w:cs="Arial"/>
                <w:szCs w:val="24"/>
                <w:lang w:val="en-GB" w:eastAsia="en-GB"/>
              </w:rPr>
              <w:t> </w:t>
            </w:r>
          </w:p>
        </w:tc>
      </w:tr>
      <w:tr w:rsidR="0033457D" w:rsidRPr="0033457D" w14:paraId="35691368" w14:textId="77777777" w:rsidTr="00FB3EF7">
        <w:trPr>
          <w:trHeight w:val="630"/>
        </w:trPr>
        <w:tc>
          <w:tcPr>
            <w:tcW w:w="2967" w:type="dxa"/>
            <w:tcBorders>
              <w:top w:val="nil"/>
              <w:left w:val="single" w:sz="8" w:space="0" w:color="auto"/>
              <w:bottom w:val="single" w:sz="8" w:space="0" w:color="auto"/>
              <w:right w:val="single" w:sz="8" w:space="0" w:color="auto"/>
            </w:tcBorders>
            <w:shd w:val="clear" w:color="auto" w:fill="auto"/>
            <w:vAlign w:val="center"/>
            <w:hideMark/>
          </w:tcPr>
          <w:p w14:paraId="37D87C4D" w14:textId="77777777" w:rsidR="00A94BB5" w:rsidRPr="008B43D5" w:rsidRDefault="00A94BB5" w:rsidP="00A94BB5">
            <w:pPr>
              <w:spacing w:after="0"/>
              <w:jc w:val="left"/>
              <w:rPr>
                <w:rFonts w:ascii="Arial" w:hAnsi="Arial" w:cs="Arial"/>
                <w:szCs w:val="24"/>
                <w:lang w:val="en-GB" w:eastAsia="en-GB"/>
              </w:rPr>
            </w:pPr>
            <w:r w:rsidRPr="008B43D5">
              <w:rPr>
                <w:rFonts w:ascii="Arial" w:hAnsi="Arial" w:cs="Arial"/>
                <w:szCs w:val="24"/>
                <w:lang w:val="en-GB" w:eastAsia="en-GB"/>
              </w:rPr>
              <w:t>Fees to independent schools without SEN</w:t>
            </w:r>
          </w:p>
        </w:tc>
        <w:tc>
          <w:tcPr>
            <w:tcW w:w="1559" w:type="dxa"/>
            <w:tcBorders>
              <w:top w:val="nil"/>
              <w:left w:val="nil"/>
              <w:bottom w:val="single" w:sz="8" w:space="0" w:color="auto"/>
              <w:right w:val="single" w:sz="8" w:space="0" w:color="auto"/>
            </w:tcBorders>
            <w:shd w:val="clear" w:color="auto" w:fill="auto"/>
            <w:noWrap/>
            <w:vAlign w:val="center"/>
            <w:hideMark/>
          </w:tcPr>
          <w:p w14:paraId="07256FAA" w14:textId="074CA7AE" w:rsidR="00A94BB5" w:rsidRPr="008B43D5" w:rsidRDefault="00A94BB5" w:rsidP="00A94BB5">
            <w:pPr>
              <w:spacing w:after="0"/>
              <w:jc w:val="right"/>
              <w:rPr>
                <w:rFonts w:ascii="Arial" w:hAnsi="Arial" w:cs="Arial"/>
                <w:szCs w:val="24"/>
                <w:lang w:val="en-GB" w:eastAsia="en-GB"/>
              </w:rPr>
            </w:pPr>
            <w:r w:rsidRPr="008B43D5">
              <w:rPr>
                <w:rFonts w:ascii="Arial" w:hAnsi="Arial" w:cs="Arial"/>
                <w:szCs w:val="24"/>
                <w:lang w:val="en-GB" w:eastAsia="en-GB"/>
              </w:rPr>
              <w:t xml:space="preserve">                                                       </w:t>
            </w:r>
            <w:r w:rsidR="00F26C95" w:rsidRPr="008B43D5">
              <w:rPr>
                <w:rFonts w:ascii="Arial" w:hAnsi="Arial" w:cs="Arial"/>
                <w:szCs w:val="24"/>
                <w:lang w:val="en-GB" w:eastAsia="en-GB"/>
              </w:rPr>
              <w:t>1</w:t>
            </w:r>
            <w:r w:rsidRPr="008B43D5">
              <w:rPr>
                <w:rFonts w:ascii="Arial" w:hAnsi="Arial" w:cs="Arial"/>
                <w:szCs w:val="24"/>
                <w:lang w:val="en-GB" w:eastAsia="en-GB"/>
              </w:rPr>
              <w:t xml:space="preserve">40 </w:t>
            </w:r>
          </w:p>
        </w:tc>
        <w:tc>
          <w:tcPr>
            <w:tcW w:w="5397" w:type="dxa"/>
            <w:tcBorders>
              <w:top w:val="nil"/>
              <w:left w:val="nil"/>
              <w:bottom w:val="single" w:sz="8" w:space="0" w:color="auto"/>
              <w:right w:val="single" w:sz="8" w:space="0" w:color="auto"/>
            </w:tcBorders>
            <w:shd w:val="clear" w:color="auto" w:fill="auto"/>
            <w:vAlign w:val="center"/>
            <w:hideMark/>
          </w:tcPr>
          <w:p w14:paraId="4239907E" w14:textId="77777777" w:rsidR="00A94BB5" w:rsidRPr="008B43D5" w:rsidRDefault="00A94BB5" w:rsidP="00A94BB5">
            <w:pPr>
              <w:spacing w:after="0"/>
              <w:jc w:val="left"/>
              <w:rPr>
                <w:rFonts w:ascii="Arial" w:hAnsi="Arial" w:cs="Arial"/>
                <w:szCs w:val="24"/>
                <w:lang w:val="en-GB" w:eastAsia="en-GB"/>
              </w:rPr>
            </w:pPr>
            <w:r w:rsidRPr="008B43D5">
              <w:rPr>
                <w:rFonts w:ascii="Arial" w:hAnsi="Arial" w:cs="Arial"/>
                <w:szCs w:val="24"/>
                <w:lang w:val="en-GB" w:eastAsia="en-GB"/>
              </w:rPr>
              <w:t> </w:t>
            </w:r>
          </w:p>
        </w:tc>
      </w:tr>
      <w:tr w:rsidR="0033457D" w:rsidRPr="0033457D" w14:paraId="2A3A7340" w14:textId="77777777" w:rsidTr="00FB3EF7">
        <w:trPr>
          <w:trHeight w:val="630"/>
        </w:trPr>
        <w:tc>
          <w:tcPr>
            <w:tcW w:w="2967" w:type="dxa"/>
            <w:tcBorders>
              <w:top w:val="nil"/>
              <w:left w:val="single" w:sz="8" w:space="0" w:color="auto"/>
              <w:bottom w:val="single" w:sz="8" w:space="0" w:color="auto"/>
              <w:right w:val="single" w:sz="8" w:space="0" w:color="auto"/>
            </w:tcBorders>
            <w:shd w:val="clear" w:color="auto" w:fill="auto"/>
            <w:vAlign w:val="center"/>
            <w:hideMark/>
          </w:tcPr>
          <w:p w14:paraId="1B1A4A42" w14:textId="77777777" w:rsidR="00A94BB5" w:rsidRPr="00B77A18" w:rsidRDefault="00A94BB5" w:rsidP="00A94BB5">
            <w:pPr>
              <w:spacing w:after="0"/>
              <w:jc w:val="left"/>
              <w:rPr>
                <w:rFonts w:ascii="Arial" w:hAnsi="Arial" w:cs="Arial"/>
                <w:szCs w:val="24"/>
                <w:lang w:val="en-GB" w:eastAsia="en-GB"/>
              </w:rPr>
            </w:pPr>
            <w:r w:rsidRPr="00B77A18">
              <w:rPr>
                <w:rFonts w:ascii="Arial" w:hAnsi="Arial" w:cs="Arial"/>
                <w:szCs w:val="24"/>
                <w:lang w:val="en-GB" w:eastAsia="en-GB"/>
              </w:rPr>
              <w:t>Funding for Centrally Employed Teachers</w:t>
            </w:r>
          </w:p>
        </w:tc>
        <w:tc>
          <w:tcPr>
            <w:tcW w:w="1559" w:type="dxa"/>
            <w:tcBorders>
              <w:top w:val="nil"/>
              <w:left w:val="nil"/>
              <w:bottom w:val="single" w:sz="8" w:space="0" w:color="auto"/>
              <w:right w:val="single" w:sz="8" w:space="0" w:color="auto"/>
            </w:tcBorders>
            <w:shd w:val="clear" w:color="auto" w:fill="auto"/>
            <w:noWrap/>
            <w:vAlign w:val="center"/>
            <w:hideMark/>
          </w:tcPr>
          <w:p w14:paraId="5A9F98C5" w14:textId="23A4842A" w:rsidR="00A94BB5" w:rsidRPr="00B77A18" w:rsidRDefault="00A94BB5" w:rsidP="00A94BB5">
            <w:pPr>
              <w:spacing w:after="0"/>
              <w:jc w:val="right"/>
              <w:rPr>
                <w:rFonts w:ascii="Arial" w:hAnsi="Arial" w:cs="Arial"/>
                <w:szCs w:val="24"/>
                <w:lang w:val="en-GB" w:eastAsia="en-GB"/>
              </w:rPr>
            </w:pPr>
            <w:r w:rsidRPr="00B77A18">
              <w:rPr>
                <w:rFonts w:ascii="Arial" w:hAnsi="Arial" w:cs="Arial"/>
                <w:szCs w:val="24"/>
                <w:lang w:val="en-GB" w:eastAsia="en-GB"/>
              </w:rPr>
              <w:t xml:space="preserve">                                                       </w:t>
            </w:r>
            <w:r w:rsidR="008B43D5" w:rsidRPr="00B77A18">
              <w:rPr>
                <w:rFonts w:ascii="Arial" w:hAnsi="Arial" w:cs="Arial"/>
                <w:szCs w:val="24"/>
                <w:lang w:val="en-GB" w:eastAsia="en-GB"/>
              </w:rPr>
              <w:t>844</w:t>
            </w:r>
            <w:r w:rsidRPr="00B77A18">
              <w:rPr>
                <w:rFonts w:ascii="Arial" w:hAnsi="Arial" w:cs="Arial"/>
                <w:szCs w:val="24"/>
                <w:lang w:val="en-GB" w:eastAsia="en-GB"/>
              </w:rPr>
              <w:t xml:space="preserve"> </w:t>
            </w:r>
          </w:p>
        </w:tc>
        <w:tc>
          <w:tcPr>
            <w:tcW w:w="5397" w:type="dxa"/>
            <w:tcBorders>
              <w:top w:val="nil"/>
              <w:left w:val="nil"/>
              <w:bottom w:val="single" w:sz="8" w:space="0" w:color="auto"/>
              <w:right w:val="single" w:sz="8" w:space="0" w:color="auto"/>
            </w:tcBorders>
            <w:shd w:val="clear" w:color="auto" w:fill="auto"/>
            <w:vAlign w:val="center"/>
            <w:hideMark/>
          </w:tcPr>
          <w:p w14:paraId="37B4B2C1" w14:textId="796EF1FB" w:rsidR="00A94BB5" w:rsidRPr="008B43D5" w:rsidRDefault="00A94BB5" w:rsidP="00A94BB5">
            <w:pPr>
              <w:spacing w:after="0"/>
              <w:jc w:val="left"/>
              <w:rPr>
                <w:rFonts w:ascii="Arial" w:hAnsi="Arial" w:cs="Arial"/>
                <w:szCs w:val="24"/>
                <w:lang w:val="en-GB" w:eastAsia="en-GB"/>
              </w:rPr>
            </w:pPr>
            <w:r w:rsidRPr="00FE258F">
              <w:rPr>
                <w:rFonts w:ascii="Arial" w:hAnsi="Arial" w:cs="Arial"/>
                <w:szCs w:val="24"/>
                <w:lang w:val="en-GB" w:eastAsia="en-GB"/>
              </w:rPr>
              <w:t xml:space="preserve">Supplementary </w:t>
            </w:r>
            <w:r w:rsidRPr="008B43D5">
              <w:rPr>
                <w:rFonts w:ascii="Arial" w:hAnsi="Arial" w:cs="Arial"/>
                <w:szCs w:val="24"/>
                <w:lang w:val="en-GB" w:eastAsia="en-GB"/>
              </w:rPr>
              <w:t>grant</w:t>
            </w:r>
            <w:r w:rsidR="008B43D5" w:rsidRPr="008B43D5">
              <w:rPr>
                <w:rFonts w:ascii="Arial" w:hAnsi="Arial" w:cs="Arial"/>
                <w:szCs w:val="24"/>
                <w:lang w:val="en-GB" w:eastAsia="en-GB"/>
              </w:rPr>
              <w:t>s</w:t>
            </w:r>
            <w:r w:rsidRPr="00FE258F">
              <w:rPr>
                <w:rFonts w:ascii="Arial" w:hAnsi="Arial" w:cs="Arial"/>
                <w:szCs w:val="24"/>
                <w:lang w:val="en-GB" w:eastAsia="en-GB"/>
              </w:rPr>
              <w:t xml:space="preserve"> for increase to employers' </w:t>
            </w:r>
            <w:r w:rsidR="00FE258F" w:rsidRPr="00FE258F">
              <w:rPr>
                <w:rFonts w:ascii="Arial" w:hAnsi="Arial" w:cs="Arial"/>
                <w:szCs w:val="24"/>
                <w:lang w:val="en-GB" w:eastAsia="en-GB"/>
              </w:rPr>
              <w:t xml:space="preserve">pay and </w:t>
            </w:r>
            <w:r w:rsidRPr="00FE258F">
              <w:rPr>
                <w:rFonts w:ascii="Arial" w:hAnsi="Arial" w:cs="Arial"/>
                <w:szCs w:val="24"/>
                <w:lang w:val="en-GB" w:eastAsia="en-GB"/>
              </w:rPr>
              <w:t>pension contribution</w:t>
            </w:r>
          </w:p>
        </w:tc>
      </w:tr>
      <w:tr w:rsidR="0033457D" w:rsidRPr="0033457D" w14:paraId="1939E524" w14:textId="77777777" w:rsidTr="00FB3EF7">
        <w:trPr>
          <w:trHeight w:val="320"/>
        </w:trPr>
        <w:tc>
          <w:tcPr>
            <w:tcW w:w="2967" w:type="dxa"/>
            <w:tcBorders>
              <w:top w:val="nil"/>
              <w:left w:val="single" w:sz="8" w:space="0" w:color="auto"/>
              <w:bottom w:val="single" w:sz="8" w:space="0" w:color="auto"/>
              <w:right w:val="single" w:sz="8" w:space="0" w:color="auto"/>
            </w:tcBorders>
            <w:shd w:val="clear" w:color="auto" w:fill="auto"/>
            <w:vAlign w:val="center"/>
            <w:hideMark/>
          </w:tcPr>
          <w:p w14:paraId="1F642FA0" w14:textId="77777777" w:rsidR="00A94BB5" w:rsidRPr="00B77A18" w:rsidRDefault="00A94BB5" w:rsidP="00A94BB5">
            <w:pPr>
              <w:spacing w:after="0"/>
              <w:jc w:val="left"/>
              <w:rPr>
                <w:rFonts w:ascii="Arial" w:hAnsi="Arial" w:cs="Arial"/>
                <w:szCs w:val="24"/>
                <w:lang w:val="en-GB" w:eastAsia="en-GB"/>
              </w:rPr>
            </w:pPr>
            <w:r w:rsidRPr="00B77A18">
              <w:rPr>
                <w:rFonts w:ascii="Arial" w:hAnsi="Arial" w:cs="Arial"/>
                <w:szCs w:val="24"/>
                <w:lang w:val="en-GB" w:eastAsia="en-GB"/>
              </w:rPr>
              <w:t>Education Welfare</w:t>
            </w:r>
          </w:p>
        </w:tc>
        <w:tc>
          <w:tcPr>
            <w:tcW w:w="1559" w:type="dxa"/>
            <w:tcBorders>
              <w:top w:val="nil"/>
              <w:left w:val="nil"/>
              <w:bottom w:val="single" w:sz="8" w:space="0" w:color="auto"/>
              <w:right w:val="single" w:sz="8" w:space="0" w:color="auto"/>
            </w:tcBorders>
            <w:shd w:val="clear" w:color="auto" w:fill="auto"/>
            <w:noWrap/>
            <w:vAlign w:val="center"/>
            <w:hideMark/>
          </w:tcPr>
          <w:p w14:paraId="6183CAA4" w14:textId="7B946F4F" w:rsidR="00A94BB5" w:rsidRPr="00B77A18" w:rsidRDefault="00A94BB5" w:rsidP="00A94BB5">
            <w:pPr>
              <w:spacing w:after="0"/>
              <w:jc w:val="right"/>
              <w:rPr>
                <w:rFonts w:ascii="Arial" w:hAnsi="Arial" w:cs="Arial"/>
                <w:szCs w:val="24"/>
                <w:lang w:val="en-GB" w:eastAsia="en-GB"/>
              </w:rPr>
            </w:pPr>
            <w:r w:rsidRPr="00B77A18">
              <w:rPr>
                <w:rFonts w:ascii="Arial" w:hAnsi="Arial" w:cs="Arial"/>
                <w:szCs w:val="24"/>
                <w:lang w:val="en-GB" w:eastAsia="en-GB"/>
              </w:rPr>
              <w:t xml:space="preserve">                                                    </w:t>
            </w:r>
            <w:r w:rsidR="008B43D5" w:rsidRPr="00B77A18">
              <w:rPr>
                <w:rFonts w:ascii="Arial" w:hAnsi="Arial" w:cs="Arial"/>
                <w:szCs w:val="24"/>
                <w:lang w:val="en-GB" w:eastAsia="en-GB"/>
              </w:rPr>
              <w:t>2</w:t>
            </w:r>
            <w:r w:rsidRPr="00B77A18">
              <w:rPr>
                <w:rFonts w:ascii="Arial" w:hAnsi="Arial" w:cs="Arial"/>
                <w:szCs w:val="24"/>
                <w:lang w:val="en-GB" w:eastAsia="en-GB"/>
              </w:rPr>
              <w:t>,</w:t>
            </w:r>
            <w:r w:rsidR="008B43D5" w:rsidRPr="00B77A18">
              <w:rPr>
                <w:rFonts w:ascii="Arial" w:hAnsi="Arial" w:cs="Arial"/>
                <w:szCs w:val="24"/>
                <w:lang w:val="en-GB" w:eastAsia="en-GB"/>
              </w:rPr>
              <w:t>624</w:t>
            </w:r>
            <w:r w:rsidRPr="00B77A18">
              <w:rPr>
                <w:rFonts w:ascii="Arial" w:hAnsi="Arial" w:cs="Arial"/>
                <w:szCs w:val="24"/>
                <w:lang w:val="en-GB" w:eastAsia="en-GB"/>
              </w:rPr>
              <w:t xml:space="preserve"> </w:t>
            </w:r>
          </w:p>
        </w:tc>
        <w:tc>
          <w:tcPr>
            <w:tcW w:w="5397" w:type="dxa"/>
            <w:tcBorders>
              <w:top w:val="nil"/>
              <w:left w:val="nil"/>
              <w:bottom w:val="single" w:sz="8" w:space="0" w:color="auto"/>
              <w:right w:val="single" w:sz="8" w:space="0" w:color="auto"/>
            </w:tcBorders>
            <w:shd w:val="clear" w:color="auto" w:fill="auto"/>
            <w:vAlign w:val="center"/>
            <w:hideMark/>
          </w:tcPr>
          <w:p w14:paraId="1801D44A" w14:textId="77777777" w:rsidR="00A94BB5" w:rsidRPr="0033457D" w:rsidRDefault="00A94BB5" w:rsidP="00A94BB5">
            <w:pPr>
              <w:spacing w:after="0"/>
              <w:jc w:val="left"/>
              <w:rPr>
                <w:rFonts w:ascii="Arial" w:hAnsi="Arial" w:cs="Arial"/>
                <w:color w:val="FF0000"/>
                <w:szCs w:val="24"/>
                <w:lang w:val="en-GB" w:eastAsia="en-GB"/>
              </w:rPr>
            </w:pPr>
            <w:r w:rsidRPr="0033457D">
              <w:rPr>
                <w:rFonts w:ascii="Arial" w:hAnsi="Arial" w:cs="Arial"/>
                <w:color w:val="FF0000"/>
                <w:szCs w:val="24"/>
                <w:lang w:val="en-GB" w:eastAsia="en-GB"/>
              </w:rPr>
              <w:t> </w:t>
            </w:r>
          </w:p>
        </w:tc>
      </w:tr>
      <w:tr w:rsidR="0033457D" w:rsidRPr="0033457D" w14:paraId="730C8BFB" w14:textId="77777777" w:rsidTr="00FB3EF7">
        <w:trPr>
          <w:trHeight w:val="320"/>
        </w:trPr>
        <w:tc>
          <w:tcPr>
            <w:tcW w:w="2967" w:type="dxa"/>
            <w:tcBorders>
              <w:top w:val="nil"/>
              <w:left w:val="single" w:sz="8" w:space="0" w:color="auto"/>
              <w:bottom w:val="single" w:sz="8" w:space="0" w:color="auto"/>
              <w:right w:val="single" w:sz="8" w:space="0" w:color="auto"/>
            </w:tcBorders>
            <w:shd w:val="clear" w:color="auto" w:fill="auto"/>
            <w:vAlign w:val="center"/>
            <w:hideMark/>
          </w:tcPr>
          <w:p w14:paraId="5D1849C7" w14:textId="77777777" w:rsidR="00A94BB5" w:rsidRPr="00B77A18" w:rsidRDefault="00A94BB5" w:rsidP="00A94BB5">
            <w:pPr>
              <w:spacing w:after="0"/>
              <w:jc w:val="left"/>
              <w:rPr>
                <w:rFonts w:ascii="Arial" w:hAnsi="Arial" w:cs="Arial"/>
                <w:szCs w:val="24"/>
                <w:lang w:val="en-GB" w:eastAsia="en-GB"/>
              </w:rPr>
            </w:pPr>
            <w:r w:rsidRPr="00B77A18">
              <w:rPr>
                <w:rFonts w:ascii="Arial" w:hAnsi="Arial" w:cs="Arial"/>
                <w:szCs w:val="24"/>
                <w:lang w:val="en-GB" w:eastAsia="en-GB"/>
              </w:rPr>
              <w:t>Asset Management</w:t>
            </w:r>
          </w:p>
        </w:tc>
        <w:tc>
          <w:tcPr>
            <w:tcW w:w="1559" w:type="dxa"/>
            <w:tcBorders>
              <w:top w:val="nil"/>
              <w:left w:val="nil"/>
              <w:bottom w:val="single" w:sz="8" w:space="0" w:color="auto"/>
              <w:right w:val="single" w:sz="8" w:space="0" w:color="auto"/>
            </w:tcBorders>
            <w:shd w:val="clear" w:color="auto" w:fill="auto"/>
            <w:noWrap/>
            <w:vAlign w:val="center"/>
            <w:hideMark/>
          </w:tcPr>
          <w:p w14:paraId="07D33DE0" w14:textId="0EE79C19" w:rsidR="00A94BB5" w:rsidRPr="00B77A18" w:rsidRDefault="00A94BB5" w:rsidP="00A94BB5">
            <w:pPr>
              <w:spacing w:after="0"/>
              <w:jc w:val="right"/>
              <w:rPr>
                <w:rFonts w:ascii="Arial" w:hAnsi="Arial" w:cs="Arial"/>
                <w:szCs w:val="24"/>
                <w:lang w:val="en-GB" w:eastAsia="en-GB"/>
              </w:rPr>
            </w:pPr>
            <w:r w:rsidRPr="00B77A18">
              <w:rPr>
                <w:rFonts w:ascii="Arial" w:hAnsi="Arial" w:cs="Arial"/>
                <w:szCs w:val="24"/>
                <w:lang w:val="en-GB" w:eastAsia="en-GB"/>
              </w:rPr>
              <w:t xml:space="preserve">                                                       </w:t>
            </w:r>
            <w:r w:rsidR="00B66134" w:rsidRPr="00B77A18">
              <w:rPr>
                <w:rFonts w:ascii="Arial" w:hAnsi="Arial" w:cs="Arial"/>
                <w:szCs w:val="24"/>
                <w:lang w:val="en-GB" w:eastAsia="en-GB"/>
              </w:rPr>
              <w:t>476</w:t>
            </w:r>
            <w:r w:rsidRPr="00B77A18">
              <w:rPr>
                <w:rFonts w:ascii="Arial" w:hAnsi="Arial" w:cs="Arial"/>
                <w:szCs w:val="24"/>
                <w:lang w:val="en-GB" w:eastAsia="en-GB"/>
              </w:rPr>
              <w:t xml:space="preserve"> </w:t>
            </w:r>
          </w:p>
        </w:tc>
        <w:tc>
          <w:tcPr>
            <w:tcW w:w="5397" w:type="dxa"/>
            <w:tcBorders>
              <w:top w:val="nil"/>
              <w:left w:val="nil"/>
              <w:bottom w:val="single" w:sz="8" w:space="0" w:color="auto"/>
              <w:right w:val="single" w:sz="8" w:space="0" w:color="auto"/>
            </w:tcBorders>
            <w:shd w:val="clear" w:color="auto" w:fill="auto"/>
            <w:vAlign w:val="center"/>
            <w:hideMark/>
          </w:tcPr>
          <w:p w14:paraId="4DF9610A" w14:textId="77777777" w:rsidR="00A94BB5" w:rsidRPr="0033457D" w:rsidRDefault="00A94BB5" w:rsidP="00A94BB5">
            <w:pPr>
              <w:spacing w:after="0"/>
              <w:jc w:val="left"/>
              <w:rPr>
                <w:rFonts w:ascii="Arial" w:hAnsi="Arial" w:cs="Arial"/>
                <w:color w:val="FF0000"/>
                <w:szCs w:val="24"/>
                <w:lang w:val="en-GB" w:eastAsia="en-GB"/>
              </w:rPr>
            </w:pPr>
            <w:r w:rsidRPr="0033457D">
              <w:rPr>
                <w:rFonts w:ascii="Arial" w:hAnsi="Arial" w:cs="Arial"/>
                <w:color w:val="FF0000"/>
                <w:szCs w:val="24"/>
                <w:lang w:val="en-GB" w:eastAsia="en-GB"/>
              </w:rPr>
              <w:t> </w:t>
            </w:r>
          </w:p>
        </w:tc>
      </w:tr>
      <w:tr w:rsidR="0033457D" w:rsidRPr="0033457D" w14:paraId="3E5CE29B" w14:textId="77777777" w:rsidTr="00FB3EF7">
        <w:trPr>
          <w:trHeight w:val="630"/>
        </w:trPr>
        <w:tc>
          <w:tcPr>
            <w:tcW w:w="2967" w:type="dxa"/>
            <w:tcBorders>
              <w:top w:val="nil"/>
              <w:left w:val="single" w:sz="8" w:space="0" w:color="auto"/>
              <w:bottom w:val="single" w:sz="8" w:space="0" w:color="auto"/>
              <w:right w:val="single" w:sz="8" w:space="0" w:color="auto"/>
            </w:tcBorders>
            <w:shd w:val="clear" w:color="auto" w:fill="auto"/>
            <w:vAlign w:val="center"/>
            <w:hideMark/>
          </w:tcPr>
          <w:p w14:paraId="436303BC" w14:textId="77777777" w:rsidR="00A94BB5" w:rsidRPr="00B77A18" w:rsidRDefault="00A94BB5" w:rsidP="00A94BB5">
            <w:pPr>
              <w:spacing w:after="0"/>
              <w:jc w:val="left"/>
              <w:rPr>
                <w:rFonts w:ascii="Arial" w:hAnsi="Arial" w:cs="Arial"/>
                <w:szCs w:val="24"/>
                <w:lang w:val="en-GB" w:eastAsia="en-GB"/>
              </w:rPr>
            </w:pPr>
            <w:r w:rsidRPr="00B77A18">
              <w:rPr>
                <w:rFonts w:ascii="Arial" w:hAnsi="Arial" w:cs="Arial"/>
                <w:szCs w:val="24"/>
                <w:lang w:val="en-GB" w:eastAsia="en-GB"/>
              </w:rPr>
              <w:t>Statutory and Regulatory</w:t>
            </w:r>
          </w:p>
        </w:tc>
        <w:tc>
          <w:tcPr>
            <w:tcW w:w="1559" w:type="dxa"/>
            <w:tcBorders>
              <w:top w:val="nil"/>
              <w:left w:val="nil"/>
              <w:bottom w:val="single" w:sz="8" w:space="0" w:color="auto"/>
              <w:right w:val="single" w:sz="8" w:space="0" w:color="auto"/>
            </w:tcBorders>
            <w:shd w:val="clear" w:color="auto" w:fill="auto"/>
            <w:noWrap/>
            <w:vAlign w:val="center"/>
            <w:hideMark/>
          </w:tcPr>
          <w:p w14:paraId="48931E56" w14:textId="7516202E" w:rsidR="00A94BB5" w:rsidRPr="00B77A18" w:rsidRDefault="00A94BB5" w:rsidP="00A94BB5">
            <w:pPr>
              <w:spacing w:after="0"/>
              <w:jc w:val="right"/>
              <w:rPr>
                <w:rFonts w:ascii="Arial" w:hAnsi="Arial" w:cs="Arial"/>
                <w:szCs w:val="24"/>
                <w:lang w:val="en-GB" w:eastAsia="en-GB"/>
              </w:rPr>
            </w:pPr>
            <w:r w:rsidRPr="00B77A18">
              <w:rPr>
                <w:rFonts w:ascii="Arial" w:hAnsi="Arial" w:cs="Arial"/>
                <w:szCs w:val="24"/>
                <w:lang w:val="en-GB" w:eastAsia="en-GB"/>
              </w:rPr>
              <w:t xml:space="preserve">                                                    1,</w:t>
            </w:r>
            <w:r w:rsidR="00B66134" w:rsidRPr="00B77A18">
              <w:rPr>
                <w:rFonts w:ascii="Arial" w:hAnsi="Arial" w:cs="Arial"/>
                <w:szCs w:val="24"/>
                <w:lang w:val="en-GB" w:eastAsia="en-GB"/>
              </w:rPr>
              <w:t>210</w:t>
            </w:r>
            <w:r w:rsidRPr="00B77A18">
              <w:rPr>
                <w:rFonts w:ascii="Arial" w:hAnsi="Arial" w:cs="Arial"/>
                <w:szCs w:val="24"/>
                <w:lang w:val="en-GB" w:eastAsia="en-GB"/>
              </w:rPr>
              <w:t xml:space="preserve"> </w:t>
            </w:r>
          </w:p>
        </w:tc>
        <w:tc>
          <w:tcPr>
            <w:tcW w:w="5397" w:type="dxa"/>
            <w:tcBorders>
              <w:top w:val="nil"/>
              <w:left w:val="nil"/>
              <w:bottom w:val="single" w:sz="8" w:space="0" w:color="auto"/>
              <w:right w:val="single" w:sz="8" w:space="0" w:color="auto"/>
            </w:tcBorders>
            <w:shd w:val="clear" w:color="auto" w:fill="auto"/>
            <w:vAlign w:val="center"/>
            <w:hideMark/>
          </w:tcPr>
          <w:p w14:paraId="4EFF9751" w14:textId="3B7688D3" w:rsidR="00A94BB5" w:rsidRPr="0033457D" w:rsidRDefault="00A94BB5" w:rsidP="00A94BB5">
            <w:pPr>
              <w:spacing w:after="0"/>
              <w:jc w:val="left"/>
              <w:rPr>
                <w:rFonts w:ascii="Arial" w:hAnsi="Arial" w:cs="Arial"/>
                <w:color w:val="FF0000"/>
                <w:szCs w:val="24"/>
                <w:lang w:val="en-GB" w:eastAsia="en-GB"/>
              </w:rPr>
            </w:pPr>
          </w:p>
        </w:tc>
      </w:tr>
      <w:tr w:rsidR="0033457D" w:rsidRPr="0033457D" w14:paraId="0258534A" w14:textId="77777777" w:rsidTr="00FB3EF7">
        <w:trPr>
          <w:trHeight w:val="320"/>
        </w:trPr>
        <w:tc>
          <w:tcPr>
            <w:tcW w:w="2967" w:type="dxa"/>
            <w:tcBorders>
              <w:top w:val="nil"/>
              <w:left w:val="single" w:sz="8" w:space="0" w:color="auto"/>
              <w:bottom w:val="single" w:sz="8" w:space="0" w:color="auto"/>
              <w:right w:val="single" w:sz="8" w:space="0" w:color="auto"/>
            </w:tcBorders>
            <w:shd w:val="clear" w:color="000000" w:fill="D9D9D9"/>
            <w:vAlign w:val="center"/>
            <w:hideMark/>
          </w:tcPr>
          <w:p w14:paraId="0C6E2888" w14:textId="77777777" w:rsidR="00A94BB5" w:rsidRPr="00B77A18" w:rsidRDefault="00A94BB5" w:rsidP="00A94BB5">
            <w:pPr>
              <w:spacing w:after="0"/>
              <w:jc w:val="left"/>
              <w:rPr>
                <w:rFonts w:ascii="Arial" w:hAnsi="Arial" w:cs="Arial"/>
                <w:szCs w:val="24"/>
                <w:lang w:val="en-GB" w:eastAsia="en-GB"/>
              </w:rPr>
            </w:pPr>
            <w:r w:rsidRPr="00B77A18">
              <w:rPr>
                <w:rFonts w:ascii="Arial" w:hAnsi="Arial" w:cs="Arial"/>
                <w:szCs w:val="24"/>
                <w:lang w:val="en-GB" w:eastAsia="en-GB"/>
              </w:rPr>
              <w:t>On-going responsibilities</w:t>
            </w:r>
          </w:p>
        </w:tc>
        <w:tc>
          <w:tcPr>
            <w:tcW w:w="1559" w:type="dxa"/>
            <w:tcBorders>
              <w:top w:val="nil"/>
              <w:left w:val="nil"/>
              <w:bottom w:val="single" w:sz="8" w:space="0" w:color="auto"/>
              <w:right w:val="single" w:sz="8" w:space="0" w:color="auto"/>
            </w:tcBorders>
            <w:shd w:val="clear" w:color="000000" w:fill="D9D9D9"/>
            <w:noWrap/>
            <w:vAlign w:val="center"/>
            <w:hideMark/>
          </w:tcPr>
          <w:p w14:paraId="7915A32C" w14:textId="67FE8C6E" w:rsidR="00A94BB5" w:rsidRPr="00B77A18" w:rsidRDefault="00B66134" w:rsidP="00A94BB5">
            <w:pPr>
              <w:spacing w:after="0"/>
              <w:jc w:val="right"/>
              <w:rPr>
                <w:rFonts w:ascii="Arial" w:hAnsi="Arial" w:cs="Arial"/>
                <w:szCs w:val="24"/>
                <w:lang w:val="en-GB" w:eastAsia="en-GB"/>
              </w:rPr>
            </w:pPr>
            <w:r w:rsidRPr="00B77A18">
              <w:rPr>
                <w:rFonts w:ascii="Arial" w:hAnsi="Arial" w:cs="Arial"/>
                <w:szCs w:val="24"/>
                <w:lang w:val="en-GB" w:eastAsia="en-GB"/>
              </w:rPr>
              <w:t>8</w:t>
            </w:r>
            <w:r w:rsidR="00A94BB5" w:rsidRPr="00B77A18">
              <w:rPr>
                <w:rFonts w:ascii="Arial" w:hAnsi="Arial" w:cs="Arial"/>
                <w:szCs w:val="24"/>
                <w:lang w:val="en-GB" w:eastAsia="en-GB"/>
              </w:rPr>
              <w:t>,</w:t>
            </w:r>
            <w:r w:rsidRPr="00B77A18">
              <w:rPr>
                <w:rFonts w:ascii="Arial" w:hAnsi="Arial" w:cs="Arial"/>
                <w:szCs w:val="24"/>
                <w:lang w:val="en-GB" w:eastAsia="en-GB"/>
              </w:rPr>
              <w:t>288</w:t>
            </w:r>
          </w:p>
        </w:tc>
        <w:tc>
          <w:tcPr>
            <w:tcW w:w="5397" w:type="dxa"/>
            <w:tcBorders>
              <w:top w:val="nil"/>
              <w:left w:val="nil"/>
              <w:bottom w:val="single" w:sz="8" w:space="0" w:color="auto"/>
              <w:right w:val="single" w:sz="8" w:space="0" w:color="auto"/>
            </w:tcBorders>
            <w:shd w:val="clear" w:color="000000" w:fill="D9D9D9"/>
            <w:vAlign w:val="center"/>
            <w:hideMark/>
          </w:tcPr>
          <w:p w14:paraId="4E21D0E9" w14:textId="77777777" w:rsidR="00A94BB5" w:rsidRPr="0033457D" w:rsidRDefault="00A94BB5" w:rsidP="00A94BB5">
            <w:pPr>
              <w:spacing w:after="0"/>
              <w:jc w:val="left"/>
              <w:rPr>
                <w:rFonts w:ascii="Arial" w:hAnsi="Arial" w:cs="Arial"/>
                <w:color w:val="FF0000"/>
                <w:szCs w:val="24"/>
                <w:lang w:val="en-GB" w:eastAsia="en-GB"/>
              </w:rPr>
            </w:pPr>
            <w:r w:rsidRPr="0033457D">
              <w:rPr>
                <w:rFonts w:ascii="Arial" w:hAnsi="Arial" w:cs="Arial"/>
                <w:color w:val="FF0000"/>
                <w:szCs w:val="24"/>
                <w:lang w:val="en-GB" w:eastAsia="en-GB"/>
              </w:rPr>
              <w:t> </w:t>
            </w:r>
          </w:p>
        </w:tc>
      </w:tr>
      <w:tr w:rsidR="0033457D" w:rsidRPr="0033457D" w14:paraId="1B542E67" w14:textId="77777777" w:rsidTr="00FB3EF7">
        <w:trPr>
          <w:trHeight w:val="320"/>
        </w:trPr>
        <w:tc>
          <w:tcPr>
            <w:tcW w:w="2967" w:type="dxa"/>
            <w:tcBorders>
              <w:top w:val="nil"/>
              <w:left w:val="single" w:sz="8" w:space="0" w:color="auto"/>
              <w:bottom w:val="single" w:sz="8" w:space="0" w:color="auto"/>
              <w:right w:val="single" w:sz="8" w:space="0" w:color="auto"/>
            </w:tcBorders>
            <w:shd w:val="clear" w:color="000000" w:fill="808080"/>
            <w:vAlign w:val="center"/>
            <w:hideMark/>
          </w:tcPr>
          <w:p w14:paraId="117FECCB" w14:textId="77777777" w:rsidR="00A94BB5" w:rsidRPr="00B77A18" w:rsidRDefault="00A94BB5" w:rsidP="00A94BB5">
            <w:pPr>
              <w:spacing w:after="0"/>
              <w:jc w:val="left"/>
              <w:rPr>
                <w:rFonts w:ascii="Arial" w:hAnsi="Arial" w:cs="Arial"/>
                <w:b/>
                <w:szCs w:val="24"/>
                <w:lang w:val="en-GB" w:eastAsia="en-GB"/>
              </w:rPr>
            </w:pPr>
            <w:r w:rsidRPr="00B77A18">
              <w:rPr>
                <w:rFonts w:ascii="Arial" w:hAnsi="Arial" w:cs="Arial"/>
                <w:b/>
                <w:szCs w:val="24"/>
                <w:lang w:val="en-GB" w:eastAsia="en-GB"/>
              </w:rPr>
              <w:t>Central School Services</w:t>
            </w:r>
          </w:p>
        </w:tc>
        <w:tc>
          <w:tcPr>
            <w:tcW w:w="1559" w:type="dxa"/>
            <w:tcBorders>
              <w:top w:val="nil"/>
              <w:left w:val="nil"/>
              <w:bottom w:val="single" w:sz="8" w:space="0" w:color="auto"/>
              <w:right w:val="single" w:sz="8" w:space="0" w:color="auto"/>
            </w:tcBorders>
            <w:shd w:val="clear" w:color="000000" w:fill="808080"/>
            <w:noWrap/>
            <w:vAlign w:val="center"/>
            <w:hideMark/>
          </w:tcPr>
          <w:p w14:paraId="73ABCFFB" w14:textId="6A1951E2" w:rsidR="00A94BB5" w:rsidRPr="00B77A18" w:rsidRDefault="00B77A18" w:rsidP="00A94BB5">
            <w:pPr>
              <w:spacing w:after="0"/>
              <w:jc w:val="right"/>
              <w:rPr>
                <w:rFonts w:ascii="Arial" w:hAnsi="Arial" w:cs="Arial"/>
                <w:b/>
                <w:szCs w:val="24"/>
                <w:lang w:val="en-GB" w:eastAsia="en-GB"/>
              </w:rPr>
            </w:pPr>
            <w:r w:rsidRPr="00B77A18">
              <w:rPr>
                <w:rFonts w:ascii="Arial" w:hAnsi="Arial" w:cs="Arial"/>
                <w:b/>
                <w:bCs/>
                <w:szCs w:val="24"/>
                <w:lang w:val="en-GB" w:eastAsia="en-GB"/>
              </w:rPr>
              <w:t>8</w:t>
            </w:r>
            <w:r w:rsidR="009D0A9F" w:rsidRPr="00B77A18">
              <w:rPr>
                <w:rFonts w:ascii="Arial" w:hAnsi="Arial" w:cs="Arial"/>
                <w:b/>
                <w:bCs/>
                <w:szCs w:val="24"/>
                <w:lang w:val="en-GB" w:eastAsia="en-GB"/>
              </w:rPr>
              <w:t>,9</w:t>
            </w:r>
            <w:r w:rsidRPr="00B77A18">
              <w:rPr>
                <w:rFonts w:ascii="Arial" w:hAnsi="Arial" w:cs="Arial"/>
                <w:b/>
                <w:bCs/>
                <w:szCs w:val="24"/>
                <w:lang w:val="en-GB" w:eastAsia="en-GB"/>
              </w:rPr>
              <w:t>46</w:t>
            </w:r>
          </w:p>
        </w:tc>
        <w:tc>
          <w:tcPr>
            <w:tcW w:w="5397" w:type="dxa"/>
            <w:tcBorders>
              <w:top w:val="nil"/>
              <w:left w:val="nil"/>
              <w:bottom w:val="single" w:sz="8" w:space="0" w:color="auto"/>
              <w:right w:val="single" w:sz="8" w:space="0" w:color="auto"/>
            </w:tcBorders>
            <w:shd w:val="clear" w:color="000000" w:fill="808080"/>
            <w:vAlign w:val="center"/>
            <w:hideMark/>
          </w:tcPr>
          <w:p w14:paraId="2156D5C8" w14:textId="77777777" w:rsidR="00A94BB5" w:rsidRPr="0033457D" w:rsidRDefault="00A94BB5" w:rsidP="00A94BB5">
            <w:pPr>
              <w:spacing w:after="0"/>
              <w:jc w:val="left"/>
              <w:rPr>
                <w:rFonts w:ascii="Arial" w:hAnsi="Arial" w:cs="Arial"/>
                <w:b/>
                <w:bCs/>
                <w:color w:val="FF0000"/>
                <w:szCs w:val="24"/>
                <w:lang w:val="en-GB" w:eastAsia="en-GB"/>
              </w:rPr>
            </w:pPr>
            <w:r w:rsidRPr="0033457D">
              <w:rPr>
                <w:rFonts w:ascii="Arial" w:hAnsi="Arial" w:cs="Arial"/>
                <w:b/>
                <w:bCs/>
                <w:color w:val="FF0000"/>
                <w:szCs w:val="24"/>
                <w:lang w:val="en-GB" w:eastAsia="en-GB"/>
              </w:rPr>
              <w:t> </w:t>
            </w:r>
          </w:p>
        </w:tc>
      </w:tr>
      <w:tr w:rsidR="0033457D" w:rsidRPr="0033457D" w14:paraId="25713D4B" w14:textId="77777777" w:rsidTr="00FB3EF7">
        <w:trPr>
          <w:trHeight w:val="320"/>
        </w:trPr>
        <w:tc>
          <w:tcPr>
            <w:tcW w:w="2967" w:type="dxa"/>
            <w:tcBorders>
              <w:top w:val="nil"/>
              <w:left w:val="single" w:sz="8" w:space="0" w:color="auto"/>
              <w:bottom w:val="single" w:sz="8" w:space="0" w:color="auto"/>
              <w:right w:val="single" w:sz="8" w:space="0" w:color="auto"/>
            </w:tcBorders>
            <w:shd w:val="clear" w:color="000000" w:fill="000000"/>
            <w:vAlign w:val="center"/>
            <w:hideMark/>
          </w:tcPr>
          <w:p w14:paraId="0784E99B" w14:textId="77777777" w:rsidR="00A94BB5" w:rsidRPr="00F559FE" w:rsidRDefault="00A94BB5" w:rsidP="00A94BB5">
            <w:pPr>
              <w:spacing w:after="0"/>
              <w:jc w:val="left"/>
              <w:rPr>
                <w:rFonts w:ascii="Arial" w:hAnsi="Arial" w:cs="Arial"/>
                <w:b/>
                <w:szCs w:val="24"/>
                <w:lang w:val="en-GB" w:eastAsia="en-GB"/>
              </w:rPr>
            </w:pPr>
            <w:r w:rsidRPr="00F559FE">
              <w:rPr>
                <w:rFonts w:ascii="Arial" w:hAnsi="Arial" w:cs="Arial"/>
                <w:b/>
                <w:szCs w:val="24"/>
                <w:lang w:val="en-GB" w:eastAsia="en-GB"/>
              </w:rPr>
              <w:t>Total DSG Budget</w:t>
            </w:r>
          </w:p>
        </w:tc>
        <w:tc>
          <w:tcPr>
            <w:tcW w:w="1559" w:type="dxa"/>
            <w:tcBorders>
              <w:top w:val="nil"/>
              <w:left w:val="nil"/>
              <w:bottom w:val="single" w:sz="8" w:space="0" w:color="auto"/>
              <w:right w:val="single" w:sz="8" w:space="0" w:color="auto"/>
            </w:tcBorders>
            <w:shd w:val="clear" w:color="000000" w:fill="000000"/>
            <w:noWrap/>
            <w:vAlign w:val="center"/>
            <w:hideMark/>
          </w:tcPr>
          <w:p w14:paraId="11029E07" w14:textId="267CF39C" w:rsidR="00A94BB5" w:rsidRPr="00F559FE" w:rsidRDefault="00D13665" w:rsidP="00A94BB5">
            <w:pPr>
              <w:spacing w:after="0"/>
              <w:jc w:val="right"/>
              <w:rPr>
                <w:rFonts w:ascii="Arial" w:hAnsi="Arial" w:cs="Arial"/>
                <w:b/>
                <w:szCs w:val="24"/>
                <w:lang w:val="en-GB" w:eastAsia="en-GB"/>
              </w:rPr>
            </w:pPr>
            <w:r w:rsidRPr="00F559FE">
              <w:rPr>
                <w:rFonts w:ascii="Arial" w:hAnsi="Arial" w:cs="Arial"/>
                <w:b/>
                <w:szCs w:val="24"/>
                <w:lang w:val="en-GB" w:eastAsia="en-GB"/>
              </w:rPr>
              <w:t>1,</w:t>
            </w:r>
            <w:r w:rsidR="00F559FE" w:rsidRPr="00F559FE">
              <w:rPr>
                <w:rFonts w:ascii="Arial" w:hAnsi="Arial" w:cs="Arial"/>
                <w:b/>
                <w:szCs w:val="24"/>
                <w:lang w:val="en-GB" w:eastAsia="en-GB"/>
              </w:rPr>
              <w:t>176</w:t>
            </w:r>
            <w:r w:rsidR="00A94BB5" w:rsidRPr="00F559FE">
              <w:rPr>
                <w:rFonts w:ascii="Arial" w:hAnsi="Arial" w:cs="Arial"/>
                <w:b/>
                <w:szCs w:val="24"/>
                <w:lang w:val="en-GB" w:eastAsia="en-GB"/>
              </w:rPr>
              <w:t>,</w:t>
            </w:r>
            <w:r w:rsidR="009462EF">
              <w:rPr>
                <w:rFonts w:ascii="Arial" w:hAnsi="Arial" w:cs="Arial"/>
                <w:b/>
                <w:szCs w:val="24"/>
                <w:lang w:val="en-GB" w:eastAsia="en-GB"/>
              </w:rPr>
              <w:t>463</w:t>
            </w:r>
          </w:p>
        </w:tc>
        <w:tc>
          <w:tcPr>
            <w:tcW w:w="5397" w:type="dxa"/>
            <w:tcBorders>
              <w:top w:val="nil"/>
              <w:left w:val="nil"/>
              <w:bottom w:val="single" w:sz="8" w:space="0" w:color="auto"/>
              <w:right w:val="single" w:sz="8" w:space="0" w:color="auto"/>
            </w:tcBorders>
            <w:shd w:val="clear" w:color="000000" w:fill="000000"/>
            <w:vAlign w:val="center"/>
            <w:hideMark/>
          </w:tcPr>
          <w:p w14:paraId="2C75274B" w14:textId="77777777" w:rsidR="00A94BB5" w:rsidRPr="0033457D" w:rsidRDefault="00A94BB5" w:rsidP="00A94BB5">
            <w:pPr>
              <w:spacing w:after="0"/>
              <w:jc w:val="left"/>
              <w:rPr>
                <w:rFonts w:ascii="Arial" w:hAnsi="Arial" w:cs="Arial"/>
                <w:b/>
                <w:color w:val="FF0000"/>
                <w:szCs w:val="24"/>
                <w:lang w:val="en-GB" w:eastAsia="en-GB"/>
              </w:rPr>
            </w:pPr>
            <w:r w:rsidRPr="0033457D">
              <w:rPr>
                <w:rFonts w:ascii="Arial" w:hAnsi="Arial" w:cs="Arial"/>
                <w:b/>
                <w:color w:val="FF0000"/>
                <w:szCs w:val="24"/>
                <w:lang w:val="en-GB" w:eastAsia="en-GB"/>
              </w:rPr>
              <w:t> </w:t>
            </w:r>
          </w:p>
        </w:tc>
      </w:tr>
      <w:tr w:rsidR="0033457D" w:rsidRPr="0033457D" w14:paraId="78EC450A" w14:textId="77777777" w:rsidTr="00FB3EF7">
        <w:trPr>
          <w:trHeight w:val="320"/>
        </w:trPr>
        <w:tc>
          <w:tcPr>
            <w:tcW w:w="2967" w:type="dxa"/>
            <w:tcBorders>
              <w:top w:val="nil"/>
              <w:left w:val="single" w:sz="8" w:space="0" w:color="auto"/>
              <w:bottom w:val="single" w:sz="8" w:space="0" w:color="auto"/>
              <w:right w:val="single" w:sz="8" w:space="0" w:color="auto"/>
            </w:tcBorders>
            <w:shd w:val="clear" w:color="auto" w:fill="auto"/>
            <w:vAlign w:val="center"/>
            <w:hideMark/>
          </w:tcPr>
          <w:p w14:paraId="04491FF2" w14:textId="77777777" w:rsidR="00A94BB5" w:rsidRPr="0046413A" w:rsidRDefault="00A94BB5" w:rsidP="00A94BB5">
            <w:pPr>
              <w:spacing w:after="0"/>
              <w:jc w:val="left"/>
              <w:rPr>
                <w:rFonts w:ascii="Arial" w:hAnsi="Arial" w:cs="Arial"/>
                <w:szCs w:val="24"/>
                <w:lang w:val="en-GB" w:eastAsia="en-GB"/>
              </w:rPr>
            </w:pPr>
            <w:r w:rsidRPr="0046413A">
              <w:rPr>
                <w:rFonts w:ascii="Arial" w:hAnsi="Arial" w:cs="Arial"/>
                <w:szCs w:val="24"/>
                <w:lang w:val="en-GB" w:eastAsia="en-GB"/>
              </w:rPr>
              <w:t>Pupil Premium</w:t>
            </w:r>
          </w:p>
        </w:tc>
        <w:tc>
          <w:tcPr>
            <w:tcW w:w="1559" w:type="dxa"/>
            <w:tcBorders>
              <w:top w:val="nil"/>
              <w:left w:val="nil"/>
              <w:bottom w:val="single" w:sz="8" w:space="0" w:color="auto"/>
              <w:right w:val="single" w:sz="8" w:space="0" w:color="auto"/>
            </w:tcBorders>
            <w:shd w:val="clear" w:color="auto" w:fill="auto"/>
            <w:vAlign w:val="center"/>
            <w:hideMark/>
          </w:tcPr>
          <w:p w14:paraId="045B3526" w14:textId="5C853FCB" w:rsidR="00A94BB5" w:rsidRPr="0046413A" w:rsidRDefault="00A94BB5" w:rsidP="00A94BB5">
            <w:pPr>
              <w:spacing w:after="0"/>
              <w:jc w:val="right"/>
              <w:rPr>
                <w:rFonts w:ascii="Arial" w:hAnsi="Arial" w:cs="Arial"/>
                <w:szCs w:val="24"/>
                <w:lang w:val="en-GB" w:eastAsia="en-GB"/>
              </w:rPr>
            </w:pPr>
            <w:r w:rsidRPr="0046413A">
              <w:rPr>
                <w:rFonts w:ascii="Arial" w:hAnsi="Arial" w:cs="Arial"/>
                <w:szCs w:val="24"/>
                <w:lang w:val="en-GB" w:eastAsia="en-GB"/>
              </w:rPr>
              <w:t xml:space="preserve">                                                  </w:t>
            </w:r>
            <w:r w:rsidR="00CA69EE" w:rsidRPr="0046413A">
              <w:rPr>
                <w:rFonts w:ascii="Arial" w:hAnsi="Arial" w:cs="Arial"/>
                <w:szCs w:val="24"/>
                <w:lang w:val="en-GB" w:eastAsia="en-GB"/>
              </w:rPr>
              <w:t>42</w:t>
            </w:r>
            <w:r w:rsidRPr="0046413A">
              <w:rPr>
                <w:rFonts w:ascii="Arial" w:hAnsi="Arial" w:cs="Arial"/>
                <w:szCs w:val="24"/>
                <w:lang w:val="en-GB" w:eastAsia="en-GB"/>
              </w:rPr>
              <w:t>,2</w:t>
            </w:r>
            <w:r w:rsidR="00CA69EE" w:rsidRPr="0046413A">
              <w:rPr>
                <w:rFonts w:ascii="Arial" w:hAnsi="Arial" w:cs="Arial"/>
                <w:szCs w:val="24"/>
                <w:lang w:val="en-GB" w:eastAsia="en-GB"/>
              </w:rPr>
              <w:t>94</w:t>
            </w:r>
            <w:r w:rsidRPr="0046413A">
              <w:rPr>
                <w:rFonts w:ascii="Arial" w:hAnsi="Arial" w:cs="Arial"/>
                <w:szCs w:val="24"/>
                <w:lang w:val="en-GB" w:eastAsia="en-GB"/>
              </w:rPr>
              <w:t xml:space="preserve"> </w:t>
            </w:r>
          </w:p>
        </w:tc>
        <w:tc>
          <w:tcPr>
            <w:tcW w:w="5397" w:type="dxa"/>
            <w:tcBorders>
              <w:top w:val="nil"/>
              <w:left w:val="nil"/>
              <w:bottom w:val="single" w:sz="8" w:space="0" w:color="auto"/>
              <w:right w:val="single" w:sz="8" w:space="0" w:color="auto"/>
            </w:tcBorders>
            <w:shd w:val="clear" w:color="auto" w:fill="auto"/>
            <w:vAlign w:val="center"/>
            <w:hideMark/>
          </w:tcPr>
          <w:p w14:paraId="3A12A90E" w14:textId="310A671A" w:rsidR="00A94BB5" w:rsidRPr="0046413A" w:rsidRDefault="006E0625" w:rsidP="00A94BB5">
            <w:pPr>
              <w:spacing w:after="0"/>
              <w:jc w:val="left"/>
              <w:rPr>
                <w:rFonts w:ascii="Arial" w:hAnsi="Arial" w:cs="Arial"/>
                <w:szCs w:val="24"/>
                <w:lang w:val="en-GB" w:eastAsia="en-GB"/>
              </w:rPr>
            </w:pPr>
            <w:r>
              <w:rPr>
                <w:rFonts w:ascii="Arial" w:hAnsi="Arial" w:cs="Arial"/>
                <w:szCs w:val="24"/>
                <w:lang w:val="en-GB" w:eastAsia="en-GB"/>
              </w:rPr>
              <w:t>Estimate based on current allocation</w:t>
            </w:r>
          </w:p>
        </w:tc>
      </w:tr>
      <w:tr w:rsidR="0033457D" w:rsidRPr="0033457D" w14:paraId="0DC8D641" w14:textId="77777777" w:rsidTr="00FB3EF7">
        <w:trPr>
          <w:trHeight w:val="320"/>
        </w:trPr>
        <w:tc>
          <w:tcPr>
            <w:tcW w:w="2967" w:type="dxa"/>
            <w:tcBorders>
              <w:top w:val="nil"/>
              <w:left w:val="single" w:sz="8" w:space="0" w:color="auto"/>
              <w:bottom w:val="single" w:sz="8" w:space="0" w:color="auto"/>
              <w:right w:val="single" w:sz="8" w:space="0" w:color="auto"/>
            </w:tcBorders>
            <w:shd w:val="clear" w:color="auto" w:fill="auto"/>
            <w:vAlign w:val="center"/>
            <w:hideMark/>
          </w:tcPr>
          <w:p w14:paraId="12C5EB24" w14:textId="77777777" w:rsidR="00A94BB5" w:rsidRPr="00A00964" w:rsidRDefault="00A94BB5" w:rsidP="00A94BB5">
            <w:pPr>
              <w:spacing w:after="0"/>
              <w:jc w:val="left"/>
              <w:rPr>
                <w:rFonts w:ascii="Arial" w:hAnsi="Arial" w:cs="Arial"/>
                <w:szCs w:val="24"/>
                <w:lang w:val="en-GB" w:eastAsia="en-GB"/>
              </w:rPr>
            </w:pPr>
            <w:r w:rsidRPr="00A00964">
              <w:rPr>
                <w:rFonts w:ascii="Arial" w:hAnsi="Arial" w:cs="Arial"/>
                <w:szCs w:val="24"/>
                <w:lang w:val="en-GB" w:eastAsia="en-GB"/>
              </w:rPr>
              <w:t>Music Grant</w:t>
            </w:r>
          </w:p>
        </w:tc>
        <w:tc>
          <w:tcPr>
            <w:tcW w:w="1559" w:type="dxa"/>
            <w:tcBorders>
              <w:top w:val="nil"/>
              <w:left w:val="nil"/>
              <w:bottom w:val="single" w:sz="8" w:space="0" w:color="auto"/>
              <w:right w:val="single" w:sz="8" w:space="0" w:color="auto"/>
            </w:tcBorders>
            <w:shd w:val="clear" w:color="auto" w:fill="auto"/>
            <w:vAlign w:val="center"/>
            <w:hideMark/>
          </w:tcPr>
          <w:p w14:paraId="4DDA8A23" w14:textId="6D99A9CC" w:rsidR="00A94BB5" w:rsidRPr="00A00964" w:rsidRDefault="00A94BB5" w:rsidP="00A94BB5">
            <w:pPr>
              <w:spacing w:after="0"/>
              <w:jc w:val="right"/>
              <w:rPr>
                <w:rFonts w:ascii="Arial" w:hAnsi="Arial" w:cs="Arial"/>
                <w:szCs w:val="24"/>
                <w:lang w:val="en-GB" w:eastAsia="en-GB"/>
              </w:rPr>
            </w:pPr>
            <w:r w:rsidRPr="00A00964">
              <w:rPr>
                <w:rFonts w:ascii="Arial" w:hAnsi="Arial" w:cs="Arial"/>
                <w:szCs w:val="24"/>
                <w:lang w:val="en-GB" w:eastAsia="en-GB"/>
              </w:rPr>
              <w:t xml:space="preserve">                                                    1,73</w:t>
            </w:r>
            <w:r w:rsidR="00EE251F" w:rsidRPr="00A00964">
              <w:rPr>
                <w:rFonts w:ascii="Arial" w:hAnsi="Arial" w:cs="Arial"/>
                <w:szCs w:val="24"/>
                <w:lang w:val="en-GB" w:eastAsia="en-GB"/>
              </w:rPr>
              <w:t>6</w:t>
            </w:r>
          </w:p>
        </w:tc>
        <w:tc>
          <w:tcPr>
            <w:tcW w:w="5397" w:type="dxa"/>
            <w:tcBorders>
              <w:top w:val="nil"/>
              <w:left w:val="nil"/>
              <w:bottom w:val="single" w:sz="8" w:space="0" w:color="auto"/>
              <w:right w:val="single" w:sz="8" w:space="0" w:color="auto"/>
            </w:tcBorders>
            <w:shd w:val="clear" w:color="auto" w:fill="auto"/>
            <w:vAlign w:val="center"/>
            <w:hideMark/>
          </w:tcPr>
          <w:p w14:paraId="53F2342F" w14:textId="1F7D9D5B" w:rsidR="00A94BB5" w:rsidRPr="00A00964" w:rsidRDefault="006E0625" w:rsidP="00A94BB5">
            <w:pPr>
              <w:spacing w:after="0"/>
              <w:jc w:val="left"/>
              <w:rPr>
                <w:rFonts w:ascii="Arial" w:hAnsi="Arial" w:cs="Arial"/>
                <w:szCs w:val="24"/>
                <w:lang w:val="en-GB" w:eastAsia="en-GB"/>
              </w:rPr>
            </w:pPr>
            <w:r>
              <w:rPr>
                <w:rFonts w:ascii="Arial" w:hAnsi="Arial" w:cs="Arial"/>
                <w:szCs w:val="24"/>
                <w:lang w:val="en-GB" w:eastAsia="en-GB"/>
              </w:rPr>
              <w:t>Estimate based on current allocation</w:t>
            </w:r>
          </w:p>
        </w:tc>
      </w:tr>
      <w:tr w:rsidR="0033457D" w:rsidRPr="0033457D" w14:paraId="185A5A8E" w14:textId="77777777" w:rsidTr="00152A88">
        <w:trPr>
          <w:trHeight w:val="528"/>
        </w:trPr>
        <w:tc>
          <w:tcPr>
            <w:tcW w:w="2967" w:type="dxa"/>
            <w:tcBorders>
              <w:top w:val="nil"/>
              <w:left w:val="single" w:sz="8" w:space="0" w:color="auto"/>
              <w:bottom w:val="single" w:sz="8" w:space="0" w:color="auto"/>
              <w:right w:val="single" w:sz="8" w:space="0" w:color="auto"/>
            </w:tcBorders>
            <w:shd w:val="clear" w:color="auto" w:fill="auto"/>
            <w:vAlign w:val="center"/>
          </w:tcPr>
          <w:p w14:paraId="1DBC0CB0" w14:textId="43741C60" w:rsidR="004E6E21" w:rsidRPr="0046413A" w:rsidRDefault="003F5B06" w:rsidP="00A94BB5">
            <w:pPr>
              <w:spacing w:after="0"/>
              <w:jc w:val="left"/>
              <w:rPr>
                <w:rFonts w:ascii="Arial" w:hAnsi="Arial" w:cs="Arial"/>
                <w:szCs w:val="24"/>
                <w:lang w:val="en-GB" w:eastAsia="en-GB"/>
              </w:rPr>
            </w:pPr>
            <w:r w:rsidRPr="0046413A">
              <w:rPr>
                <w:rFonts w:ascii="Arial" w:hAnsi="Arial" w:cs="Arial"/>
                <w:szCs w:val="24"/>
                <w:lang w:val="en-GB" w:eastAsia="en-GB"/>
              </w:rPr>
              <w:t>Core Schools Budget Grant</w:t>
            </w:r>
          </w:p>
        </w:tc>
        <w:tc>
          <w:tcPr>
            <w:tcW w:w="1559" w:type="dxa"/>
            <w:tcBorders>
              <w:top w:val="nil"/>
              <w:left w:val="nil"/>
              <w:bottom w:val="single" w:sz="8" w:space="0" w:color="auto"/>
              <w:right w:val="single" w:sz="8" w:space="0" w:color="auto"/>
            </w:tcBorders>
            <w:shd w:val="clear" w:color="auto" w:fill="auto"/>
            <w:vAlign w:val="center"/>
          </w:tcPr>
          <w:p w14:paraId="523F6FC9" w14:textId="7F949E96" w:rsidR="004E6E21" w:rsidRPr="0046413A" w:rsidRDefault="0046413A" w:rsidP="00A94BB5">
            <w:pPr>
              <w:spacing w:after="0"/>
              <w:jc w:val="right"/>
              <w:rPr>
                <w:rFonts w:ascii="Arial" w:hAnsi="Arial" w:cs="Arial"/>
                <w:szCs w:val="24"/>
                <w:lang w:val="en-GB" w:eastAsia="en-GB"/>
              </w:rPr>
            </w:pPr>
            <w:r w:rsidRPr="0046413A">
              <w:rPr>
                <w:rFonts w:ascii="Arial" w:hAnsi="Arial" w:cs="Arial"/>
                <w:szCs w:val="24"/>
                <w:lang w:val="en-GB" w:eastAsia="en-GB"/>
              </w:rPr>
              <w:t>10,453</w:t>
            </w:r>
          </w:p>
        </w:tc>
        <w:tc>
          <w:tcPr>
            <w:tcW w:w="5397" w:type="dxa"/>
            <w:tcBorders>
              <w:top w:val="nil"/>
              <w:left w:val="nil"/>
              <w:bottom w:val="single" w:sz="8" w:space="0" w:color="auto"/>
              <w:right w:val="single" w:sz="8" w:space="0" w:color="auto"/>
            </w:tcBorders>
            <w:shd w:val="clear" w:color="auto" w:fill="auto"/>
            <w:vAlign w:val="center"/>
          </w:tcPr>
          <w:p w14:paraId="66B06688" w14:textId="350BCC9F" w:rsidR="004E6E21" w:rsidRPr="0046413A" w:rsidRDefault="006E0625" w:rsidP="00A94BB5">
            <w:pPr>
              <w:spacing w:after="0"/>
              <w:jc w:val="left"/>
              <w:rPr>
                <w:rFonts w:ascii="Arial" w:hAnsi="Arial" w:cs="Arial"/>
                <w:szCs w:val="24"/>
                <w:lang w:val="en-GB" w:eastAsia="en-GB"/>
              </w:rPr>
            </w:pPr>
            <w:r>
              <w:rPr>
                <w:rFonts w:ascii="Arial" w:hAnsi="Arial" w:cs="Arial"/>
                <w:szCs w:val="24"/>
                <w:lang w:val="en-GB" w:eastAsia="en-GB"/>
              </w:rPr>
              <w:t>Estimate based on published methodology</w:t>
            </w:r>
          </w:p>
        </w:tc>
      </w:tr>
      <w:tr w:rsidR="0033457D" w:rsidRPr="0033457D" w14:paraId="482F1B4A" w14:textId="77777777" w:rsidTr="00FB3EF7">
        <w:trPr>
          <w:trHeight w:val="1250"/>
        </w:trPr>
        <w:tc>
          <w:tcPr>
            <w:tcW w:w="2967" w:type="dxa"/>
            <w:tcBorders>
              <w:top w:val="nil"/>
              <w:left w:val="single" w:sz="8" w:space="0" w:color="auto"/>
              <w:bottom w:val="single" w:sz="8" w:space="0" w:color="auto"/>
              <w:right w:val="single" w:sz="8" w:space="0" w:color="auto"/>
            </w:tcBorders>
            <w:shd w:val="clear" w:color="auto" w:fill="auto"/>
            <w:vAlign w:val="center"/>
            <w:hideMark/>
          </w:tcPr>
          <w:p w14:paraId="6CD033A8" w14:textId="77777777" w:rsidR="00A94BB5" w:rsidRPr="00D44842" w:rsidRDefault="00A94BB5" w:rsidP="00A94BB5">
            <w:pPr>
              <w:spacing w:after="0"/>
              <w:jc w:val="left"/>
              <w:rPr>
                <w:rFonts w:ascii="Arial" w:hAnsi="Arial" w:cs="Arial"/>
                <w:szCs w:val="24"/>
                <w:lang w:val="en-GB" w:eastAsia="en-GB"/>
              </w:rPr>
            </w:pPr>
            <w:r w:rsidRPr="00D44842">
              <w:rPr>
                <w:rFonts w:ascii="Arial" w:hAnsi="Arial" w:cs="Arial"/>
                <w:szCs w:val="24"/>
                <w:lang w:val="en-GB" w:eastAsia="en-GB"/>
              </w:rPr>
              <w:t>Other schools’ grants</w:t>
            </w:r>
          </w:p>
        </w:tc>
        <w:tc>
          <w:tcPr>
            <w:tcW w:w="1559" w:type="dxa"/>
            <w:tcBorders>
              <w:top w:val="nil"/>
              <w:left w:val="nil"/>
              <w:bottom w:val="single" w:sz="8" w:space="0" w:color="auto"/>
              <w:right w:val="single" w:sz="8" w:space="0" w:color="auto"/>
            </w:tcBorders>
            <w:shd w:val="clear" w:color="auto" w:fill="auto"/>
            <w:vAlign w:val="center"/>
            <w:hideMark/>
          </w:tcPr>
          <w:p w14:paraId="0A5AAF24" w14:textId="03F61AB6" w:rsidR="00A94BB5" w:rsidRPr="00D44842" w:rsidRDefault="00A94BB5" w:rsidP="00A94BB5">
            <w:pPr>
              <w:spacing w:after="0"/>
              <w:jc w:val="right"/>
              <w:rPr>
                <w:rFonts w:ascii="Arial" w:hAnsi="Arial" w:cs="Arial"/>
                <w:szCs w:val="24"/>
                <w:lang w:val="en-GB" w:eastAsia="en-GB"/>
              </w:rPr>
            </w:pPr>
            <w:r w:rsidRPr="00D44842">
              <w:rPr>
                <w:rFonts w:ascii="Arial" w:hAnsi="Arial" w:cs="Arial"/>
                <w:szCs w:val="24"/>
                <w:lang w:val="en-GB" w:eastAsia="en-GB"/>
              </w:rPr>
              <w:t xml:space="preserve">                                                  </w:t>
            </w:r>
            <w:r w:rsidR="00D44842" w:rsidRPr="00D44842">
              <w:rPr>
                <w:rFonts w:ascii="Arial" w:hAnsi="Arial" w:cs="Arial"/>
                <w:szCs w:val="24"/>
                <w:lang w:val="en-GB" w:eastAsia="en-GB"/>
              </w:rPr>
              <w:t>25,087</w:t>
            </w:r>
            <w:r w:rsidRPr="00D44842">
              <w:rPr>
                <w:rFonts w:ascii="Arial" w:hAnsi="Arial" w:cs="Arial"/>
                <w:szCs w:val="24"/>
                <w:lang w:val="en-GB" w:eastAsia="en-GB"/>
              </w:rPr>
              <w:t xml:space="preserve"> </w:t>
            </w:r>
          </w:p>
        </w:tc>
        <w:tc>
          <w:tcPr>
            <w:tcW w:w="5397" w:type="dxa"/>
            <w:tcBorders>
              <w:top w:val="nil"/>
              <w:left w:val="nil"/>
              <w:bottom w:val="single" w:sz="8" w:space="0" w:color="auto"/>
              <w:right w:val="single" w:sz="8" w:space="0" w:color="auto"/>
            </w:tcBorders>
            <w:shd w:val="clear" w:color="auto" w:fill="auto"/>
            <w:vAlign w:val="center"/>
            <w:hideMark/>
          </w:tcPr>
          <w:p w14:paraId="53FDBC56" w14:textId="3064D8A3" w:rsidR="00A94BB5" w:rsidRPr="0033457D" w:rsidRDefault="00A94BB5" w:rsidP="00A94BB5">
            <w:pPr>
              <w:spacing w:after="0"/>
              <w:jc w:val="left"/>
              <w:rPr>
                <w:rFonts w:ascii="Arial" w:hAnsi="Arial" w:cs="Arial"/>
                <w:color w:val="FF0000"/>
                <w:szCs w:val="24"/>
                <w:lang w:val="en-GB" w:eastAsia="en-GB"/>
              </w:rPr>
            </w:pPr>
            <w:r w:rsidRPr="0027479B">
              <w:rPr>
                <w:rFonts w:ascii="Arial" w:hAnsi="Arial" w:cs="Arial"/>
                <w:szCs w:val="24"/>
                <w:lang w:val="en-GB" w:eastAsia="en-GB"/>
              </w:rPr>
              <w:t xml:space="preserve">UIFSM, PE, </w:t>
            </w:r>
            <w:r w:rsidR="005C1E35" w:rsidRPr="0027479B">
              <w:rPr>
                <w:rFonts w:ascii="Arial" w:hAnsi="Arial" w:cs="Arial"/>
                <w:szCs w:val="24"/>
                <w:lang w:val="en-GB" w:eastAsia="en-GB"/>
              </w:rPr>
              <w:t>W</w:t>
            </w:r>
            <w:r w:rsidR="00022C60" w:rsidRPr="0027479B">
              <w:rPr>
                <w:rFonts w:ascii="Arial" w:hAnsi="Arial" w:cs="Arial"/>
                <w:szCs w:val="24"/>
                <w:lang w:val="en-GB" w:eastAsia="en-GB"/>
              </w:rPr>
              <w:t>raparound</w:t>
            </w:r>
            <w:r w:rsidRPr="0027479B">
              <w:rPr>
                <w:rFonts w:ascii="Arial" w:hAnsi="Arial" w:cs="Arial"/>
                <w:szCs w:val="24"/>
                <w:lang w:val="en-GB" w:eastAsia="en-GB"/>
              </w:rPr>
              <w:t>, NTP</w:t>
            </w:r>
            <w:r w:rsidR="0094111E" w:rsidRPr="0027479B">
              <w:rPr>
                <w:rFonts w:ascii="Arial" w:hAnsi="Arial" w:cs="Arial"/>
                <w:szCs w:val="24"/>
                <w:lang w:val="en-GB" w:eastAsia="en-GB"/>
              </w:rPr>
              <w:t xml:space="preserve">, ECF </w:t>
            </w:r>
            <w:r w:rsidR="00696DD0" w:rsidRPr="0027479B">
              <w:rPr>
                <w:rFonts w:ascii="Arial" w:hAnsi="Arial" w:cs="Arial"/>
                <w:szCs w:val="24"/>
                <w:lang w:val="en-GB" w:eastAsia="en-GB"/>
              </w:rPr>
              <w:t>t</w:t>
            </w:r>
            <w:r w:rsidR="0094111E" w:rsidRPr="0027479B">
              <w:rPr>
                <w:rFonts w:ascii="Arial" w:hAnsi="Arial" w:cs="Arial"/>
                <w:szCs w:val="24"/>
                <w:lang w:val="en-GB" w:eastAsia="en-GB"/>
              </w:rPr>
              <w:t>eachers</w:t>
            </w:r>
            <w:r w:rsidR="003806E6" w:rsidRPr="0027479B">
              <w:rPr>
                <w:rFonts w:ascii="Arial" w:hAnsi="Arial" w:cs="Arial"/>
                <w:szCs w:val="24"/>
                <w:lang w:val="en-GB" w:eastAsia="en-GB"/>
              </w:rPr>
              <w:t xml:space="preserve"> </w:t>
            </w:r>
            <w:r w:rsidR="0094111E" w:rsidRPr="0027479B">
              <w:rPr>
                <w:rFonts w:ascii="Arial" w:hAnsi="Arial" w:cs="Arial"/>
                <w:szCs w:val="24"/>
                <w:lang w:val="en-GB" w:eastAsia="en-GB"/>
              </w:rPr>
              <w:t>&amp;</w:t>
            </w:r>
            <w:r w:rsidR="003806E6" w:rsidRPr="0027479B">
              <w:rPr>
                <w:rFonts w:ascii="Arial" w:hAnsi="Arial" w:cs="Arial"/>
                <w:szCs w:val="24"/>
                <w:lang w:val="en-GB" w:eastAsia="en-GB"/>
              </w:rPr>
              <w:t xml:space="preserve"> </w:t>
            </w:r>
            <w:r w:rsidRPr="0027479B">
              <w:rPr>
                <w:rFonts w:ascii="Arial" w:hAnsi="Arial" w:cs="Arial"/>
                <w:szCs w:val="24"/>
                <w:lang w:val="en-GB" w:eastAsia="en-GB"/>
              </w:rPr>
              <w:t>mentors</w:t>
            </w:r>
            <w:r w:rsidR="003F06EB" w:rsidRPr="0027479B">
              <w:rPr>
                <w:rFonts w:ascii="Arial" w:hAnsi="Arial" w:cs="Arial"/>
                <w:szCs w:val="24"/>
                <w:lang w:val="en-GB" w:eastAsia="en-GB"/>
              </w:rPr>
              <w:t xml:space="preserve">. </w:t>
            </w:r>
          </w:p>
        </w:tc>
      </w:tr>
      <w:tr w:rsidR="0033457D" w:rsidRPr="0033457D" w14:paraId="6B2E9A82" w14:textId="77777777" w:rsidTr="00FB3EF7">
        <w:trPr>
          <w:trHeight w:val="320"/>
        </w:trPr>
        <w:tc>
          <w:tcPr>
            <w:tcW w:w="2967" w:type="dxa"/>
            <w:tcBorders>
              <w:top w:val="nil"/>
              <w:left w:val="single" w:sz="8" w:space="0" w:color="auto"/>
              <w:bottom w:val="single" w:sz="8" w:space="0" w:color="auto"/>
              <w:right w:val="single" w:sz="8" w:space="0" w:color="auto"/>
            </w:tcBorders>
            <w:shd w:val="clear" w:color="000000" w:fill="808080"/>
            <w:vAlign w:val="center"/>
            <w:hideMark/>
          </w:tcPr>
          <w:p w14:paraId="5236BCE0" w14:textId="77777777" w:rsidR="00A94BB5" w:rsidRPr="00886CE2" w:rsidRDefault="00A94BB5" w:rsidP="00A94BB5">
            <w:pPr>
              <w:spacing w:after="0"/>
              <w:jc w:val="left"/>
              <w:rPr>
                <w:rFonts w:ascii="Arial" w:hAnsi="Arial" w:cs="Arial"/>
                <w:b/>
                <w:szCs w:val="24"/>
                <w:lang w:val="en-GB" w:eastAsia="en-GB"/>
              </w:rPr>
            </w:pPr>
            <w:r w:rsidRPr="00886CE2">
              <w:rPr>
                <w:rFonts w:ascii="Arial" w:hAnsi="Arial" w:cs="Arial"/>
                <w:b/>
                <w:szCs w:val="24"/>
                <w:lang w:val="en-GB" w:eastAsia="en-GB"/>
              </w:rPr>
              <w:t>Grants</w:t>
            </w:r>
          </w:p>
        </w:tc>
        <w:tc>
          <w:tcPr>
            <w:tcW w:w="1559" w:type="dxa"/>
            <w:tcBorders>
              <w:top w:val="nil"/>
              <w:left w:val="nil"/>
              <w:bottom w:val="single" w:sz="8" w:space="0" w:color="auto"/>
              <w:right w:val="single" w:sz="8" w:space="0" w:color="auto"/>
            </w:tcBorders>
            <w:shd w:val="clear" w:color="000000" w:fill="808080"/>
            <w:noWrap/>
            <w:vAlign w:val="center"/>
            <w:hideMark/>
          </w:tcPr>
          <w:p w14:paraId="18F8B2CC" w14:textId="52BE3B9B" w:rsidR="00A94BB5" w:rsidRPr="00886CE2" w:rsidRDefault="00886CE2" w:rsidP="00A94BB5">
            <w:pPr>
              <w:spacing w:after="0"/>
              <w:jc w:val="right"/>
              <w:rPr>
                <w:rFonts w:ascii="Arial" w:hAnsi="Arial" w:cs="Arial"/>
                <w:b/>
                <w:szCs w:val="24"/>
                <w:lang w:val="en-GB" w:eastAsia="en-GB"/>
              </w:rPr>
            </w:pPr>
            <w:r>
              <w:rPr>
                <w:rFonts w:ascii="Arial" w:hAnsi="Arial" w:cs="Arial"/>
                <w:b/>
                <w:bCs/>
                <w:szCs w:val="24"/>
                <w:lang w:val="en-GB" w:eastAsia="en-GB"/>
              </w:rPr>
              <w:t>79,570</w:t>
            </w:r>
          </w:p>
        </w:tc>
        <w:tc>
          <w:tcPr>
            <w:tcW w:w="5397" w:type="dxa"/>
            <w:tcBorders>
              <w:top w:val="nil"/>
              <w:left w:val="nil"/>
              <w:bottom w:val="single" w:sz="8" w:space="0" w:color="auto"/>
              <w:right w:val="single" w:sz="8" w:space="0" w:color="auto"/>
            </w:tcBorders>
            <w:shd w:val="clear" w:color="000000" w:fill="808080"/>
            <w:vAlign w:val="center"/>
            <w:hideMark/>
          </w:tcPr>
          <w:p w14:paraId="17EFF249" w14:textId="77777777" w:rsidR="00A94BB5" w:rsidRPr="00886CE2" w:rsidRDefault="00A94BB5" w:rsidP="00A94BB5">
            <w:pPr>
              <w:spacing w:after="0"/>
              <w:jc w:val="left"/>
              <w:rPr>
                <w:rFonts w:ascii="Arial" w:hAnsi="Arial" w:cs="Arial"/>
                <w:b/>
                <w:szCs w:val="24"/>
                <w:lang w:val="en-GB" w:eastAsia="en-GB"/>
              </w:rPr>
            </w:pPr>
            <w:r w:rsidRPr="00886CE2">
              <w:rPr>
                <w:rFonts w:ascii="Arial" w:hAnsi="Arial" w:cs="Arial"/>
                <w:b/>
                <w:szCs w:val="24"/>
                <w:lang w:val="en-GB" w:eastAsia="en-GB"/>
              </w:rPr>
              <w:t> </w:t>
            </w:r>
          </w:p>
        </w:tc>
      </w:tr>
      <w:tr w:rsidR="0033457D" w:rsidRPr="0033457D" w14:paraId="450D9D44" w14:textId="77777777" w:rsidTr="00FB3EF7">
        <w:trPr>
          <w:trHeight w:val="320"/>
        </w:trPr>
        <w:tc>
          <w:tcPr>
            <w:tcW w:w="2967" w:type="dxa"/>
            <w:tcBorders>
              <w:top w:val="nil"/>
              <w:left w:val="single" w:sz="8" w:space="0" w:color="auto"/>
              <w:bottom w:val="single" w:sz="8" w:space="0" w:color="auto"/>
              <w:right w:val="single" w:sz="8" w:space="0" w:color="auto"/>
            </w:tcBorders>
            <w:shd w:val="clear" w:color="000000" w:fill="000000"/>
            <w:vAlign w:val="center"/>
            <w:hideMark/>
          </w:tcPr>
          <w:p w14:paraId="75EA4BB5" w14:textId="77777777" w:rsidR="00A94BB5" w:rsidRPr="0027479B" w:rsidRDefault="00A94BB5" w:rsidP="00A94BB5">
            <w:pPr>
              <w:spacing w:after="0"/>
              <w:jc w:val="left"/>
              <w:rPr>
                <w:rFonts w:ascii="Arial" w:hAnsi="Arial" w:cs="Arial"/>
                <w:b/>
                <w:color w:val="FFFFFF" w:themeColor="background1"/>
                <w:szCs w:val="24"/>
                <w:lang w:val="en-GB" w:eastAsia="en-GB"/>
              </w:rPr>
            </w:pPr>
            <w:r w:rsidRPr="0027479B">
              <w:rPr>
                <w:rFonts w:ascii="Arial" w:hAnsi="Arial" w:cs="Arial"/>
                <w:b/>
                <w:color w:val="FFFFFF" w:themeColor="background1"/>
                <w:szCs w:val="24"/>
                <w:lang w:val="en-GB" w:eastAsia="en-GB"/>
              </w:rPr>
              <w:t>Total Schools Budget</w:t>
            </w:r>
          </w:p>
        </w:tc>
        <w:tc>
          <w:tcPr>
            <w:tcW w:w="1559" w:type="dxa"/>
            <w:tcBorders>
              <w:top w:val="nil"/>
              <w:left w:val="nil"/>
              <w:bottom w:val="single" w:sz="8" w:space="0" w:color="auto"/>
              <w:right w:val="single" w:sz="8" w:space="0" w:color="auto"/>
            </w:tcBorders>
            <w:shd w:val="clear" w:color="000000" w:fill="000000"/>
            <w:noWrap/>
            <w:vAlign w:val="center"/>
            <w:hideMark/>
          </w:tcPr>
          <w:p w14:paraId="386760E8" w14:textId="2A7A63D3" w:rsidR="00A94BB5" w:rsidRPr="0027479B" w:rsidRDefault="00A94BB5" w:rsidP="00A94BB5">
            <w:pPr>
              <w:spacing w:after="0"/>
              <w:jc w:val="right"/>
              <w:rPr>
                <w:rFonts w:ascii="Arial" w:hAnsi="Arial" w:cs="Arial"/>
                <w:b/>
                <w:color w:val="FFFFFF" w:themeColor="background1"/>
                <w:szCs w:val="24"/>
                <w:lang w:val="en-GB" w:eastAsia="en-GB"/>
              </w:rPr>
            </w:pPr>
            <w:r w:rsidRPr="0027479B">
              <w:rPr>
                <w:rFonts w:ascii="Arial" w:hAnsi="Arial" w:cs="Arial"/>
                <w:b/>
                <w:bCs/>
                <w:color w:val="FFFFFF" w:themeColor="background1"/>
                <w:szCs w:val="24"/>
                <w:lang w:val="en-GB" w:eastAsia="en-GB"/>
              </w:rPr>
              <w:t>1,</w:t>
            </w:r>
            <w:r w:rsidR="0027479B">
              <w:rPr>
                <w:rFonts w:ascii="Arial" w:hAnsi="Arial" w:cs="Arial"/>
                <w:b/>
                <w:bCs/>
                <w:color w:val="FFFFFF" w:themeColor="background1"/>
                <w:szCs w:val="24"/>
                <w:lang w:val="en-GB" w:eastAsia="en-GB"/>
              </w:rPr>
              <w:t>2</w:t>
            </w:r>
            <w:r w:rsidR="00417C9F">
              <w:rPr>
                <w:rFonts w:ascii="Arial" w:hAnsi="Arial" w:cs="Arial"/>
                <w:b/>
                <w:bCs/>
                <w:color w:val="FFFFFF" w:themeColor="background1"/>
                <w:szCs w:val="24"/>
                <w:lang w:val="en-GB" w:eastAsia="en-GB"/>
              </w:rPr>
              <w:t>56</w:t>
            </w:r>
            <w:r w:rsidR="00F22586">
              <w:rPr>
                <w:rFonts w:ascii="Arial" w:hAnsi="Arial" w:cs="Arial"/>
                <w:b/>
                <w:bCs/>
                <w:color w:val="FFFFFF" w:themeColor="background1"/>
                <w:szCs w:val="24"/>
                <w:lang w:val="en-GB" w:eastAsia="en-GB"/>
              </w:rPr>
              <w:t>,</w:t>
            </w:r>
            <w:r w:rsidR="00417C9F">
              <w:rPr>
                <w:rFonts w:ascii="Arial" w:hAnsi="Arial" w:cs="Arial"/>
                <w:b/>
                <w:bCs/>
                <w:color w:val="FFFFFF" w:themeColor="background1"/>
                <w:szCs w:val="24"/>
                <w:lang w:val="en-GB" w:eastAsia="en-GB"/>
              </w:rPr>
              <w:t>0</w:t>
            </w:r>
            <w:r w:rsidR="00B22541">
              <w:rPr>
                <w:rFonts w:ascii="Arial" w:hAnsi="Arial" w:cs="Arial"/>
                <w:b/>
                <w:bCs/>
                <w:color w:val="FFFFFF" w:themeColor="background1"/>
                <w:szCs w:val="24"/>
                <w:lang w:val="en-GB" w:eastAsia="en-GB"/>
              </w:rPr>
              <w:t>33</w:t>
            </w:r>
          </w:p>
        </w:tc>
        <w:tc>
          <w:tcPr>
            <w:tcW w:w="5397" w:type="dxa"/>
            <w:tcBorders>
              <w:top w:val="nil"/>
              <w:left w:val="nil"/>
              <w:bottom w:val="single" w:sz="8" w:space="0" w:color="auto"/>
              <w:right w:val="single" w:sz="8" w:space="0" w:color="auto"/>
            </w:tcBorders>
            <w:shd w:val="clear" w:color="000000" w:fill="000000"/>
            <w:vAlign w:val="center"/>
            <w:hideMark/>
          </w:tcPr>
          <w:p w14:paraId="70FD6B63" w14:textId="77777777" w:rsidR="00A94BB5" w:rsidRPr="0027479B" w:rsidRDefault="00A94BB5" w:rsidP="00A94BB5">
            <w:pPr>
              <w:spacing w:after="0"/>
              <w:jc w:val="left"/>
              <w:rPr>
                <w:rFonts w:ascii="Arial" w:hAnsi="Arial" w:cs="Arial"/>
                <w:b/>
                <w:color w:val="FFFFFF" w:themeColor="background1"/>
                <w:szCs w:val="24"/>
                <w:lang w:val="en-GB" w:eastAsia="en-GB"/>
              </w:rPr>
            </w:pPr>
            <w:r w:rsidRPr="0027479B">
              <w:rPr>
                <w:rFonts w:ascii="Arial" w:hAnsi="Arial" w:cs="Arial"/>
                <w:b/>
                <w:color w:val="FFFFFF" w:themeColor="background1"/>
                <w:szCs w:val="24"/>
                <w:lang w:val="en-GB" w:eastAsia="en-GB"/>
              </w:rPr>
              <w:t> </w:t>
            </w:r>
          </w:p>
        </w:tc>
      </w:tr>
    </w:tbl>
    <w:p w14:paraId="7EFF9BB2" w14:textId="77777777" w:rsidR="001D6070" w:rsidRPr="0033457D" w:rsidRDefault="001D6070" w:rsidP="00DA3CBB">
      <w:pPr>
        <w:rPr>
          <w:rFonts w:ascii="Arial" w:hAnsi="Arial" w:cs="Arial"/>
          <w:color w:val="FF0000"/>
          <w:szCs w:val="24"/>
        </w:rPr>
      </w:pPr>
    </w:p>
    <w:p w14:paraId="2F050529" w14:textId="77777777" w:rsidR="00EC75C2" w:rsidRPr="0033457D" w:rsidRDefault="00EC75C2" w:rsidP="00EC75C2">
      <w:pPr>
        <w:pStyle w:val="Heading2"/>
        <w:keepNext w:val="0"/>
        <w:numPr>
          <w:ilvl w:val="0"/>
          <w:numId w:val="0"/>
        </w:numPr>
        <w:spacing w:after="0"/>
        <w:jc w:val="left"/>
        <w:rPr>
          <w:rFonts w:ascii="Arial" w:hAnsi="Arial" w:cs="Arial"/>
          <w:color w:val="FF0000"/>
          <w:szCs w:val="24"/>
        </w:rPr>
      </w:pPr>
    </w:p>
    <w:p w14:paraId="6EA3B55B" w14:textId="63C98069" w:rsidR="002D43B9" w:rsidRPr="0033457D" w:rsidRDefault="0000470C" w:rsidP="00C744C4">
      <w:pPr>
        <w:rPr>
          <w:rFonts w:ascii="Arial" w:hAnsi="Arial" w:cs="Arial"/>
          <w:b/>
          <w:bCs/>
          <w:color w:val="FF0000"/>
        </w:rPr>
      </w:pPr>
      <w:r w:rsidRPr="0033457D">
        <w:rPr>
          <w:rFonts w:ascii="Arial" w:hAnsi="Arial" w:cs="Arial"/>
          <w:color w:val="FF0000"/>
        </w:rPr>
        <w:br w:type="page"/>
      </w:r>
      <w:r w:rsidRPr="00046CEA">
        <w:rPr>
          <w:rFonts w:ascii="Arial" w:hAnsi="Arial" w:cs="Arial"/>
          <w:b/>
          <w:bCs/>
        </w:rPr>
        <w:t>Appendix 2 – Draft School Funding Formula Unit Values</w:t>
      </w:r>
      <w:r w:rsidR="00B1633C" w:rsidRPr="00046CEA">
        <w:rPr>
          <w:rFonts w:ascii="Arial" w:hAnsi="Arial" w:cs="Arial"/>
          <w:b/>
          <w:bCs/>
        </w:rPr>
        <w:t xml:space="preserve"> </w:t>
      </w:r>
    </w:p>
    <w:p w14:paraId="19715E7E" w14:textId="77777777" w:rsidR="0000470C" w:rsidRPr="0033457D" w:rsidRDefault="0000470C" w:rsidP="00C744C4">
      <w:pPr>
        <w:rPr>
          <w:rFonts w:ascii="Arial" w:hAnsi="Arial" w:cs="Arial"/>
          <w:b/>
          <w:bCs/>
          <w:color w:val="FF0000"/>
        </w:rPr>
      </w:pPr>
    </w:p>
    <w:tbl>
      <w:tblPr>
        <w:tblW w:w="9357" w:type="dxa"/>
        <w:tblInd w:w="-318" w:type="dxa"/>
        <w:tblLook w:val="04A0" w:firstRow="1" w:lastRow="0" w:firstColumn="1" w:lastColumn="0" w:noHBand="0" w:noVBand="1"/>
      </w:tblPr>
      <w:tblGrid>
        <w:gridCol w:w="1748"/>
        <w:gridCol w:w="3781"/>
        <w:gridCol w:w="1985"/>
        <w:gridCol w:w="1843"/>
      </w:tblGrid>
      <w:tr w:rsidR="0033457D" w:rsidRPr="0033457D" w14:paraId="306CE156" w14:textId="77777777" w:rsidTr="00473CEA">
        <w:trPr>
          <w:trHeight w:val="480"/>
        </w:trPr>
        <w:tc>
          <w:tcPr>
            <w:tcW w:w="5529" w:type="dxa"/>
            <w:gridSpan w:val="2"/>
            <w:tcBorders>
              <w:top w:val="single" w:sz="4" w:space="0" w:color="auto"/>
              <w:left w:val="single" w:sz="8" w:space="0" w:color="000000"/>
              <w:right w:val="single" w:sz="8" w:space="0" w:color="000000"/>
            </w:tcBorders>
            <w:shd w:val="clear" w:color="auto" w:fill="auto"/>
            <w:noWrap/>
            <w:vAlign w:val="center"/>
            <w:hideMark/>
          </w:tcPr>
          <w:p w14:paraId="2D42DA1F" w14:textId="77777777" w:rsidR="0000470C" w:rsidRPr="00046CEA" w:rsidRDefault="0000470C" w:rsidP="003C7D28">
            <w:pPr>
              <w:spacing w:after="0"/>
              <w:jc w:val="left"/>
              <w:rPr>
                <w:rFonts w:ascii="Arial" w:hAnsi="Arial" w:cs="Arial"/>
                <w:szCs w:val="24"/>
                <w:lang w:eastAsia="en-GB"/>
              </w:rPr>
            </w:pPr>
            <w:r w:rsidRPr="00046CEA">
              <w:rPr>
                <w:rFonts w:ascii="Arial" w:hAnsi="Arial" w:cs="Arial"/>
                <w:szCs w:val="24"/>
                <w:lang w:eastAsia="en-GB"/>
              </w:rPr>
              <w:t> </w:t>
            </w:r>
          </w:p>
          <w:p w14:paraId="78B6A2A3" w14:textId="77777777" w:rsidR="0000470C" w:rsidRPr="00046CEA" w:rsidRDefault="0000470C" w:rsidP="003C7D28">
            <w:pPr>
              <w:spacing w:after="0"/>
              <w:jc w:val="left"/>
              <w:rPr>
                <w:rFonts w:ascii="Arial" w:hAnsi="Arial" w:cs="Arial"/>
                <w:b/>
                <w:szCs w:val="24"/>
                <w:lang w:eastAsia="en-GB"/>
              </w:rPr>
            </w:pPr>
            <w:r w:rsidRPr="00046CEA">
              <w:rPr>
                <w:rFonts w:ascii="Arial" w:hAnsi="Arial" w:cs="Arial"/>
                <w:szCs w:val="24"/>
                <w:lang w:eastAsia="en-GB"/>
              </w:rPr>
              <w:t> </w:t>
            </w:r>
            <w:r w:rsidRPr="00046CEA">
              <w:rPr>
                <w:rFonts w:ascii="Arial" w:hAnsi="Arial" w:cs="Arial"/>
                <w:b/>
                <w:szCs w:val="24"/>
                <w:lang w:eastAsia="en-GB"/>
              </w:rPr>
              <w:t>Primary Unit Values</w:t>
            </w:r>
          </w:p>
        </w:tc>
        <w:tc>
          <w:tcPr>
            <w:tcW w:w="1985" w:type="dxa"/>
            <w:tcBorders>
              <w:top w:val="single" w:sz="4" w:space="0" w:color="auto"/>
              <w:left w:val="single" w:sz="8" w:space="0" w:color="000000"/>
              <w:bottom w:val="single" w:sz="8" w:space="0" w:color="000000"/>
              <w:right w:val="single" w:sz="8" w:space="0" w:color="000000"/>
            </w:tcBorders>
            <w:shd w:val="clear" w:color="auto" w:fill="auto"/>
            <w:noWrap/>
            <w:vAlign w:val="center"/>
            <w:hideMark/>
          </w:tcPr>
          <w:p w14:paraId="118A3D15" w14:textId="4FBDC782" w:rsidR="0000470C" w:rsidRPr="00046CEA" w:rsidRDefault="0000470C" w:rsidP="003C7D28">
            <w:pPr>
              <w:spacing w:after="0"/>
              <w:jc w:val="center"/>
              <w:rPr>
                <w:rFonts w:ascii="Arial" w:hAnsi="Arial" w:cs="Arial"/>
                <w:b/>
                <w:bCs/>
                <w:szCs w:val="24"/>
                <w:lang w:eastAsia="en-GB"/>
              </w:rPr>
            </w:pPr>
            <w:r w:rsidRPr="00046CEA">
              <w:rPr>
                <w:rFonts w:ascii="Arial" w:hAnsi="Arial" w:cs="Arial"/>
                <w:b/>
                <w:bCs/>
                <w:szCs w:val="24"/>
                <w:lang w:eastAsia="en-GB"/>
              </w:rPr>
              <w:t>20</w:t>
            </w:r>
            <w:r w:rsidR="00473CEA" w:rsidRPr="00046CEA">
              <w:rPr>
                <w:rFonts w:ascii="Arial" w:hAnsi="Arial" w:cs="Arial"/>
                <w:b/>
                <w:bCs/>
                <w:szCs w:val="24"/>
                <w:lang w:eastAsia="en-GB"/>
              </w:rPr>
              <w:t>2</w:t>
            </w:r>
            <w:r w:rsidR="00046CEA" w:rsidRPr="00046CEA">
              <w:rPr>
                <w:rFonts w:ascii="Arial" w:hAnsi="Arial" w:cs="Arial"/>
                <w:b/>
                <w:bCs/>
                <w:szCs w:val="24"/>
                <w:lang w:eastAsia="en-GB"/>
              </w:rPr>
              <w:t>4</w:t>
            </w:r>
            <w:r w:rsidRPr="00046CEA">
              <w:rPr>
                <w:rFonts w:ascii="Arial" w:hAnsi="Arial" w:cs="Arial"/>
                <w:b/>
                <w:bCs/>
                <w:szCs w:val="24"/>
                <w:lang w:eastAsia="en-GB"/>
              </w:rPr>
              <w:t>/</w:t>
            </w:r>
            <w:r w:rsidR="002567B2" w:rsidRPr="00046CEA">
              <w:rPr>
                <w:rFonts w:ascii="Arial" w:hAnsi="Arial" w:cs="Arial"/>
                <w:b/>
                <w:bCs/>
                <w:szCs w:val="24"/>
                <w:lang w:eastAsia="en-GB"/>
              </w:rPr>
              <w:t>2</w:t>
            </w:r>
            <w:r w:rsidR="00046CEA" w:rsidRPr="00046CEA">
              <w:rPr>
                <w:rFonts w:ascii="Arial" w:hAnsi="Arial" w:cs="Arial"/>
                <w:b/>
                <w:bCs/>
                <w:szCs w:val="24"/>
                <w:lang w:eastAsia="en-GB"/>
              </w:rPr>
              <w:t>5</w:t>
            </w:r>
          </w:p>
          <w:p w14:paraId="7F55F776" w14:textId="77777777" w:rsidR="002567B2" w:rsidRPr="00046CEA" w:rsidRDefault="00473CEA" w:rsidP="003C7D28">
            <w:pPr>
              <w:spacing w:after="0"/>
              <w:jc w:val="center"/>
              <w:rPr>
                <w:rFonts w:ascii="Arial" w:hAnsi="Arial" w:cs="Arial"/>
                <w:b/>
                <w:bCs/>
                <w:szCs w:val="24"/>
                <w:lang w:eastAsia="en-GB"/>
              </w:rPr>
            </w:pPr>
            <w:r w:rsidRPr="00046CEA">
              <w:rPr>
                <w:rFonts w:ascii="Arial" w:hAnsi="Arial" w:cs="Arial"/>
                <w:b/>
                <w:bCs/>
                <w:szCs w:val="24"/>
                <w:lang w:eastAsia="en-GB"/>
              </w:rPr>
              <w:t>£</w:t>
            </w:r>
          </w:p>
        </w:tc>
        <w:tc>
          <w:tcPr>
            <w:tcW w:w="1843" w:type="dxa"/>
            <w:tcBorders>
              <w:top w:val="single" w:sz="4" w:space="0" w:color="auto"/>
              <w:left w:val="single" w:sz="8" w:space="0" w:color="000000"/>
              <w:bottom w:val="single" w:sz="8" w:space="0" w:color="000000"/>
              <w:right w:val="single" w:sz="8" w:space="0" w:color="000000"/>
            </w:tcBorders>
            <w:shd w:val="clear" w:color="auto" w:fill="auto"/>
            <w:noWrap/>
            <w:vAlign w:val="center"/>
            <w:hideMark/>
          </w:tcPr>
          <w:p w14:paraId="200369D9" w14:textId="6CB954A2" w:rsidR="0000470C" w:rsidRPr="00B01480" w:rsidRDefault="0000470C" w:rsidP="003C7D28">
            <w:pPr>
              <w:spacing w:after="0"/>
              <w:jc w:val="center"/>
              <w:rPr>
                <w:rFonts w:ascii="Arial" w:hAnsi="Arial" w:cs="Arial"/>
                <w:b/>
                <w:szCs w:val="24"/>
                <w:lang w:eastAsia="en-GB"/>
              </w:rPr>
            </w:pPr>
            <w:r w:rsidRPr="00B01480">
              <w:rPr>
                <w:rFonts w:ascii="Arial" w:hAnsi="Arial" w:cs="Arial"/>
                <w:b/>
                <w:szCs w:val="24"/>
                <w:lang w:eastAsia="en-GB"/>
              </w:rPr>
              <w:t>20</w:t>
            </w:r>
            <w:r w:rsidR="002567B2" w:rsidRPr="00B01480">
              <w:rPr>
                <w:rFonts w:ascii="Arial" w:hAnsi="Arial" w:cs="Arial"/>
                <w:b/>
                <w:szCs w:val="24"/>
                <w:lang w:eastAsia="en-GB"/>
              </w:rPr>
              <w:t>2</w:t>
            </w:r>
            <w:r w:rsidR="00046CEA" w:rsidRPr="00B01480">
              <w:rPr>
                <w:rFonts w:ascii="Arial" w:hAnsi="Arial" w:cs="Arial"/>
                <w:b/>
                <w:szCs w:val="24"/>
                <w:lang w:eastAsia="en-GB"/>
              </w:rPr>
              <w:t>5</w:t>
            </w:r>
            <w:r w:rsidRPr="00B01480">
              <w:rPr>
                <w:rFonts w:ascii="Arial" w:hAnsi="Arial" w:cs="Arial"/>
                <w:b/>
                <w:szCs w:val="24"/>
                <w:lang w:eastAsia="en-GB"/>
              </w:rPr>
              <w:t>/2</w:t>
            </w:r>
            <w:r w:rsidR="00046CEA" w:rsidRPr="00B01480">
              <w:rPr>
                <w:rFonts w:ascii="Arial" w:hAnsi="Arial" w:cs="Arial"/>
                <w:b/>
                <w:szCs w:val="24"/>
                <w:lang w:eastAsia="en-GB"/>
              </w:rPr>
              <w:t>6</w:t>
            </w:r>
          </w:p>
          <w:p w14:paraId="3E006699" w14:textId="77777777" w:rsidR="002567B2" w:rsidRPr="00B01480" w:rsidRDefault="002567B2" w:rsidP="003C7D28">
            <w:pPr>
              <w:spacing w:after="0"/>
              <w:jc w:val="center"/>
              <w:rPr>
                <w:rFonts w:ascii="Arial" w:hAnsi="Arial" w:cs="Arial"/>
                <w:b/>
                <w:szCs w:val="24"/>
                <w:lang w:eastAsia="en-GB"/>
              </w:rPr>
            </w:pPr>
            <w:r w:rsidRPr="00B01480">
              <w:rPr>
                <w:rFonts w:ascii="Arial" w:hAnsi="Arial" w:cs="Arial"/>
                <w:b/>
                <w:szCs w:val="24"/>
                <w:lang w:eastAsia="en-GB"/>
              </w:rPr>
              <w:t>£</w:t>
            </w:r>
          </w:p>
        </w:tc>
      </w:tr>
      <w:tr w:rsidR="0033457D" w:rsidRPr="0033457D" w14:paraId="1472C38B" w14:textId="77777777" w:rsidTr="00024372">
        <w:trPr>
          <w:trHeight w:val="300"/>
        </w:trPr>
        <w:tc>
          <w:tcPr>
            <w:tcW w:w="5529" w:type="dxa"/>
            <w:gridSpan w:val="2"/>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5C0D6D58" w14:textId="77777777" w:rsidR="00BD2CD2" w:rsidRPr="00046CEA" w:rsidRDefault="00BD2CD2" w:rsidP="00BD2CD2">
            <w:pPr>
              <w:spacing w:after="0"/>
              <w:jc w:val="left"/>
              <w:rPr>
                <w:rFonts w:ascii="Arial" w:hAnsi="Arial" w:cs="Arial"/>
                <w:szCs w:val="24"/>
                <w:lang w:eastAsia="en-GB"/>
              </w:rPr>
            </w:pPr>
            <w:r w:rsidRPr="00046CEA">
              <w:rPr>
                <w:rFonts w:ascii="Arial" w:hAnsi="Arial" w:cs="Arial"/>
                <w:szCs w:val="24"/>
                <w:lang w:eastAsia="en-GB"/>
              </w:rPr>
              <w:t>Basic entitlement (age weighted pupil unit)</w:t>
            </w:r>
          </w:p>
        </w:tc>
        <w:tc>
          <w:tcPr>
            <w:tcW w:w="1985" w:type="dxa"/>
            <w:tcBorders>
              <w:top w:val="nil"/>
              <w:left w:val="nil"/>
              <w:bottom w:val="single" w:sz="8" w:space="0" w:color="000000"/>
              <w:right w:val="single" w:sz="8" w:space="0" w:color="000000"/>
            </w:tcBorders>
            <w:shd w:val="clear" w:color="auto" w:fill="auto"/>
            <w:noWrap/>
            <w:vAlign w:val="center"/>
          </w:tcPr>
          <w:p w14:paraId="0A289F4A" w14:textId="17FFE8B5" w:rsidR="00BD2CD2" w:rsidRPr="00046CEA" w:rsidRDefault="00046CEA" w:rsidP="00BD2CD2">
            <w:pPr>
              <w:spacing w:after="0"/>
              <w:jc w:val="right"/>
              <w:rPr>
                <w:rFonts w:ascii="Arial" w:hAnsi="Arial" w:cs="Arial"/>
                <w:szCs w:val="24"/>
                <w:lang w:eastAsia="en-GB"/>
              </w:rPr>
            </w:pPr>
            <w:r w:rsidRPr="00046CEA">
              <w:rPr>
                <w:rFonts w:ascii="Arial" w:hAnsi="Arial" w:cs="Arial"/>
                <w:szCs w:val="24"/>
                <w:lang w:eastAsia="en-GB"/>
              </w:rPr>
              <w:t>3,597</w:t>
            </w:r>
          </w:p>
        </w:tc>
        <w:tc>
          <w:tcPr>
            <w:tcW w:w="1843" w:type="dxa"/>
            <w:tcBorders>
              <w:top w:val="nil"/>
              <w:left w:val="nil"/>
              <w:bottom w:val="single" w:sz="8" w:space="0" w:color="000000"/>
              <w:right w:val="single" w:sz="8" w:space="0" w:color="000000"/>
            </w:tcBorders>
            <w:shd w:val="clear" w:color="auto" w:fill="auto"/>
            <w:noWrap/>
            <w:vAlign w:val="center"/>
          </w:tcPr>
          <w:p w14:paraId="537396F3" w14:textId="5507102B" w:rsidR="00BD2CD2" w:rsidRPr="00B01480" w:rsidRDefault="00C041E3" w:rsidP="00BD2CD2">
            <w:pPr>
              <w:spacing w:after="0"/>
              <w:jc w:val="right"/>
              <w:rPr>
                <w:rFonts w:ascii="Arial" w:hAnsi="Arial" w:cs="Arial"/>
                <w:szCs w:val="24"/>
                <w:lang w:eastAsia="en-GB"/>
              </w:rPr>
            </w:pPr>
            <w:r w:rsidRPr="00B01480">
              <w:rPr>
                <w:rFonts w:ascii="Arial" w:hAnsi="Arial" w:cs="Arial"/>
                <w:szCs w:val="24"/>
                <w:lang w:eastAsia="en-GB"/>
              </w:rPr>
              <w:t>3,</w:t>
            </w:r>
            <w:r w:rsidR="00184FC8" w:rsidRPr="00B01480">
              <w:rPr>
                <w:rFonts w:ascii="Arial" w:hAnsi="Arial" w:cs="Arial"/>
                <w:szCs w:val="24"/>
                <w:lang w:eastAsia="en-GB"/>
              </w:rPr>
              <w:t>878</w:t>
            </w:r>
          </w:p>
        </w:tc>
      </w:tr>
      <w:tr w:rsidR="00046CEA" w:rsidRPr="0033457D" w14:paraId="0022AA01" w14:textId="77777777" w:rsidTr="00024372">
        <w:trPr>
          <w:trHeight w:val="300"/>
        </w:trPr>
        <w:tc>
          <w:tcPr>
            <w:tcW w:w="1748" w:type="dxa"/>
            <w:vMerge w:val="restart"/>
            <w:tcBorders>
              <w:top w:val="nil"/>
              <w:left w:val="single" w:sz="8" w:space="0" w:color="000000"/>
              <w:bottom w:val="single" w:sz="8" w:space="0" w:color="000000"/>
              <w:right w:val="single" w:sz="8" w:space="0" w:color="000000"/>
            </w:tcBorders>
            <w:shd w:val="clear" w:color="auto" w:fill="auto"/>
            <w:noWrap/>
            <w:vAlign w:val="center"/>
            <w:hideMark/>
          </w:tcPr>
          <w:p w14:paraId="11C4681E" w14:textId="77777777" w:rsidR="00046CEA" w:rsidRPr="00046CEA" w:rsidRDefault="00046CEA" w:rsidP="00046CEA">
            <w:pPr>
              <w:spacing w:after="0"/>
              <w:jc w:val="left"/>
              <w:rPr>
                <w:rFonts w:ascii="Arial" w:hAnsi="Arial" w:cs="Arial"/>
                <w:szCs w:val="24"/>
                <w:lang w:eastAsia="en-GB"/>
              </w:rPr>
            </w:pPr>
            <w:r w:rsidRPr="00046CEA">
              <w:rPr>
                <w:rFonts w:ascii="Arial" w:hAnsi="Arial" w:cs="Arial"/>
                <w:szCs w:val="24"/>
                <w:lang w:eastAsia="en-GB"/>
              </w:rPr>
              <w:t>Deprivation</w:t>
            </w:r>
          </w:p>
        </w:tc>
        <w:tc>
          <w:tcPr>
            <w:tcW w:w="3781" w:type="dxa"/>
            <w:tcBorders>
              <w:top w:val="nil"/>
              <w:left w:val="nil"/>
              <w:bottom w:val="single" w:sz="8" w:space="0" w:color="000000"/>
              <w:right w:val="single" w:sz="8" w:space="0" w:color="000000"/>
            </w:tcBorders>
            <w:shd w:val="clear" w:color="auto" w:fill="auto"/>
            <w:noWrap/>
            <w:vAlign w:val="center"/>
            <w:hideMark/>
          </w:tcPr>
          <w:p w14:paraId="36DAF85A" w14:textId="583519C9" w:rsidR="00046CEA" w:rsidRPr="00046CEA" w:rsidRDefault="00046CEA" w:rsidP="00046CEA">
            <w:pPr>
              <w:spacing w:after="0"/>
              <w:jc w:val="left"/>
              <w:rPr>
                <w:rFonts w:ascii="Arial" w:hAnsi="Arial" w:cs="Arial"/>
                <w:szCs w:val="24"/>
                <w:lang w:eastAsia="en-GB"/>
              </w:rPr>
            </w:pPr>
            <w:r w:rsidRPr="00046CEA">
              <w:rPr>
                <w:rFonts w:ascii="Arial" w:hAnsi="Arial" w:cs="Arial"/>
                <w:szCs w:val="24"/>
                <w:lang w:eastAsia="en-GB"/>
              </w:rPr>
              <w:t>FSM</w:t>
            </w:r>
          </w:p>
        </w:tc>
        <w:tc>
          <w:tcPr>
            <w:tcW w:w="1985" w:type="dxa"/>
            <w:tcBorders>
              <w:top w:val="nil"/>
              <w:left w:val="nil"/>
              <w:bottom w:val="single" w:sz="8" w:space="0" w:color="000000"/>
              <w:right w:val="single" w:sz="8" w:space="0" w:color="000000"/>
            </w:tcBorders>
            <w:shd w:val="clear" w:color="auto" w:fill="auto"/>
            <w:noWrap/>
            <w:vAlign w:val="center"/>
          </w:tcPr>
          <w:p w14:paraId="09766A0B" w14:textId="22016FDA" w:rsidR="00046CEA" w:rsidRPr="00046CEA" w:rsidRDefault="00046CEA" w:rsidP="00046CEA">
            <w:pPr>
              <w:spacing w:after="0"/>
              <w:jc w:val="right"/>
              <w:rPr>
                <w:rFonts w:ascii="Arial" w:hAnsi="Arial" w:cs="Arial"/>
                <w:szCs w:val="24"/>
                <w:lang w:eastAsia="en-GB"/>
              </w:rPr>
            </w:pPr>
            <w:r w:rsidRPr="00046CEA">
              <w:rPr>
                <w:rFonts w:ascii="Arial" w:hAnsi="Arial" w:cs="Arial"/>
                <w:szCs w:val="24"/>
                <w:lang w:eastAsia="en-GB"/>
              </w:rPr>
              <w:t>495</w:t>
            </w:r>
          </w:p>
        </w:tc>
        <w:tc>
          <w:tcPr>
            <w:tcW w:w="1843" w:type="dxa"/>
            <w:tcBorders>
              <w:top w:val="nil"/>
              <w:left w:val="nil"/>
              <w:bottom w:val="single" w:sz="8" w:space="0" w:color="000000"/>
              <w:right w:val="single" w:sz="8" w:space="0" w:color="000000"/>
            </w:tcBorders>
            <w:shd w:val="clear" w:color="auto" w:fill="auto"/>
            <w:noWrap/>
            <w:vAlign w:val="center"/>
          </w:tcPr>
          <w:p w14:paraId="1ECED734" w14:textId="029B24A7" w:rsidR="00046CEA" w:rsidRPr="00B01480" w:rsidRDefault="00046CEA" w:rsidP="00046CEA">
            <w:pPr>
              <w:spacing w:after="0"/>
              <w:jc w:val="right"/>
              <w:rPr>
                <w:rFonts w:ascii="Arial" w:hAnsi="Arial" w:cs="Arial"/>
                <w:szCs w:val="24"/>
                <w:lang w:eastAsia="en-GB"/>
              </w:rPr>
            </w:pPr>
            <w:r w:rsidRPr="00B01480">
              <w:rPr>
                <w:rFonts w:ascii="Arial" w:hAnsi="Arial" w:cs="Arial"/>
                <w:szCs w:val="24"/>
                <w:lang w:eastAsia="en-GB"/>
              </w:rPr>
              <w:t>49</w:t>
            </w:r>
            <w:r w:rsidR="00DC171D" w:rsidRPr="00B01480">
              <w:rPr>
                <w:rFonts w:ascii="Arial" w:hAnsi="Arial" w:cs="Arial"/>
                <w:szCs w:val="24"/>
                <w:lang w:eastAsia="en-GB"/>
              </w:rPr>
              <w:t>9</w:t>
            </w:r>
          </w:p>
        </w:tc>
      </w:tr>
      <w:tr w:rsidR="00046CEA" w:rsidRPr="0033457D" w14:paraId="7F666943" w14:textId="77777777" w:rsidTr="00024372">
        <w:trPr>
          <w:trHeight w:val="300"/>
        </w:trPr>
        <w:tc>
          <w:tcPr>
            <w:tcW w:w="1748" w:type="dxa"/>
            <w:vMerge/>
            <w:tcBorders>
              <w:top w:val="nil"/>
              <w:left w:val="single" w:sz="8" w:space="0" w:color="000000"/>
              <w:bottom w:val="single" w:sz="8" w:space="0" w:color="000000"/>
              <w:right w:val="single" w:sz="8" w:space="0" w:color="000000"/>
            </w:tcBorders>
            <w:vAlign w:val="center"/>
            <w:hideMark/>
          </w:tcPr>
          <w:p w14:paraId="4CE0A01C" w14:textId="77777777" w:rsidR="00046CEA" w:rsidRPr="00046CEA" w:rsidRDefault="00046CEA" w:rsidP="00046CEA">
            <w:pPr>
              <w:spacing w:after="0"/>
              <w:jc w:val="left"/>
              <w:rPr>
                <w:rFonts w:ascii="Arial" w:hAnsi="Arial" w:cs="Arial"/>
                <w:szCs w:val="24"/>
                <w:lang w:eastAsia="en-GB"/>
              </w:rPr>
            </w:pPr>
          </w:p>
        </w:tc>
        <w:tc>
          <w:tcPr>
            <w:tcW w:w="3781" w:type="dxa"/>
            <w:tcBorders>
              <w:top w:val="nil"/>
              <w:left w:val="nil"/>
              <w:bottom w:val="single" w:sz="8" w:space="0" w:color="000000"/>
              <w:right w:val="single" w:sz="8" w:space="0" w:color="000000"/>
            </w:tcBorders>
            <w:shd w:val="clear" w:color="auto" w:fill="auto"/>
            <w:noWrap/>
            <w:vAlign w:val="center"/>
            <w:hideMark/>
          </w:tcPr>
          <w:p w14:paraId="606B3168" w14:textId="7715BEB6" w:rsidR="00046CEA" w:rsidRPr="00046CEA" w:rsidRDefault="00046CEA" w:rsidP="00046CEA">
            <w:pPr>
              <w:spacing w:after="0"/>
              <w:jc w:val="left"/>
              <w:rPr>
                <w:rFonts w:ascii="Arial" w:hAnsi="Arial" w:cs="Arial"/>
                <w:szCs w:val="24"/>
                <w:lang w:eastAsia="en-GB"/>
              </w:rPr>
            </w:pPr>
            <w:r w:rsidRPr="00046CEA">
              <w:rPr>
                <w:rFonts w:ascii="Arial" w:hAnsi="Arial" w:cs="Arial"/>
                <w:szCs w:val="24"/>
                <w:lang w:eastAsia="en-GB"/>
              </w:rPr>
              <w:t>FSM Ever6</w:t>
            </w:r>
          </w:p>
        </w:tc>
        <w:tc>
          <w:tcPr>
            <w:tcW w:w="1985" w:type="dxa"/>
            <w:tcBorders>
              <w:top w:val="nil"/>
              <w:left w:val="nil"/>
              <w:bottom w:val="single" w:sz="8" w:space="0" w:color="000000"/>
              <w:right w:val="single" w:sz="8" w:space="0" w:color="000000"/>
            </w:tcBorders>
            <w:shd w:val="clear" w:color="auto" w:fill="auto"/>
            <w:noWrap/>
            <w:vAlign w:val="center"/>
          </w:tcPr>
          <w:p w14:paraId="0B5345D7" w14:textId="4C3847AB" w:rsidR="00046CEA" w:rsidRPr="00046CEA" w:rsidRDefault="00046CEA" w:rsidP="00046CEA">
            <w:pPr>
              <w:spacing w:after="0"/>
              <w:jc w:val="right"/>
              <w:rPr>
                <w:rFonts w:ascii="Arial" w:hAnsi="Arial" w:cs="Arial"/>
                <w:szCs w:val="24"/>
                <w:lang w:eastAsia="en-GB"/>
              </w:rPr>
            </w:pPr>
            <w:r w:rsidRPr="00046CEA">
              <w:rPr>
                <w:rFonts w:ascii="Arial" w:hAnsi="Arial" w:cs="Arial"/>
                <w:szCs w:val="24"/>
                <w:lang w:eastAsia="en-GB"/>
              </w:rPr>
              <w:t>828</w:t>
            </w:r>
          </w:p>
        </w:tc>
        <w:tc>
          <w:tcPr>
            <w:tcW w:w="1843" w:type="dxa"/>
            <w:tcBorders>
              <w:top w:val="nil"/>
              <w:left w:val="nil"/>
              <w:bottom w:val="single" w:sz="8" w:space="0" w:color="000000"/>
              <w:right w:val="single" w:sz="8" w:space="0" w:color="000000"/>
            </w:tcBorders>
            <w:shd w:val="clear" w:color="auto" w:fill="auto"/>
            <w:noWrap/>
            <w:vAlign w:val="center"/>
          </w:tcPr>
          <w:p w14:paraId="14AB0188" w14:textId="078F76E0" w:rsidR="00046CEA" w:rsidRPr="00B01480" w:rsidRDefault="00CF05DF" w:rsidP="00046CEA">
            <w:pPr>
              <w:spacing w:after="0"/>
              <w:jc w:val="right"/>
              <w:rPr>
                <w:rFonts w:ascii="Arial" w:hAnsi="Arial" w:cs="Arial"/>
                <w:szCs w:val="24"/>
                <w:lang w:eastAsia="en-GB"/>
              </w:rPr>
            </w:pPr>
            <w:r w:rsidRPr="00B01480">
              <w:rPr>
                <w:rFonts w:ascii="Arial" w:hAnsi="Arial" w:cs="Arial"/>
                <w:szCs w:val="24"/>
                <w:lang w:eastAsia="en-GB"/>
              </w:rPr>
              <w:t>1,069</w:t>
            </w:r>
          </w:p>
        </w:tc>
      </w:tr>
      <w:tr w:rsidR="00046CEA" w:rsidRPr="0033457D" w14:paraId="51CD9D31" w14:textId="77777777" w:rsidTr="00024372">
        <w:trPr>
          <w:trHeight w:val="300"/>
        </w:trPr>
        <w:tc>
          <w:tcPr>
            <w:tcW w:w="1748" w:type="dxa"/>
            <w:vMerge/>
            <w:tcBorders>
              <w:top w:val="nil"/>
              <w:left w:val="single" w:sz="8" w:space="0" w:color="000000"/>
              <w:bottom w:val="single" w:sz="8" w:space="0" w:color="000000"/>
              <w:right w:val="single" w:sz="8" w:space="0" w:color="000000"/>
            </w:tcBorders>
            <w:vAlign w:val="center"/>
            <w:hideMark/>
          </w:tcPr>
          <w:p w14:paraId="16E12BA6" w14:textId="77777777" w:rsidR="00046CEA" w:rsidRPr="00046CEA" w:rsidRDefault="00046CEA" w:rsidP="00046CEA">
            <w:pPr>
              <w:spacing w:after="0"/>
              <w:jc w:val="left"/>
              <w:rPr>
                <w:rFonts w:ascii="Arial" w:hAnsi="Arial" w:cs="Arial"/>
                <w:szCs w:val="24"/>
                <w:lang w:eastAsia="en-GB"/>
              </w:rPr>
            </w:pPr>
          </w:p>
        </w:tc>
        <w:tc>
          <w:tcPr>
            <w:tcW w:w="3781" w:type="dxa"/>
            <w:tcBorders>
              <w:top w:val="nil"/>
              <w:left w:val="nil"/>
              <w:bottom w:val="single" w:sz="8" w:space="0" w:color="000000"/>
              <w:right w:val="single" w:sz="8" w:space="0" w:color="000000"/>
            </w:tcBorders>
            <w:shd w:val="clear" w:color="auto" w:fill="auto"/>
            <w:noWrap/>
            <w:vAlign w:val="center"/>
            <w:hideMark/>
          </w:tcPr>
          <w:p w14:paraId="57543FF7" w14:textId="411DC70E" w:rsidR="00046CEA" w:rsidRPr="00046CEA" w:rsidRDefault="00046CEA" w:rsidP="00046CEA">
            <w:pPr>
              <w:spacing w:after="0"/>
              <w:jc w:val="left"/>
              <w:rPr>
                <w:rFonts w:ascii="Arial" w:hAnsi="Arial" w:cs="Arial"/>
                <w:szCs w:val="24"/>
                <w:lang w:eastAsia="en-GB"/>
              </w:rPr>
            </w:pPr>
            <w:r w:rsidRPr="00046CEA">
              <w:rPr>
                <w:rFonts w:ascii="Arial" w:hAnsi="Arial" w:cs="Arial"/>
                <w:szCs w:val="24"/>
                <w:lang w:eastAsia="en-GB"/>
              </w:rPr>
              <w:t>IDACI F</w:t>
            </w:r>
          </w:p>
        </w:tc>
        <w:tc>
          <w:tcPr>
            <w:tcW w:w="1985" w:type="dxa"/>
            <w:tcBorders>
              <w:top w:val="nil"/>
              <w:left w:val="nil"/>
              <w:bottom w:val="single" w:sz="8" w:space="0" w:color="000000"/>
              <w:right w:val="single" w:sz="8" w:space="0" w:color="000000"/>
            </w:tcBorders>
            <w:shd w:val="clear" w:color="auto" w:fill="auto"/>
            <w:noWrap/>
            <w:vAlign w:val="center"/>
          </w:tcPr>
          <w:p w14:paraId="5626DD91" w14:textId="0E968232" w:rsidR="00046CEA" w:rsidRPr="00046CEA" w:rsidRDefault="00046CEA" w:rsidP="00046CEA">
            <w:pPr>
              <w:spacing w:after="0"/>
              <w:jc w:val="right"/>
              <w:rPr>
                <w:rFonts w:ascii="Arial" w:hAnsi="Arial" w:cs="Arial"/>
                <w:szCs w:val="24"/>
                <w:lang w:eastAsia="en-GB"/>
              </w:rPr>
            </w:pPr>
            <w:r w:rsidRPr="00046CEA">
              <w:rPr>
                <w:rFonts w:ascii="Arial" w:hAnsi="Arial" w:cs="Arial"/>
                <w:szCs w:val="24"/>
                <w:lang w:eastAsia="en-GB"/>
              </w:rPr>
              <w:t>237</w:t>
            </w:r>
          </w:p>
        </w:tc>
        <w:tc>
          <w:tcPr>
            <w:tcW w:w="1843" w:type="dxa"/>
            <w:tcBorders>
              <w:top w:val="nil"/>
              <w:left w:val="nil"/>
              <w:bottom w:val="single" w:sz="8" w:space="0" w:color="000000"/>
              <w:right w:val="single" w:sz="8" w:space="0" w:color="000000"/>
            </w:tcBorders>
            <w:shd w:val="clear" w:color="auto" w:fill="auto"/>
            <w:noWrap/>
            <w:vAlign w:val="center"/>
          </w:tcPr>
          <w:p w14:paraId="2C0EE0AA" w14:textId="12007472" w:rsidR="00046CEA" w:rsidRPr="00B01480" w:rsidRDefault="00046CEA" w:rsidP="00046CEA">
            <w:pPr>
              <w:spacing w:after="0"/>
              <w:jc w:val="right"/>
              <w:rPr>
                <w:rFonts w:ascii="Arial" w:hAnsi="Arial" w:cs="Arial"/>
                <w:szCs w:val="24"/>
                <w:lang w:eastAsia="en-GB"/>
              </w:rPr>
            </w:pPr>
            <w:r w:rsidRPr="00B01480">
              <w:rPr>
                <w:rFonts w:ascii="Arial" w:hAnsi="Arial" w:cs="Arial"/>
                <w:szCs w:val="24"/>
                <w:lang w:eastAsia="en-GB"/>
              </w:rPr>
              <w:t>237</w:t>
            </w:r>
          </w:p>
        </w:tc>
      </w:tr>
      <w:tr w:rsidR="00046CEA" w:rsidRPr="0033457D" w14:paraId="043D70A1" w14:textId="77777777" w:rsidTr="00024372">
        <w:trPr>
          <w:trHeight w:val="300"/>
        </w:trPr>
        <w:tc>
          <w:tcPr>
            <w:tcW w:w="1748" w:type="dxa"/>
            <w:vMerge/>
            <w:tcBorders>
              <w:top w:val="nil"/>
              <w:left w:val="single" w:sz="8" w:space="0" w:color="000000"/>
              <w:bottom w:val="single" w:sz="8" w:space="0" w:color="000000"/>
              <w:right w:val="single" w:sz="8" w:space="0" w:color="000000"/>
            </w:tcBorders>
            <w:vAlign w:val="center"/>
            <w:hideMark/>
          </w:tcPr>
          <w:p w14:paraId="58144CEC" w14:textId="77777777" w:rsidR="00046CEA" w:rsidRPr="00046CEA" w:rsidRDefault="00046CEA" w:rsidP="00046CEA">
            <w:pPr>
              <w:spacing w:after="0"/>
              <w:jc w:val="left"/>
              <w:rPr>
                <w:rFonts w:ascii="Arial" w:hAnsi="Arial" w:cs="Arial"/>
                <w:szCs w:val="24"/>
                <w:lang w:eastAsia="en-GB"/>
              </w:rPr>
            </w:pPr>
          </w:p>
        </w:tc>
        <w:tc>
          <w:tcPr>
            <w:tcW w:w="3781" w:type="dxa"/>
            <w:tcBorders>
              <w:top w:val="nil"/>
              <w:left w:val="nil"/>
              <w:bottom w:val="single" w:sz="8" w:space="0" w:color="000000"/>
              <w:right w:val="single" w:sz="8" w:space="0" w:color="000000"/>
            </w:tcBorders>
            <w:shd w:val="clear" w:color="auto" w:fill="auto"/>
            <w:noWrap/>
            <w:vAlign w:val="center"/>
            <w:hideMark/>
          </w:tcPr>
          <w:p w14:paraId="1DD7D7B2" w14:textId="3D2F9AC3" w:rsidR="00046CEA" w:rsidRPr="00046CEA" w:rsidRDefault="00046CEA" w:rsidP="00046CEA">
            <w:pPr>
              <w:spacing w:after="0"/>
              <w:jc w:val="left"/>
              <w:rPr>
                <w:rFonts w:ascii="Arial" w:hAnsi="Arial" w:cs="Arial"/>
                <w:szCs w:val="24"/>
                <w:lang w:eastAsia="en-GB"/>
              </w:rPr>
            </w:pPr>
            <w:r w:rsidRPr="00046CEA">
              <w:rPr>
                <w:rFonts w:ascii="Arial" w:hAnsi="Arial" w:cs="Arial"/>
                <w:szCs w:val="24"/>
                <w:lang w:eastAsia="en-GB"/>
              </w:rPr>
              <w:t>IDACI E</w:t>
            </w:r>
          </w:p>
        </w:tc>
        <w:tc>
          <w:tcPr>
            <w:tcW w:w="1985" w:type="dxa"/>
            <w:tcBorders>
              <w:top w:val="nil"/>
              <w:left w:val="nil"/>
              <w:bottom w:val="single" w:sz="8" w:space="0" w:color="000000"/>
              <w:right w:val="single" w:sz="8" w:space="0" w:color="000000"/>
            </w:tcBorders>
            <w:shd w:val="clear" w:color="auto" w:fill="auto"/>
            <w:noWrap/>
            <w:vAlign w:val="center"/>
          </w:tcPr>
          <w:p w14:paraId="7C7A98F5" w14:textId="7F3257E7" w:rsidR="00046CEA" w:rsidRPr="00046CEA" w:rsidRDefault="00046CEA" w:rsidP="00046CEA">
            <w:pPr>
              <w:spacing w:after="0"/>
              <w:jc w:val="right"/>
              <w:rPr>
                <w:rFonts w:ascii="Arial" w:hAnsi="Arial" w:cs="Arial"/>
                <w:szCs w:val="24"/>
                <w:lang w:eastAsia="en-GB"/>
              </w:rPr>
            </w:pPr>
            <w:r w:rsidRPr="00046CEA">
              <w:rPr>
                <w:rFonts w:ascii="Arial" w:hAnsi="Arial" w:cs="Arial"/>
                <w:szCs w:val="24"/>
                <w:lang w:eastAsia="en-GB"/>
              </w:rPr>
              <w:t>288</w:t>
            </w:r>
          </w:p>
        </w:tc>
        <w:tc>
          <w:tcPr>
            <w:tcW w:w="1843" w:type="dxa"/>
            <w:tcBorders>
              <w:top w:val="nil"/>
              <w:left w:val="nil"/>
              <w:bottom w:val="single" w:sz="8" w:space="0" w:color="000000"/>
              <w:right w:val="single" w:sz="8" w:space="0" w:color="000000"/>
            </w:tcBorders>
            <w:shd w:val="clear" w:color="auto" w:fill="auto"/>
            <w:noWrap/>
            <w:vAlign w:val="center"/>
          </w:tcPr>
          <w:p w14:paraId="064AF248" w14:textId="476EABEC" w:rsidR="00046CEA" w:rsidRPr="00B01480" w:rsidRDefault="00046CEA" w:rsidP="00046CEA">
            <w:pPr>
              <w:spacing w:after="0"/>
              <w:jc w:val="right"/>
              <w:rPr>
                <w:rFonts w:ascii="Arial" w:hAnsi="Arial" w:cs="Arial"/>
                <w:szCs w:val="24"/>
                <w:lang w:eastAsia="en-GB"/>
              </w:rPr>
            </w:pPr>
            <w:r w:rsidRPr="00B01480">
              <w:rPr>
                <w:rFonts w:ascii="Arial" w:hAnsi="Arial" w:cs="Arial"/>
                <w:szCs w:val="24"/>
                <w:lang w:eastAsia="en-GB"/>
              </w:rPr>
              <w:t>28</w:t>
            </w:r>
            <w:r w:rsidR="00E82467" w:rsidRPr="00B01480">
              <w:rPr>
                <w:rFonts w:ascii="Arial" w:hAnsi="Arial" w:cs="Arial"/>
                <w:szCs w:val="24"/>
                <w:lang w:eastAsia="en-GB"/>
              </w:rPr>
              <w:t>7</w:t>
            </w:r>
          </w:p>
        </w:tc>
      </w:tr>
      <w:tr w:rsidR="00046CEA" w:rsidRPr="0033457D" w14:paraId="645B3AD4" w14:textId="77777777" w:rsidTr="00024372">
        <w:trPr>
          <w:trHeight w:val="300"/>
        </w:trPr>
        <w:tc>
          <w:tcPr>
            <w:tcW w:w="1748" w:type="dxa"/>
            <w:vMerge/>
            <w:tcBorders>
              <w:top w:val="nil"/>
              <w:left w:val="single" w:sz="8" w:space="0" w:color="000000"/>
              <w:bottom w:val="single" w:sz="8" w:space="0" w:color="000000"/>
              <w:right w:val="single" w:sz="8" w:space="0" w:color="000000"/>
            </w:tcBorders>
            <w:vAlign w:val="center"/>
            <w:hideMark/>
          </w:tcPr>
          <w:p w14:paraId="44167401" w14:textId="77777777" w:rsidR="00046CEA" w:rsidRPr="00046CEA" w:rsidRDefault="00046CEA" w:rsidP="00046CEA">
            <w:pPr>
              <w:spacing w:after="0"/>
              <w:jc w:val="left"/>
              <w:rPr>
                <w:rFonts w:ascii="Arial" w:hAnsi="Arial" w:cs="Arial"/>
                <w:szCs w:val="24"/>
                <w:lang w:eastAsia="en-GB"/>
              </w:rPr>
            </w:pPr>
          </w:p>
        </w:tc>
        <w:tc>
          <w:tcPr>
            <w:tcW w:w="3781" w:type="dxa"/>
            <w:tcBorders>
              <w:top w:val="nil"/>
              <w:left w:val="nil"/>
              <w:bottom w:val="single" w:sz="8" w:space="0" w:color="000000"/>
              <w:right w:val="single" w:sz="8" w:space="0" w:color="000000"/>
            </w:tcBorders>
            <w:shd w:val="clear" w:color="auto" w:fill="auto"/>
            <w:noWrap/>
            <w:vAlign w:val="center"/>
            <w:hideMark/>
          </w:tcPr>
          <w:p w14:paraId="2C6D27F3" w14:textId="4B364F84" w:rsidR="00046CEA" w:rsidRPr="00046CEA" w:rsidRDefault="00046CEA" w:rsidP="00046CEA">
            <w:pPr>
              <w:spacing w:after="0"/>
              <w:jc w:val="left"/>
              <w:rPr>
                <w:rFonts w:ascii="Arial" w:hAnsi="Arial" w:cs="Arial"/>
                <w:szCs w:val="24"/>
                <w:lang w:eastAsia="en-GB"/>
              </w:rPr>
            </w:pPr>
            <w:r w:rsidRPr="00046CEA">
              <w:rPr>
                <w:rFonts w:ascii="Arial" w:hAnsi="Arial" w:cs="Arial"/>
                <w:szCs w:val="24"/>
                <w:lang w:eastAsia="en-GB"/>
              </w:rPr>
              <w:t>IDACI D</w:t>
            </w:r>
          </w:p>
        </w:tc>
        <w:tc>
          <w:tcPr>
            <w:tcW w:w="1985" w:type="dxa"/>
            <w:tcBorders>
              <w:top w:val="nil"/>
              <w:left w:val="nil"/>
              <w:bottom w:val="single" w:sz="8" w:space="0" w:color="000000"/>
              <w:right w:val="single" w:sz="8" w:space="0" w:color="000000"/>
            </w:tcBorders>
            <w:shd w:val="clear" w:color="auto" w:fill="auto"/>
            <w:noWrap/>
            <w:vAlign w:val="center"/>
          </w:tcPr>
          <w:p w14:paraId="72A26A18" w14:textId="2E79BAF6" w:rsidR="00046CEA" w:rsidRPr="00046CEA" w:rsidRDefault="00046CEA" w:rsidP="00046CEA">
            <w:pPr>
              <w:spacing w:after="0"/>
              <w:jc w:val="right"/>
              <w:rPr>
                <w:rFonts w:ascii="Arial" w:hAnsi="Arial" w:cs="Arial"/>
                <w:szCs w:val="24"/>
                <w:lang w:eastAsia="en-GB"/>
              </w:rPr>
            </w:pPr>
            <w:r w:rsidRPr="00046CEA">
              <w:rPr>
                <w:rFonts w:ascii="Arial" w:hAnsi="Arial" w:cs="Arial"/>
                <w:szCs w:val="24"/>
                <w:lang w:eastAsia="en-GB"/>
              </w:rPr>
              <w:t>449</w:t>
            </w:r>
          </w:p>
        </w:tc>
        <w:tc>
          <w:tcPr>
            <w:tcW w:w="1843" w:type="dxa"/>
            <w:tcBorders>
              <w:top w:val="nil"/>
              <w:left w:val="nil"/>
              <w:bottom w:val="single" w:sz="8" w:space="0" w:color="000000"/>
              <w:right w:val="single" w:sz="8" w:space="0" w:color="000000"/>
            </w:tcBorders>
            <w:shd w:val="clear" w:color="auto" w:fill="auto"/>
            <w:noWrap/>
            <w:vAlign w:val="center"/>
          </w:tcPr>
          <w:p w14:paraId="5BCD0C3C" w14:textId="05F4924F" w:rsidR="00046CEA" w:rsidRPr="00B01480" w:rsidRDefault="00046CEA" w:rsidP="00046CEA">
            <w:pPr>
              <w:spacing w:after="0"/>
              <w:jc w:val="right"/>
              <w:rPr>
                <w:rFonts w:ascii="Arial" w:hAnsi="Arial" w:cs="Arial"/>
                <w:szCs w:val="24"/>
                <w:lang w:eastAsia="en-GB"/>
              </w:rPr>
            </w:pPr>
            <w:r w:rsidRPr="00B01480">
              <w:rPr>
                <w:rFonts w:ascii="Arial" w:hAnsi="Arial" w:cs="Arial"/>
                <w:szCs w:val="24"/>
                <w:lang w:eastAsia="en-GB"/>
              </w:rPr>
              <w:t>449</w:t>
            </w:r>
          </w:p>
        </w:tc>
      </w:tr>
      <w:tr w:rsidR="00046CEA" w:rsidRPr="0033457D" w14:paraId="61D98E00" w14:textId="77777777" w:rsidTr="00024372">
        <w:trPr>
          <w:trHeight w:val="300"/>
        </w:trPr>
        <w:tc>
          <w:tcPr>
            <w:tcW w:w="1748" w:type="dxa"/>
            <w:vMerge/>
            <w:tcBorders>
              <w:top w:val="nil"/>
              <w:left w:val="single" w:sz="8" w:space="0" w:color="000000"/>
              <w:bottom w:val="single" w:sz="8" w:space="0" w:color="000000"/>
              <w:right w:val="single" w:sz="8" w:space="0" w:color="000000"/>
            </w:tcBorders>
            <w:vAlign w:val="center"/>
            <w:hideMark/>
          </w:tcPr>
          <w:p w14:paraId="1AECB979" w14:textId="77777777" w:rsidR="00046CEA" w:rsidRPr="00046CEA" w:rsidRDefault="00046CEA" w:rsidP="00046CEA">
            <w:pPr>
              <w:spacing w:after="0"/>
              <w:jc w:val="left"/>
              <w:rPr>
                <w:rFonts w:ascii="Arial" w:hAnsi="Arial" w:cs="Arial"/>
                <w:szCs w:val="24"/>
                <w:lang w:eastAsia="en-GB"/>
              </w:rPr>
            </w:pPr>
          </w:p>
        </w:tc>
        <w:tc>
          <w:tcPr>
            <w:tcW w:w="3781" w:type="dxa"/>
            <w:tcBorders>
              <w:top w:val="nil"/>
              <w:left w:val="nil"/>
              <w:bottom w:val="single" w:sz="8" w:space="0" w:color="000000"/>
              <w:right w:val="single" w:sz="8" w:space="0" w:color="000000"/>
            </w:tcBorders>
            <w:shd w:val="clear" w:color="auto" w:fill="auto"/>
            <w:noWrap/>
            <w:vAlign w:val="center"/>
            <w:hideMark/>
          </w:tcPr>
          <w:p w14:paraId="0694245D" w14:textId="63A96F83" w:rsidR="00046CEA" w:rsidRPr="00046CEA" w:rsidRDefault="00046CEA" w:rsidP="00046CEA">
            <w:pPr>
              <w:spacing w:after="0"/>
              <w:jc w:val="left"/>
              <w:rPr>
                <w:rFonts w:ascii="Arial" w:hAnsi="Arial" w:cs="Arial"/>
                <w:szCs w:val="24"/>
                <w:lang w:eastAsia="en-GB"/>
              </w:rPr>
            </w:pPr>
            <w:r w:rsidRPr="00046CEA">
              <w:rPr>
                <w:rFonts w:ascii="Arial" w:hAnsi="Arial" w:cs="Arial"/>
                <w:szCs w:val="24"/>
                <w:lang w:eastAsia="en-GB"/>
              </w:rPr>
              <w:t>IDACI C</w:t>
            </w:r>
          </w:p>
        </w:tc>
        <w:tc>
          <w:tcPr>
            <w:tcW w:w="1985" w:type="dxa"/>
            <w:tcBorders>
              <w:top w:val="nil"/>
              <w:left w:val="nil"/>
              <w:bottom w:val="single" w:sz="8" w:space="0" w:color="000000"/>
              <w:right w:val="single" w:sz="8" w:space="0" w:color="000000"/>
            </w:tcBorders>
            <w:shd w:val="clear" w:color="auto" w:fill="auto"/>
            <w:noWrap/>
            <w:vAlign w:val="center"/>
          </w:tcPr>
          <w:p w14:paraId="7C43A93F" w14:textId="7D339EF1" w:rsidR="00046CEA" w:rsidRPr="00046CEA" w:rsidRDefault="00046CEA" w:rsidP="00046CEA">
            <w:pPr>
              <w:spacing w:after="0"/>
              <w:jc w:val="right"/>
              <w:rPr>
                <w:rFonts w:ascii="Arial" w:hAnsi="Arial" w:cs="Arial"/>
                <w:szCs w:val="24"/>
                <w:lang w:eastAsia="en-GB"/>
              </w:rPr>
            </w:pPr>
            <w:r w:rsidRPr="00046CEA">
              <w:rPr>
                <w:rFonts w:ascii="Arial" w:hAnsi="Arial" w:cs="Arial"/>
                <w:szCs w:val="24"/>
                <w:lang w:eastAsia="en-GB"/>
              </w:rPr>
              <w:t>490</w:t>
            </w:r>
          </w:p>
        </w:tc>
        <w:tc>
          <w:tcPr>
            <w:tcW w:w="1843" w:type="dxa"/>
            <w:tcBorders>
              <w:top w:val="nil"/>
              <w:left w:val="nil"/>
              <w:bottom w:val="single" w:sz="8" w:space="0" w:color="000000"/>
              <w:right w:val="single" w:sz="8" w:space="0" w:color="000000"/>
            </w:tcBorders>
            <w:shd w:val="clear" w:color="auto" w:fill="auto"/>
            <w:noWrap/>
            <w:vAlign w:val="center"/>
          </w:tcPr>
          <w:p w14:paraId="4AC0CF32" w14:textId="71D1180B" w:rsidR="00046CEA" w:rsidRPr="00B01480" w:rsidRDefault="00046CEA" w:rsidP="00046CEA">
            <w:pPr>
              <w:spacing w:after="0"/>
              <w:jc w:val="right"/>
              <w:rPr>
                <w:rFonts w:ascii="Arial" w:hAnsi="Arial" w:cs="Arial"/>
                <w:szCs w:val="24"/>
                <w:lang w:eastAsia="en-GB"/>
              </w:rPr>
            </w:pPr>
            <w:r w:rsidRPr="00B01480">
              <w:rPr>
                <w:rFonts w:ascii="Arial" w:hAnsi="Arial" w:cs="Arial"/>
                <w:szCs w:val="24"/>
                <w:lang w:eastAsia="en-GB"/>
              </w:rPr>
              <w:t>49</w:t>
            </w:r>
            <w:r w:rsidR="00740422" w:rsidRPr="00B01480">
              <w:rPr>
                <w:rFonts w:ascii="Arial" w:hAnsi="Arial" w:cs="Arial"/>
                <w:szCs w:val="24"/>
                <w:lang w:eastAsia="en-GB"/>
              </w:rPr>
              <w:t>4</w:t>
            </w:r>
          </w:p>
        </w:tc>
      </w:tr>
      <w:tr w:rsidR="00046CEA" w:rsidRPr="0033457D" w14:paraId="2FC53F14" w14:textId="77777777" w:rsidTr="00024372">
        <w:trPr>
          <w:trHeight w:val="300"/>
        </w:trPr>
        <w:tc>
          <w:tcPr>
            <w:tcW w:w="1748" w:type="dxa"/>
            <w:vMerge/>
            <w:tcBorders>
              <w:top w:val="nil"/>
              <w:left w:val="single" w:sz="8" w:space="0" w:color="000000"/>
              <w:bottom w:val="single" w:sz="8" w:space="0" w:color="000000"/>
              <w:right w:val="single" w:sz="8" w:space="0" w:color="000000"/>
            </w:tcBorders>
            <w:vAlign w:val="center"/>
            <w:hideMark/>
          </w:tcPr>
          <w:p w14:paraId="722971DC" w14:textId="77777777" w:rsidR="00046CEA" w:rsidRPr="00046CEA" w:rsidRDefault="00046CEA" w:rsidP="00046CEA">
            <w:pPr>
              <w:spacing w:after="0"/>
              <w:jc w:val="left"/>
              <w:rPr>
                <w:rFonts w:ascii="Arial" w:hAnsi="Arial" w:cs="Arial"/>
                <w:szCs w:val="24"/>
                <w:lang w:eastAsia="en-GB"/>
              </w:rPr>
            </w:pPr>
          </w:p>
        </w:tc>
        <w:tc>
          <w:tcPr>
            <w:tcW w:w="3781" w:type="dxa"/>
            <w:tcBorders>
              <w:top w:val="nil"/>
              <w:left w:val="nil"/>
              <w:bottom w:val="single" w:sz="8" w:space="0" w:color="000000"/>
              <w:right w:val="single" w:sz="8" w:space="0" w:color="000000"/>
            </w:tcBorders>
            <w:shd w:val="clear" w:color="auto" w:fill="auto"/>
            <w:noWrap/>
            <w:vAlign w:val="center"/>
            <w:hideMark/>
          </w:tcPr>
          <w:p w14:paraId="3B01F949" w14:textId="742C3555" w:rsidR="00046CEA" w:rsidRPr="00046CEA" w:rsidRDefault="00046CEA" w:rsidP="00046CEA">
            <w:pPr>
              <w:spacing w:after="0"/>
              <w:jc w:val="left"/>
              <w:rPr>
                <w:rFonts w:ascii="Arial" w:hAnsi="Arial" w:cs="Arial"/>
                <w:szCs w:val="24"/>
                <w:lang w:eastAsia="en-GB"/>
              </w:rPr>
            </w:pPr>
            <w:r w:rsidRPr="00046CEA">
              <w:rPr>
                <w:rFonts w:ascii="Arial" w:hAnsi="Arial" w:cs="Arial"/>
                <w:szCs w:val="24"/>
                <w:lang w:eastAsia="en-GB"/>
              </w:rPr>
              <w:t>IDACI B</w:t>
            </w:r>
          </w:p>
        </w:tc>
        <w:tc>
          <w:tcPr>
            <w:tcW w:w="1985" w:type="dxa"/>
            <w:tcBorders>
              <w:top w:val="nil"/>
              <w:left w:val="nil"/>
              <w:bottom w:val="single" w:sz="8" w:space="0" w:color="000000"/>
              <w:right w:val="single" w:sz="8" w:space="0" w:color="000000"/>
            </w:tcBorders>
            <w:shd w:val="clear" w:color="auto" w:fill="auto"/>
            <w:noWrap/>
            <w:vAlign w:val="center"/>
          </w:tcPr>
          <w:p w14:paraId="55C542CE" w14:textId="121D4D9F" w:rsidR="00046CEA" w:rsidRPr="00046CEA" w:rsidRDefault="00046CEA" w:rsidP="00046CEA">
            <w:pPr>
              <w:spacing w:after="0"/>
              <w:jc w:val="right"/>
              <w:rPr>
                <w:rFonts w:ascii="Arial" w:hAnsi="Arial" w:cs="Arial"/>
                <w:szCs w:val="24"/>
                <w:lang w:eastAsia="en-GB"/>
              </w:rPr>
            </w:pPr>
            <w:r w:rsidRPr="00046CEA">
              <w:rPr>
                <w:rFonts w:ascii="Arial" w:hAnsi="Arial" w:cs="Arial"/>
                <w:szCs w:val="24"/>
                <w:lang w:eastAsia="en-GB"/>
              </w:rPr>
              <w:t>520</w:t>
            </w:r>
          </w:p>
        </w:tc>
        <w:tc>
          <w:tcPr>
            <w:tcW w:w="1843" w:type="dxa"/>
            <w:tcBorders>
              <w:top w:val="nil"/>
              <w:left w:val="nil"/>
              <w:bottom w:val="single" w:sz="8" w:space="0" w:color="000000"/>
              <w:right w:val="single" w:sz="8" w:space="0" w:color="000000"/>
            </w:tcBorders>
            <w:shd w:val="clear" w:color="auto" w:fill="auto"/>
            <w:noWrap/>
            <w:vAlign w:val="center"/>
          </w:tcPr>
          <w:p w14:paraId="0BA0B826" w14:textId="51309571" w:rsidR="00046CEA" w:rsidRPr="00B01480" w:rsidRDefault="00046CEA" w:rsidP="00046CEA">
            <w:pPr>
              <w:spacing w:after="0"/>
              <w:jc w:val="right"/>
              <w:rPr>
                <w:rFonts w:ascii="Arial" w:hAnsi="Arial" w:cs="Arial"/>
                <w:szCs w:val="24"/>
                <w:lang w:eastAsia="en-GB"/>
              </w:rPr>
            </w:pPr>
            <w:r w:rsidRPr="00B01480">
              <w:rPr>
                <w:rFonts w:ascii="Arial" w:hAnsi="Arial" w:cs="Arial"/>
                <w:szCs w:val="24"/>
                <w:lang w:eastAsia="en-GB"/>
              </w:rPr>
              <w:t>52</w:t>
            </w:r>
            <w:r w:rsidR="008312BB" w:rsidRPr="00B01480">
              <w:rPr>
                <w:rFonts w:ascii="Arial" w:hAnsi="Arial" w:cs="Arial"/>
                <w:szCs w:val="24"/>
                <w:lang w:eastAsia="en-GB"/>
              </w:rPr>
              <w:t>4</w:t>
            </w:r>
          </w:p>
        </w:tc>
      </w:tr>
      <w:tr w:rsidR="00046CEA" w:rsidRPr="0033457D" w14:paraId="287CD66B" w14:textId="77777777" w:rsidTr="00024372">
        <w:trPr>
          <w:trHeight w:val="300"/>
        </w:trPr>
        <w:tc>
          <w:tcPr>
            <w:tcW w:w="1748" w:type="dxa"/>
            <w:vMerge/>
            <w:tcBorders>
              <w:top w:val="nil"/>
              <w:left w:val="single" w:sz="8" w:space="0" w:color="000000"/>
              <w:bottom w:val="single" w:sz="8" w:space="0" w:color="000000"/>
              <w:right w:val="single" w:sz="8" w:space="0" w:color="000000"/>
            </w:tcBorders>
            <w:vAlign w:val="center"/>
            <w:hideMark/>
          </w:tcPr>
          <w:p w14:paraId="3D11C1BA" w14:textId="77777777" w:rsidR="00046CEA" w:rsidRPr="00046CEA" w:rsidRDefault="00046CEA" w:rsidP="00046CEA">
            <w:pPr>
              <w:spacing w:after="0"/>
              <w:jc w:val="left"/>
              <w:rPr>
                <w:rFonts w:ascii="Arial" w:hAnsi="Arial" w:cs="Arial"/>
                <w:szCs w:val="24"/>
                <w:lang w:eastAsia="en-GB"/>
              </w:rPr>
            </w:pPr>
          </w:p>
        </w:tc>
        <w:tc>
          <w:tcPr>
            <w:tcW w:w="3781" w:type="dxa"/>
            <w:tcBorders>
              <w:top w:val="nil"/>
              <w:left w:val="nil"/>
              <w:bottom w:val="single" w:sz="8" w:space="0" w:color="000000"/>
              <w:right w:val="single" w:sz="8" w:space="0" w:color="000000"/>
            </w:tcBorders>
            <w:shd w:val="clear" w:color="auto" w:fill="auto"/>
            <w:noWrap/>
            <w:vAlign w:val="center"/>
            <w:hideMark/>
          </w:tcPr>
          <w:p w14:paraId="6D41BFC7" w14:textId="279C5C6A" w:rsidR="00046CEA" w:rsidRPr="00046CEA" w:rsidRDefault="00046CEA" w:rsidP="00046CEA">
            <w:pPr>
              <w:spacing w:after="0"/>
              <w:jc w:val="left"/>
              <w:rPr>
                <w:rFonts w:ascii="Arial" w:hAnsi="Arial" w:cs="Arial"/>
                <w:szCs w:val="24"/>
                <w:lang w:eastAsia="en-GB"/>
              </w:rPr>
            </w:pPr>
            <w:r w:rsidRPr="00046CEA">
              <w:rPr>
                <w:rFonts w:ascii="Arial" w:hAnsi="Arial" w:cs="Arial"/>
                <w:szCs w:val="24"/>
                <w:lang w:eastAsia="en-GB"/>
              </w:rPr>
              <w:t>IDACI A</w:t>
            </w:r>
          </w:p>
        </w:tc>
        <w:tc>
          <w:tcPr>
            <w:tcW w:w="1985" w:type="dxa"/>
            <w:tcBorders>
              <w:top w:val="nil"/>
              <w:left w:val="nil"/>
              <w:bottom w:val="single" w:sz="8" w:space="0" w:color="000000"/>
              <w:right w:val="single" w:sz="8" w:space="0" w:color="000000"/>
            </w:tcBorders>
            <w:shd w:val="clear" w:color="auto" w:fill="auto"/>
            <w:noWrap/>
            <w:vAlign w:val="center"/>
          </w:tcPr>
          <w:p w14:paraId="0E6732E0" w14:textId="32228B9E" w:rsidR="00046CEA" w:rsidRPr="00046CEA" w:rsidRDefault="00046CEA" w:rsidP="00046CEA">
            <w:pPr>
              <w:spacing w:after="0"/>
              <w:jc w:val="right"/>
              <w:rPr>
                <w:rFonts w:ascii="Arial" w:hAnsi="Arial" w:cs="Arial"/>
                <w:szCs w:val="24"/>
                <w:lang w:eastAsia="en-GB"/>
              </w:rPr>
            </w:pPr>
            <w:r w:rsidRPr="00046CEA">
              <w:rPr>
                <w:rFonts w:ascii="Arial" w:hAnsi="Arial" w:cs="Arial"/>
                <w:szCs w:val="24"/>
                <w:lang w:eastAsia="en-GB"/>
              </w:rPr>
              <w:t>687</w:t>
            </w:r>
          </w:p>
        </w:tc>
        <w:tc>
          <w:tcPr>
            <w:tcW w:w="1843" w:type="dxa"/>
            <w:tcBorders>
              <w:top w:val="nil"/>
              <w:left w:val="nil"/>
              <w:bottom w:val="single" w:sz="8" w:space="0" w:color="000000"/>
              <w:right w:val="single" w:sz="8" w:space="0" w:color="000000"/>
            </w:tcBorders>
            <w:shd w:val="clear" w:color="auto" w:fill="auto"/>
            <w:noWrap/>
            <w:vAlign w:val="center"/>
          </w:tcPr>
          <w:p w14:paraId="28177F56" w14:textId="573170D1" w:rsidR="00046CEA" w:rsidRPr="00B01480" w:rsidRDefault="00046CEA" w:rsidP="00046CEA">
            <w:pPr>
              <w:spacing w:after="0"/>
              <w:jc w:val="right"/>
              <w:rPr>
                <w:rFonts w:ascii="Arial" w:hAnsi="Arial" w:cs="Arial"/>
                <w:szCs w:val="24"/>
                <w:lang w:eastAsia="en-GB"/>
              </w:rPr>
            </w:pPr>
            <w:r w:rsidRPr="00B01480">
              <w:rPr>
                <w:rFonts w:ascii="Arial" w:hAnsi="Arial" w:cs="Arial"/>
                <w:szCs w:val="24"/>
                <w:lang w:eastAsia="en-GB"/>
              </w:rPr>
              <w:t>6</w:t>
            </w:r>
            <w:r w:rsidR="00F1631D" w:rsidRPr="00B01480">
              <w:rPr>
                <w:rFonts w:ascii="Arial" w:hAnsi="Arial" w:cs="Arial"/>
                <w:szCs w:val="24"/>
                <w:lang w:eastAsia="en-GB"/>
              </w:rPr>
              <w:t>91</w:t>
            </w:r>
          </w:p>
        </w:tc>
      </w:tr>
      <w:tr w:rsidR="00046CEA" w:rsidRPr="0033457D" w14:paraId="1A832C3F" w14:textId="77777777" w:rsidTr="00024372">
        <w:trPr>
          <w:trHeight w:val="300"/>
        </w:trPr>
        <w:tc>
          <w:tcPr>
            <w:tcW w:w="5529" w:type="dxa"/>
            <w:gridSpan w:val="2"/>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583A87FC" w14:textId="77777777" w:rsidR="00046CEA" w:rsidRPr="00046CEA" w:rsidRDefault="00046CEA" w:rsidP="00046CEA">
            <w:pPr>
              <w:spacing w:after="0"/>
              <w:jc w:val="left"/>
              <w:rPr>
                <w:rFonts w:ascii="Arial" w:hAnsi="Arial" w:cs="Arial"/>
                <w:szCs w:val="24"/>
                <w:lang w:eastAsia="en-GB"/>
              </w:rPr>
            </w:pPr>
            <w:r w:rsidRPr="00046CEA">
              <w:rPr>
                <w:rFonts w:ascii="Arial" w:hAnsi="Arial" w:cs="Arial"/>
                <w:szCs w:val="24"/>
                <w:lang w:eastAsia="en-GB"/>
              </w:rPr>
              <w:t>Low prior attainment</w:t>
            </w:r>
          </w:p>
        </w:tc>
        <w:tc>
          <w:tcPr>
            <w:tcW w:w="1985" w:type="dxa"/>
            <w:tcBorders>
              <w:top w:val="nil"/>
              <w:left w:val="nil"/>
              <w:bottom w:val="single" w:sz="8" w:space="0" w:color="000000"/>
              <w:right w:val="single" w:sz="8" w:space="0" w:color="000000"/>
            </w:tcBorders>
            <w:shd w:val="clear" w:color="auto" w:fill="auto"/>
            <w:noWrap/>
            <w:vAlign w:val="center"/>
          </w:tcPr>
          <w:p w14:paraId="587FA277" w14:textId="462E1770" w:rsidR="00046CEA" w:rsidRPr="00046CEA" w:rsidRDefault="00046CEA" w:rsidP="00046CEA">
            <w:pPr>
              <w:spacing w:after="0"/>
              <w:jc w:val="right"/>
              <w:rPr>
                <w:rFonts w:ascii="Arial" w:hAnsi="Arial" w:cs="Arial"/>
                <w:szCs w:val="24"/>
                <w:lang w:eastAsia="en-GB"/>
              </w:rPr>
            </w:pPr>
            <w:r w:rsidRPr="00046CEA">
              <w:rPr>
                <w:rFonts w:ascii="Arial" w:hAnsi="Arial" w:cs="Arial"/>
                <w:szCs w:val="24"/>
                <w:lang w:eastAsia="en-GB"/>
              </w:rPr>
              <w:t>1,182</w:t>
            </w:r>
          </w:p>
        </w:tc>
        <w:tc>
          <w:tcPr>
            <w:tcW w:w="1843" w:type="dxa"/>
            <w:tcBorders>
              <w:top w:val="nil"/>
              <w:left w:val="nil"/>
              <w:bottom w:val="single" w:sz="8" w:space="0" w:color="000000"/>
              <w:right w:val="single" w:sz="8" w:space="0" w:color="000000"/>
            </w:tcBorders>
            <w:shd w:val="clear" w:color="auto" w:fill="auto"/>
            <w:noWrap/>
            <w:vAlign w:val="center"/>
          </w:tcPr>
          <w:p w14:paraId="338899DB" w14:textId="11AE2ECC" w:rsidR="00046CEA" w:rsidRPr="00B01480" w:rsidRDefault="00046CEA" w:rsidP="00046CEA">
            <w:pPr>
              <w:spacing w:after="0"/>
              <w:jc w:val="right"/>
              <w:rPr>
                <w:rFonts w:ascii="Arial" w:hAnsi="Arial" w:cs="Arial"/>
                <w:szCs w:val="24"/>
                <w:lang w:eastAsia="en-GB"/>
              </w:rPr>
            </w:pPr>
            <w:r w:rsidRPr="00B01480">
              <w:rPr>
                <w:rFonts w:ascii="Arial" w:hAnsi="Arial" w:cs="Arial"/>
                <w:szCs w:val="24"/>
                <w:lang w:eastAsia="en-GB"/>
              </w:rPr>
              <w:t>1,18</w:t>
            </w:r>
            <w:r w:rsidR="00212562" w:rsidRPr="00B01480">
              <w:rPr>
                <w:rFonts w:ascii="Arial" w:hAnsi="Arial" w:cs="Arial"/>
                <w:szCs w:val="24"/>
                <w:lang w:eastAsia="en-GB"/>
              </w:rPr>
              <w:t>5</w:t>
            </w:r>
          </w:p>
        </w:tc>
      </w:tr>
      <w:tr w:rsidR="00046CEA" w:rsidRPr="0033457D" w14:paraId="6D229DB6" w14:textId="77777777" w:rsidTr="00024372">
        <w:trPr>
          <w:trHeight w:val="300"/>
        </w:trPr>
        <w:tc>
          <w:tcPr>
            <w:tcW w:w="5529" w:type="dxa"/>
            <w:gridSpan w:val="2"/>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35451D84" w14:textId="77777777" w:rsidR="00046CEA" w:rsidRPr="00046CEA" w:rsidRDefault="00046CEA" w:rsidP="00046CEA">
            <w:pPr>
              <w:spacing w:after="0"/>
              <w:jc w:val="left"/>
              <w:rPr>
                <w:rFonts w:ascii="Arial" w:hAnsi="Arial" w:cs="Arial"/>
                <w:szCs w:val="24"/>
                <w:lang w:eastAsia="en-GB"/>
              </w:rPr>
            </w:pPr>
            <w:r w:rsidRPr="00046CEA">
              <w:rPr>
                <w:rFonts w:ascii="Arial" w:hAnsi="Arial" w:cs="Arial"/>
                <w:szCs w:val="24"/>
                <w:lang w:eastAsia="en-GB"/>
              </w:rPr>
              <w:t>Mobility</w:t>
            </w:r>
          </w:p>
        </w:tc>
        <w:tc>
          <w:tcPr>
            <w:tcW w:w="1985" w:type="dxa"/>
            <w:tcBorders>
              <w:top w:val="nil"/>
              <w:left w:val="nil"/>
              <w:bottom w:val="single" w:sz="8" w:space="0" w:color="000000"/>
              <w:right w:val="single" w:sz="8" w:space="0" w:color="000000"/>
            </w:tcBorders>
            <w:shd w:val="clear" w:color="auto" w:fill="auto"/>
            <w:noWrap/>
            <w:vAlign w:val="center"/>
          </w:tcPr>
          <w:p w14:paraId="378A265F" w14:textId="254FB364" w:rsidR="00046CEA" w:rsidRPr="00046CEA" w:rsidRDefault="00046CEA" w:rsidP="00046CEA">
            <w:pPr>
              <w:spacing w:after="0"/>
              <w:jc w:val="right"/>
              <w:rPr>
                <w:rFonts w:ascii="Arial" w:hAnsi="Arial" w:cs="Arial"/>
                <w:szCs w:val="24"/>
                <w:lang w:eastAsia="en-GB"/>
              </w:rPr>
            </w:pPr>
            <w:r w:rsidRPr="00046CEA">
              <w:rPr>
                <w:rFonts w:ascii="Arial" w:hAnsi="Arial" w:cs="Arial"/>
                <w:szCs w:val="24"/>
                <w:lang w:eastAsia="en-GB"/>
              </w:rPr>
              <w:t>969</w:t>
            </w:r>
          </w:p>
        </w:tc>
        <w:tc>
          <w:tcPr>
            <w:tcW w:w="1843" w:type="dxa"/>
            <w:tcBorders>
              <w:top w:val="nil"/>
              <w:left w:val="nil"/>
              <w:bottom w:val="single" w:sz="8" w:space="0" w:color="000000"/>
              <w:right w:val="single" w:sz="8" w:space="0" w:color="000000"/>
            </w:tcBorders>
            <w:shd w:val="clear" w:color="auto" w:fill="auto"/>
            <w:noWrap/>
            <w:vAlign w:val="center"/>
          </w:tcPr>
          <w:p w14:paraId="49EEE70C" w14:textId="57FF320A" w:rsidR="00046CEA" w:rsidRPr="00B01480" w:rsidRDefault="00046CEA" w:rsidP="00046CEA">
            <w:pPr>
              <w:spacing w:after="0"/>
              <w:jc w:val="right"/>
              <w:rPr>
                <w:rFonts w:ascii="Arial" w:hAnsi="Arial" w:cs="Arial"/>
                <w:szCs w:val="24"/>
                <w:lang w:eastAsia="en-GB"/>
              </w:rPr>
            </w:pPr>
            <w:r w:rsidRPr="00B01480">
              <w:rPr>
                <w:rFonts w:ascii="Arial" w:hAnsi="Arial" w:cs="Arial"/>
                <w:szCs w:val="24"/>
                <w:lang w:eastAsia="en-GB"/>
              </w:rPr>
              <w:t>9</w:t>
            </w:r>
            <w:r w:rsidR="00FF1A7B" w:rsidRPr="00B01480">
              <w:rPr>
                <w:rFonts w:ascii="Arial" w:hAnsi="Arial" w:cs="Arial"/>
                <w:szCs w:val="24"/>
                <w:lang w:eastAsia="en-GB"/>
              </w:rPr>
              <w:t>73</w:t>
            </w:r>
          </w:p>
        </w:tc>
      </w:tr>
      <w:tr w:rsidR="00046CEA" w:rsidRPr="0033457D" w14:paraId="6B0B46D8" w14:textId="77777777" w:rsidTr="00024372">
        <w:trPr>
          <w:trHeight w:val="300"/>
        </w:trPr>
        <w:tc>
          <w:tcPr>
            <w:tcW w:w="5529" w:type="dxa"/>
            <w:gridSpan w:val="2"/>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64092D9A" w14:textId="77777777" w:rsidR="00046CEA" w:rsidRPr="00046CEA" w:rsidRDefault="00046CEA" w:rsidP="00046CEA">
            <w:pPr>
              <w:spacing w:after="0"/>
              <w:jc w:val="left"/>
              <w:rPr>
                <w:rFonts w:ascii="Arial" w:hAnsi="Arial" w:cs="Arial"/>
                <w:szCs w:val="24"/>
                <w:lang w:eastAsia="en-GB"/>
              </w:rPr>
            </w:pPr>
            <w:r w:rsidRPr="00046CEA">
              <w:rPr>
                <w:rFonts w:ascii="Arial" w:hAnsi="Arial" w:cs="Arial"/>
                <w:szCs w:val="24"/>
                <w:lang w:eastAsia="en-GB"/>
              </w:rPr>
              <w:t>English additional language</w:t>
            </w:r>
          </w:p>
        </w:tc>
        <w:tc>
          <w:tcPr>
            <w:tcW w:w="1985" w:type="dxa"/>
            <w:tcBorders>
              <w:top w:val="nil"/>
              <w:left w:val="nil"/>
              <w:bottom w:val="single" w:sz="8" w:space="0" w:color="000000"/>
              <w:right w:val="single" w:sz="8" w:space="0" w:color="000000"/>
            </w:tcBorders>
            <w:shd w:val="clear" w:color="auto" w:fill="auto"/>
            <w:noWrap/>
            <w:vAlign w:val="center"/>
          </w:tcPr>
          <w:p w14:paraId="4F2748BB" w14:textId="403F4AE3" w:rsidR="00046CEA" w:rsidRPr="00046CEA" w:rsidRDefault="00046CEA" w:rsidP="00046CEA">
            <w:pPr>
              <w:spacing w:after="0"/>
              <w:jc w:val="right"/>
              <w:rPr>
                <w:rFonts w:ascii="Arial" w:hAnsi="Arial" w:cs="Arial"/>
                <w:szCs w:val="24"/>
                <w:lang w:eastAsia="en-GB"/>
              </w:rPr>
            </w:pPr>
            <w:r w:rsidRPr="00046CEA">
              <w:rPr>
                <w:rFonts w:ascii="Arial" w:hAnsi="Arial" w:cs="Arial"/>
                <w:szCs w:val="24"/>
                <w:lang w:eastAsia="en-GB"/>
              </w:rPr>
              <w:t>596</w:t>
            </w:r>
          </w:p>
        </w:tc>
        <w:tc>
          <w:tcPr>
            <w:tcW w:w="1843" w:type="dxa"/>
            <w:tcBorders>
              <w:top w:val="nil"/>
              <w:left w:val="nil"/>
              <w:bottom w:val="single" w:sz="8" w:space="0" w:color="000000"/>
              <w:right w:val="single" w:sz="8" w:space="0" w:color="000000"/>
            </w:tcBorders>
            <w:shd w:val="clear" w:color="auto" w:fill="auto"/>
            <w:noWrap/>
            <w:vAlign w:val="center"/>
          </w:tcPr>
          <w:p w14:paraId="311E1B55" w14:textId="49416B4A" w:rsidR="00046CEA" w:rsidRPr="00B01480" w:rsidRDefault="00046CEA" w:rsidP="00046CEA">
            <w:pPr>
              <w:spacing w:after="0"/>
              <w:jc w:val="right"/>
              <w:rPr>
                <w:rFonts w:ascii="Arial" w:hAnsi="Arial" w:cs="Arial"/>
                <w:szCs w:val="24"/>
                <w:lang w:eastAsia="en-GB"/>
              </w:rPr>
            </w:pPr>
            <w:r w:rsidRPr="00B01480">
              <w:rPr>
                <w:rFonts w:ascii="Arial" w:hAnsi="Arial" w:cs="Arial"/>
                <w:szCs w:val="24"/>
                <w:lang w:eastAsia="en-GB"/>
              </w:rPr>
              <w:t>6</w:t>
            </w:r>
            <w:r w:rsidR="00D43DF1" w:rsidRPr="00B01480">
              <w:rPr>
                <w:rFonts w:ascii="Arial" w:hAnsi="Arial" w:cs="Arial"/>
                <w:szCs w:val="24"/>
                <w:lang w:eastAsia="en-GB"/>
              </w:rPr>
              <w:t>00</w:t>
            </w:r>
          </w:p>
        </w:tc>
      </w:tr>
      <w:tr w:rsidR="00046CEA" w:rsidRPr="0033457D" w14:paraId="1F4199AD" w14:textId="77777777" w:rsidTr="00024372">
        <w:trPr>
          <w:trHeight w:val="300"/>
        </w:trPr>
        <w:tc>
          <w:tcPr>
            <w:tcW w:w="5529" w:type="dxa"/>
            <w:gridSpan w:val="2"/>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2AA9CACD" w14:textId="77777777" w:rsidR="00046CEA" w:rsidRPr="00046CEA" w:rsidRDefault="00046CEA" w:rsidP="00046CEA">
            <w:pPr>
              <w:spacing w:after="0"/>
              <w:jc w:val="left"/>
              <w:rPr>
                <w:rFonts w:ascii="Arial" w:hAnsi="Arial" w:cs="Arial"/>
                <w:szCs w:val="24"/>
                <w:lang w:eastAsia="en-GB"/>
              </w:rPr>
            </w:pPr>
            <w:r w:rsidRPr="00046CEA">
              <w:rPr>
                <w:rFonts w:ascii="Arial" w:hAnsi="Arial" w:cs="Arial"/>
                <w:szCs w:val="24"/>
                <w:lang w:eastAsia="en-GB"/>
              </w:rPr>
              <w:t>Sparsity (maximum before taper applied)</w:t>
            </w:r>
          </w:p>
        </w:tc>
        <w:tc>
          <w:tcPr>
            <w:tcW w:w="1985" w:type="dxa"/>
            <w:tcBorders>
              <w:top w:val="nil"/>
              <w:left w:val="nil"/>
              <w:bottom w:val="single" w:sz="8" w:space="0" w:color="000000"/>
              <w:right w:val="single" w:sz="8" w:space="0" w:color="000000"/>
            </w:tcBorders>
            <w:shd w:val="clear" w:color="auto" w:fill="auto"/>
            <w:noWrap/>
            <w:vAlign w:val="center"/>
          </w:tcPr>
          <w:p w14:paraId="4ED5D78A" w14:textId="514F430B" w:rsidR="00046CEA" w:rsidRPr="00046CEA" w:rsidRDefault="00046CEA" w:rsidP="00046CEA">
            <w:pPr>
              <w:spacing w:after="0"/>
              <w:jc w:val="right"/>
              <w:rPr>
                <w:rFonts w:ascii="Arial" w:hAnsi="Arial" w:cs="Arial"/>
                <w:szCs w:val="24"/>
                <w:lang w:eastAsia="en-GB"/>
              </w:rPr>
            </w:pPr>
            <w:r w:rsidRPr="00046CEA">
              <w:rPr>
                <w:rFonts w:ascii="Arial" w:hAnsi="Arial" w:cs="Arial"/>
                <w:szCs w:val="24"/>
                <w:lang w:eastAsia="en-GB"/>
              </w:rPr>
              <w:t>57,662</w:t>
            </w:r>
          </w:p>
        </w:tc>
        <w:tc>
          <w:tcPr>
            <w:tcW w:w="1843" w:type="dxa"/>
            <w:tcBorders>
              <w:top w:val="nil"/>
              <w:left w:val="nil"/>
              <w:bottom w:val="single" w:sz="8" w:space="0" w:color="000000"/>
              <w:right w:val="single" w:sz="8" w:space="0" w:color="000000"/>
            </w:tcBorders>
            <w:shd w:val="clear" w:color="auto" w:fill="auto"/>
            <w:noWrap/>
            <w:vAlign w:val="center"/>
          </w:tcPr>
          <w:p w14:paraId="7CBAA464" w14:textId="52E200BC" w:rsidR="00046CEA" w:rsidRPr="00B01480" w:rsidRDefault="00046CEA" w:rsidP="00046CEA">
            <w:pPr>
              <w:spacing w:after="0"/>
              <w:jc w:val="right"/>
              <w:rPr>
                <w:rFonts w:ascii="Arial" w:hAnsi="Arial" w:cs="Arial"/>
                <w:szCs w:val="24"/>
                <w:lang w:eastAsia="en-GB"/>
              </w:rPr>
            </w:pPr>
            <w:r w:rsidRPr="00B01480">
              <w:rPr>
                <w:rFonts w:ascii="Arial" w:hAnsi="Arial" w:cs="Arial"/>
                <w:szCs w:val="24"/>
                <w:lang w:eastAsia="en-GB"/>
              </w:rPr>
              <w:t>57,</w:t>
            </w:r>
            <w:r w:rsidR="00437F46" w:rsidRPr="00B01480">
              <w:rPr>
                <w:rFonts w:ascii="Arial" w:hAnsi="Arial" w:cs="Arial"/>
                <w:szCs w:val="24"/>
                <w:lang w:eastAsia="en-GB"/>
              </w:rPr>
              <w:t>865</w:t>
            </w:r>
          </w:p>
        </w:tc>
      </w:tr>
      <w:tr w:rsidR="00046CEA" w:rsidRPr="0033457D" w14:paraId="46F4F8F3" w14:textId="77777777" w:rsidTr="00024372">
        <w:trPr>
          <w:trHeight w:val="300"/>
        </w:trPr>
        <w:tc>
          <w:tcPr>
            <w:tcW w:w="5529" w:type="dxa"/>
            <w:gridSpan w:val="2"/>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32B13360" w14:textId="77777777" w:rsidR="00046CEA" w:rsidRPr="00046CEA" w:rsidRDefault="00046CEA" w:rsidP="00046CEA">
            <w:pPr>
              <w:spacing w:after="0"/>
              <w:jc w:val="left"/>
              <w:rPr>
                <w:rFonts w:ascii="Arial" w:hAnsi="Arial" w:cs="Arial"/>
                <w:szCs w:val="24"/>
                <w:lang w:eastAsia="en-GB"/>
              </w:rPr>
            </w:pPr>
            <w:r w:rsidRPr="00046CEA">
              <w:rPr>
                <w:rFonts w:ascii="Arial" w:hAnsi="Arial" w:cs="Arial"/>
                <w:szCs w:val="24"/>
                <w:lang w:eastAsia="en-GB"/>
              </w:rPr>
              <w:t>Lump sum</w:t>
            </w:r>
          </w:p>
        </w:tc>
        <w:tc>
          <w:tcPr>
            <w:tcW w:w="1985" w:type="dxa"/>
            <w:tcBorders>
              <w:top w:val="nil"/>
              <w:left w:val="nil"/>
              <w:bottom w:val="single" w:sz="8" w:space="0" w:color="000000"/>
              <w:right w:val="single" w:sz="8" w:space="0" w:color="000000"/>
            </w:tcBorders>
            <w:shd w:val="clear" w:color="auto" w:fill="auto"/>
            <w:noWrap/>
            <w:vAlign w:val="center"/>
          </w:tcPr>
          <w:p w14:paraId="530CC630" w14:textId="6E1D6B80" w:rsidR="00046CEA" w:rsidRPr="00046CEA" w:rsidRDefault="00046CEA" w:rsidP="00046CEA">
            <w:pPr>
              <w:spacing w:after="0"/>
              <w:jc w:val="right"/>
              <w:rPr>
                <w:rFonts w:ascii="Arial" w:hAnsi="Arial" w:cs="Arial"/>
                <w:szCs w:val="24"/>
                <w:lang w:eastAsia="en-GB"/>
              </w:rPr>
            </w:pPr>
            <w:r w:rsidRPr="00046CEA">
              <w:rPr>
                <w:rFonts w:ascii="Arial" w:hAnsi="Arial" w:cs="Arial"/>
                <w:szCs w:val="24"/>
                <w:lang w:eastAsia="en-GB"/>
              </w:rPr>
              <w:t>135,724</w:t>
            </w:r>
          </w:p>
        </w:tc>
        <w:tc>
          <w:tcPr>
            <w:tcW w:w="1843" w:type="dxa"/>
            <w:tcBorders>
              <w:top w:val="nil"/>
              <w:left w:val="nil"/>
              <w:bottom w:val="single" w:sz="8" w:space="0" w:color="000000"/>
              <w:right w:val="single" w:sz="8" w:space="0" w:color="000000"/>
            </w:tcBorders>
            <w:shd w:val="clear" w:color="auto" w:fill="auto"/>
            <w:noWrap/>
            <w:vAlign w:val="center"/>
          </w:tcPr>
          <w:p w14:paraId="2C1BF0E3" w14:textId="2083FF50" w:rsidR="00046CEA" w:rsidRPr="00B01480" w:rsidRDefault="00046CEA" w:rsidP="00046CEA">
            <w:pPr>
              <w:spacing w:after="0"/>
              <w:jc w:val="right"/>
              <w:rPr>
                <w:rFonts w:ascii="Arial" w:hAnsi="Arial" w:cs="Arial"/>
                <w:szCs w:val="24"/>
                <w:lang w:eastAsia="en-GB"/>
              </w:rPr>
            </w:pPr>
            <w:r w:rsidRPr="00B01480">
              <w:rPr>
                <w:rFonts w:ascii="Arial" w:hAnsi="Arial" w:cs="Arial"/>
                <w:szCs w:val="24"/>
                <w:lang w:eastAsia="en-GB"/>
              </w:rPr>
              <w:t>1</w:t>
            </w:r>
            <w:r w:rsidR="002D2249" w:rsidRPr="00B01480">
              <w:rPr>
                <w:rFonts w:ascii="Arial" w:hAnsi="Arial" w:cs="Arial"/>
                <w:szCs w:val="24"/>
                <w:lang w:eastAsia="en-GB"/>
              </w:rPr>
              <w:t>46</w:t>
            </w:r>
            <w:r w:rsidRPr="00B01480">
              <w:rPr>
                <w:rFonts w:ascii="Arial" w:hAnsi="Arial" w:cs="Arial"/>
                <w:szCs w:val="24"/>
                <w:lang w:eastAsia="en-GB"/>
              </w:rPr>
              <w:t>,2</w:t>
            </w:r>
            <w:r w:rsidR="00C95DF6" w:rsidRPr="00B01480">
              <w:rPr>
                <w:rFonts w:ascii="Arial" w:hAnsi="Arial" w:cs="Arial"/>
                <w:szCs w:val="24"/>
                <w:lang w:eastAsia="en-GB"/>
              </w:rPr>
              <w:t>7</w:t>
            </w:r>
            <w:r w:rsidRPr="00B01480">
              <w:rPr>
                <w:rFonts w:ascii="Arial" w:hAnsi="Arial" w:cs="Arial"/>
                <w:szCs w:val="24"/>
                <w:lang w:eastAsia="en-GB"/>
              </w:rPr>
              <w:t>4</w:t>
            </w:r>
          </w:p>
        </w:tc>
      </w:tr>
      <w:tr w:rsidR="00046CEA" w:rsidRPr="0033457D" w14:paraId="06D69A38" w14:textId="77777777" w:rsidTr="00473CEA">
        <w:trPr>
          <w:trHeight w:val="300"/>
        </w:trPr>
        <w:tc>
          <w:tcPr>
            <w:tcW w:w="5529" w:type="dxa"/>
            <w:gridSpan w:val="2"/>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3EFF5CDE" w14:textId="77777777" w:rsidR="00046CEA" w:rsidRPr="00046CEA" w:rsidRDefault="00046CEA" w:rsidP="00046CEA">
            <w:pPr>
              <w:spacing w:after="0"/>
              <w:jc w:val="left"/>
              <w:rPr>
                <w:rFonts w:ascii="Arial" w:hAnsi="Arial" w:cs="Arial"/>
                <w:szCs w:val="24"/>
                <w:lang w:eastAsia="en-GB"/>
              </w:rPr>
            </w:pPr>
            <w:r w:rsidRPr="00046CEA">
              <w:rPr>
                <w:rFonts w:ascii="Arial" w:hAnsi="Arial" w:cs="Arial"/>
                <w:szCs w:val="24"/>
                <w:lang w:eastAsia="en-GB"/>
              </w:rPr>
              <w:t>Minimum per pupil funding level</w:t>
            </w:r>
          </w:p>
        </w:tc>
        <w:tc>
          <w:tcPr>
            <w:tcW w:w="1985" w:type="dxa"/>
            <w:tcBorders>
              <w:top w:val="single" w:sz="8" w:space="0" w:color="000000"/>
              <w:left w:val="nil"/>
              <w:bottom w:val="single" w:sz="8" w:space="0" w:color="000000"/>
              <w:right w:val="single" w:sz="8" w:space="0" w:color="000000"/>
            </w:tcBorders>
            <w:shd w:val="clear" w:color="auto" w:fill="auto"/>
            <w:noWrap/>
            <w:vAlign w:val="center"/>
          </w:tcPr>
          <w:p w14:paraId="659A7B46" w14:textId="02A02A94" w:rsidR="00046CEA" w:rsidRPr="00046CEA" w:rsidRDefault="00046CEA" w:rsidP="00046CEA">
            <w:pPr>
              <w:spacing w:after="0"/>
              <w:jc w:val="right"/>
              <w:rPr>
                <w:rFonts w:ascii="Arial" w:hAnsi="Arial" w:cs="Arial"/>
                <w:szCs w:val="24"/>
                <w:lang w:eastAsia="en-GB"/>
              </w:rPr>
            </w:pPr>
            <w:r w:rsidRPr="00046CEA">
              <w:rPr>
                <w:rFonts w:ascii="Arial" w:hAnsi="Arial" w:cs="Arial"/>
                <w:szCs w:val="24"/>
                <w:lang w:eastAsia="en-GB"/>
              </w:rPr>
              <w:t>4,610</w:t>
            </w:r>
          </w:p>
        </w:tc>
        <w:tc>
          <w:tcPr>
            <w:tcW w:w="1843" w:type="dxa"/>
            <w:tcBorders>
              <w:top w:val="single" w:sz="8" w:space="0" w:color="000000"/>
              <w:left w:val="nil"/>
              <w:bottom w:val="single" w:sz="8" w:space="0" w:color="000000"/>
              <w:right w:val="single" w:sz="8" w:space="0" w:color="000000"/>
            </w:tcBorders>
            <w:shd w:val="clear" w:color="auto" w:fill="auto"/>
            <w:noWrap/>
            <w:vAlign w:val="center"/>
          </w:tcPr>
          <w:p w14:paraId="72782955" w14:textId="41758CA9" w:rsidR="00046CEA" w:rsidRPr="00B01480" w:rsidRDefault="00046CEA" w:rsidP="00046CEA">
            <w:pPr>
              <w:spacing w:after="0"/>
              <w:jc w:val="right"/>
              <w:rPr>
                <w:rFonts w:ascii="Arial" w:hAnsi="Arial" w:cs="Arial"/>
                <w:szCs w:val="24"/>
                <w:lang w:eastAsia="en-GB"/>
              </w:rPr>
            </w:pPr>
            <w:r w:rsidRPr="00B01480">
              <w:rPr>
                <w:rFonts w:ascii="Arial" w:hAnsi="Arial" w:cs="Arial"/>
                <w:szCs w:val="24"/>
                <w:lang w:eastAsia="en-GB"/>
              </w:rPr>
              <w:t>4,</w:t>
            </w:r>
            <w:r w:rsidR="00B01480" w:rsidRPr="00B01480">
              <w:rPr>
                <w:rFonts w:ascii="Arial" w:hAnsi="Arial" w:cs="Arial"/>
                <w:szCs w:val="24"/>
                <w:lang w:eastAsia="en-GB"/>
              </w:rPr>
              <w:t>955</w:t>
            </w:r>
          </w:p>
        </w:tc>
      </w:tr>
      <w:tr w:rsidR="00046CEA" w:rsidRPr="0033457D" w14:paraId="248B1F3F" w14:textId="77777777" w:rsidTr="00024372">
        <w:trPr>
          <w:trHeight w:val="300"/>
        </w:trPr>
        <w:tc>
          <w:tcPr>
            <w:tcW w:w="5529" w:type="dxa"/>
            <w:gridSpan w:val="2"/>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71E6FF07" w14:textId="77777777" w:rsidR="00046CEA" w:rsidRPr="00046CEA" w:rsidRDefault="00046CEA" w:rsidP="00046CEA">
            <w:pPr>
              <w:spacing w:after="0"/>
              <w:jc w:val="left"/>
              <w:rPr>
                <w:rFonts w:ascii="Arial" w:hAnsi="Arial" w:cs="Arial"/>
                <w:szCs w:val="24"/>
                <w:lang w:eastAsia="en-GB"/>
              </w:rPr>
            </w:pPr>
            <w:r w:rsidRPr="00046CEA">
              <w:rPr>
                <w:rFonts w:ascii="Arial" w:hAnsi="Arial" w:cs="Arial"/>
                <w:szCs w:val="24"/>
                <w:lang w:eastAsia="en-GB"/>
              </w:rPr>
              <w:t>Minimum funding guarantee</w:t>
            </w:r>
          </w:p>
        </w:tc>
        <w:tc>
          <w:tcPr>
            <w:tcW w:w="1985" w:type="dxa"/>
            <w:tcBorders>
              <w:top w:val="nil"/>
              <w:left w:val="nil"/>
              <w:bottom w:val="single" w:sz="8" w:space="0" w:color="000000"/>
              <w:right w:val="single" w:sz="8" w:space="0" w:color="000000"/>
            </w:tcBorders>
            <w:shd w:val="clear" w:color="auto" w:fill="auto"/>
            <w:noWrap/>
            <w:vAlign w:val="center"/>
          </w:tcPr>
          <w:p w14:paraId="45D2A195" w14:textId="464D1155" w:rsidR="00046CEA" w:rsidRPr="00046CEA" w:rsidRDefault="00046CEA" w:rsidP="00046CEA">
            <w:pPr>
              <w:spacing w:after="0"/>
              <w:jc w:val="right"/>
              <w:rPr>
                <w:rFonts w:ascii="Arial" w:hAnsi="Arial" w:cs="Arial"/>
                <w:szCs w:val="24"/>
                <w:lang w:eastAsia="en-GB"/>
              </w:rPr>
            </w:pPr>
            <w:r w:rsidRPr="00046CEA">
              <w:rPr>
                <w:rFonts w:ascii="Arial" w:hAnsi="Arial" w:cs="Arial"/>
                <w:szCs w:val="24"/>
                <w:lang w:eastAsia="en-GB"/>
              </w:rPr>
              <w:t>0.5%</w:t>
            </w:r>
          </w:p>
        </w:tc>
        <w:tc>
          <w:tcPr>
            <w:tcW w:w="1843" w:type="dxa"/>
            <w:tcBorders>
              <w:top w:val="nil"/>
              <w:left w:val="nil"/>
              <w:bottom w:val="single" w:sz="8" w:space="0" w:color="000000"/>
              <w:right w:val="single" w:sz="8" w:space="0" w:color="000000"/>
            </w:tcBorders>
            <w:shd w:val="clear" w:color="auto" w:fill="auto"/>
            <w:noWrap/>
            <w:vAlign w:val="center"/>
          </w:tcPr>
          <w:p w14:paraId="3C8DBCA7" w14:textId="4174B50F" w:rsidR="00046CEA" w:rsidRPr="00B01480" w:rsidRDefault="00046CEA" w:rsidP="00046CEA">
            <w:pPr>
              <w:spacing w:after="0"/>
              <w:jc w:val="right"/>
              <w:rPr>
                <w:rFonts w:ascii="Arial" w:hAnsi="Arial" w:cs="Arial"/>
                <w:szCs w:val="24"/>
                <w:lang w:eastAsia="en-GB"/>
              </w:rPr>
            </w:pPr>
            <w:r w:rsidRPr="00B01480">
              <w:rPr>
                <w:rFonts w:ascii="Arial" w:hAnsi="Arial" w:cs="Arial"/>
                <w:szCs w:val="24"/>
                <w:lang w:eastAsia="en-GB"/>
              </w:rPr>
              <w:t>0.</w:t>
            </w:r>
            <w:r w:rsidR="00B01480" w:rsidRPr="00B01480">
              <w:rPr>
                <w:rFonts w:ascii="Arial" w:hAnsi="Arial" w:cs="Arial"/>
                <w:szCs w:val="24"/>
                <w:lang w:eastAsia="en-GB"/>
              </w:rPr>
              <w:t>0</w:t>
            </w:r>
            <w:r w:rsidRPr="00B01480">
              <w:rPr>
                <w:rFonts w:ascii="Arial" w:hAnsi="Arial" w:cs="Arial"/>
                <w:szCs w:val="24"/>
                <w:lang w:eastAsia="en-GB"/>
              </w:rPr>
              <w:t>%</w:t>
            </w:r>
          </w:p>
        </w:tc>
      </w:tr>
    </w:tbl>
    <w:p w14:paraId="083A7FCB" w14:textId="77777777" w:rsidR="002567B2" w:rsidRPr="0033457D" w:rsidRDefault="002567B2" w:rsidP="00C744C4">
      <w:pPr>
        <w:rPr>
          <w:rFonts w:ascii="Arial" w:hAnsi="Arial" w:cs="Arial"/>
          <w:b/>
          <w:bCs/>
          <w:color w:val="FF0000"/>
        </w:rPr>
      </w:pPr>
    </w:p>
    <w:tbl>
      <w:tblPr>
        <w:tblW w:w="9357" w:type="dxa"/>
        <w:tblInd w:w="-318" w:type="dxa"/>
        <w:tblLook w:val="04A0" w:firstRow="1" w:lastRow="0" w:firstColumn="1" w:lastColumn="0" w:noHBand="0" w:noVBand="1"/>
      </w:tblPr>
      <w:tblGrid>
        <w:gridCol w:w="2553"/>
        <w:gridCol w:w="3402"/>
        <w:gridCol w:w="1842"/>
        <w:gridCol w:w="1560"/>
      </w:tblGrid>
      <w:tr w:rsidR="0033457D" w:rsidRPr="0033457D" w14:paraId="3616900B" w14:textId="77777777" w:rsidTr="009F664A">
        <w:trPr>
          <w:trHeight w:val="480"/>
        </w:trPr>
        <w:tc>
          <w:tcPr>
            <w:tcW w:w="5955" w:type="dxa"/>
            <w:gridSpan w:val="2"/>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4745424C" w14:textId="77777777" w:rsidR="002567B2" w:rsidRPr="00046CEA" w:rsidRDefault="002567B2" w:rsidP="003C7D28">
            <w:pPr>
              <w:spacing w:after="0"/>
              <w:jc w:val="left"/>
              <w:rPr>
                <w:rFonts w:ascii="Arial" w:hAnsi="Arial" w:cs="Arial"/>
                <w:b/>
                <w:sz w:val="22"/>
                <w:szCs w:val="22"/>
                <w:lang w:eastAsia="en-GB"/>
              </w:rPr>
            </w:pPr>
            <w:r w:rsidRPr="00046CEA">
              <w:rPr>
                <w:rFonts w:ascii="Arial" w:hAnsi="Arial" w:cs="Arial"/>
                <w:b/>
                <w:sz w:val="22"/>
                <w:szCs w:val="22"/>
                <w:lang w:eastAsia="en-GB"/>
              </w:rPr>
              <w:t> </w:t>
            </w:r>
          </w:p>
          <w:p w14:paraId="470D3640" w14:textId="77777777" w:rsidR="002567B2" w:rsidRPr="00046CEA" w:rsidRDefault="002567B2" w:rsidP="003C7D28">
            <w:pPr>
              <w:spacing w:after="0"/>
              <w:jc w:val="left"/>
              <w:rPr>
                <w:rFonts w:ascii="Arial" w:hAnsi="Arial" w:cs="Arial"/>
                <w:b/>
                <w:szCs w:val="24"/>
                <w:lang w:eastAsia="en-GB"/>
              </w:rPr>
            </w:pPr>
            <w:r w:rsidRPr="00046CEA">
              <w:rPr>
                <w:rFonts w:ascii="Arial" w:hAnsi="Arial" w:cs="Arial"/>
                <w:b/>
                <w:szCs w:val="24"/>
                <w:lang w:eastAsia="en-GB"/>
              </w:rPr>
              <w:t> Secondary Unit Values</w:t>
            </w:r>
          </w:p>
        </w:tc>
        <w:tc>
          <w:tcPr>
            <w:tcW w:w="1842" w:type="dxa"/>
            <w:tcBorders>
              <w:top w:val="single" w:sz="4" w:space="0" w:color="auto"/>
              <w:left w:val="single" w:sz="8" w:space="0" w:color="000000"/>
              <w:bottom w:val="single" w:sz="8" w:space="0" w:color="000000"/>
              <w:right w:val="single" w:sz="8" w:space="0" w:color="000000"/>
            </w:tcBorders>
            <w:shd w:val="clear" w:color="auto" w:fill="auto"/>
            <w:noWrap/>
            <w:vAlign w:val="center"/>
            <w:hideMark/>
          </w:tcPr>
          <w:p w14:paraId="60E70A84" w14:textId="47D282F5" w:rsidR="002567B2" w:rsidRPr="00046CEA" w:rsidRDefault="002567B2" w:rsidP="003C7D28">
            <w:pPr>
              <w:spacing w:after="0"/>
              <w:jc w:val="center"/>
              <w:rPr>
                <w:rFonts w:ascii="Arial" w:hAnsi="Arial" w:cs="Arial"/>
                <w:b/>
                <w:bCs/>
                <w:szCs w:val="24"/>
                <w:lang w:eastAsia="en-GB"/>
              </w:rPr>
            </w:pPr>
            <w:r w:rsidRPr="00046CEA">
              <w:rPr>
                <w:rFonts w:ascii="Arial" w:hAnsi="Arial" w:cs="Arial"/>
                <w:b/>
                <w:bCs/>
                <w:szCs w:val="24"/>
                <w:lang w:eastAsia="en-GB"/>
              </w:rPr>
              <w:t>20</w:t>
            </w:r>
            <w:r w:rsidR="00473CEA" w:rsidRPr="00046CEA">
              <w:rPr>
                <w:rFonts w:ascii="Arial" w:hAnsi="Arial" w:cs="Arial"/>
                <w:b/>
                <w:bCs/>
                <w:szCs w:val="24"/>
                <w:lang w:eastAsia="en-GB"/>
              </w:rPr>
              <w:t>2</w:t>
            </w:r>
            <w:r w:rsidR="00046CEA" w:rsidRPr="00046CEA">
              <w:rPr>
                <w:rFonts w:ascii="Arial" w:hAnsi="Arial" w:cs="Arial"/>
                <w:b/>
                <w:bCs/>
                <w:szCs w:val="24"/>
                <w:lang w:eastAsia="en-GB"/>
              </w:rPr>
              <w:t>4</w:t>
            </w:r>
            <w:r w:rsidRPr="00046CEA">
              <w:rPr>
                <w:rFonts w:ascii="Arial" w:hAnsi="Arial" w:cs="Arial"/>
                <w:b/>
                <w:bCs/>
                <w:szCs w:val="24"/>
                <w:lang w:eastAsia="en-GB"/>
              </w:rPr>
              <w:t>/2</w:t>
            </w:r>
            <w:r w:rsidR="00046CEA" w:rsidRPr="00046CEA">
              <w:rPr>
                <w:rFonts w:ascii="Arial" w:hAnsi="Arial" w:cs="Arial"/>
                <w:b/>
                <w:bCs/>
                <w:szCs w:val="24"/>
                <w:lang w:eastAsia="en-GB"/>
              </w:rPr>
              <w:t>5</w:t>
            </w:r>
            <w:r w:rsidRPr="00046CEA">
              <w:rPr>
                <w:rFonts w:ascii="Arial" w:hAnsi="Arial" w:cs="Arial"/>
                <w:b/>
                <w:bCs/>
                <w:szCs w:val="24"/>
                <w:lang w:eastAsia="en-GB"/>
              </w:rPr>
              <w:t xml:space="preserve"> </w:t>
            </w:r>
          </w:p>
          <w:p w14:paraId="1A8B5EEB" w14:textId="77777777" w:rsidR="002567B2" w:rsidRPr="00046CEA" w:rsidRDefault="002567B2" w:rsidP="003C7D28">
            <w:pPr>
              <w:spacing w:after="0"/>
              <w:jc w:val="center"/>
              <w:rPr>
                <w:rFonts w:ascii="Arial" w:hAnsi="Arial" w:cs="Arial"/>
                <w:b/>
                <w:bCs/>
                <w:szCs w:val="24"/>
                <w:lang w:eastAsia="en-GB"/>
              </w:rPr>
            </w:pPr>
            <w:r w:rsidRPr="00046CEA">
              <w:rPr>
                <w:rFonts w:ascii="Arial" w:hAnsi="Arial" w:cs="Arial"/>
                <w:b/>
                <w:bCs/>
                <w:szCs w:val="24"/>
                <w:lang w:eastAsia="en-GB"/>
              </w:rPr>
              <w:t>£</w:t>
            </w:r>
          </w:p>
        </w:tc>
        <w:tc>
          <w:tcPr>
            <w:tcW w:w="1560" w:type="dxa"/>
            <w:tcBorders>
              <w:top w:val="single" w:sz="4" w:space="0" w:color="auto"/>
              <w:left w:val="single" w:sz="8" w:space="0" w:color="000000"/>
              <w:bottom w:val="single" w:sz="8" w:space="0" w:color="000000"/>
              <w:right w:val="single" w:sz="8" w:space="0" w:color="000000"/>
            </w:tcBorders>
            <w:shd w:val="clear" w:color="auto" w:fill="auto"/>
            <w:noWrap/>
            <w:vAlign w:val="center"/>
            <w:hideMark/>
          </w:tcPr>
          <w:p w14:paraId="6FC52599" w14:textId="097E4377" w:rsidR="002567B2" w:rsidRPr="00FB5792" w:rsidRDefault="002567B2" w:rsidP="003C7D28">
            <w:pPr>
              <w:spacing w:after="0"/>
              <w:jc w:val="center"/>
              <w:rPr>
                <w:rFonts w:ascii="Arial" w:hAnsi="Arial" w:cs="Arial"/>
                <w:b/>
                <w:szCs w:val="24"/>
                <w:lang w:eastAsia="en-GB"/>
              </w:rPr>
            </w:pPr>
            <w:r w:rsidRPr="00FB5792">
              <w:rPr>
                <w:rFonts w:ascii="Arial" w:hAnsi="Arial" w:cs="Arial"/>
                <w:b/>
                <w:szCs w:val="24"/>
                <w:lang w:eastAsia="en-GB"/>
              </w:rPr>
              <w:t>202</w:t>
            </w:r>
            <w:r w:rsidR="00046CEA" w:rsidRPr="00FB5792">
              <w:rPr>
                <w:rFonts w:ascii="Arial" w:hAnsi="Arial" w:cs="Arial"/>
                <w:b/>
                <w:szCs w:val="24"/>
                <w:lang w:eastAsia="en-GB"/>
              </w:rPr>
              <w:t>5</w:t>
            </w:r>
            <w:r w:rsidRPr="00FB5792">
              <w:rPr>
                <w:rFonts w:ascii="Arial" w:hAnsi="Arial" w:cs="Arial"/>
                <w:b/>
                <w:szCs w:val="24"/>
                <w:lang w:eastAsia="en-GB"/>
              </w:rPr>
              <w:t>/2</w:t>
            </w:r>
            <w:r w:rsidR="00046CEA" w:rsidRPr="00FB5792">
              <w:rPr>
                <w:rFonts w:ascii="Arial" w:hAnsi="Arial" w:cs="Arial"/>
                <w:b/>
                <w:szCs w:val="24"/>
                <w:lang w:eastAsia="en-GB"/>
              </w:rPr>
              <w:t>6</w:t>
            </w:r>
          </w:p>
          <w:p w14:paraId="794062AD" w14:textId="77777777" w:rsidR="002567B2" w:rsidRPr="00FB5792" w:rsidRDefault="002567B2" w:rsidP="003C7D28">
            <w:pPr>
              <w:spacing w:after="0"/>
              <w:jc w:val="center"/>
              <w:rPr>
                <w:rFonts w:ascii="Arial" w:hAnsi="Arial" w:cs="Arial"/>
                <w:b/>
                <w:szCs w:val="24"/>
                <w:lang w:eastAsia="en-GB"/>
              </w:rPr>
            </w:pPr>
            <w:r w:rsidRPr="00FB5792">
              <w:rPr>
                <w:rFonts w:ascii="Arial" w:hAnsi="Arial" w:cs="Arial"/>
                <w:b/>
                <w:szCs w:val="24"/>
                <w:lang w:eastAsia="en-GB"/>
              </w:rPr>
              <w:t>£</w:t>
            </w:r>
          </w:p>
        </w:tc>
      </w:tr>
      <w:tr w:rsidR="00046CEA" w:rsidRPr="0033457D" w14:paraId="09CABC2F" w14:textId="77777777" w:rsidTr="00024372">
        <w:trPr>
          <w:trHeight w:val="300"/>
        </w:trPr>
        <w:tc>
          <w:tcPr>
            <w:tcW w:w="2553" w:type="dxa"/>
            <w:vMerge w:val="restart"/>
            <w:tcBorders>
              <w:top w:val="single" w:sz="4" w:space="0" w:color="auto"/>
              <w:left w:val="single" w:sz="8" w:space="0" w:color="auto"/>
              <w:bottom w:val="single" w:sz="8" w:space="0" w:color="000000"/>
              <w:right w:val="single" w:sz="8" w:space="0" w:color="000000"/>
            </w:tcBorders>
            <w:shd w:val="clear" w:color="auto" w:fill="auto"/>
            <w:noWrap/>
            <w:vAlign w:val="center"/>
            <w:hideMark/>
          </w:tcPr>
          <w:p w14:paraId="1AA0BFF4" w14:textId="77777777" w:rsidR="00046CEA" w:rsidRPr="00046CEA" w:rsidRDefault="00046CEA" w:rsidP="00046CEA">
            <w:pPr>
              <w:spacing w:after="0"/>
              <w:jc w:val="left"/>
              <w:rPr>
                <w:rFonts w:ascii="Arial" w:hAnsi="Arial" w:cs="Arial"/>
                <w:szCs w:val="24"/>
                <w:lang w:eastAsia="en-GB"/>
              </w:rPr>
            </w:pPr>
            <w:r w:rsidRPr="00046CEA">
              <w:rPr>
                <w:rFonts w:ascii="Arial" w:hAnsi="Arial" w:cs="Arial"/>
                <w:szCs w:val="24"/>
                <w:lang w:eastAsia="en-GB"/>
              </w:rPr>
              <w:t>Basic entitlement</w:t>
            </w:r>
          </w:p>
        </w:tc>
        <w:tc>
          <w:tcPr>
            <w:tcW w:w="3402" w:type="dxa"/>
            <w:tcBorders>
              <w:top w:val="single" w:sz="4" w:space="0" w:color="auto"/>
              <w:left w:val="nil"/>
              <w:bottom w:val="single" w:sz="8" w:space="0" w:color="000000"/>
              <w:right w:val="single" w:sz="8" w:space="0" w:color="000000"/>
            </w:tcBorders>
            <w:shd w:val="clear" w:color="auto" w:fill="auto"/>
            <w:noWrap/>
            <w:vAlign w:val="center"/>
            <w:hideMark/>
          </w:tcPr>
          <w:p w14:paraId="23F0B1D5" w14:textId="77777777" w:rsidR="00046CEA" w:rsidRPr="00046CEA" w:rsidRDefault="00046CEA" w:rsidP="00046CEA">
            <w:pPr>
              <w:spacing w:after="0"/>
              <w:jc w:val="left"/>
              <w:rPr>
                <w:rFonts w:ascii="Arial" w:hAnsi="Arial" w:cs="Arial"/>
                <w:szCs w:val="24"/>
                <w:lang w:eastAsia="en-GB"/>
              </w:rPr>
            </w:pPr>
            <w:r w:rsidRPr="00046CEA">
              <w:rPr>
                <w:rFonts w:ascii="Arial" w:hAnsi="Arial" w:cs="Arial"/>
                <w:szCs w:val="24"/>
                <w:lang w:eastAsia="en-GB"/>
              </w:rPr>
              <w:t>KS3</w:t>
            </w:r>
          </w:p>
        </w:tc>
        <w:tc>
          <w:tcPr>
            <w:tcW w:w="1842" w:type="dxa"/>
            <w:tcBorders>
              <w:top w:val="nil"/>
              <w:left w:val="nil"/>
              <w:bottom w:val="single" w:sz="8" w:space="0" w:color="000000"/>
              <w:right w:val="single" w:sz="8" w:space="0" w:color="000000"/>
            </w:tcBorders>
            <w:shd w:val="clear" w:color="auto" w:fill="auto"/>
            <w:noWrap/>
            <w:vAlign w:val="center"/>
          </w:tcPr>
          <w:p w14:paraId="63E30913" w14:textId="08517606" w:rsidR="00046CEA" w:rsidRPr="00046CEA" w:rsidRDefault="00046CEA" w:rsidP="00046CEA">
            <w:pPr>
              <w:spacing w:after="0"/>
              <w:jc w:val="right"/>
              <w:rPr>
                <w:rFonts w:ascii="Arial" w:hAnsi="Arial" w:cs="Arial"/>
                <w:szCs w:val="24"/>
                <w:lang w:eastAsia="en-GB"/>
              </w:rPr>
            </w:pPr>
            <w:r w:rsidRPr="00046CEA">
              <w:rPr>
                <w:rFonts w:ascii="Arial" w:hAnsi="Arial" w:cs="Arial"/>
                <w:szCs w:val="24"/>
                <w:lang w:eastAsia="en-GB"/>
              </w:rPr>
              <w:t>5,071</w:t>
            </w:r>
          </w:p>
        </w:tc>
        <w:tc>
          <w:tcPr>
            <w:tcW w:w="1560" w:type="dxa"/>
            <w:tcBorders>
              <w:top w:val="nil"/>
              <w:left w:val="nil"/>
              <w:bottom w:val="single" w:sz="8" w:space="0" w:color="000000"/>
              <w:right w:val="single" w:sz="8" w:space="0" w:color="000000"/>
            </w:tcBorders>
            <w:shd w:val="clear" w:color="auto" w:fill="auto"/>
            <w:noWrap/>
            <w:vAlign w:val="center"/>
          </w:tcPr>
          <w:p w14:paraId="17E00FCC" w14:textId="30F7744D" w:rsidR="00046CEA" w:rsidRPr="00FB5792" w:rsidRDefault="00046CEA" w:rsidP="00046CEA">
            <w:pPr>
              <w:spacing w:after="0"/>
              <w:jc w:val="right"/>
              <w:rPr>
                <w:rFonts w:ascii="Arial" w:hAnsi="Arial" w:cs="Arial"/>
                <w:szCs w:val="24"/>
                <w:lang w:eastAsia="en-GB"/>
              </w:rPr>
            </w:pPr>
            <w:r w:rsidRPr="00FB5792">
              <w:rPr>
                <w:rFonts w:ascii="Arial" w:hAnsi="Arial" w:cs="Arial"/>
                <w:szCs w:val="24"/>
                <w:lang w:eastAsia="en-GB"/>
              </w:rPr>
              <w:t>5,</w:t>
            </w:r>
            <w:r w:rsidR="00A72D76" w:rsidRPr="00FB5792">
              <w:rPr>
                <w:rFonts w:ascii="Arial" w:hAnsi="Arial" w:cs="Arial"/>
                <w:szCs w:val="24"/>
                <w:lang w:eastAsia="en-GB"/>
              </w:rPr>
              <w:t>466</w:t>
            </w:r>
          </w:p>
        </w:tc>
      </w:tr>
      <w:tr w:rsidR="00046CEA" w:rsidRPr="0033457D" w14:paraId="6CB78B61" w14:textId="77777777" w:rsidTr="00024372">
        <w:trPr>
          <w:trHeight w:val="300"/>
        </w:trPr>
        <w:tc>
          <w:tcPr>
            <w:tcW w:w="2553" w:type="dxa"/>
            <w:vMerge/>
            <w:tcBorders>
              <w:top w:val="nil"/>
              <w:left w:val="single" w:sz="8" w:space="0" w:color="auto"/>
              <w:bottom w:val="single" w:sz="8" w:space="0" w:color="000000"/>
              <w:right w:val="single" w:sz="8" w:space="0" w:color="000000"/>
            </w:tcBorders>
            <w:vAlign w:val="center"/>
            <w:hideMark/>
          </w:tcPr>
          <w:p w14:paraId="41A21DF5" w14:textId="77777777" w:rsidR="00046CEA" w:rsidRPr="00046CEA" w:rsidRDefault="00046CEA" w:rsidP="00046CEA">
            <w:pPr>
              <w:spacing w:after="0"/>
              <w:jc w:val="left"/>
              <w:rPr>
                <w:rFonts w:ascii="Arial" w:hAnsi="Arial" w:cs="Arial"/>
                <w:szCs w:val="24"/>
                <w:lang w:eastAsia="en-GB"/>
              </w:rPr>
            </w:pPr>
          </w:p>
        </w:tc>
        <w:tc>
          <w:tcPr>
            <w:tcW w:w="3402" w:type="dxa"/>
            <w:tcBorders>
              <w:top w:val="nil"/>
              <w:left w:val="nil"/>
              <w:bottom w:val="single" w:sz="8" w:space="0" w:color="000000"/>
              <w:right w:val="single" w:sz="8" w:space="0" w:color="000000"/>
            </w:tcBorders>
            <w:shd w:val="clear" w:color="auto" w:fill="auto"/>
            <w:noWrap/>
            <w:vAlign w:val="center"/>
            <w:hideMark/>
          </w:tcPr>
          <w:p w14:paraId="03641367" w14:textId="77777777" w:rsidR="00046CEA" w:rsidRPr="00046CEA" w:rsidRDefault="00046CEA" w:rsidP="00046CEA">
            <w:pPr>
              <w:spacing w:after="0"/>
              <w:jc w:val="left"/>
              <w:rPr>
                <w:rFonts w:ascii="Arial" w:hAnsi="Arial" w:cs="Arial"/>
                <w:szCs w:val="24"/>
                <w:lang w:eastAsia="en-GB"/>
              </w:rPr>
            </w:pPr>
            <w:r w:rsidRPr="00046CEA">
              <w:rPr>
                <w:rFonts w:ascii="Arial" w:hAnsi="Arial" w:cs="Arial"/>
                <w:szCs w:val="24"/>
                <w:lang w:eastAsia="en-GB"/>
              </w:rPr>
              <w:t>KS4</w:t>
            </w:r>
          </w:p>
        </w:tc>
        <w:tc>
          <w:tcPr>
            <w:tcW w:w="1842" w:type="dxa"/>
            <w:tcBorders>
              <w:top w:val="nil"/>
              <w:left w:val="nil"/>
              <w:bottom w:val="single" w:sz="8" w:space="0" w:color="000000"/>
              <w:right w:val="single" w:sz="8" w:space="0" w:color="000000"/>
            </w:tcBorders>
            <w:shd w:val="clear" w:color="auto" w:fill="auto"/>
            <w:noWrap/>
            <w:vAlign w:val="center"/>
          </w:tcPr>
          <w:p w14:paraId="31491044" w14:textId="29E31993" w:rsidR="00046CEA" w:rsidRPr="00046CEA" w:rsidRDefault="00046CEA" w:rsidP="00046CEA">
            <w:pPr>
              <w:spacing w:after="0"/>
              <w:jc w:val="right"/>
              <w:rPr>
                <w:rFonts w:ascii="Arial" w:hAnsi="Arial" w:cs="Arial"/>
                <w:szCs w:val="24"/>
                <w:lang w:eastAsia="en-GB"/>
              </w:rPr>
            </w:pPr>
            <w:r w:rsidRPr="00046CEA">
              <w:rPr>
                <w:rFonts w:ascii="Arial" w:hAnsi="Arial" w:cs="Arial"/>
                <w:szCs w:val="24"/>
                <w:lang w:eastAsia="en-GB"/>
              </w:rPr>
              <w:t>5,717</w:t>
            </w:r>
          </w:p>
        </w:tc>
        <w:tc>
          <w:tcPr>
            <w:tcW w:w="1560" w:type="dxa"/>
            <w:tcBorders>
              <w:top w:val="nil"/>
              <w:left w:val="nil"/>
              <w:bottom w:val="single" w:sz="8" w:space="0" w:color="000000"/>
              <w:right w:val="single" w:sz="8" w:space="0" w:color="000000"/>
            </w:tcBorders>
            <w:shd w:val="clear" w:color="auto" w:fill="auto"/>
            <w:noWrap/>
            <w:vAlign w:val="center"/>
          </w:tcPr>
          <w:p w14:paraId="5B01BCDF" w14:textId="6DD04D19" w:rsidR="00046CEA" w:rsidRPr="00FB5792" w:rsidRDefault="00F003E0" w:rsidP="00046CEA">
            <w:pPr>
              <w:spacing w:after="0"/>
              <w:jc w:val="right"/>
              <w:rPr>
                <w:rFonts w:ascii="Arial" w:hAnsi="Arial" w:cs="Arial"/>
                <w:szCs w:val="24"/>
                <w:lang w:eastAsia="en-GB"/>
              </w:rPr>
            </w:pPr>
            <w:r w:rsidRPr="00FB5792">
              <w:rPr>
                <w:rFonts w:ascii="Arial" w:hAnsi="Arial" w:cs="Arial"/>
                <w:szCs w:val="24"/>
                <w:lang w:eastAsia="en-GB"/>
              </w:rPr>
              <w:t>6</w:t>
            </w:r>
            <w:r w:rsidR="00046CEA" w:rsidRPr="00FB5792">
              <w:rPr>
                <w:rFonts w:ascii="Arial" w:hAnsi="Arial" w:cs="Arial"/>
                <w:szCs w:val="24"/>
                <w:lang w:eastAsia="en-GB"/>
              </w:rPr>
              <w:t>,</w:t>
            </w:r>
            <w:r w:rsidRPr="00FB5792">
              <w:rPr>
                <w:rFonts w:ascii="Arial" w:hAnsi="Arial" w:cs="Arial"/>
                <w:szCs w:val="24"/>
                <w:lang w:eastAsia="en-GB"/>
              </w:rPr>
              <w:t>162</w:t>
            </w:r>
          </w:p>
        </w:tc>
      </w:tr>
      <w:tr w:rsidR="00046CEA" w:rsidRPr="0033457D" w14:paraId="7DFC62DB" w14:textId="77777777" w:rsidTr="00024372">
        <w:trPr>
          <w:trHeight w:val="300"/>
        </w:trPr>
        <w:tc>
          <w:tcPr>
            <w:tcW w:w="2553" w:type="dxa"/>
            <w:vMerge w:val="restart"/>
            <w:tcBorders>
              <w:top w:val="nil"/>
              <w:left w:val="single" w:sz="8" w:space="0" w:color="auto"/>
              <w:bottom w:val="single" w:sz="8" w:space="0" w:color="000000"/>
              <w:right w:val="single" w:sz="8" w:space="0" w:color="000000"/>
            </w:tcBorders>
            <w:shd w:val="clear" w:color="auto" w:fill="auto"/>
            <w:noWrap/>
            <w:vAlign w:val="center"/>
            <w:hideMark/>
          </w:tcPr>
          <w:p w14:paraId="586AF64F" w14:textId="77777777" w:rsidR="00046CEA" w:rsidRPr="00046CEA" w:rsidRDefault="00046CEA" w:rsidP="00046CEA">
            <w:pPr>
              <w:spacing w:after="0"/>
              <w:jc w:val="left"/>
              <w:rPr>
                <w:rFonts w:ascii="Arial" w:hAnsi="Arial" w:cs="Arial"/>
                <w:szCs w:val="24"/>
                <w:lang w:eastAsia="en-GB"/>
              </w:rPr>
            </w:pPr>
            <w:r w:rsidRPr="00046CEA">
              <w:rPr>
                <w:rFonts w:ascii="Arial" w:hAnsi="Arial" w:cs="Arial"/>
                <w:szCs w:val="24"/>
                <w:lang w:eastAsia="en-GB"/>
              </w:rPr>
              <w:t>Deprivation</w:t>
            </w:r>
          </w:p>
        </w:tc>
        <w:tc>
          <w:tcPr>
            <w:tcW w:w="3402" w:type="dxa"/>
            <w:tcBorders>
              <w:top w:val="nil"/>
              <w:left w:val="nil"/>
              <w:bottom w:val="single" w:sz="8" w:space="0" w:color="000000"/>
              <w:right w:val="single" w:sz="8" w:space="0" w:color="000000"/>
            </w:tcBorders>
            <w:shd w:val="clear" w:color="auto" w:fill="auto"/>
            <w:noWrap/>
            <w:vAlign w:val="center"/>
            <w:hideMark/>
          </w:tcPr>
          <w:p w14:paraId="1A780819" w14:textId="77777777" w:rsidR="00046CEA" w:rsidRPr="00046CEA" w:rsidRDefault="00046CEA" w:rsidP="00046CEA">
            <w:pPr>
              <w:spacing w:after="0"/>
              <w:jc w:val="left"/>
              <w:rPr>
                <w:rFonts w:ascii="Arial" w:hAnsi="Arial" w:cs="Arial"/>
                <w:szCs w:val="24"/>
                <w:lang w:eastAsia="en-GB"/>
              </w:rPr>
            </w:pPr>
            <w:r w:rsidRPr="00046CEA">
              <w:rPr>
                <w:rFonts w:ascii="Arial" w:hAnsi="Arial" w:cs="Arial"/>
                <w:szCs w:val="24"/>
                <w:lang w:eastAsia="en-GB"/>
              </w:rPr>
              <w:t>FSM</w:t>
            </w:r>
          </w:p>
        </w:tc>
        <w:tc>
          <w:tcPr>
            <w:tcW w:w="1842" w:type="dxa"/>
            <w:tcBorders>
              <w:top w:val="nil"/>
              <w:left w:val="nil"/>
              <w:bottom w:val="single" w:sz="8" w:space="0" w:color="000000"/>
              <w:right w:val="single" w:sz="8" w:space="0" w:color="000000"/>
            </w:tcBorders>
            <w:shd w:val="clear" w:color="auto" w:fill="auto"/>
            <w:noWrap/>
            <w:vAlign w:val="center"/>
          </w:tcPr>
          <w:p w14:paraId="09DB60EE" w14:textId="223D6B61" w:rsidR="00046CEA" w:rsidRPr="00046CEA" w:rsidRDefault="00046CEA" w:rsidP="00046CEA">
            <w:pPr>
              <w:spacing w:after="0"/>
              <w:jc w:val="right"/>
              <w:rPr>
                <w:rFonts w:ascii="Arial" w:hAnsi="Arial" w:cs="Arial"/>
                <w:szCs w:val="24"/>
                <w:lang w:eastAsia="en-GB"/>
              </w:rPr>
            </w:pPr>
            <w:r w:rsidRPr="00046CEA">
              <w:rPr>
                <w:rFonts w:ascii="Arial" w:hAnsi="Arial" w:cs="Arial"/>
                <w:szCs w:val="24"/>
                <w:lang w:eastAsia="en-GB"/>
              </w:rPr>
              <w:t>495</w:t>
            </w:r>
          </w:p>
        </w:tc>
        <w:tc>
          <w:tcPr>
            <w:tcW w:w="1560" w:type="dxa"/>
            <w:tcBorders>
              <w:top w:val="nil"/>
              <w:left w:val="nil"/>
              <w:bottom w:val="single" w:sz="8" w:space="0" w:color="000000"/>
              <w:right w:val="single" w:sz="8" w:space="0" w:color="000000"/>
            </w:tcBorders>
            <w:shd w:val="clear" w:color="auto" w:fill="auto"/>
            <w:noWrap/>
            <w:vAlign w:val="center"/>
          </w:tcPr>
          <w:p w14:paraId="402246A1" w14:textId="5A1453A7" w:rsidR="00046CEA" w:rsidRPr="00FB5792" w:rsidRDefault="00046CEA" w:rsidP="00046CEA">
            <w:pPr>
              <w:spacing w:after="0"/>
              <w:jc w:val="right"/>
              <w:rPr>
                <w:rFonts w:ascii="Arial" w:hAnsi="Arial" w:cs="Arial"/>
                <w:szCs w:val="24"/>
                <w:lang w:eastAsia="en-GB"/>
              </w:rPr>
            </w:pPr>
            <w:r w:rsidRPr="00FB5792">
              <w:rPr>
                <w:rFonts w:ascii="Arial" w:hAnsi="Arial" w:cs="Arial"/>
                <w:szCs w:val="24"/>
                <w:lang w:eastAsia="en-GB"/>
              </w:rPr>
              <w:t>49</w:t>
            </w:r>
            <w:r w:rsidR="00226EA7" w:rsidRPr="00FB5792">
              <w:rPr>
                <w:rFonts w:ascii="Arial" w:hAnsi="Arial" w:cs="Arial"/>
                <w:szCs w:val="24"/>
                <w:lang w:eastAsia="en-GB"/>
              </w:rPr>
              <w:t>9</w:t>
            </w:r>
          </w:p>
        </w:tc>
      </w:tr>
      <w:tr w:rsidR="00046CEA" w:rsidRPr="0033457D" w14:paraId="77E176E0" w14:textId="77777777" w:rsidTr="00024372">
        <w:trPr>
          <w:trHeight w:val="300"/>
        </w:trPr>
        <w:tc>
          <w:tcPr>
            <w:tcW w:w="2553" w:type="dxa"/>
            <w:vMerge/>
            <w:tcBorders>
              <w:top w:val="nil"/>
              <w:left w:val="single" w:sz="8" w:space="0" w:color="auto"/>
              <w:bottom w:val="single" w:sz="8" w:space="0" w:color="000000"/>
              <w:right w:val="single" w:sz="8" w:space="0" w:color="000000"/>
            </w:tcBorders>
            <w:vAlign w:val="center"/>
            <w:hideMark/>
          </w:tcPr>
          <w:p w14:paraId="566959A1" w14:textId="77777777" w:rsidR="00046CEA" w:rsidRPr="00046CEA" w:rsidRDefault="00046CEA" w:rsidP="00046CEA">
            <w:pPr>
              <w:spacing w:after="0"/>
              <w:jc w:val="left"/>
              <w:rPr>
                <w:rFonts w:ascii="Arial" w:hAnsi="Arial" w:cs="Arial"/>
                <w:szCs w:val="24"/>
                <w:lang w:eastAsia="en-GB"/>
              </w:rPr>
            </w:pPr>
          </w:p>
        </w:tc>
        <w:tc>
          <w:tcPr>
            <w:tcW w:w="3402" w:type="dxa"/>
            <w:tcBorders>
              <w:top w:val="nil"/>
              <w:left w:val="nil"/>
              <w:bottom w:val="single" w:sz="8" w:space="0" w:color="000000"/>
              <w:right w:val="single" w:sz="8" w:space="0" w:color="000000"/>
            </w:tcBorders>
            <w:shd w:val="clear" w:color="auto" w:fill="auto"/>
            <w:noWrap/>
            <w:vAlign w:val="center"/>
            <w:hideMark/>
          </w:tcPr>
          <w:p w14:paraId="22A048E3" w14:textId="77777777" w:rsidR="00046CEA" w:rsidRPr="00046CEA" w:rsidRDefault="00046CEA" w:rsidP="00046CEA">
            <w:pPr>
              <w:spacing w:after="0"/>
              <w:jc w:val="left"/>
              <w:rPr>
                <w:rFonts w:ascii="Arial" w:hAnsi="Arial" w:cs="Arial"/>
                <w:szCs w:val="24"/>
                <w:lang w:eastAsia="en-GB"/>
              </w:rPr>
            </w:pPr>
            <w:r w:rsidRPr="00046CEA">
              <w:rPr>
                <w:rFonts w:ascii="Arial" w:hAnsi="Arial" w:cs="Arial"/>
                <w:szCs w:val="24"/>
                <w:lang w:eastAsia="en-GB"/>
              </w:rPr>
              <w:t>FSM Ever6</w:t>
            </w:r>
          </w:p>
        </w:tc>
        <w:tc>
          <w:tcPr>
            <w:tcW w:w="1842" w:type="dxa"/>
            <w:tcBorders>
              <w:top w:val="nil"/>
              <w:left w:val="nil"/>
              <w:bottom w:val="single" w:sz="8" w:space="0" w:color="000000"/>
              <w:right w:val="single" w:sz="8" w:space="0" w:color="000000"/>
            </w:tcBorders>
            <w:shd w:val="clear" w:color="auto" w:fill="auto"/>
            <w:noWrap/>
            <w:vAlign w:val="center"/>
          </w:tcPr>
          <w:p w14:paraId="7A18E64E" w14:textId="11438997" w:rsidR="00046CEA" w:rsidRPr="00046CEA" w:rsidRDefault="00046CEA" w:rsidP="00046CEA">
            <w:pPr>
              <w:spacing w:after="0"/>
              <w:jc w:val="right"/>
              <w:rPr>
                <w:rFonts w:ascii="Arial" w:hAnsi="Arial" w:cs="Arial"/>
                <w:szCs w:val="24"/>
                <w:lang w:eastAsia="en-GB"/>
              </w:rPr>
            </w:pPr>
            <w:r w:rsidRPr="00046CEA">
              <w:rPr>
                <w:rFonts w:ascii="Arial" w:hAnsi="Arial" w:cs="Arial"/>
                <w:szCs w:val="24"/>
                <w:lang w:eastAsia="en-GB"/>
              </w:rPr>
              <w:t>1,212</w:t>
            </w:r>
          </w:p>
        </w:tc>
        <w:tc>
          <w:tcPr>
            <w:tcW w:w="1560" w:type="dxa"/>
            <w:tcBorders>
              <w:top w:val="nil"/>
              <w:left w:val="nil"/>
              <w:bottom w:val="single" w:sz="8" w:space="0" w:color="000000"/>
              <w:right w:val="single" w:sz="8" w:space="0" w:color="000000"/>
            </w:tcBorders>
            <w:shd w:val="clear" w:color="auto" w:fill="auto"/>
            <w:noWrap/>
            <w:vAlign w:val="center"/>
          </w:tcPr>
          <w:p w14:paraId="2848473B" w14:textId="432A6F9C" w:rsidR="00046CEA" w:rsidRPr="00FB5792" w:rsidRDefault="00046CEA" w:rsidP="00046CEA">
            <w:pPr>
              <w:spacing w:after="0"/>
              <w:jc w:val="right"/>
              <w:rPr>
                <w:rFonts w:ascii="Arial" w:hAnsi="Arial" w:cs="Arial"/>
                <w:szCs w:val="24"/>
                <w:lang w:eastAsia="en-GB"/>
              </w:rPr>
            </w:pPr>
            <w:r w:rsidRPr="00FB5792">
              <w:rPr>
                <w:rFonts w:ascii="Arial" w:hAnsi="Arial" w:cs="Arial"/>
                <w:szCs w:val="24"/>
                <w:lang w:eastAsia="en-GB"/>
              </w:rPr>
              <w:t>1,</w:t>
            </w:r>
            <w:r w:rsidR="00FB5792" w:rsidRPr="00FB5792">
              <w:rPr>
                <w:rFonts w:ascii="Arial" w:hAnsi="Arial" w:cs="Arial"/>
                <w:szCs w:val="24"/>
                <w:lang w:eastAsia="en-GB"/>
              </w:rPr>
              <w:t>568</w:t>
            </w:r>
          </w:p>
        </w:tc>
      </w:tr>
      <w:tr w:rsidR="00046CEA" w:rsidRPr="0033457D" w14:paraId="57C94474" w14:textId="77777777" w:rsidTr="00024372">
        <w:trPr>
          <w:trHeight w:val="300"/>
        </w:trPr>
        <w:tc>
          <w:tcPr>
            <w:tcW w:w="2553" w:type="dxa"/>
            <w:vMerge/>
            <w:tcBorders>
              <w:top w:val="nil"/>
              <w:left w:val="single" w:sz="8" w:space="0" w:color="auto"/>
              <w:bottom w:val="single" w:sz="8" w:space="0" w:color="000000"/>
              <w:right w:val="single" w:sz="8" w:space="0" w:color="000000"/>
            </w:tcBorders>
            <w:vAlign w:val="center"/>
            <w:hideMark/>
          </w:tcPr>
          <w:p w14:paraId="1F9A646A" w14:textId="77777777" w:rsidR="00046CEA" w:rsidRPr="00046CEA" w:rsidRDefault="00046CEA" w:rsidP="00046CEA">
            <w:pPr>
              <w:spacing w:after="0"/>
              <w:jc w:val="left"/>
              <w:rPr>
                <w:rFonts w:ascii="Arial" w:hAnsi="Arial" w:cs="Arial"/>
                <w:szCs w:val="24"/>
                <w:lang w:eastAsia="en-GB"/>
              </w:rPr>
            </w:pPr>
          </w:p>
        </w:tc>
        <w:tc>
          <w:tcPr>
            <w:tcW w:w="3402" w:type="dxa"/>
            <w:tcBorders>
              <w:top w:val="nil"/>
              <w:left w:val="nil"/>
              <w:bottom w:val="single" w:sz="8" w:space="0" w:color="000000"/>
              <w:right w:val="single" w:sz="8" w:space="0" w:color="000000"/>
            </w:tcBorders>
            <w:shd w:val="clear" w:color="auto" w:fill="auto"/>
            <w:noWrap/>
            <w:vAlign w:val="center"/>
            <w:hideMark/>
          </w:tcPr>
          <w:p w14:paraId="010B05DC" w14:textId="77777777" w:rsidR="00046CEA" w:rsidRPr="00046CEA" w:rsidRDefault="00046CEA" w:rsidP="00046CEA">
            <w:pPr>
              <w:spacing w:after="0"/>
              <w:jc w:val="left"/>
              <w:rPr>
                <w:rFonts w:ascii="Arial" w:hAnsi="Arial" w:cs="Arial"/>
                <w:szCs w:val="24"/>
                <w:lang w:eastAsia="en-GB"/>
              </w:rPr>
            </w:pPr>
            <w:r w:rsidRPr="00046CEA">
              <w:rPr>
                <w:rFonts w:ascii="Arial" w:hAnsi="Arial" w:cs="Arial"/>
                <w:szCs w:val="24"/>
                <w:lang w:eastAsia="en-GB"/>
              </w:rPr>
              <w:t>IDACI F</w:t>
            </w:r>
          </w:p>
        </w:tc>
        <w:tc>
          <w:tcPr>
            <w:tcW w:w="1842" w:type="dxa"/>
            <w:tcBorders>
              <w:top w:val="nil"/>
              <w:left w:val="nil"/>
              <w:bottom w:val="single" w:sz="8" w:space="0" w:color="000000"/>
              <w:right w:val="single" w:sz="8" w:space="0" w:color="000000"/>
            </w:tcBorders>
            <w:shd w:val="clear" w:color="auto" w:fill="auto"/>
            <w:noWrap/>
            <w:vAlign w:val="center"/>
          </w:tcPr>
          <w:p w14:paraId="1EEC8A1D" w14:textId="5924E5EF" w:rsidR="00046CEA" w:rsidRPr="00046CEA" w:rsidRDefault="00046CEA" w:rsidP="00046CEA">
            <w:pPr>
              <w:spacing w:after="0"/>
              <w:jc w:val="right"/>
              <w:rPr>
                <w:rFonts w:ascii="Arial" w:hAnsi="Arial" w:cs="Arial"/>
                <w:szCs w:val="24"/>
                <w:lang w:eastAsia="en-GB"/>
              </w:rPr>
            </w:pPr>
            <w:r w:rsidRPr="00046CEA">
              <w:rPr>
                <w:rFonts w:ascii="Arial" w:hAnsi="Arial" w:cs="Arial"/>
                <w:szCs w:val="24"/>
                <w:lang w:eastAsia="en-GB"/>
              </w:rPr>
              <w:t>343</w:t>
            </w:r>
          </w:p>
        </w:tc>
        <w:tc>
          <w:tcPr>
            <w:tcW w:w="1560" w:type="dxa"/>
            <w:tcBorders>
              <w:top w:val="nil"/>
              <w:left w:val="nil"/>
              <w:bottom w:val="single" w:sz="8" w:space="0" w:color="000000"/>
              <w:right w:val="single" w:sz="8" w:space="0" w:color="000000"/>
            </w:tcBorders>
            <w:shd w:val="clear" w:color="auto" w:fill="auto"/>
            <w:noWrap/>
            <w:vAlign w:val="center"/>
          </w:tcPr>
          <w:p w14:paraId="737B2F0F" w14:textId="0B45337F" w:rsidR="00046CEA" w:rsidRPr="00DE3070" w:rsidRDefault="00046CEA" w:rsidP="00046CEA">
            <w:pPr>
              <w:spacing w:after="0"/>
              <w:jc w:val="right"/>
              <w:rPr>
                <w:rFonts w:ascii="Arial" w:hAnsi="Arial" w:cs="Arial"/>
                <w:szCs w:val="24"/>
                <w:lang w:eastAsia="en-GB"/>
              </w:rPr>
            </w:pPr>
            <w:r w:rsidRPr="00DE3070">
              <w:rPr>
                <w:rFonts w:ascii="Arial" w:hAnsi="Arial" w:cs="Arial"/>
                <w:szCs w:val="24"/>
                <w:lang w:eastAsia="en-GB"/>
              </w:rPr>
              <w:t>343</w:t>
            </w:r>
          </w:p>
        </w:tc>
      </w:tr>
      <w:tr w:rsidR="00046CEA" w:rsidRPr="0033457D" w14:paraId="7B900285" w14:textId="77777777" w:rsidTr="00024372">
        <w:trPr>
          <w:trHeight w:val="300"/>
        </w:trPr>
        <w:tc>
          <w:tcPr>
            <w:tcW w:w="2553" w:type="dxa"/>
            <w:vMerge/>
            <w:tcBorders>
              <w:top w:val="nil"/>
              <w:left w:val="single" w:sz="8" w:space="0" w:color="auto"/>
              <w:bottom w:val="single" w:sz="8" w:space="0" w:color="000000"/>
              <w:right w:val="single" w:sz="8" w:space="0" w:color="000000"/>
            </w:tcBorders>
            <w:vAlign w:val="center"/>
            <w:hideMark/>
          </w:tcPr>
          <w:p w14:paraId="5F53EAE2" w14:textId="77777777" w:rsidR="00046CEA" w:rsidRPr="00046CEA" w:rsidRDefault="00046CEA" w:rsidP="00046CEA">
            <w:pPr>
              <w:spacing w:after="0"/>
              <w:jc w:val="left"/>
              <w:rPr>
                <w:rFonts w:ascii="Arial" w:hAnsi="Arial" w:cs="Arial"/>
                <w:szCs w:val="24"/>
                <w:lang w:eastAsia="en-GB"/>
              </w:rPr>
            </w:pPr>
          </w:p>
        </w:tc>
        <w:tc>
          <w:tcPr>
            <w:tcW w:w="3402" w:type="dxa"/>
            <w:tcBorders>
              <w:top w:val="nil"/>
              <w:left w:val="nil"/>
              <w:bottom w:val="single" w:sz="8" w:space="0" w:color="000000"/>
              <w:right w:val="single" w:sz="8" w:space="0" w:color="000000"/>
            </w:tcBorders>
            <w:shd w:val="clear" w:color="auto" w:fill="auto"/>
            <w:noWrap/>
            <w:vAlign w:val="center"/>
            <w:hideMark/>
          </w:tcPr>
          <w:p w14:paraId="3166CAA7" w14:textId="77777777" w:rsidR="00046CEA" w:rsidRPr="00046CEA" w:rsidRDefault="00046CEA" w:rsidP="00046CEA">
            <w:pPr>
              <w:spacing w:after="0"/>
              <w:jc w:val="left"/>
              <w:rPr>
                <w:rFonts w:ascii="Arial" w:hAnsi="Arial" w:cs="Arial"/>
                <w:szCs w:val="24"/>
                <w:lang w:eastAsia="en-GB"/>
              </w:rPr>
            </w:pPr>
            <w:r w:rsidRPr="00046CEA">
              <w:rPr>
                <w:rFonts w:ascii="Arial" w:hAnsi="Arial" w:cs="Arial"/>
                <w:szCs w:val="24"/>
                <w:lang w:eastAsia="en-GB"/>
              </w:rPr>
              <w:t>IDACI E</w:t>
            </w:r>
          </w:p>
        </w:tc>
        <w:tc>
          <w:tcPr>
            <w:tcW w:w="1842" w:type="dxa"/>
            <w:tcBorders>
              <w:top w:val="nil"/>
              <w:left w:val="nil"/>
              <w:bottom w:val="single" w:sz="8" w:space="0" w:color="000000"/>
              <w:right w:val="single" w:sz="8" w:space="0" w:color="000000"/>
            </w:tcBorders>
            <w:shd w:val="clear" w:color="auto" w:fill="auto"/>
            <w:noWrap/>
            <w:vAlign w:val="center"/>
          </w:tcPr>
          <w:p w14:paraId="4F792762" w14:textId="4D54E0B1" w:rsidR="00046CEA" w:rsidRPr="00046CEA" w:rsidRDefault="00046CEA" w:rsidP="00046CEA">
            <w:pPr>
              <w:spacing w:after="0"/>
              <w:jc w:val="right"/>
              <w:rPr>
                <w:rFonts w:ascii="Arial" w:hAnsi="Arial" w:cs="Arial"/>
                <w:szCs w:val="24"/>
                <w:lang w:eastAsia="en-GB"/>
              </w:rPr>
            </w:pPr>
            <w:r w:rsidRPr="00046CEA">
              <w:rPr>
                <w:rFonts w:ascii="Arial" w:hAnsi="Arial" w:cs="Arial"/>
                <w:szCs w:val="24"/>
                <w:lang w:eastAsia="en-GB"/>
              </w:rPr>
              <w:t>454</w:t>
            </w:r>
          </w:p>
        </w:tc>
        <w:tc>
          <w:tcPr>
            <w:tcW w:w="1560" w:type="dxa"/>
            <w:tcBorders>
              <w:top w:val="nil"/>
              <w:left w:val="nil"/>
              <w:bottom w:val="single" w:sz="8" w:space="0" w:color="000000"/>
              <w:right w:val="single" w:sz="8" w:space="0" w:color="000000"/>
            </w:tcBorders>
            <w:shd w:val="clear" w:color="auto" w:fill="auto"/>
            <w:noWrap/>
            <w:vAlign w:val="center"/>
          </w:tcPr>
          <w:p w14:paraId="75E8B5B6" w14:textId="13E33B94" w:rsidR="00046CEA" w:rsidRPr="00D4067D" w:rsidRDefault="00046CEA" w:rsidP="00046CEA">
            <w:pPr>
              <w:spacing w:after="0"/>
              <w:jc w:val="right"/>
              <w:rPr>
                <w:rFonts w:ascii="Arial" w:hAnsi="Arial" w:cs="Arial"/>
                <w:szCs w:val="24"/>
                <w:lang w:eastAsia="en-GB"/>
              </w:rPr>
            </w:pPr>
            <w:r w:rsidRPr="00D4067D">
              <w:rPr>
                <w:rFonts w:ascii="Arial" w:hAnsi="Arial" w:cs="Arial"/>
                <w:szCs w:val="24"/>
                <w:lang w:eastAsia="en-GB"/>
              </w:rPr>
              <w:t>454</w:t>
            </w:r>
          </w:p>
        </w:tc>
      </w:tr>
      <w:tr w:rsidR="00046CEA" w:rsidRPr="0033457D" w14:paraId="432B617A" w14:textId="77777777" w:rsidTr="00024372">
        <w:trPr>
          <w:trHeight w:val="300"/>
        </w:trPr>
        <w:tc>
          <w:tcPr>
            <w:tcW w:w="2553" w:type="dxa"/>
            <w:vMerge/>
            <w:tcBorders>
              <w:top w:val="nil"/>
              <w:left w:val="single" w:sz="8" w:space="0" w:color="auto"/>
              <w:bottom w:val="single" w:sz="8" w:space="0" w:color="000000"/>
              <w:right w:val="single" w:sz="8" w:space="0" w:color="000000"/>
            </w:tcBorders>
            <w:vAlign w:val="center"/>
            <w:hideMark/>
          </w:tcPr>
          <w:p w14:paraId="5EBDAED0" w14:textId="77777777" w:rsidR="00046CEA" w:rsidRPr="00046CEA" w:rsidRDefault="00046CEA" w:rsidP="00046CEA">
            <w:pPr>
              <w:spacing w:after="0"/>
              <w:jc w:val="left"/>
              <w:rPr>
                <w:rFonts w:ascii="Arial" w:hAnsi="Arial" w:cs="Arial"/>
                <w:szCs w:val="24"/>
                <w:lang w:eastAsia="en-GB"/>
              </w:rPr>
            </w:pPr>
          </w:p>
        </w:tc>
        <w:tc>
          <w:tcPr>
            <w:tcW w:w="3402" w:type="dxa"/>
            <w:tcBorders>
              <w:top w:val="nil"/>
              <w:left w:val="nil"/>
              <w:bottom w:val="single" w:sz="8" w:space="0" w:color="000000"/>
              <w:right w:val="single" w:sz="8" w:space="0" w:color="000000"/>
            </w:tcBorders>
            <w:shd w:val="clear" w:color="auto" w:fill="auto"/>
            <w:noWrap/>
            <w:vAlign w:val="center"/>
            <w:hideMark/>
          </w:tcPr>
          <w:p w14:paraId="2DE83D34" w14:textId="77777777" w:rsidR="00046CEA" w:rsidRPr="00046CEA" w:rsidRDefault="00046CEA" w:rsidP="00046CEA">
            <w:pPr>
              <w:spacing w:after="0"/>
              <w:jc w:val="left"/>
              <w:rPr>
                <w:rFonts w:ascii="Arial" w:hAnsi="Arial" w:cs="Arial"/>
                <w:szCs w:val="24"/>
                <w:lang w:eastAsia="en-GB"/>
              </w:rPr>
            </w:pPr>
            <w:r w:rsidRPr="00046CEA">
              <w:rPr>
                <w:rFonts w:ascii="Arial" w:hAnsi="Arial" w:cs="Arial"/>
                <w:szCs w:val="24"/>
                <w:lang w:eastAsia="en-GB"/>
              </w:rPr>
              <w:t>IDACI D</w:t>
            </w:r>
          </w:p>
        </w:tc>
        <w:tc>
          <w:tcPr>
            <w:tcW w:w="1842" w:type="dxa"/>
            <w:tcBorders>
              <w:top w:val="nil"/>
              <w:left w:val="nil"/>
              <w:bottom w:val="single" w:sz="8" w:space="0" w:color="000000"/>
              <w:right w:val="single" w:sz="8" w:space="0" w:color="000000"/>
            </w:tcBorders>
            <w:shd w:val="clear" w:color="auto" w:fill="auto"/>
            <w:noWrap/>
            <w:vAlign w:val="center"/>
          </w:tcPr>
          <w:p w14:paraId="4180ACFC" w14:textId="552A8E24" w:rsidR="00046CEA" w:rsidRPr="00046CEA" w:rsidRDefault="00046CEA" w:rsidP="00046CEA">
            <w:pPr>
              <w:spacing w:after="0"/>
              <w:jc w:val="right"/>
              <w:rPr>
                <w:rFonts w:ascii="Arial" w:hAnsi="Arial" w:cs="Arial"/>
                <w:szCs w:val="24"/>
                <w:lang w:eastAsia="en-GB"/>
              </w:rPr>
            </w:pPr>
            <w:r w:rsidRPr="00046CEA">
              <w:rPr>
                <w:rFonts w:ascii="Arial" w:hAnsi="Arial" w:cs="Arial"/>
                <w:szCs w:val="24"/>
                <w:lang w:eastAsia="en-GB"/>
              </w:rPr>
              <w:t>636</w:t>
            </w:r>
          </w:p>
        </w:tc>
        <w:tc>
          <w:tcPr>
            <w:tcW w:w="1560" w:type="dxa"/>
            <w:tcBorders>
              <w:top w:val="nil"/>
              <w:left w:val="nil"/>
              <w:bottom w:val="single" w:sz="8" w:space="0" w:color="000000"/>
              <w:right w:val="single" w:sz="8" w:space="0" w:color="000000"/>
            </w:tcBorders>
            <w:shd w:val="clear" w:color="auto" w:fill="auto"/>
            <w:noWrap/>
            <w:vAlign w:val="center"/>
          </w:tcPr>
          <w:p w14:paraId="00792920" w14:textId="5F454218" w:rsidR="00046CEA" w:rsidRPr="00D4067D" w:rsidRDefault="00046CEA" w:rsidP="00046CEA">
            <w:pPr>
              <w:spacing w:after="0"/>
              <w:jc w:val="right"/>
              <w:rPr>
                <w:rFonts w:ascii="Arial" w:hAnsi="Arial" w:cs="Arial"/>
                <w:szCs w:val="24"/>
                <w:lang w:eastAsia="en-GB"/>
              </w:rPr>
            </w:pPr>
            <w:r w:rsidRPr="00D4067D">
              <w:rPr>
                <w:rFonts w:ascii="Arial" w:hAnsi="Arial" w:cs="Arial"/>
                <w:szCs w:val="24"/>
                <w:lang w:eastAsia="en-GB"/>
              </w:rPr>
              <w:t>6</w:t>
            </w:r>
            <w:r w:rsidR="00B54F3B" w:rsidRPr="00D4067D">
              <w:rPr>
                <w:rFonts w:ascii="Arial" w:hAnsi="Arial" w:cs="Arial"/>
                <w:szCs w:val="24"/>
                <w:lang w:eastAsia="en-GB"/>
              </w:rPr>
              <w:t>40</w:t>
            </w:r>
          </w:p>
        </w:tc>
      </w:tr>
      <w:tr w:rsidR="00046CEA" w:rsidRPr="0033457D" w14:paraId="0E9DEC44" w14:textId="77777777" w:rsidTr="00024372">
        <w:trPr>
          <w:trHeight w:val="300"/>
        </w:trPr>
        <w:tc>
          <w:tcPr>
            <w:tcW w:w="2553" w:type="dxa"/>
            <w:vMerge/>
            <w:tcBorders>
              <w:top w:val="nil"/>
              <w:left w:val="single" w:sz="8" w:space="0" w:color="auto"/>
              <w:bottom w:val="single" w:sz="8" w:space="0" w:color="000000"/>
              <w:right w:val="single" w:sz="8" w:space="0" w:color="000000"/>
            </w:tcBorders>
            <w:vAlign w:val="center"/>
            <w:hideMark/>
          </w:tcPr>
          <w:p w14:paraId="72476FA4" w14:textId="77777777" w:rsidR="00046CEA" w:rsidRPr="00046CEA" w:rsidRDefault="00046CEA" w:rsidP="00046CEA">
            <w:pPr>
              <w:spacing w:after="0"/>
              <w:jc w:val="left"/>
              <w:rPr>
                <w:rFonts w:ascii="Arial" w:hAnsi="Arial" w:cs="Arial"/>
                <w:szCs w:val="24"/>
                <w:lang w:eastAsia="en-GB"/>
              </w:rPr>
            </w:pPr>
          </w:p>
        </w:tc>
        <w:tc>
          <w:tcPr>
            <w:tcW w:w="3402" w:type="dxa"/>
            <w:tcBorders>
              <w:top w:val="nil"/>
              <w:left w:val="nil"/>
              <w:bottom w:val="single" w:sz="8" w:space="0" w:color="000000"/>
              <w:right w:val="single" w:sz="8" w:space="0" w:color="000000"/>
            </w:tcBorders>
            <w:shd w:val="clear" w:color="auto" w:fill="auto"/>
            <w:noWrap/>
            <w:vAlign w:val="center"/>
            <w:hideMark/>
          </w:tcPr>
          <w:p w14:paraId="3992E894" w14:textId="77777777" w:rsidR="00046CEA" w:rsidRPr="00046CEA" w:rsidRDefault="00046CEA" w:rsidP="00046CEA">
            <w:pPr>
              <w:spacing w:after="0"/>
              <w:jc w:val="left"/>
              <w:rPr>
                <w:rFonts w:ascii="Arial" w:hAnsi="Arial" w:cs="Arial"/>
                <w:szCs w:val="24"/>
                <w:lang w:eastAsia="en-GB"/>
              </w:rPr>
            </w:pPr>
            <w:r w:rsidRPr="00046CEA">
              <w:rPr>
                <w:rFonts w:ascii="Arial" w:hAnsi="Arial" w:cs="Arial"/>
                <w:szCs w:val="24"/>
                <w:lang w:eastAsia="en-GB"/>
              </w:rPr>
              <w:t>IDACI C</w:t>
            </w:r>
          </w:p>
        </w:tc>
        <w:tc>
          <w:tcPr>
            <w:tcW w:w="1842" w:type="dxa"/>
            <w:tcBorders>
              <w:top w:val="nil"/>
              <w:left w:val="nil"/>
              <w:bottom w:val="single" w:sz="8" w:space="0" w:color="000000"/>
              <w:right w:val="single" w:sz="8" w:space="0" w:color="000000"/>
            </w:tcBorders>
            <w:shd w:val="clear" w:color="auto" w:fill="auto"/>
            <w:noWrap/>
            <w:vAlign w:val="center"/>
          </w:tcPr>
          <w:p w14:paraId="53F1554C" w14:textId="62BF7BF8" w:rsidR="00046CEA" w:rsidRPr="00046CEA" w:rsidRDefault="00046CEA" w:rsidP="00046CEA">
            <w:pPr>
              <w:spacing w:after="0"/>
              <w:jc w:val="right"/>
              <w:rPr>
                <w:rFonts w:ascii="Arial" w:hAnsi="Arial" w:cs="Arial"/>
                <w:szCs w:val="24"/>
                <w:lang w:eastAsia="en-GB"/>
              </w:rPr>
            </w:pPr>
            <w:r w:rsidRPr="00046CEA">
              <w:rPr>
                <w:rFonts w:ascii="Arial" w:hAnsi="Arial" w:cs="Arial"/>
                <w:szCs w:val="24"/>
                <w:lang w:eastAsia="en-GB"/>
              </w:rPr>
              <w:t>697</w:t>
            </w:r>
          </w:p>
        </w:tc>
        <w:tc>
          <w:tcPr>
            <w:tcW w:w="1560" w:type="dxa"/>
            <w:tcBorders>
              <w:top w:val="nil"/>
              <w:left w:val="nil"/>
              <w:bottom w:val="single" w:sz="8" w:space="0" w:color="000000"/>
              <w:right w:val="single" w:sz="8" w:space="0" w:color="000000"/>
            </w:tcBorders>
            <w:shd w:val="clear" w:color="auto" w:fill="auto"/>
            <w:noWrap/>
            <w:vAlign w:val="center"/>
          </w:tcPr>
          <w:p w14:paraId="6C623526" w14:textId="1677E6FB" w:rsidR="00046CEA" w:rsidRPr="00D4067D" w:rsidRDefault="00046CEA" w:rsidP="00046CEA">
            <w:pPr>
              <w:spacing w:after="0"/>
              <w:jc w:val="right"/>
              <w:rPr>
                <w:rFonts w:ascii="Arial" w:hAnsi="Arial" w:cs="Arial"/>
                <w:szCs w:val="24"/>
                <w:lang w:eastAsia="en-GB"/>
              </w:rPr>
            </w:pPr>
            <w:r w:rsidRPr="00D4067D">
              <w:rPr>
                <w:rFonts w:ascii="Arial" w:hAnsi="Arial" w:cs="Arial"/>
                <w:szCs w:val="24"/>
                <w:lang w:eastAsia="en-GB"/>
              </w:rPr>
              <w:t>7</w:t>
            </w:r>
            <w:r w:rsidR="00DA7E43" w:rsidRPr="00D4067D">
              <w:rPr>
                <w:rFonts w:ascii="Arial" w:hAnsi="Arial" w:cs="Arial"/>
                <w:szCs w:val="24"/>
                <w:lang w:eastAsia="en-GB"/>
              </w:rPr>
              <w:t>01</w:t>
            </w:r>
          </w:p>
        </w:tc>
      </w:tr>
      <w:tr w:rsidR="00046CEA" w:rsidRPr="0033457D" w14:paraId="2414C56F" w14:textId="77777777" w:rsidTr="00024372">
        <w:trPr>
          <w:trHeight w:val="300"/>
        </w:trPr>
        <w:tc>
          <w:tcPr>
            <w:tcW w:w="2553" w:type="dxa"/>
            <w:vMerge/>
            <w:tcBorders>
              <w:top w:val="nil"/>
              <w:left w:val="single" w:sz="8" w:space="0" w:color="auto"/>
              <w:bottom w:val="single" w:sz="8" w:space="0" w:color="000000"/>
              <w:right w:val="single" w:sz="8" w:space="0" w:color="000000"/>
            </w:tcBorders>
            <w:vAlign w:val="center"/>
            <w:hideMark/>
          </w:tcPr>
          <w:p w14:paraId="5B7DB11C" w14:textId="77777777" w:rsidR="00046CEA" w:rsidRPr="00046CEA" w:rsidRDefault="00046CEA" w:rsidP="00046CEA">
            <w:pPr>
              <w:spacing w:after="0"/>
              <w:jc w:val="left"/>
              <w:rPr>
                <w:rFonts w:ascii="Arial" w:hAnsi="Arial" w:cs="Arial"/>
                <w:szCs w:val="24"/>
                <w:lang w:eastAsia="en-GB"/>
              </w:rPr>
            </w:pPr>
          </w:p>
        </w:tc>
        <w:tc>
          <w:tcPr>
            <w:tcW w:w="3402" w:type="dxa"/>
            <w:tcBorders>
              <w:top w:val="nil"/>
              <w:left w:val="nil"/>
              <w:bottom w:val="single" w:sz="8" w:space="0" w:color="000000"/>
              <w:right w:val="single" w:sz="8" w:space="0" w:color="000000"/>
            </w:tcBorders>
            <w:shd w:val="clear" w:color="auto" w:fill="auto"/>
            <w:noWrap/>
            <w:vAlign w:val="center"/>
            <w:hideMark/>
          </w:tcPr>
          <w:p w14:paraId="00007929" w14:textId="77777777" w:rsidR="00046CEA" w:rsidRPr="00046CEA" w:rsidRDefault="00046CEA" w:rsidP="00046CEA">
            <w:pPr>
              <w:spacing w:after="0"/>
              <w:jc w:val="left"/>
              <w:rPr>
                <w:rFonts w:ascii="Arial" w:hAnsi="Arial" w:cs="Arial"/>
                <w:szCs w:val="24"/>
                <w:lang w:eastAsia="en-GB"/>
              </w:rPr>
            </w:pPr>
            <w:r w:rsidRPr="00046CEA">
              <w:rPr>
                <w:rFonts w:ascii="Arial" w:hAnsi="Arial" w:cs="Arial"/>
                <w:szCs w:val="24"/>
                <w:lang w:eastAsia="en-GB"/>
              </w:rPr>
              <w:t>IDACI B</w:t>
            </w:r>
          </w:p>
        </w:tc>
        <w:tc>
          <w:tcPr>
            <w:tcW w:w="1842" w:type="dxa"/>
            <w:tcBorders>
              <w:top w:val="nil"/>
              <w:left w:val="nil"/>
              <w:bottom w:val="single" w:sz="8" w:space="0" w:color="000000"/>
              <w:right w:val="single" w:sz="8" w:space="0" w:color="000000"/>
            </w:tcBorders>
            <w:shd w:val="clear" w:color="auto" w:fill="auto"/>
            <w:noWrap/>
            <w:vAlign w:val="center"/>
          </w:tcPr>
          <w:p w14:paraId="2D34C248" w14:textId="189A56F5" w:rsidR="00046CEA" w:rsidRPr="00046CEA" w:rsidRDefault="00046CEA" w:rsidP="00046CEA">
            <w:pPr>
              <w:spacing w:after="0"/>
              <w:jc w:val="right"/>
              <w:rPr>
                <w:rFonts w:ascii="Arial" w:hAnsi="Arial" w:cs="Arial"/>
                <w:szCs w:val="24"/>
                <w:lang w:eastAsia="en-GB"/>
              </w:rPr>
            </w:pPr>
            <w:r w:rsidRPr="00046CEA">
              <w:rPr>
                <w:rFonts w:ascii="Arial" w:hAnsi="Arial" w:cs="Arial"/>
                <w:szCs w:val="24"/>
                <w:lang w:eastAsia="en-GB"/>
              </w:rPr>
              <w:t>747</w:t>
            </w:r>
          </w:p>
        </w:tc>
        <w:tc>
          <w:tcPr>
            <w:tcW w:w="1560" w:type="dxa"/>
            <w:tcBorders>
              <w:top w:val="nil"/>
              <w:left w:val="nil"/>
              <w:bottom w:val="single" w:sz="8" w:space="0" w:color="000000"/>
              <w:right w:val="single" w:sz="8" w:space="0" w:color="000000"/>
            </w:tcBorders>
            <w:shd w:val="clear" w:color="auto" w:fill="auto"/>
            <w:noWrap/>
            <w:vAlign w:val="center"/>
          </w:tcPr>
          <w:p w14:paraId="5C0E1A53" w14:textId="705F18C3" w:rsidR="00046CEA" w:rsidRPr="00D4067D" w:rsidRDefault="00046CEA" w:rsidP="00046CEA">
            <w:pPr>
              <w:spacing w:after="0"/>
              <w:jc w:val="right"/>
              <w:rPr>
                <w:rFonts w:ascii="Arial" w:hAnsi="Arial" w:cs="Arial"/>
                <w:szCs w:val="24"/>
                <w:lang w:eastAsia="en-GB"/>
              </w:rPr>
            </w:pPr>
            <w:r w:rsidRPr="00D4067D">
              <w:rPr>
                <w:rFonts w:ascii="Arial" w:hAnsi="Arial" w:cs="Arial"/>
                <w:szCs w:val="24"/>
                <w:lang w:eastAsia="en-GB"/>
              </w:rPr>
              <w:t>7</w:t>
            </w:r>
            <w:r w:rsidR="00C5365E" w:rsidRPr="00D4067D">
              <w:rPr>
                <w:rFonts w:ascii="Arial" w:hAnsi="Arial" w:cs="Arial"/>
                <w:szCs w:val="24"/>
                <w:lang w:eastAsia="en-GB"/>
              </w:rPr>
              <w:t>51</w:t>
            </w:r>
          </w:p>
        </w:tc>
      </w:tr>
      <w:tr w:rsidR="00046CEA" w:rsidRPr="0033457D" w14:paraId="659B351B" w14:textId="77777777" w:rsidTr="00024372">
        <w:trPr>
          <w:trHeight w:val="300"/>
        </w:trPr>
        <w:tc>
          <w:tcPr>
            <w:tcW w:w="2553" w:type="dxa"/>
            <w:vMerge/>
            <w:tcBorders>
              <w:top w:val="nil"/>
              <w:left w:val="single" w:sz="8" w:space="0" w:color="auto"/>
              <w:bottom w:val="single" w:sz="8" w:space="0" w:color="000000"/>
              <w:right w:val="single" w:sz="8" w:space="0" w:color="000000"/>
            </w:tcBorders>
            <w:vAlign w:val="center"/>
            <w:hideMark/>
          </w:tcPr>
          <w:p w14:paraId="4BE700A6" w14:textId="77777777" w:rsidR="00046CEA" w:rsidRPr="00046CEA" w:rsidRDefault="00046CEA" w:rsidP="00046CEA">
            <w:pPr>
              <w:spacing w:after="0"/>
              <w:jc w:val="left"/>
              <w:rPr>
                <w:rFonts w:ascii="Arial" w:hAnsi="Arial" w:cs="Arial"/>
                <w:szCs w:val="24"/>
                <w:lang w:eastAsia="en-GB"/>
              </w:rPr>
            </w:pPr>
          </w:p>
        </w:tc>
        <w:tc>
          <w:tcPr>
            <w:tcW w:w="3402" w:type="dxa"/>
            <w:tcBorders>
              <w:top w:val="nil"/>
              <w:left w:val="nil"/>
              <w:bottom w:val="single" w:sz="8" w:space="0" w:color="000000"/>
              <w:right w:val="single" w:sz="8" w:space="0" w:color="000000"/>
            </w:tcBorders>
            <w:shd w:val="clear" w:color="auto" w:fill="auto"/>
            <w:noWrap/>
            <w:vAlign w:val="center"/>
            <w:hideMark/>
          </w:tcPr>
          <w:p w14:paraId="7810CB86" w14:textId="77777777" w:rsidR="00046CEA" w:rsidRPr="00046CEA" w:rsidRDefault="00046CEA" w:rsidP="00046CEA">
            <w:pPr>
              <w:spacing w:after="0"/>
              <w:jc w:val="left"/>
              <w:rPr>
                <w:rFonts w:ascii="Arial" w:hAnsi="Arial" w:cs="Arial"/>
                <w:szCs w:val="24"/>
                <w:lang w:eastAsia="en-GB"/>
              </w:rPr>
            </w:pPr>
            <w:r w:rsidRPr="00046CEA">
              <w:rPr>
                <w:rFonts w:ascii="Arial" w:hAnsi="Arial" w:cs="Arial"/>
                <w:szCs w:val="24"/>
                <w:lang w:eastAsia="en-GB"/>
              </w:rPr>
              <w:t>IDACI A</w:t>
            </w:r>
          </w:p>
        </w:tc>
        <w:tc>
          <w:tcPr>
            <w:tcW w:w="1842" w:type="dxa"/>
            <w:tcBorders>
              <w:top w:val="nil"/>
              <w:left w:val="nil"/>
              <w:bottom w:val="single" w:sz="8" w:space="0" w:color="000000"/>
              <w:right w:val="single" w:sz="8" w:space="0" w:color="000000"/>
            </w:tcBorders>
            <w:shd w:val="clear" w:color="auto" w:fill="auto"/>
            <w:noWrap/>
            <w:vAlign w:val="center"/>
          </w:tcPr>
          <w:p w14:paraId="375CD11C" w14:textId="41712637" w:rsidR="00046CEA" w:rsidRPr="00046CEA" w:rsidRDefault="00046CEA" w:rsidP="00046CEA">
            <w:pPr>
              <w:spacing w:after="0"/>
              <w:jc w:val="right"/>
              <w:rPr>
                <w:rFonts w:ascii="Arial" w:hAnsi="Arial" w:cs="Arial"/>
                <w:szCs w:val="24"/>
                <w:lang w:eastAsia="en-GB"/>
              </w:rPr>
            </w:pPr>
            <w:r w:rsidRPr="00046CEA">
              <w:rPr>
                <w:rFonts w:ascii="Arial" w:hAnsi="Arial" w:cs="Arial"/>
                <w:szCs w:val="24"/>
                <w:lang w:eastAsia="en-GB"/>
              </w:rPr>
              <w:t>954</w:t>
            </w:r>
          </w:p>
        </w:tc>
        <w:tc>
          <w:tcPr>
            <w:tcW w:w="1560" w:type="dxa"/>
            <w:tcBorders>
              <w:top w:val="nil"/>
              <w:left w:val="nil"/>
              <w:bottom w:val="single" w:sz="8" w:space="0" w:color="000000"/>
              <w:right w:val="single" w:sz="8" w:space="0" w:color="000000"/>
            </w:tcBorders>
            <w:shd w:val="clear" w:color="auto" w:fill="auto"/>
            <w:noWrap/>
            <w:vAlign w:val="center"/>
          </w:tcPr>
          <w:p w14:paraId="7ECEFBB4" w14:textId="10DB8173" w:rsidR="00046CEA" w:rsidRPr="00D4067D" w:rsidRDefault="00046CEA" w:rsidP="00046CEA">
            <w:pPr>
              <w:spacing w:after="0"/>
              <w:jc w:val="right"/>
              <w:rPr>
                <w:rFonts w:ascii="Arial" w:hAnsi="Arial" w:cs="Arial"/>
                <w:szCs w:val="24"/>
                <w:lang w:eastAsia="en-GB"/>
              </w:rPr>
            </w:pPr>
            <w:r w:rsidRPr="00D4067D">
              <w:rPr>
                <w:rFonts w:ascii="Arial" w:hAnsi="Arial" w:cs="Arial"/>
                <w:szCs w:val="24"/>
                <w:lang w:eastAsia="en-GB"/>
              </w:rPr>
              <w:t>95</w:t>
            </w:r>
            <w:r w:rsidR="009C00E9" w:rsidRPr="00D4067D">
              <w:rPr>
                <w:rFonts w:ascii="Arial" w:hAnsi="Arial" w:cs="Arial"/>
                <w:szCs w:val="24"/>
                <w:lang w:eastAsia="en-GB"/>
              </w:rPr>
              <w:t>8</w:t>
            </w:r>
          </w:p>
        </w:tc>
      </w:tr>
      <w:tr w:rsidR="00046CEA" w:rsidRPr="0033457D" w14:paraId="79DAB9D1" w14:textId="77777777" w:rsidTr="00024372">
        <w:trPr>
          <w:trHeight w:val="300"/>
        </w:trPr>
        <w:tc>
          <w:tcPr>
            <w:tcW w:w="5955" w:type="dxa"/>
            <w:gridSpan w:val="2"/>
            <w:tcBorders>
              <w:top w:val="single" w:sz="8" w:space="0" w:color="000000"/>
              <w:left w:val="single" w:sz="8" w:space="0" w:color="auto"/>
              <w:bottom w:val="single" w:sz="8" w:space="0" w:color="000000"/>
              <w:right w:val="single" w:sz="8" w:space="0" w:color="000000"/>
            </w:tcBorders>
            <w:shd w:val="clear" w:color="auto" w:fill="auto"/>
            <w:noWrap/>
            <w:vAlign w:val="center"/>
            <w:hideMark/>
          </w:tcPr>
          <w:p w14:paraId="0E512B72" w14:textId="77777777" w:rsidR="00046CEA" w:rsidRPr="00046CEA" w:rsidRDefault="00046CEA" w:rsidP="00046CEA">
            <w:pPr>
              <w:spacing w:after="0"/>
              <w:jc w:val="left"/>
              <w:rPr>
                <w:rFonts w:ascii="Arial" w:hAnsi="Arial" w:cs="Arial"/>
                <w:szCs w:val="24"/>
                <w:lang w:eastAsia="en-GB"/>
              </w:rPr>
            </w:pPr>
            <w:r w:rsidRPr="00046CEA">
              <w:rPr>
                <w:rFonts w:ascii="Arial" w:hAnsi="Arial" w:cs="Arial"/>
                <w:szCs w:val="24"/>
                <w:lang w:eastAsia="en-GB"/>
              </w:rPr>
              <w:t>Low prior attainment</w:t>
            </w:r>
          </w:p>
        </w:tc>
        <w:tc>
          <w:tcPr>
            <w:tcW w:w="1842" w:type="dxa"/>
            <w:tcBorders>
              <w:top w:val="nil"/>
              <w:left w:val="nil"/>
              <w:bottom w:val="single" w:sz="8" w:space="0" w:color="000000"/>
              <w:right w:val="single" w:sz="8" w:space="0" w:color="000000"/>
            </w:tcBorders>
            <w:shd w:val="clear" w:color="auto" w:fill="auto"/>
            <w:noWrap/>
            <w:vAlign w:val="center"/>
          </w:tcPr>
          <w:p w14:paraId="5AFC77B3" w14:textId="72669F6C" w:rsidR="00046CEA" w:rsidRPr="00046CEA" w:rsidRDefault="00046CEA" w:rsidP="00046CEA">
            <w:pPr>
              <w:spacing w:after="0"/>
              <w:jc w:val="right"/>
              <w:rPr>
                <w:rFonts w:ascii="Arial" w:hAnsi="Arial" w:cs="Arial"/>
                <w:szCs w:val="24"/>
                <w:lang w:eastAsia="en-GB"/>
              </w:rPr>
            </w:pPr>
            <w:r w:rsidRPr="00046CEA">
              <w:rPr>
                <w:rFonts w:ascii="Arial" w:hAnsi="Arial" w:cs="Arial"/>
                <w:szCs w:val="24"/>
                <w:lang w:eastAsia="en-GB"/>
              </w:rPr>
              <w:t>1,792</w:t>
            </w:r>
          </w:p>
        </w:tc>
        <w:tc>
          <w:tcPr>
            <w:tcW w:w="1560" w:type="dxa"/>
            <w:tcBorders>
              <w:top w:val="nil"/>
              <w:left w:val="nil"/>
              <w:bottom w:val="single" w:sz="8" w:space="0" w:color="000000"/>
              <w:right w:val="single" w:sz="8" w:space="0" w:color="000000"/>
            </w:tcBorders>
            <w:shd w:val="clear" w:color="auto" w:fill="auto"/>
            <w:noWrap/>
            <w:vAlign w:val="center"/>
          </w:tcPr>
          <w:p w14:paraId="2288EC37" w14:textId="56F348CF" w:rsidR="00046CEA" w:rsidRPr="00D4067D" w:rsidRDefault="00046CEA" w:rsidP="00046CEA">
            <w:pPr>
              <w:spacing w:after="0"/>
              <w:jc w:val="right"/>
              <w:rPr>
                <w:rFonts w:ascii="Arial" w:hAnsi="Arial" w:cs="Arial"/>
                <w:szCs w:val="24"/>
                <w:lang w:eastAsia="en-GB"/>
              </w:rPr>
            </w:pPr>
            <w:r w:rsidRPr="00D4067D">
              <w:rPr>
                <w:rFonts w:ascii="Arial" w:hAnsi="Arial" w:cs="Arial"/>
                <w:szCs w:val="24"/>
                <w:lang w:eastAsia="en-GB"/>
              </w:rPr>
              <w:t>1,79</w:t>
            </w:r>
            <w:r w:rsidR="00035C52" w:rsidRPr="00D4067D">
              <w:rPr>
                <w:rFonts w:ascii="Arial" w:hAnsi="Arial" w:cs="Arial"/>
                <w:szCs w:val="24"/>
                <w:lang w:eastAsia="en-GB"/>
              </w:rPr>
              <w:t>9</w:t>
            </w:r>
          </w:p>
        </w:tc>
      </w:tr>
      <w:tr w:rsidR="00046CEA" w:rsidRPr="0033457D" w14:paraId="2CB737FE" w14:textId="77777777" w:rsidTr="00024372">
        <w:trPr>
          <w:trHeight w:val="300"/>
        </w:trPr>
        <w:tc>
          <w:tcPr>
            <w:tcW w:w="5955" w:type="dxa"/>
            <w:gridSpan w:val="2"/>
            <w:tcBorders>
              <w:top w:val="single" w:sz="8" w:space="0" w:color="000000"/>
              <w:left w:val="single" w:sz="8" w:space="0" w:color="auto"/>
              <w:bottom w:val="single" w:sz="8" w:space="0" w:color="000000"/>
              <w:right w:val="single" w:sz="8" w:space="0" w:color="000000"/>
            </w:tcBorders>
            <w:shd w:val="clear" w:color="auto" w:fill="auto"/>
            <w:noWrap/>
            <w:vAlign w:val="center"/>
            <w:hideMark/>
          </w:tcPr>
          <w:p w14:paraId="57177DD6" w14:textId="77777777" w:rsidR="00046CEA" w:rsidRPr="00046CEA" w:rsidRDefault="00046CEA" w:rsidP="00046CEA">
            <w:pPr>
              <w:spacing w:after="0"/>
              <w:jc w:val="left"/>
              <w:rPr>
                <w:rFonts w:ascii="Arial" w:hAnsi="Arial" w:cs="Arial"/>
                <w:szCs w:val="24"/>
                <w:lang w:eastAsia="en-GB"/>
              </w:rPr>
            </w:pPr>
            <w:r w:rsidRPr="00046CEA">
              <w:rPr>
                <w:rFonts w:ascii="Arial" w:hAnsi="Arial" w:cs="Arial"/>
                <w:szCs w:val="24"/>
                <w:lang w:eastAsia="en-GB"/>
              </w:rPr>
              <w:t>Mobility</w:t>
            </w:r>
          </w:p>
        </w:tc>
        <w:tc>
          <w:tcPr>
            <w:tcW w:w="1842" w:type="dxa"/>
            <w:tcBorders>
              <w:top w:val="nil"/>
              <w:left w:val="nil"/>
              <w:bottom w:val="single" w:sz="8" w:space="0" w:color="000000"/>
              <w:right w:val="single" w:sz="8" w:space="0" w:color="000000"/>
            </w:tcBorders>
            <w:shd w:val="clear" w:color="auto" w:fill="auto"/>
            <w:noWrap/>
            <w:vAlign w:val="center"/>
          </w:tcPr>
          <w:p w14:paraId="3B435EC6" w14:textId="019339D5" w:rsidR="00046CEA" w:rsidRPr="00046CEA" w:rsidRDefault="00046CEA" w:rsidP="00046CEA">
            <w:pPr>
              <w:spacing w:after="0"/>
              <w:jc w:val="right"/>
              <w:rPr>
                <w:rFonts w:ascii="Arial" w:hAnsi="Arial" w:cs="Arial"/>
                <w:szCs w:val="24"/>
                <w:lang w:eastAsia="en-GB"/>
              </w:rPr>
            </w:pPr>
            <w:r w:rsidRPr="00046CEA">
              <w:rPr>
                <w:rFonts w:ascii="Arial" w:hAnsi="Arial" w:cs="Arial"/>
                <w:szCs w:val="24"/>
                <w:lang w:eastAsia="en-GB"/>
              </w:rPr>
              <w:t>1,394</w:t>
            </w:r>
          </w:p>
        </w:tc>
        <w:tc>
          <w:tcPr>
            <w:tcW w:w="1560" w:type="dxa"/>
            <w:tcBorders>
              <w:top w:val="nil"/>
              <w:left w:val="nil"/>
              <w:bottom w:val="single" w:sz="8" w:space="0" w:color="000000"/>
              <w:right w:val="single" w:sz="8" w:space="0" w:color="000000"/>
            </w:tcBorders>
            <w:shd w:val="clear" w:color="auto" w:fill="auto"/>
            <w:noWrap/>
            <w:vAlign w:val="center"/>
          </w:tcPr>
          <w:p w14:paraId="22979837" w14:textId="17885506" w:rsidR="00046CEA" w:rsidRPr="00D4067D" w:rsidRDefault="00046CEA" w:rsidP="00046CEA">
            <w:pPr>
              <w:spacing w:after="0"/>
              <w:jc w:val="right"/>
              <w:rPr>
                <w:rFonts w:ascii="Arial" w:hAnsi="Arial" w:cs="Arial"/>
                <w:szCs w:val="24"/>
                <w:lang w:eastAsia="en-GB"/>
              </w:rPr>
            </w:pPr>
            <w:r w:rsidRPr="00D4067D">
              <w:rPr>
                <w:rFonts w:ascii="Arial" w:hAnsi="Arial" w:cs="Arial"/>
                <w:szCs w:val="24"/>
                <w:lang w:eastAsia="en-GB"/>
              </w:rPr>
              <w:t>1,39</w:t>
            </w:r>
            <w:r w:rsidR="000D5775" w:rsidRPr="00D4067D">
              <w:rPr>
                <w:rFonts w:ascii="Arial" w:hAnsi="Arial" w:cs="Arial"/>
                <w:szCs w:val="24"/>
                <w:lang w:eastAsia="en-GB"/>
              </w:rPr>
              <w:t>6</w:t>
            </w:r>
          </w:p>
        </w:tc>
      </w:tr>
      <w:tr w:rsidR="00046CEA" w:rsidRPr="0033457D" w14:paraId="3A8E6FF4" w14:textId="77777777" w:rsidTr="00024372">
        <w:trPr>
          <w:trHeight w:val="300"/>
        </w:trPr>
        <w:tc>
          <w:tcPr>
            <w:tcW w:w="5955" w:type="dxa"/>
            <w:gridSpan w:val="2"/>
            <w:tcBorders>
              <w:top w:val="single" w:sz="8" w:space="0" w:color="000000"/>
              <w:left w:val="single" w:sz="8" w:space="0" w:color="auto"/>
              <w:bottom w:val="single" w:sz="8" w:space="0" w:color="000000"/>
              <w:right w:val="single" w:sz="8" w:space="0" w:color="000000"/>
            </w:tcBorders>
            <w:shd w:val="clear" w:color="auto" w:fill="auto"/>
            <w:noWrap/>
            <w:vAlign w:val="center"/>
            <w:hideMark/>
          </w:tcPr>
          <w:p w14:paraId="0BEBE617" w14:textId="77777777" w:rsidR="00046CEA" w:rsidRPr="00046CEA" w:rsidRDefault="00046CEA" w:rsidP="00046CEA">
            <w:pPr>
              <w:spacing w:after="0"/>
              <w:jc w:val="left"/>
              <w:rPr>
                <w:rFonts w:ascii="Arial" w:hAnsi="Arial" w:cs="Arial"/>
                <w:szCs w:val="24"/>
                <w:lang w:eastAsia="en-GB"/>
              </w:rPr>
            </w:pPr>
            <w:r w:rsidRPr="00046CEA">
              <w:rPr>
                <w:rFonts w:ascii="Arial" w:hAnsi="Arial" w:cs="Arial"/>
                <w:szCs w:val="24"/>
                <w:lang w:eastAsia="en-GB"/>
              </w:rPr>
              <w:t>English additional language</w:t>
            </w:r>
          </w:p>
        </w:tc>
        <w:tc>
          <w:tcPr>
            <w:tcW w:w="1842" w:type="dxa"/>
            <w:tcBorders>
              <w:top w:val="nil"/>
              <w:left w:val="nil"/>
              <w:bottom w:val="single" w:sz="8" w:space="0" w:color="000000"/>
              <w:right w:val="single" w:sz="8" w:space="0" w:color="000000"/>
            </w:tcBorders>
            <w:shd w:val="clear" w:color="auto" w:fill="auto"/>
            <w:noWrap/>
            <w:vAlign w:val="center"/>
          </w:tcPr>
          <w:p w14:paraId="73E6B986" w14:textId="1097924F" w:rsidR="00046CEA" w:rsidRPr="00046CEA" w:rsidRDefault="00046CEA" w:rsidP="00046CEA">
            <w:pPr>
              <w:spacing w:after="0"/>
              <w:jc w:val="right"/>
              <w:rPr>
                <w:rFonts w:ascii="Arial" w:hAnsi="Arial" w:cs="Arial"/>
                <w:szCs w:val="24"/>
                <w:lang w:eastAsia="en-GB"/>
              </w:rPr>
            </w:pPr>
            <w:r w:rsidRPr="00046CEA">
              <w:rPr>
                <w:rFonts w:ascii="Arial" w:hAnsi="Arial" w:cs="Arial"/>
                <w:szCs w:val="24"/>
                <w:lang w:eastAsia="en-GB"/>
              </w:rPr>
              <w:t>1,601</w:t>
            </w:r>
          </w:p>
        </w:tc>
        <w:tc>
          <w:tcPr>
            <w:tcW w:w="1560" w:type="dxa"/>
            <w:tcBorders>
              <w:top w:val="nil"/>
              <w:left w:val="nil"/>
              <w:bottom w:val="single" w:sz="8" w:space="0" w:color="000000"/>
              <w:right w:val="single" w:sz="8" w:space="0" w:color="000000"/>
            </w:tcBorders>
            <w:shd w:val="clear" w:color="auto" w:fill="auto"/>
            <w:noWrap/>
            <w:vAlign w:val="center"/>
          </w:tcPr>
          <w:p w14:paraId="75683A38" w14:textId="75B4853F" w:rsidR="00046CEA" w:rsidRPr="00D4067D" w:rsidRDefault="00046CEA" w:rsidP="00046CEA">
            <w:pPr>
              <w:spacing w:after="0"/>
              <w:jc w:val="right"/>
              <w:rPr>
                <w:rFonts w:ascii="Arial" w:hAnsi="Arial" w:cs="Arial"/>
                <w:szCs w:val="24"/>
                <w:lang w:eastAsia="en-GB"/>
              </w:rPr>
            </w:pPr>
            <w:r w:rsidRPr="00D4067D">
              <w:rPr>
                <w:rFonts w:ascii="Arial" w:hAnsi="Arial" w:cs="Arial"/>
                <w:szCs w:val="24"/>
                <w:lang w:eastAsia="en-GB"/>
              </w:rPr>
              <w:t>1,60</w:t>
            </w:r>
            <w:r w:rsidR="00766D4C" w:rsidRPr="00D4067D">
              <w:rPr>
                <w:rFonts w:ascii="Arial" w:hAnsi="Arial" w:cs="Arial"/>
                <w:szCs w:val="24"/>
                <w:lang w:eastAsia="en-GB"/>
              </w:rPr>
              <w:t>8</w:t>
            </w:r>
          </w:p>
        </w:tc>
      </w:tr>
      <w:tr w:rsidR="00046CEA" w:rsidRPr="0033457D" w14:paraId="33D7B2BA" w14:textId="77777777" w:rsidTr="00024372">
        <w:trPr>
          <w:trHeight w:val="300"/>
        </w:trPr>
        <w:tc>
          <w:tcPr>
            <w:tcW w:w="5955" w:type="dxa"/>
            <w:gridSpan w:val="2"/>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0569B5FE" w14:textId="77777777" w:rsidR="00046CEA" w:rsidRPr="00046CEA" w:rsidRDefault="00046CEA" w:rsidP="00046CEA">
            <w:pPr>
              <w:spacing w:after="0"/>
              <w:jc w:val="left"/>
              <w:rPr>
                <w:rFonts w:ascii="Arial" w:hAnsi="Arial" w:cs="Arial"/>
                <w:szCs w:val="24"/>
                <w:lang w:eastAsia="en-GB"/>
              </w:rPr>
            </w:pPr>
            <w:r w:rsidRPr="00046CEA">
              <w:rPr>
                <w:rFonts w:ascii="Arial" w:hAnsi="Arial" w:cs="Arial"/>
                <w:szCs w:val="24"/>
                <w:lang w:eastAsia="en-GB"/>
              </w:rPr>
              <w:t>Sparsity (maximum before taper applied)</w:t>
            </w:r>
          </w:p>
        </w:tc>
        <w:tc>
          <w:tcPr>
            <w:tcW w:w="1842" w:type="dxa"/>
            <w:tcBorders>
              <w:top w:val="nil"/>
              <w:left w:val="nil"/>
              <w:bottom w:val="single" w:sz="8" w:space="0" w:color="000000"/>
              <w:right w:val="single" w:sz="8" w:space="0" w:color="000000"/>
            </w:tcBorders>
            <w:shd w:val="clear" w:color="auto" w:fill="auto"/>
            <w:noWrap/>
            <w:vAlign w:val="center"/>
          </w:tcPr>
          <w:p w14:paraId="4377764A" w14:textId="75A82889" w:rsidR="00046CEA" w:rsidRPr="00046CEA" w:rsidRDefault="00046CEA" w:rsidP="00046CEA">
            <w:pPr>
              <w:spacing w:after="0"/>
              <w:jc w:val="right"/>
              <w:rPr>
                <w:rFonts w:ascii="Arial" w:hAnsi="Arial" w:cs="Arial"/>
                <w:szCs w:val="24"/>
                <w:lang w:eastAsia="en-GB"/>
              </w:rPr>
            </w:pPr>
            <w:r w:rsidRPr="00046CEA">
              <w:rPr>
                <w:rFonts w:ascii="Arial" w:hAnsi="Arial" w:cs="Arial"/>
                <w:szCs w:val="24"/>
                <w:lang w:eastAsia="en-GB"/>
              </w:rPr>
              <w:t>83,817</w:t>
            </w:r>
          </w:p>
        </w:tc>
        <w:tc>
          <w:tcPr>
            <w:tcW w:w="1560" w:type="dxa"/>
            <w:tcBorders>
              <w:top w:val="nil"/>
              <w:left w:val="nil"/>
              <w:bottom w:val="single" w:sz="8" w:space="0" w:color="000000"/>
              <w:right w:val="single" w:sz="8" w:space="0" w:color="000000"/>
            </w:tcBorders>
            <w:shd w:val="clear" w:color="auto" w:fill="auto"/>
            <w:noWrap/>
            <w:vAlign w:val="center"/>
          </w:tcPr>
          <w:p w14:paraId="5901C461" w14:textId="4AE27ED9" w:rsidR="00046CEA" w:rsidRPr="00D4067D" w:rsidRDefault="00046CEA" w:rsidP="00046CEA">
            <w:pPr>
              <w:spacing w:after="0"/>
              <w:jc w:val="right"/>
              <w:rPr>
                <w:rFonts w:ascii="Arial" w:hAnsi="Arial" w:cs="Arial"/>
                <w:szCs w:val="24"/>
                <w:lang w:eastAsia="en-GB"/>
              </w:rPr>
            </w:pPr>
            <w:r w:rsidRPr="00D4067D">
              <w:rPr>
                <w:rFonts w:ascii="Arial" w:hAnsi="Arial" w:cs="Arial"/>
                <w:szCs w:val="24"/>
                <w:lang w:eastAsia="en-GB"/>
              </w:rPr>
              <w:t>8</w:t>
            </w:r>
            <w:r w:rsidR="00D41B2B" w:rsidRPr="00D4067D">
              <w:rPr>
                <w:rFonts w:ascii="Arial" w:hAnsi="Arial" w:cs="Arial"/>
                <w:szCs w:val="24"/>
                <w:lang w:eastAsia="en-GB"/>
              </w:rPr>
              <w:t>4</w:t>
            </w:r>
            <w:r w:rsidRPr="00D4067D">
              <w:rPr>
                <w:rFonts w:ascii="Arial" w:hAnsi="Arial" w:cs="Arial"/>
                <w:szCs w:val="24"/>
                <w:lang w:eastAsia="en-GB"/>
              </w:rPr>
              <w:t>,</w:t>
            </w:r>
            <w:r w:rsidR="00D41B2B" w:rsidRPr="00D4067D">
              <w:rPr>
                <w:rFonts w:ascii="Arial" w:hAnsi="Arial" w:cs="Arial"/>
                <w:szCs w:val="24"/>
                <w:lang w:eastAsia="en-GB"/>
              </w:rPr>
              <w:t>075</w:t>
            </w:r>
          </w:p>
        </w:tc>
      </w:tr>
      <w:tr w:rsidR="0033457D" w:rsidRPr="0033457D" w14:paraId="0B7BE0EE" w14:textId="77777777" w:rsidTr="00024372">
        <w:trPr>
          <w:trHeight w:val="300"/>
        </w:trPr>
        <w:tc>
          <w:tcPr>
            <w:tcW w:w="5955" w:type="dxa"/>
            <w:gridSpan w:val="2"/>
            <w:tcBorders>
              <w:top w:val="single" w:sz="8" w:space="0" w:color="000000"/>
              <w:left w:val="single" w:sz="8" w:space="0" w:color="auto"/>
              <w:bottom w:val="single" w:sz="8" w:space="0" w:color="000000"/>
              <w:right w:val="single" w:sz="8" w:space="0" w:color="000000"/>
            </w:tcBorders>
            <w:shd w:val="clear" w:color="auto" w:fill="auto"/>
            <w:noWrap/>
            <w:vAlign w:val="center"/>
            <w:hideMark/>
          </w:tcPr>
          <w:p w14:paraId="74F05C37" w14:textId="77777777" w:rsidR="00DA111B" w:rsidRPr="00046CEA" w:rsidRDefault="00DA111B" w:rsidP="00DA111B">
            <w:pPr>
              <w:spacing w:after="0"/>
              <w:jc w:val="left"/>
              <w:rPr>
                <w:rFonts w:ascii="Arial" w:hAnsi="Arial" w:cs="Arial"/>
                <w:szCs w:val="24"/>
                <w:lang w:eastAsia="en-GB"/>
              </w:rPr>
            </w:pPr>
            <w:r w:rsidRPr="00046CEA">
              <w:rPr>
                <w:rFonts w:ascii="Arial" w:hAnsi="Arial" w:cs="Arial"/>
                <w:szCs w:val="24"/>
                <w:lang w:eastAsia="en-GB"/>
              </w:rPr>
              <w:t>Lump sum</w:t>
            </w:r>
          </w:p>
        </w:tc>
        <w:tc>
          <w:tcPr>
            <w:tcW w:w="1842" w:type="dxa"/>
            <w:tcBorders>
              <w:top w:val="nil"/>
              <w:left w:val="nil"/>
              <w:bottom w:val="single" w:sz="8" w:space="0" w:color="000000"/>
              <w:right w:val="single" w:sz="8" w:space="0" w:color="000000"/>
            </w:tcBorders>
            <w:shd w:val="clear" w:color="auto" w:fill="auto"/>
            <w:noWrap/>
            <w:vAlign w:val="center"/>
          </w:tcPr>
          <w:p w14:paraId="440E913B" w14:textId="2516BE8A" w:rsidR="00DA111B" w:rsidRPr="00046CEA" w:rsidRDefault="00046CEA" w:rsidP="00DA111B">
            <w:pPr>
              <w:spacing w:after="0"/>
              <w:jc w:val="right"/>
              <w:rPr>
                <w:rFonts w:ascii="Arial" w:hAnsi="Arial" w:cs="Arial"/>
                <w:szCs w:val="24"/>
                <w:lang w:eastAsia="en-GB"/>
              </w:rPr>
            </w:pPr>
            <w:r w:rsidRPr="00046CEA">
              <w:rPr>
                <w:rFonts w:ascii="Arial" w:hAnsi="Arial" w:cs="Arial"/>
                <w:szCs w:val="24"/>
                <w:lang w:eastAsia="en-GB"/>
              </w:rPr>
              <w:t>135,724</w:t>
            </w:r>
          </w:p>
        </w:tc>
        <w:tc>
          <w:tcPr>
            <w:tcW w:w="1560" w:type="dxa"/>
            <w:tcBorders>
              <w:top w:val="single" w:sz="8" w:space="0" w:color="000000"/>
              <w:left w:val="nil"/>
              <w:bottom w:val="single" w:sz="4" w:space="0" w:color="auto"/>
              <w:right w:val="single" w:sz="8" w:space="0" w:color="000000"/>
            </w:tcBorders>
            <w:shd w:val="clear" w:color="auto" w:fill="auto"/>
            <w:noWrap/>
            <w:vAlign w:val="center"/>
          </w:tcPr>
          <w:p w14:paraId="7DE669F5" w14:textId="15D30EA9" w:rsidR="00DA111B" w:rsidRPr="00D4067D" w:rsidRDefault="00DA111B" w:rsidP="00DA111B">
            <w:pPr>
              <w:spacing w:after="0"/>
              <w:jc w:val="right"/>
              <w:rPr>
                <w:rFonts w:ascii="Arial" w:hAnsi="Arial" w:cs="Arial"/>
                <w:szCs w:val="24"/>
                <w:lang w:eastAsia="en-GB"/>
              </w:rPr>
            </w:pPr>
            <w:r w:rsidRPr="00D4067D">
              <w:rPr>
                <w:rFonts w:ascii="Arial" w:hAnsi="Arial" w:cs="Arial"/>
                <w:szCs w:val="24"/>
                <w:lang w:eastAsia="en-GB"/>
              </w:rPr>
              <w:t>1</w:t>
            </w:r>
            <w:r w:rsidR="00BF596D" w:rsidRPr="00D4067D">
              <w:rPr>
                <w:rFonts w:ascii="Arial" w:hAnsi="Arial" w:cs="Arial"/>
                <w:szCs w:val="24"/>
                <w:lang w:eastAsia="en-GB"/>
              </w:rPr>
              <w:t>46</w:t>
            </w:r>
            <w:r w:rsidRPr="00D4067D">
              <w:rPr>
                <w:rFonts w:ascii="Arial" w:hAnsi="Arial" w:cs="Arial"/>
                <w:szCs w:val="24"/>
                <w:lang w:eastAsia="en-GB"/>
              </w:rPr>
              <w:t>,</w:t>
            </w:r>
            <w:r w:rsidR="00A16FD6" w:rsidRPr="00D4067D">
              <w:rPr>
                <w:rFonts w:ascii="Arial" w:hAnsi="Arial" w:cs="Arial"/>
                <w:szCs w:val="24"/>
                <w:lang w:eastAsia="en-GB"/>
              </w:rPr>
              <w:t>2</w:t>
            </w:r>
            <w:r w:rsidR="00BF596D" w:rsidRPr="00D4067D">
              <w:rPr>
                <w:rFonts w:ascii="Arial" w:hAnsi="Arial" w:cs="Arial"/>
                <w:szCs w:val="24"/>
                <w:lang w:eastAsia="en-GB"/>
              </w:rPr>
              <w:t>7</w:t>
            </w:r>
            <w:r w:rsidR="00A16FD6" w:rsidRPr="00D4067D">
              <w:rPr>
                <w:rFonts w:ascii="Arial" w:hAnsi="Arial" w:cs="Arial"/>
                <w:szCs w:val="24"/>
                <w:lang w:eastAsia="en-GB"/>
              </w:rPr>
              <w:t>4</w:t>
            </w:r>
          </w:p>
        </w:tc>
      </w:tr>
      <w:tr w:rsidR="00046CEA" w:rsidRPr="0033457D" w14:paraId="742FE3E9" w14:textId="77777777" w:rsidTr="00024372">
        <w:trPr>
          <w:trHeight w:val="275"/>
        </w:trPr>
        <w:tc>
          <w:tcPr>
            <w:tcW w:w="2553"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A70C6EE" w14:textId="77777777" w:rsidR="00046CEA" w:rsidRPr="00046CEA" w:rsidRDefault="00046CEA" w:rsidP="00046CEA">
            <w:pPr>
              <w:spacing w:after="0"/>
              <w:jc w:val="left"/>
              <w:rPr>
                <w:rFonts w:ascii="Arial" w:hAnsi="Arial" w:cs="Arial"/>
                <w:szCs w:val="24"/>
                <w:lang w:eastAsia="en-GB"/>
              </w:rPr>
            </w:pPr>
            <w:r w:rsidRPr="00046CEA">
              <w:rPr>
                <w:rFonts w:ascii="Arial" w:hAnsi="Arial" w:cs="Arial"/>
                <w:szCs w:val="24"/>
                <w:lang w:eastAsia="en-GB"/>
              </w:rPr>
              <w:t>Minimum per pupil funding level</w:t>
            </w:r>
          </w:p>
        </w:tc>
        <w:tc>
          <w:tcPr>
            <w:tcW w:w="3402" w:type="dxa"/>
            <w:tcBorders>
              <w:top w:val="single" w:sz="8" w:space="0" w:color="auto"/>
              <w:left w:val="nil"/>
              <w:bottom w:val="nil"/>
              <w:right w:val="single" w:sz="8" w:space="0" w:color="auto"/>
            </w:tcBorders>
            <w:shd w:val="clear" w:color="auto" w:fill="auto"/>
            <w:noWrap/>
            <w:vAlign w:val="center"/>
            <w:hideMark/>
          </w:tcPr>
          <w:p w14:paraId="438C6257" w14:textId="1F2881C3" w:rsidR="00046CEA" w:rsidRPr="00046CEA" w:rsidRDefault="00046CEA" w:rsidP="00046CEA">
            <w:pPr>
              <w:spacing w:after="0"/>
              <w:jc w:val="left"/>
              <w:rPr>
                <w:rFonts w:ascii="Arial" w:hAnsi="Arial" w:cs="Arial"/>
                <w:szCs w:val="24"/>
                <w:lang w:eastAsia="en-GB"/>
              </w:rPr>
            </w:pPr>
            <w:r w:rsidRPr="00046CEA">
              <w:rPr>
                <w:rFonts w:ascii="Arial" w:hAnsi="Arial" w:cs="Arial"/>
                <w:szCs w:val="24"/>
                <w:lang w:eastAsia="en-GB"/>
              </w:rPr>
              <w:t>KS3</w:t>
            </w:r>
          </w:p>
        </w:tc>
        <w:tc>
          <w:tcPr>
            <w:tcW w:w="1842" w:type="dxa"/>
            <w:tcBorders>
              <w:top w:val="single" w:sz="8" w:space="0" w:color="000000"/>
              <w:left w:val="nil"/>
              <w:bottom w:val="single" w:sz="8" w:space="0" w:color="000000"/>
              <w:right w:val="single" w:sz="8" w:space="0" w:color="000000"/>
            </w:tcBorders>
            <w:shd w:val="clear" w:color="auto" w:fill="auto"/>
            <w:noWrap/>
            <w:vAlign w:val="center"/>
          </w:tcPr>
          <w:p w14:paraId="7BA58130" w14:textId="46DED375" w:rsidR="00046CEA" w:rsidRPr="00046CEA" w:rsidRDefault="00046CEA" w:rsidP="00046CEA">
            <w:pPr>
              <w:spacing w:after="0"/>
              <w:jc w:val="right"/>
              <w:rPr>
                <w:rFonts w:ascii="Arial" w:hAnsi="Arial" w:cs="Arial"/>
                <w:szCs w:val="24"/>
                <w:lang w:eastAsia="en-GB"/>
              </w:rPr>
            </w:pPr>
            <w:r w:rsidRPr="00046CEA">
              <w:rPr>
                <w:rFonts w:ascii="Arial" w:hAnsi="Arial" w:cs="Arial"/>
                <w:szCs w:val="24"/>
                <w:lang w:eastAsia="en-GB"/>
              </w:rPr>
              <w:t>5,771</w:t>
            </w:r>
          </w:p>
        </w:tc>
        <w:tc>
          <w:tcPr>
            <w:tcW w:w="1560" w:type="dxa"/>
            <w:tcBorders>
              <w:top w:val="single" w:sz="8" w:space="0" w:color="000000"/>
              <w:left w:val="nil"/>
              <w:bottom w:val="single" w:sz="8" w:space="0" w:color="000000"/>
              <w:right w:val="single" w:sz="8" w:space="0" w:color="000000"/>
            </w:tcBorders>
            <w:shd w:val="clear" w:color="auto" w:fill="auto"/>
            <w:noWrap/>
            <w:vAlign w:val="center"/>
          </w:tcPr>
          <w:p w14:paraId="175A099F" w14:textId="221BAFFA" w:rsidR="00046CEA" w:rsidRPr="00D4067D" w:rsidRDefault="00110259" w:rsidP="00046CEA">
            <w:pPr>
              <w:spacing w:after="0"/>
              <w:jc w:val="right"/>
              <w:rPr>
                <w:rFonts w:ascii="Arial" w:hAnsi="Arial" w:cs="Arial"/>
                <w:szCs w:val="24"/>
                <w:lang w:eastAsia="en-GB"/>
              </w:rPr>
            </w:pPr>
            <w:r w:rsidRPr="00D4067D">
              <w:rPr>
                <w:rFonts w:ascii="Arial" w:hAnsi="Arial" w:cs="Arial"/>
                <w:szCs w:val="24"/>
                <w:lang w:eastAsia="en-GB"/>
              </w:rPr>
              <w:t>6</w:t>
            </w:r>
            <w:r w:rsidR="00046CEA" w:rsidRPr="00D4067D">
              <w:rPr>
                <w:rFonts w:ascii="Arial" w:hAnsi="Arial" w:cs="Arial"/>
                <w:szCs w:val="24"/>
                <w:lang w:eastAsia="en-GB"/>
              </w:rPr>
              <w:t>,</w:t>
            </w:r>
            <w:r w:rsidRPr="00D4067D">
              <w:rPr>
                <w:rFonts w:ascii="Arial" w:hAnsi="Arial" w:cs="Arial"/>
                <w:szCs w:val="24"/>
                <w:lang w:eastAsia="en-GB"/>
              </w:rPr>
              <w:t>22</w:t>
            </w:r>
            <w:r w:rsidR="00046CEA" w:rsidRPr="00D4067D">
              <w:rPr>
                <w:rFonts w:ascii="Arial" w:hAnsi="Arial" w:cs="Arial"/>
                <w:szCs w:val="24"/>
                <w:lang w:eastAsia="en-GB"/>
              </w:rPr>
              <w:t>1</w:t>
            </w:r>
          </w:p>
        </w:tc>
      </w:tr>
      <w:tr w:rsidR="00046CEA" w:rsidRPr="0033457D" w14:paraId="29287636" w14:textId="77777777" w:rsidTr="00024372">
        <w:trPr>
          <w:trHeight w:val="300"/>
        </w:trPr>
        <w:tc>
          <w:tcPr>
            <w:tcW w:w="2553" w:type="dxa"/>
            <w:vMerge/>
            <w:tcBorders>
              <w:top w:val="single" w:sz="8" w:space="0" w:color="auto"/>
              <w:left w:val="single" w:sz="8" w:space="0" w:color="auto"/>
              <w:bottom w:val="single" w:sz="8" w:space="0" w:color="000000"/>
              <w:right w:val="single" w:sz="8" w:space="0" w:color="000000"/>
            </w:tcBorders>
            <w:vAlign w:val="center"/>
            <w:hideMark/>
          </w:tcPr>
          <w:p w14:paraId="6C4768F6" w14:textId="77777777" w:rsidR="00046CEA" w:rsidRPr="00046CEA" w:rsidRDefault="00046CEA" w:rsidP="00046CEA">
            <w:pPr>
              <w:spacing w:after="0"/>
              <w:jc w:val="left"/>
              <w:rPr>
                <w:rFonts w:ascii="Arial" w:hAnsi="Arial" w:cs="Arial"/>
                <w:szCs w:val="24"/>
                <w:lang w:eastAsia="en-GB"/>
              </w:rPr>
            </w:pPr>
          </w:p>
        </w:tc>
        <w:tc>
          <w:tcPr>
            <w:tcW w:w="3402" w:type="dxa"/>
            <w:tcBorders>
              <w:top w:val="single" w:sz="8" w:space="0" w:color="000000"/>
              <w:left w:val="nil"/>
              <w:bottom w:val="single" w:sz="8" w:space="0" w:color="auto"/>
              <w:right w:val="single" w:sz="8" w:space="0" w:color="auto"/>
            </w:tcBorders>
            <w:shd w:val="clear" w:color="auto" w:fill="auto"/>
            <w:noWrap/>
            <w:vAlign w:val="center"/>
            <w:hideMark/>
          </w:tcPr>
          <w:p w14:paraId="0A92A75F" w14:textId="5090260D" w:rsidR="00046CEA" w:rsidRPr="00046CEA" w:rsidRDefault="00046CEA" w:rsidP="00046CEA">
            <w:pPr>
              <w:spacing w:after="0"/>
              <w:jc w:val="left"/>
              <w:rPr>
                <w:rFonts w:ascii="Arial" w:hAnsi="Arial" w:cs="Arial"/>
                <w:szCs w:val="24"/>
                <w:lang w:eastAsia="en-GB"/>
              </w:rPr>
            </w:pPr>
            <w:r w:rsidRPr="00046CEA">
              <w:rPr>
                <w:rFonts w:ascii="Arial" w:hAnsi="Arial" w:cs="Arial"/>
                <w:szCs w:val="24"/>
                <w:lang w:eastAsia="en-GB"/>
              </w:rPr>
              <w:t>KS4</w:t>
            </w:r>
          </w:p>
        </w:tc>
        <w:tc>
          <w:tcPr>
            <w:tcW w:w="1842" w:type="dxa"/>
            <w:tcBorders>
              <w:top w:val="nil"/>
              <w:left w:val="nil"/>
              <w:bottom w:val="single" w:sz="8" w:space="0" w:color="000000"/>
              <w:right w:val="single" w:sz="8" w:space="0" w:color="000000"/>
            </w:tcBorders>
            <w:shd w:val="clear" w:color="auto" w:fill="auto"/>
            <w:noWrap/>
            <w:vAlign w:val="center"/>
          </w:tcPr>
          <w:p w14:paraId="372BA0AF" w14:textId="0CA3988C" w:rsidR="00046CEA" w:rsidRPr="00046CEA" w:rsidRDefault="00046CEA" w:rsidP="00046CEA">
            <w:pPr>
              <w:spacing w:after="0"/>
              <w:jc w:val="right"/>
              <w:rPr>
                <w:rFonts w:ascii="Arial" w:hAnsi="Arial" w:cs="Arial"/>
                <w:szCs w:val="24"/>
                <w:lang w:eastAsia="en-GB"/>
              </w:rPr>
            </w:pPr>
            <w:r w:rsidRPr="00046CEA">
              <w:rPr>
                <w:rFonts w:ascii="Arial" w:hAnsi="Arial" w:cs="Arial"/>
                <w:szCs w:val="24"/>
                <w:lang w:eastAsia="en-GB"/>
              </w:rPr>
              <w:t>6,331</w:t>
            </w:r>
          </w:p>
        </w:tc>
        <w:tc>
          <w:tcPr>
            <w:tcW w:w="1560" w:type="dxa"/>
            <w:tcBorders>
              <w:top w:val="nil"/>
              <w:left w:val="nil"/>
              <w:bottom w:val="single" w:sz="8" w:space="0" w:color="000000"/>
              <w:right w:val="single" w:sz="8" w:space="0" w:color="000000"/>
            </w:tcBorders>
            <w:shd w:val="clear" w:color="auto" w:fill="auto"/>
            <w:noWrap/>
            <w:vAlign w:val="center"/>
          </w:tcPr>
          <w:p w14:paraId="1FC023C1" w14:textId="765A5740" w:rsidR="00046CEA" w:rsidRPr="00D4067D" w:rsidRDefault="00046CEA" w:rsidP="00046CEA">
            <w:pPr>
              <w:spacing w:after="0"/>
              <w:jc w:val="right"/>
              <w:rPr>
                <w:rFonts w:ascii="Arial" w:hAnsi="Arial" w:cs="Arial"/>
                <w:szCs w:val="24"/>
                <w:lang w:eastAsia="en-GB"/>
              </w:rPr>
            </w:pPr>
            <w:r w:rsidRPr="00D4067D">
              <w:rPr>
                <w:rFonts w:ascii="Arial" w:hAnsi="Arial" w:cs="Arial"/>
                <w:szCs w:val="24"/>
                <w:lang w:eastAsia="en-GB"/>
              </w:rPr>
              <w:t>6,</w:t>
            </w:r>
            <w:r w:rsidR="00D4067D" w:rsidRPr="00D4067D">
              <w:rPr>
                <w:rFonts w:ascii="Arial" w:hAnsi="Arial" w:cs="Arial"/>
                <w:szCs w:val="24"/>
                <w:lang w:eastAsia="en-GB"/>
              </w:rPr>
              <w:t>8</w:t>
            </w:r>
            <w:r w:rsidRPr="00D4067D">
              <w:rPr>
                <w:rFonts w:ascii="Arial" w:hAnsi="Arial" w:cs="Arial"/>
                <w:szCs w:val="24"/>
                <w:lang w:eastAsia="en-GB"/>
              </w:rPr>
              <w:t>31</w:t>
            </w:r>
          </w:p>
        </w:tc>
      </w:tr>
      <w:tr w:rsidR="0033457D" w:rsidRPr="0033457D" w14:paraId="289CC6B1" w14:textId="77777777" w:rsidTr="00024372">
        <w:trPr>
          <w:trHeight w:val="300"/>
        </w:trPr>
        <w:tc>
          <w:tcPr>
            <w:tcW w:w="5955" w:type="dxa"/>
            <w:gridSpan w:val="2"/>
            <w:tcBorders>
              <w:top w:val="nil"/>
              <w:left w:val="single" w:sz="8" w:space="0" w:color="auto"/>
              <w:bottom w:val="single" w:sz="8" w:space="0" w:color="000000"/>
              <w:right w:val="single" w:sz="8" w:space="0" w:color="000000"/>
            </w:tcBorders>
            <w:shd w:val="clear" w:color="auto" w:fill="auto"/>
            <w:noWrap/>
            <w:vAlign w:val="center"/>
            <w:hideMark/>
          </w:tcPr>
          <w:p w14:paraId="104BB9F4" w14:textId="77777777" w:rsidR="00DA111B" w:rsidRPr="00046CEA" w:rsidRDefault="00DA111B" w:rsidP="00DA111B">
            <w:pPr>
              <w:spacing w:after="0"/>
              <w:jc w:val="left"/>
              <w:rPr>
                <w:rFonts w:ascii="Arial" w:hAnsi="Arial" w:cs="Arial"/>
                <w:szCs w:val="24"/>
                <w:lang w:eastAsia="en-GB"/>
              </w:rPr>
            </w:pPr>
            <w:r w:rsidRPr="00046CEA">
              <w:rPr>
                <w:rFonts w:ascii="Arial" w:hAnsi="Arial" w:cs="Arial"/>
                <w:szCs w:val="24"/>
                <w:lang w:eastAsia="en-GB"/>
              </w:rPr>
              <w:t>Minimum funding guarantee</w:t>
            </w:r>
          </w:p>
        </w:tc>
        <w:tc>
          <w:tcPr>
            <w:tcW w:w="1842" w:type="dxa"/>
            <w:tcBorders>
              <w:top w:val="nil"/>
              <w:left w:val="nil"/>
              <w:bottom w:val="single" w:sz="8" w:space="0" w:color="000000"/>
              <w:right w:val="single" w:sz="8" w:space="0" w:color="000000"/>
            </w:tcBorders>
            <w:shd w:val="clear" w:color="auto" w:fill="auto"/>
            <w:noWrap/>
            <w:vAlign w:val="center"/>
          </w:tcPr>
          <w:p w14:paraId="4429924B" w14:textId="4E55BE43" w:rsidR="00DA111B" w:rsidRPr="00046CEA" w:rsidRDefault="00DA111B" w:rsidP="00DA111B">
            <w:pPr>
              <w:spacing w:after="0"/>
              <w:jc w:val="right"/>
              <w:rPr>
                <w:rFonts w:ascii="Arial" w:hAnsi="Arial" w:cs="Arial"/>
                <w:szCs w:val="24"/>
                <w:lang w:eastAsia="en-GB"/>
              </w:rPr>
            </w:pPr>
            <w:r w:rsidRPr="00046CEA">
              <w:rPr>
                <w:rFonts w:ascii="Arial" w:hAnsi="Arial" w:cs="Arial"/>
                <w:szCs w:val="24"/>
                <w:lang w:eastAsia="en-GB"/>
              </w:rPr>
              <w:t>0.5%</w:t>
            </w:r>
          </w:p>
        </w:tc>
        <w:tc>
          <w:tcPr>
            <w:tcW w:w="1560" w:type="dxa"/>
            <w:tcBorders>
              <w:top w:val="nil"/>
              <w:left w:val="nil"/>
              <w:bottom w:val="single" w:sz="8" w:space="0" w:color="000000"/>
              <w:right w:val="single" w:sz="8" w:space="0" w:color="000000"/>
            </w:tcBorders>
            <w:shd w:val="clear" w:color="auto" w:fill="auto"/>
            <w:noWrap/>
            <w:vAlign w:val="center"/>
          </w:tcPr>
          <w:p w14:paraId="09DE1A1F" w14:textId="53BB6B56" w:rsidR="00DA111B" w:rsidRPr="00D4067D" w:rsidRDefault="00DA111B" w:rsidP="00DA111B">
            <w:pPr>
              <w:spacing w:after="0"/>
              <w:jc w:val="right"/>
              <w:rPr>
                <w:rFonts w:ascii="Arial" w:hAnsi="Arial" w:cs="Arial"/>
                <w:szCs w:val="24"/>
                <w:lang w:eastAsia="en-GB"/>
              </w:rPr>
            </w:pPr>
            <w:r w:rsidRPr="00D4067D">
              <w:rPr>
                <w:rFonts w:ascii="Arial" w:hAnsi="Arial" w:cs="Arial"/>
                <w:szCs w:val="24"/>
                <w:lang w:eastAsia="en-GB"/>
              </w:rPr>
              <w:t>0.</w:t>
            </w:r>
            <w:r w:rsidR="00D4067D" w:rsidRPr="00D4067D">
              <w:rPr>
                <w:rFonts w:ascii="Arial" w:hAnsi="Arial" w:cs="Arial"/>
                <w:szCs w:val="24"/>
                <w:lang w:eastAsia="en-GB"/>
              </w:rPr>
              <w:t>0</w:t>
            </w:r>
            <w:r w:rsidRPr="00D4067D">
              <w:rPr>
                <w:rFonts w:ascii="Arial" w:hAnsi="Arial" w:cs="Arial"/>
                <w:szCs w:val="24"/>
                <w:lang w:eastAsia="en-GB"/>
              </w:rPr>
              <w:t>%</w:t>
            </w:r>
          </w:p>
        </w:tc>
      </w:tr>
    </w:tbl>
    <w:p w14:paraId="217F4D51" w14:textId="77777777" w:rsidR="002567B2" w:rsidRPr="0033457D" w:rsidRDefault="002567B2" w:rsidP="00C744C4">
      <w:pPr>
        <w:rPr>
          <w:rFonts w:ascii="Arial" w:hAnsi="Arial" w:cs="Arial"/>
          <w:b/>
          <w:bCs/>
          <w:color w:val="FF0000"/>
        </w:rPr>
      </w:pPr>
    </w:p>
    <w:p w14:paraId="3BF3597D" w14:textId="77777777" w:rsidR="00AC403D" w:rsidRPr="0033457D" w:rsidRDefault="00AC403D" w:rsidP="00C744C4">
      <w:pPr>
        <w:rPr>
          <w:rFonts w:ascii="Arial" w:hAnsi="Arial" w:cs="Arial"/>
          <w:b/>
          <w:bCs/>
          <w:color w:val="FF0000"/>
        </w:rPr>
      </w:pPr>
    </w:p>
    <w:sectPr w:rsidR="00AC403D" w:rsidRPr="0033457D" w:rsidSect="00683291">
      <w:headerReference w:type="default" r:id="rId21"/>
      <w:footerReference w:type="default" r:id="rId22"/>
      <w:headerReference w:type="first" r:id="rId23"/>
      <w:pgSz w:w="11906" w:h="16838" w:code="9"/>
      <w:pgMar w:top="1440" w:right="1440" w:bottom="1440" w:left="1440" w:header="720" w:footer="72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D6E37D" w14:textId="77777777" w:rsidR="00D10734" w:rsidRDefault="00D10734">
      <w:r>
        <w:separator/>
      </w:r>
    </w:p>
  </w:endnote>
  <w:endnote w:type="continuationSeparator" w:id="0">
    <w:p w14:paraId="6BD1FDE1" w14:textId="77777777" w:rsidR="00D10734" w:rsidRDefault="00D10734">
      <w:r>
        <w:continuationSeparator/>
      </w:r>
    </w:p>
  </w:endnote>
  <w:endnote w:type="continuationNotice" w:id="1">
    <w:p w14:paraId="5B6101B7" w14:textId="77777777" w:rsidR="00D10734" w:rsidRDefault="00D1073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C30A9" w14:textId="77777777" w:rsidR="00937339" w:rsidRDefault="00937339">
    <w:pPr>
      <w:pStyle w:val="Footer"/>
      <w:jc w:val="center"/>
    </w:pPr>
    <w:r>
      <w:fldChar w:fldCharType="begin"/>
    </w:r>
    <w:r>
      <w:instrText xml:space="preserve"> PAGE   \* MERGEFORMAT </w:instrText>
    </w:r>
    <w:r>
      <w:fldChar w:fldCharType="separate"/>
    </w:r>
    <w:r w:rsidR="008B4F19">
      <w:rPr>
        <w:noProof/>
      </w:rPr>
      <w:t>1</w:t>
    </w:r>
    <w:r>
      <w:rPr>
        <w:noProof/>
      </w:rPr>
      <w:fldChar w:fldCharType="end"/>
    </w:r>
  </w:p>
  <w:p w14:paraId="02B396A5" w14:textId="77777777" w:rsidR="00937339" w:rsidRDefault="009373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42C997" w14:textId="77777777" w:rsidR="00D10734" w:rsidRDefault="00D10734">
      <w:r>
        <w:separator/>
      </w:r>
    </w:p>
  </w:footnote>
  <w:footnote w:type="continuationSeparator" w:id="0">
    <w:p w14:paraId="179015A1" w14:textId="77777777" w:rsidR="00D10734" w:rsidRDefault="00D10734">
      <w:r>
        <w:continuationSeparator/>
      </w:r>
    </w:p>
  </w:footnote>
  <w:footnote w:type="continuationNotice" w:id="1">
    <w:p w14:paraId="7ACACAC9" w14:textId="77777777" w:rsidR="00D10734" w:rsidRDefault="00D1073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C1BBF4" w14:textId="77777777" w:rsidR="00937339" w:rsidRPr="007D2D05" w:rsidRDefault="00937339" w:rsidP="00122239">
    <w:pPr>
      <w:pStyle w:val="Header"/>
      <w:jc w:val="right"/>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FE69C" w14:textId="77777777" w:rsidR="00937339" w:rsidRPr="00FE5CB0" w:rsidRDefault="00937339" w:rsidP="00122239">
    <w:pPr>
      <w:pStyle w:val="Header"/>
      <w:jc w:val="right"/>
      <w:rPr>
        <w:rFonts w:ascii="Arial" w:hAnsi="Arial" w:cs="Arial"/>
      </w:rPr>
    </w:pPr>
    <w:r>
      <w:rPr>
        <w:rFonts w:ascii="Arial" w:hAnsi="Arial" w:cs="Arial"/>
      </w:rPr>
      <w:t>Appendix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F039A"/>
    <w:multiLevelType w:val="multilevel"/>
    <w:tmpl w:val="A2981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EB0D5F"/>
    <w:multiLevelType w:val="multilevel"/>
    <w:tmpl w:val="A754EE48"/>
    <w:lvl w:ilvl="0">
      <w:start w:val="1"/>
      <w:numFmt w:val="decimal"/>
      <w:lvlRestart w:val="0"/>
      <w:pStyle w:val="DfESOutNumbered1"/>
      <w:lvlText w:val="%1."/>
      <w:lvlJc w:val="left"/>
      <w:rPr>
        <w:b w:val="0"/>
        <w:bCs w:val="0"/>
        <w:i w:val="0"/>
        <w:iCs w:val="0"/>
        <w:caps w:val="0"/>
        <w:smallCaps w:val="0"/>
        <w:strike w:val="0"/>
        <w:dstrike w:val="0"/>
        <w:noProof w:val="0"/>
        <w:vanish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1440" w:hanging="720"/>
      </w:pPr>
      <w:rPr>
        <w:rFonts w:hint="default"/>
        <w:i w:val="0"/>
        <w:sz w:val="24"/>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1A816D44"/>
    <w:multiLevelType w:val="hybridMultilevel"/>
    <w:tmpl w:val="457C38B4"/>
    <w:lvl w:ilvl="0" w:tplc="08090001">
      <w:start w:val="1"/>
      <w:numFmt w:val="bullet"/>
      <w:lvlText w:val=""/>
      <w:lvlJc w:val="left"/>
      <w:pPr>
        <w:ind w:left="2846" w:hanging="360"/>
      </w:pPr>
      <w:rPr>
        <w:rFonts w:ascii="Symbol" w:hAnsi="Symbol" w:hint="default"/>
      </w:rPr>
    </w:lvl>
    <w:lvl w:ilvl="1" w:tplc="08090003" w:tentative="1">
      <w:start w:val="1"/>
      <w:numFmt w:val="bullet"/>
      <w:lvlText w:val="o"/>
      <w:lvlJc w:val="left"/>
      <w:pPr>
        <w:ind w:left="3566" w:hanging="360"/>
      </w:pPr>
      <w:rPr>
        <w:rFonts w:ascii="Courier New" w:hAnsi="Courier New" w:cs="Courier New" w:hint="default"/>
      </w:rPr>
    </w:lvl>
    <w:lvl w:ilvl="2" w:tplc="08090005" w:tentative="1">
      <w:start w:val="1"/>
      <w:numFmt w:val="bullet"/>
      <w:lvlText w:val=""/>
      <w:lvlJc w:val="left"/>
      <w:pPr>
        <w:ind w:left="4286" w:hanging="360"/>
      </w:pPr>
      <w:rPr>
        <w:rFonts w:ascii="Wingdings" w:hAnsi="Wingdings" w:hint="default"/>
      </w:rPr>
    </w:lvl>
    <w:lvl w:ilvl="3" w:tplc="08090001" w:tentative="1">
      <w:start w:val="1"/>
      <w:numFmt w:val="bullet"/>
      <w:lvlText w:val=""/>
      <w:lvlJc w:val="left"/>
      <w:pPr>
        <w:ind w:left="5006" w:hanging="360"/>
      </w:pPr>
      <w:rPr>
        <w:rFonts w:ascii="Symbol" w:hAnsi="Symbol" w:hint="default"/>
      </w:rPr>
    </w:lvl>
    <w:lvl w:ilvl="4" w:tplc="08090003" w:tentative="1">
      <w:start w:val="1"/>
      <w:numFmt w:val="bullet"/>
      <w:lvlText w:val="o"/>
      <w:lvlJc w:val="left"/>
      <w:pPr>
        <w:ind w:left="5726" w:hanging="360"/>
      </w:pPr>
      <w:rPr>
        <w:rFonts w:ascii="Courier New" w:hAnsi="Courier New" w:cs="Courier New" w:hint="default"/>
      </w:rPr>
    </w:lvl>
    <w:lvl w:ilvl="5" w:tplc="08090005" w:tentative="1">
      <w:start w:val="1"/>
      <w:numFmt w:val="bullet"/>
      <w:lvlText w:val=""/>
      <w:lvlJc w:val="left"/>
      <w:pPr>
        <w:ind w:left="6446" w:hanging="360"/>
      </w:pPr>
      <w:rPr>
        <w:rFonts w:ascii="Wingdings" w:hAnsi="Wingdings" w:hint="default"/>
      </w:rPr>
    </w:lvl>
    <w:lvl w:ilvl="6" w:tplc="08090001" w:tentative="1">
      <w:start w:val="1"/>
      <w:numFmt w:val="bullet"/>
      <w:lvlText w:val=""/>
      <w:lvlJc w:val="left"/>
      <w:pPr>
        <w:ind w:left="7166" w:hanging="360"/>
      </w:pPr>
      <w:rPr>
        <w:rFonts w:ascii="Symbol" w:hAnsi="Symbol" w:hint="default"/>
      </w:rPr>
    </w:lvl>
    <w:lvl w:ilvl="7" w:tplc="08090003" w:tentative="1">
      <w:start w:val="1"/>
      <w:numFmt w:val="bullet"/>
      <w:lvlText w:val="o"/>
      <w:lvlJc w:val="left"/>
      <w:pPr>
        <w:ind w:left="7886" w:hanging="360"/>
      </w:pPr>
      <w:rPr>
        <w:rFonts w:ascii="Courier New" w:hAnsi="Courier New" w:cs="Courier New" w:hint="default"/>
      </w:rPr>
    </w:lvl>
    <w:lvl w:ilvl="8" w:tplc="08090005" w:tentative="1">
      <w:start w:val="1"/>
      <w:numFmt w:val="bullet"/>
      <w:lvlText w:val=""/>
      <w:lvlJc w:val="left"/>
      <w:pPr>
        <w:ind w:left="8606" w:hanging="360"/>
      </w:pPr>
      <w:rPr>
        <w:rFonts w:ascii="Wingdings" w:hAnsi="Wingdings" w:hint="default"/>
      </w:rPr>
    </w:lvl>
  </w:abstractNum>
  <w:abstractNum w:abstractNumId="3" w15:restartNumberingAfterBreak="0">
    <w:nsid w:val="1E1132B9"/>
    <w:multiLevelType w:val="hybridMultilevel"/>
    <w:tmpl w:val="613A68B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1F2755A8"/>
    <w:multiLevelType w:val="multilevel"/>
    <w:tmpl w:val="645C9ECC"/>
    <w:lvl w:ilvl="0">
      <w:start w:val="1"/>
      <w:numFmt w:val="decimal"/>
      <w:lvlText w:val="%1."/>
      <w:lvlJc w:val="left"/>
      <w:pPr>
        <w:ind w:left="360" w:hanging="360"/>
      </w:pPr>
      <w:rPr>
        <w:rFonts w:hint="default"/>
      </w:rPr>
    </w:lvl>
    <w:lvl w:ilvl="1">
      <w:start w:val="1"/>
      <w:numFmt w:val="decimal"/>
      <w:lvlText w:val="%1.%2."/>
      <w:lvlJc w:val="left"/>
      <w:pPr>
        <w:ind w:left="432" w:hanging="432"/>
      </w:pPr>
      <w:rPr>
        <w:rFonts w:ascii="Arial" w:hAnsi="Arial" w:cs="Arial" w:hint="default"/>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5F2735A"/>
    <w:multiLevelType w:val="hybridMultilevel"/>
    <w:tmpl w:val="C6A07C52"/>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6" w15:restartNumberingAfterBreak="0">
    <w:nsid w:val="26331F3E"/>
    <w:multiLevelType w:val="hybridMultilevel"/>
    <w:tmpl w:val="9D2E5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1328F2"/>
    <w:multiLevelType w:val="hybridMultilevel"/>
    <w:tmpl w:val="F3D27B5C"/>
    <w:lvl w:ilvl="0" w:tplc="08090001">
      <w:start w:val="1"/>
      <w:numFmt w:val="bullet"/>
      <w:lvlText w:val=""/>
      <w:lvlJc w:val="left"/>
      <w:pPr>
        <w:ind w:left="1212" w:hanging="360"/>
      </w:pPr>
      <w:rPr>
        <w:rFonts w:ascii="Symbol" w:hAnsi="Symbol" w:hint="default"/>
      </w:rPr>
    </w:lvl>
    <w:lvl w:ilvl="1" w:tplc="08090003" w:tentative="1">
      <w:start w:val="1"/>
      <w:numFmt w:val="bullet"/>
      <w:lvlText w:val="o"/>
      <w:lvlJc w:val="left"/>
      <w:pPr>
        <w:ind w:left="1932" w:hanging="360"/>
      </w:pPr>
      <w:rPr>
        <w:rFonts w:ascii="Courier New" w:hAnsi="Courier New" w:cs="Courier New" w:hint="default"/>
      </w:rPr>
    </w:lvl>
    <w:lvl w:ilvl="2" w:tplc="08090005" w:tentative="1">
      <w:start w:val="1"/>
      <w:numFmt w:val="bullet"/>
      <w:lvlText w:val=""/>
      <w:lvlJc w:val="left"/>
      <w:pPr>
        <w:ind w:left="2652" w:hanging="360"/>
      </w:pPr>
      <w:rPr>
        <w:rFonts w:ascii="Wingdings" w:hAnsi="Wingdings" w:hint="default"/>
      </w:rPr>
    </w:lvl>
    <w:lvl w:ilvl="3" w:tplc="08090001" w:tentative="1">
      <w:start w:val="1"/>
      <w:numFmt w:val="bullet"/>
      <w:lvlText w:val=""/>
      <w:lvlJc w:val="left"/>
      <w:pPr>
        <w:ind w:left="3372" w:hanging="360"/>
      </w:pPr>
      <w:rPr>
        <w:rFonts w:ascii="Symbol" w:hAnsi="Symbol" w:hint="default"/>
      </w:rPr>
    </w:lvl>
    <w:lvl w:ilvl="4" w:tplc="08090003" w:tentative="1">
      <w:start w:val="1"/>
      <w:numFmt w:val="bullet"/>
      <w:lvlText w:val="o"/>
      <w:lvlJc w:val="left"/>
      <w:pPr>
        <w:ind w:left="4092" w:hanging="360"/>
      </w:pPr>
      <w:rPr>
        <w:rFonts w:ascii="Courier New" w:hAnsi="Courier New" w:cs="Courier New" w:hint="default"/>
      </w:rPr>
    </w:lvl>
    <w:lvl w:ilvl="5" w:tplc="08090005" w:tentative="1">
      <w:start w:val="1"/>
      <w:numFmt w:val="bullet"/>
      <w:lvlText w:val=""/>
      <w:lvlJc w:val="left"/>
      <w:pPr>
        <w:ind w:left="4812" w:hanging="360"/>
      </w:pPr>
      <w:rPr>
        <w:rFonts w:ascii="Wingdings" w:hAnsi="Wingdings" w:hint="default"/>
      </w:rPr>
    </w:lvl>
    <w:lvl w:ilvl="6" w:tplc="08090001" w:tentative="1">
      <w:start w:val="1"/>
      <w:numFmt w:val="bullet"/>
      <w:lvlText w:val=""/>
      <w:lvlJc w:val="left"/>
      <w:pPr>
        <w:ind w:left="5532" w:hanging="360"/>
      </w:pPr>
      <w:rPr>
        <w:rFonts w:ascii="Symbol" w:hAnsi="Symbol" w:hint="default"/>
      </w:rPr>
    </w:lvl>
    <w:lvl w:ilvl="7" w:tplc="08090003" w:tentative="1">
      <w:start w:val="1"/>
      <w:numFmt w:val="bullet"/>
      <w:lvlText w:val="o"/>
      <w:lvlJc w:val="left"/>
      <w:pPr>
        <w:ind w:left="6252" w:hanging="360"/>
      </w:pPr>
      <w:rPr>
        <w:rFonts w:ascii="Courier New" w:hAnsi="Courier New" w:cs="Courier New" w:hint="default"/>
      </w:rPr>
    </w:lvl>
    <w:lvl w:ilvl="8" w:tplc="08090005" w:tentative="1">
      <w:start w:val="1"/>
      <w:numFmt w:val="bullet"/>
      <w:lvlText w:val=""/>
      <w:lvlJc w:val="left"/>
      <w:pPr>
        <w:ind w:left="6972" w:hanging="360"/>
      </w:pPr>
      <w:rPr>
        <w:rFonts w:ascii="Wingdings" w:hAnsi="Wingdings" w:hint="default"/>
      </w:rPr>
    </w:lvl>
  </w:abstractNum>
  <w:abstractNum w:abstractNumId="8" w15:restartNumberingAfterBreak="0">
    <w:nsid w:val="2DB52991"/>
    <w:multiLevelType w:val="hybridMultilevel"/>
    <w:tmpl w:val="C798A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36547D"/>
    <w:multiLevelType w:val="hybridMultilevel"/>
    <w:tmpl w:val="9594B9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AB13AA"/>
    <w:multiLevelType w:val="hybridMultilevel"/>
    <w:tmpl w:val="C5E8CD5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1" w15:restartNumberingAfterBreak="0">
    <w:nsid w:val="3F3F11D8"/>
    <w:multiLevelType w:val="hybridMultilevel"/>
    <w:tmpl w:val="7EE8167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400A1344"/>
    <w:multiLevelType w:val="hybridMultilevel"/>
    <w:tmpl w:val="92B250D0"/>
    <w:lvl w:ilvl="0" w:tplc="9E2ECEB4">
      <w:start w:val="1"/>
      <w:numFmt w:val="bullet"/>
      <w:lvlText w:val=""/>
      <w:lvlJc w:val="left"/>
      <w:pPr>
        <w:ind w:left="1860" w:hanging="360"/>
      </w:pPr>
      <w:rPr>
        <w:rFonts w:ascii="Symbol" w:hAnsi="Symbol"/>
      </w:rPr>
    </w:lvl>
    <w:lvl w:ilvl="1" w:tplc="667C0018">
      <w:start w:val="1"/>
      <w:numFmt w:val="bullet"/>
      <w:lvlText w:val=""/>
      <w:lvlJc w:val="left"/>
      <w:pPr>
        <w:ind w:left="1860" w:hanging="360"/>
      </w:pPr>
      <w:rPr>
        <w:rFonts w:ascii="Symbol" w:hAnsi="Symbol"/>
      </w:rPr>
    </w:lvl>
    <w:lvl w:ilvl="2" w:tplc="EBF4B542">
      <w:start w:val="1"/>
      <w:numFmt w:val="bullet"/>
      <w:lvlText w:val=""/>
      <w:lvlJc w:val="left"/>
      <w:pPr>
        <w:ind w:left="1860" w:hanging="360"/>
      </w:pPr>
      <w:rPr>
        <w:rFonts w:ascii="Symbol" w:hAnsi="Symbol"/>
      </w:rPr>
    </w:lvl>
    <w:lvl w:ilvl="3" w:tplc="165E7458">
      <w:start w:val="1"/>
      <w:numFmt w:val="bullet"/>
      <w:lvlText w:val=""/>
      <w:lvlJc w:val="left"/>
      <w:pPr>
        <w:ind w:left="1860" w:hanging="360"/>
      </w:pPr>
      <w:rPr>
        <w:rFonts w:ascii="Symbol" w:hAnsi="Symbol"/>
      </w:rPr>
    </w:lvl>
    <w:lvl w:ilvl="4" w:tplc="B7221AE0">
      <w:start w:val="1"/>
      <w:numFmt w:val="bullet"/>
      <w:lvlText w:val=""/>
      <w:lvlJc w:val="left"/>
      <w:pPr>
        <w:ind w:left="1860" w:hanging="360"/>
      </w:pPr>
      <w:rPr>
        <w:rFonts w:ascii="Symbol" w:hAnsi="Symbol"/>
      </w:rPr>
    </w:lvl>
    <w:lvl w:ilvl="5" w:tplc="5F141D8A">
      <w:start w:val="1"/>
      <w:numFmt w:val="bullet"/>
      <w:lvlText w:val=""/>
      <w:lvlJc w:val="left"/>
      <w:pPr>
        <w:ind w:left="1860" w:hanging="360"/>
      </w:pPr>
      <w:rPr>
        <w:rFonts w:ascii="Symbol" w:hAnsi="Symbol"/>
      </w:rPr>
    </w:lvl>
    <w:lvl w:ilvl="6" w:tplc="768C7984">
      <w:start w:val="1"/>
      <w:numFmt w:val="bullet"/>
      <w:lvlText w:val=""/>
      <w:lvlJc w:val="left"/>
      <w:pPr>
        <w:ind w:left="1860" w:hanging="360"/>
      </w:pPr>
      <w:rPr>
        <w:rFonts w:ascii="Symbol" w:hAnsi="Symbol"/>
      </w:rPr>
    </w:lvl>
    <w:lvl w:ilvl="7" w:tplc="1F82FEE2">
      <w:start w:val="1"/>
      <w:numFmt w:val="bullet"/>
      <w:lvlText w:val=""/>
      <w:lvlJc w:val="left"/>
      <w:pPr>
        <w:ind w:left="1860" w:hanging="360"/>
      </w:pPr>
      <w:rPr>
        <w:rFonts w:ascii="Symbol" w:hAnsi="Symbol"/>
      </w:rPr>
    </w:lvl>
    <w:lvl w:ilvl="8" w:tplc="F0B621C6">
      <w:start w:val="1"/>
      <w:numFmt w:val="bullet"/>
      <w:lvlText w:val=""/>
      <w:lvlJc w:val="left"/>
      <w:pPr>
        <w:ind w:left="1860" w:hanging="360"/>
      </w:pPr>
      <w:rPr>
        <w:rFonts w:ascii="Symbol" w:hAnsi="Symbol"/>
      </w:rPr>
    </w:lvl>
  </w:abstractNum>
  <w:abstractNum w:abstractNumId="13" w15:restartNumberingAfterBreak="0">
    <w:nsid w:val="47792149"/>
    <w:multiLevelType w:val="hybridMultilevel"/>
    <w:tmpl w:val="5C7C800C"/>
    <w:lvl w:ilvl="0" w:tplc="E8F6DCCA">
      <w:start w:val="1"/>
      <w:numFmt w:val="bullet"/>
      <w:pStyle w:val="ListBullet"/>
      <w:lvlText w:val=""/>
      <w:lvlJc w:val="left"/>
      <w:pPr>
        <w:tabs>
          <w:tab w:val="num" w:pos="1538"/>
        </w:tabs>
        <w:ind w:left="1538" w:hanging="360"/>
      </w:pPr>
      <w:rPr>
        <w:rFonts w:ascii="Symbol" w:hAnsi="Symbol" w:hint="default"/>
        <w:sz w:val="24"/>
      </w:rPr>
    </w:lvl>
    <w:lvl w:ilvl="1" w:tplc="04090003">
      <w:start w:val="1"/>
      <w:numFmt w:val="bullet"/>
      <w:lvlText w:val="o"/>
      <w:lvlJc w:val="left"/>
      <w:pPr>
        <w:tabs>
          <w:tab w:val="num" w:pos="2258"/>
        </w:tabs>
        <w:ind w:left="2258" w:hanging="360"/>
      </w:pPr>
      <w:rPr>
        <w:rFonts w:ascii="Courier New" w:hAnsi="Courier New" w:hint="default"/>
      </w:rPr>
    </w:lvl>
    <w:lvl w:ilvl="2" w:tplc="08090001">
      <w:start w:val="1"/>
      <w:numFmt w:val="bullet"/>
      <w:lvlText w:val=""/>
      <w:lvlJc w:val="left"/>
      <w:pPr>
        <w:tabs>
          <w:tab w:val="num" w:pos="2978"/>
        </w:tabs>
        <w:ind w:left="2978" w:hanging="360"/>
      </w:pPr>
      <w:rPr>
        <w:rFonts w:ascii="Symbol" w:hAnsi="Symbol" w:hint="default"/>
        <w:sz w:val="24"/>
      </w:rPr>
    </w:lvl>
    <w:lvl w:ilvl="3" w:tplc="04090001" w:tentative="1">
      <w:start w:val="1"/>
      <w:numFmt w:val="bullet"/>
      <w:lvlText w:val=""/>
      <w:lvlJc w:val="left"/>
      <w:pPr>
        <w:tabs>
          <w:tab w:val="num" w:pos="3698"/>
        </w:tabs>
        <w:ind w:left="3698" w:hanging="360"/>
      </w:pPr>
      <w:rPr>
        <w:rFonts w:ascii="Symbol" w:hAnsi="Symbol" w:hint="default"/>
      </w:rPr>
    </w:lvl>
    <w:lvl w:ilvl="4" w:tplc="04090003" w:tentative="1">
      <w:start w:val="1"/>
      <w:numFmt w:val="bullet"/>
      <w:lvlText w:val="o"/>
      <w:lvlJc w:val="left"/>
      <w:pPr>
        <w:tabs>
          <w:tab w:val="num" w:pos="4418"/>
        </w:tabs>
        <w:ind w:left="4418" w:hanging="360"/>
      </w:pPr>
      <w:rPr>
        <w:rFonts w:ascii="Courier New" w:hAnsi="Courier New" w:hint="default"/>
      </w:rPr>
    </w:lvl>
    <w:lvl w:ilvl="5" w:tplc="04090005" w:tentative="1">
      <w:start w:val="1"/>
      <w:numFmt w:val="bullet"/>
      <w:lvlText w:val=""/>
      <w:lvlJc w:val="left"/>
      <w:pPr>
        <w:tabs>
          <w:tab w:val="num" w:pos="5138"/>
        </w:tabs>
        <w:ind w:left="5138" w:hanging="360"/>
      </w:pPr>
      <w:rPr>
        <w:rFonts w:ascii="Wingdings" w:hAnsi="Wingdings" w:hint="default"/>
      </w:rPr>
    </w:lvl>
    <w:lvl w:ilvl="6" w:tplc="04090001" w:tentative="1">
      <w:start w:val="1"/>
      <w:numFmt w:val="bullet"/>
      <w:lvlText w:val=""/>
      <w:lvlJc w:val="left"/>
      <w:pPr>
        <w:tabs>
          <w:tab w:val="num" w:pos="5858"/>
        </w:tabs>
        <w:ind w:left="5858" w:hanging="360"/>
      </w:pPr>
      <w:rPr>
        <w:rFonts w:ascii="Symbol" w:hAnsi="Symbol" w:hint="default"/>
      </w:rPr>
    </w:lvl>
    <w:lvl w:ilvl="7" w:tplc="04090003" w:tentative="1">
      <w:start w:val="1"/>
      <w:numFmt w:val="bullet"/>
      <w:lvlText w:val="o"/>
      <w:lvlJc w:val="left"/>
      <w:pPr>
        <w:tabs>
          <w:tab w:val="num" w:pos="6578"/>
        </w:tabs>
        <w:ind w:left="6578" w:hanging="360"/>
      </w:pPr>
      <w:rPr>
        <w:rFonts w:ascii="Courier New" w:hAnsi="Courier New" w:hint="default"/>
      </w:rPr>
    </w:lvl>
    <w:lvl w:ilvl="8" w:tplc="04090005" w:tentative="1">
      <w:start w:val="1"/>
      <w:numFmt w:val="bullet"/>
      <w:lvlText w:val=""/>
      <w:lvlJc w:val="left"/>
      <w:pPr>
        <w:tabs>
          <w:tab w:val="num" w:pos="7298"/>
        </w:tabs>
        <w:ind w:left="7298" w:hanging="360"/>
      </w:pPr>
      <w:rPr>
        <w:rFonts w:ascii="Wingdings" w:hAnsi="Wingdings" w:hint="default"/>
      </w:rPr>
    </w:lvl>
  </w:abstractNum>
  <w:abstractNum w:abstractNumId="14" w15:restartNumberingAfterBreak="0">
    <w:nsid w:val="4BCF19CD"/>
    <w:multiLevelType w:val="multilevel"/>
    <w:tmpl w:val="0388B110"/>
    <w:styleLink w:val="LFO25"/>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5304113B"/>
    <w:multiLevelType w:val="hybridMultilevel"/>
    <w:tmpl w:val="9308008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5A3D1B15"/>
    <w:multiLevelType w:val="multilevel"/>
    <w:tmpl w:val="DEB0C4DC"/>
    <w:lvl w:ilvl="0">
      <w:start w:val="1"/>
      <w:numFmt w:val="decimal"/>
      <w:pStyle w:val="Recpoint"/>
      <w:lvlText w:val="%1"/>
      <w:lvlJc w:val="left"/>
      <w:pPr>
        <w:tabs>
          <w:tab w:val="num" w:pos="720"/>
        </w:tabs>
        <w:ind w:left="720" w:hanging="720"/>
      </w:pPr>
      <w:rPr>
        <w:rFonts w:ascii="Gill Sans MT" w:hAnsi="Gill Sans MT" w:hint="default"/>
        <w:b/>
        <w:i w:val="0"/>
        <w:sz w:val="24"/>
      </w:rPr>
    </w:lvl>
    <w:lvl w:ilvl="1">
      <w:start w:val="1"/>
      <w:numFmt w:val="decimal"/>
      <w:lvlText w:val="%1.%2"/>
      <w:lvlJc w:val="left"/>
      <w:pPr>
        <w:tabs>
          <w:tab w:val="num" w:pos="720"/>
        </w:tabs>
        <w:ind w:left="720" w:hanging="720"/>
      </w:pPr>
      <w:rPr>
        <w:rFonts w:ascii="Garamond" w:hAnsi="Garamond" w:hint="default"/>
        <w:b w:val="0"/>
        <w:i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5BE226E1"/>
    <w:multiLevelType w:val="multilevel"/>
    <w:tmpl w:val="6A8AB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4457CBF"/>
    <w:multiLevelType w:val="hybridMultilevel"/>
    <w:tmpl w:val="0018F35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9" w15:restartNumberingAfterBreak="0">
    <w:nsid w:val="67EB694F"/>
    <w:multiLevelType w:val="hybridMultilevel"/>
    <w:tmpl w:val="A82C098E"/>
    <w:lvl w:ilvl="0" w:tplc="4AEEFB82">
      <w:start w:val="1"/>
      <w:numFmt w:val="decimal"/>
      <w:pStyle w:val="ListNumber"/>
      <w:lvlText w:val="%1."/>
      <w:lvlJc w:val="left"/>
      <w:pPr>
        <w:tabs>
          <w:tab w:val="num" w:pos="720"/>
        </w:tabs>
        <w:ind w:left="720" w:hanging="360"/>
      </w:pPr>
      <w:rPr>
        <w:b w:val="0"/>
      </w:rPr>
    </w:lvl>
    <w:lvl w:ilvl="1" w:tplc="5AAA84D6" w:tentative="1">
      <w:start w:val="1"/>
      <w:numFmt w:val="lowerLetter"/>
      <w:lvlText w:val="%2."/>
      <w:lvlJc w:val="left"/>
      <w:pPr>
        <w:tabs>
          <w:tab w:val="num" w:pos="1800"/>
        </w:tabs>
        <w:ind w:left="1800" w:hanging="360"/>
      </w:pPr>
    </w:lvl>
    <w:lvl w:ilvl="2" w:tplc="85EC17E2" w:tentative="1">
      <w:start w:val="1"/>
      <w:numFmt w:val="lowerRoman"/>
      <w:lvlText w:val="%3."/>
      <w:lvlJc w:val="right"/>
      <w:pPr>
        <w:tabs>
          <w:tab w:val="num" w:pos="2520"/>
        </w:tabs>
        <w:ind w:left="2520" w:hanging="180"/>
      </w:pPr>
    </w:lvl>
    <w:lvl w:ilvl="3" w:tplc="7EB0C472" w:tentative="1">
      <w:start w:val="1"/>
      <w:numFmt w:val="decimal"/>
      <w:lvlText w:val="%4."/>
      <w:lvlJc w:val="left"/>
      <w:pPr>
        <w:tabs>
          <w:tab w:val="num" w:pos="3240"/>
        </w:tabs>
        <w:ind w:left="3240" w:hanging="360"/>
      </w:pPr>
    </w:lvl>
    <w:lvl w:ilvl="4" w:tplc="0330C75E" w:tentative="1">
      <w:start w:val="1"/>
      <w:numFmt w:val="lowerLetter"/>
      <w:lvlText w:val="%5."/>
      <w:lvlJc w:val="left"/>
      <w:pPr>
        <w:tabs>
          <w:tab w:val="num" w:pos="3960"/>
        </w:tabs>
        <w:ind w:left="3960" w:hanging="360"/>
      </w:pPr>
    </w:lvl>
    <w:lvl w:ilvl="5" w:tplc="F158480E" w:tentative="1">
      <w:start w:val="1"/>
      <w:numFmt w:val="lowerRoman"/>
      <w:lvlText w:val="%6."/>
      <w:lvlJc w:val="right"/>
      <w:pPr>
        <w:tabs>
          <w:tab w:val="num" w:pos="4680"/>
        </w:tabs>
        <w:ind w:left="4680" w:hanging="180"/>
      </w:pPr>
    </w:lvl>
    <w:lvl w:ilvl="6" w:tplc="992830F0" w:tentative="1">
      <w:start w:val="1"/>
      <w:numFmt w:val="decimal"/>
      <w:lvlText w:val="%7."/>
      <w:lvlJc w:val="left"/>
      <w:pPr>
        <w:tabs>
          <w:tab w:val="num" w:pos="5400"/>
        </w:tabs>
        <w:ind w:left="5400" w:hanging="360"/>
      </w:pPr>
    </w:lvl>
    <w:lvl w:ilvl="7" w:tplc="D004C042" w:tentative="1">
      <w:start w:val="1"/>
      <w:numFmt w:val="lowerLetter"/>
      <w:lvlText w:val="%8."/>
      <w:lvlJc w:val="left"/>
      <w:pPr>
        <w:tabs>
          <w:tab w:val="num" w:pos="6120"/>
        </w:tabs>
        <w:ind w:left="6120" w:hanging="360"/>
      </w:pPr>
    </w:lvl>
    <w:lvl w:ilvl="8" w:tplc="3DCC0DF2" w:tentative="1">
      <w:start w:val="1"/>
      <w:numFmt w:val="lowerRoman"/>
      <w:lvlText w:val="%9."/>
      <w:lvlJc w:val="right"/>
      <w:pPr>
        <w:tabs>
          <w:tab w:val="num" w:pos="6840"/>
        </w:tabs>
        <w:ind w:left="6840" w:hanging="180"/>
      </w:pPr>
    </w:lvl>
  </w:abstractNum>
  <w:abstractNum w:abstractNumId="20" w15:restartNumberingAfterBreak="0">
    <w:nsid w:val="686950D9"/>
    <w:multiLevelType w:val="multilevel"/>
    <w:tmpl w:val="5EDA24F8"/>
    <w:lvl w:ilvl="0">
      <w:start w:val="1"/>
      <w:numFmt w:val="decimal"/>
      <w:pStyle w:val="Heading1"/>
      <w:lvlText w:val="%1"/>
      <w:lvlJc w:val="left"/>
      <w:pPr>
        <w:tabs>
          <w:tab w:val="num" w:pos="2558"/>
        </w:tabs>
        <w:ind w:left="2558" w:hanging="432"/>
      </w:pPr>
    </w:lvl>
    <w:lvl w:ilvl="1">
      <w:start w:val="1"/>
      <w:numFmt w:val="decimal"/>
      <w:pStyle w:val="Heading2"/>
      <w:lvlText w:val="%1.%2"/>
      <w:lvlJc w:val="left"/>
      <w:pPr>
        <w:tabs>
          <w:tab w:val="num" w:pos="2702"/>
        </w:tabs>
        <w:ind w:left="2702" w:hanging="576"/>
      </w:pPr>
      <w:rPr>
        <w:b w:val="0"/>
        <w:i w:val="0"/>
      </w:rPr>
    </w:lvl>
    <w:lvl w:ilvl="2">
      <w:start w:val="1"/>
      <w:numFmt w:val="bullet"/>
      <w:pStyle w:val="Heading3"/>
      <w:lvlText w:val=""/>
      <w:lvlJc w:val="left"/>
      <w:pPr>
        <w:tabs>
          <w:tab w:val="num" w:pos="2846"/>
        </w:tabs>
        <w:ind w:left="2846" w:hanging="720"/>
      </w:pPr>
      <w:rPr>
        <w:rFonts w:ascii="Symbol" w:hAnsi="Symbol" w:hint="default"/>
      </w:rPr>
    </w:lvl>
    <w:lvl w:ilvl="3">
      <w:start w:val="1"/>
      <w:numFmt w:val="decimal"/>
      <w:pStyle w:val="Heading4"/>
      <w:lvlText w:val="%1.%2.%3.%4"/>
      <w:lvlJc w:val="left"/>
      <w:pPr>
        <w:tabs>
          <w:tab w:val="num" w:pos="2990"/>
        </w:tabs>
        <w:ind w:left="2990" w:hanging="864"/>
      </w:pPr>
    </w:lvl>
    <w:lvl w:ilvl="4">
      <w:start w:val="1"/>
      <w:numFmt w:val="decimal"/>
      <w:pStyle w:val="Heading5"/>
      <w:lvlText w:val="%1.%2.%3.%4.%5"/>
      <w:lvlJc w:val="left"/>
      <w:pPr>
        <w:tabs>
          <w:tab w:val="num" w:pos="3134"/>
        </w:tabs>
        <w:ind w:left="3134" w:hanging="1008"/>
      </w:pPr>
    </w:lvl>
    <w:lvl w:ilvl="5">
      <w:start w:val="1"/>
      <w:numFmt w:val="decimal"/>
      <w:pStyle w:val="Heading6"/>
      <w:lvlText w:val="%1.%2.%3.%4.%5.%6"/>
      <w:lvlJc w:val="left"/>
      <w:pPr>
        <w:tabs>
          <w:tab w:val="num" w:pos="3278"/>
        </w:tabs>
        <w:ind w:left="3278" w:hanging="1152"/>
      </w:pPr>
    </w:lvl>
    <w:lvl w:ilvl="6">
      <w:start w:val="1"/>
      <w:numFmt w:val="decimal"/>
      <w:pStyle w:val="Heading7"/>
      <w:lvlText w:val="%1.%2.%3.%4.%5.%6.%7"/>
      <w:lvlJc w:val="left"/>
      <w:pPr>
        <w:tabs>
          <w:tab w:val="num" w:pos="3422"/>
        </w:tabs>
        <w:ind w:left="3422" w:hanging="1296"/>
      </w:pPr>
    </w:lvl>
    <w:lvl w:ilvl="7">
      <w:start w:val="1"/>
      <w:numFmt w:val="decimal"/>
      <w:pStyle w:val="Heading8"/>
      <w:lvlText w:val="%1.%2.%3.%4.%5.%6.%7.%8"/>
      <w:lvlJc w:val="left"/>
      <w:pPr>
        <w:tabs>
          <w:tab w:val="num" w:pos="3566"/>
        </w:tabs>
        <w:ind w:left="3566" w:hanging="1440"/>
      </w:pPr>
    </w:lvl>
    <w:lvl w:ilvl="8">
      <w:start w:val="1"/>
      <w:numFmt w:val="decimal"/>
      <w:pStyle w:val="Heading9"/>
      <w:lvlText w:val="%1.%2.%3.%4.%5.%6.%7.%8.%9"/>
      <w:lvlJc w:val="left"/>
      <w:pPr>
        <w:tabs>
          <w:tab w:val="num" w:pos="3710"/>
        </w:tabs>
        <w:ind w:left="3710" w:hanging="1584"/>
      </w:pPr>
    </w:lvl>
  </w:abstractNum>
  <w:abstractNum w:abstractNumId="21" w15:restartNumberingAfterBreak="0">
    <w:nsid w:val="741A6791"/>
    <w:multiLevelType w:val="singleLevel"/>
    <w:tmpl w:val="D6E23894"/>
    <w:lvl w:ilvl="0">
      <w:start w:val="1"/>
      <w:numFmt w:val="bullet"/>
      <w:pStyle w:val="Bullets"/>
      <w:lvlText w:val=""/>
      <w:lvlJc w:val="left"/>
      <w:pPr>
        <w:tabs>
          <w:tab w:val="num" w:pos="1440"/>
        </w:tabs>
        <w:ind w:left="1440" w:hanging="720"/>
      </w:pPr>
      <w:rPr>
        <w:rFonts w:ascii="Symbol" w:hAnsi="Symbol" w:hint="default"/>
        <w:sz w:val="20"/>
      </w:rPr>
    </w:lvl>
  </w:abstractNum>
  <w:abstractNum w:abstractNumId="22" w15:restartNumberingAfterBreak="0">
    <w:nsid w:val="74C752D2"/>
    <w:multiLevelType w:val="hybridMultilevel"/>
    <w:tmpl w:val="0568B3C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3" w15:restartNumberingAfterBreak="0">
    <w:nsid w:val="77AF5301"/>
    <w:multiLevelType w:val="hybridMultilevel"/>
    <w:tmpl w:val="364A258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4" w15:restartNumberingAfterBreak="0">
    <w:nsid w:val="7A032AF3"/>
    <w:multiLevelType w:val="hybridMultilevel"/>
    <w:tmpl w:val="CBF64B1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BBB141E"/>
    <w:multiLevelType w:val="singleLevel"/>
    <w:tmpl w:val="E6528D44"/>
    <w:lvl w:ilvl="0">
      <w:start w:val="1"/>
      <w:numFmt w:val="lowerRoman"/>
      <w:pStyle w:val="ListRoman"/>
      <w:lvlText w:val="%1)"/>
      <w:lvlJc w:val="left"/>
      <w:pPr>
        <w:tabs>
          <w:tab w:val="num" w:pos="1440"/>
        </w:tabs>
        <w:ind w:left="1440" w:hanging="720"/>
      </w:pPr>
    </w:lvl>
  </w:abstractNum>
  <w:num w:numId="1" w16cid:durableId="136266840">
    <w:abstractNumId w:val="16"/>
  </w:num>
  <w:num w:numId="2" w16cid:durableId="592397287">
    <w:abstractNumId w:val="21"/>
  </w:num>
  <w:num w:numId="3" w16cid:durableId="522593455">
    <w:abstractNumId w:val="25"/>
  </w:num>
  <w:num w:numId="4" w16cid:durableId="1529948487">
    <w:abstractNumId w:val="19"/>
  </w:num>
  <w:num w:numId="5" w16cid:durableId="1692605703">
    <w:abstractNumId w:val="13"/>
  </w:num>
  <w:num w:numId="6" w16cid:durableId="2000964259">
    <w:abstractNumId w:val="20"/>
  </w:num>
  <w:num w:numId="7" w16cid:durableId="667367596">
    <w:abstractNumId w:val="14"/>
  </w:num>
  <w:num w:numId="8" w16cid:durableId="4767311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06200296">
    <w:abstractNumId w:val="3"/>
  </w:num>
  <w:num w:numId="10" w16cid:durableId="1957632997">
    <w:abstractNumId w:val="10"/>
  </w:num>
  <w:num w:numId="11" w16cid:durableId="2106997999">
    <w:abstractNumId w:val="23"/>
  </w:num>
  <w:num w:numId="12" w16cid:durableId="1945267611">
    <w:abstractNumId w:val="11"/>
  </w:num>
  <w:num w:numId="13" w16cid:durableId="1253275112">
    <w:abstractNumId w:val="7"/>
  </w:num>
  <w:num w:numId="14" w16cid:durableId="821460889">
    <w:abstractNumId w:val="9"/>
  </w:num>
  <w:num w:numId="15" w16cid:durableId="387803290">
    <w:abstractNumId w:val="18"/>
  </w:num>
  <w:num w:numId="16" w16cid:durableId="424304595">
    <w:abstractNumId w:val="20"/>
  </w:num>
  <w:num w:numId="17" w16cid:durableId="1637838671">
    <w:abstractNumId w:val="6"/>
  </w:num>
  <w:num w:numId="18" w16cid:durableId="1836652264">
    <w:abstractNumId w:val="22"/>
  </w:num>
  <w:num w:numId="19" w16cid:durableId="285091019">
    <w:abstractNumId w:val="15"/>
  </w:num>
  <w:num w:numId="20" w16cid:durableId="1317805669">
    <w:abstractNumId w:val="20"/>
  </w:num>
  <w:num w:numId="21" w16cid:durableId="1839079854">
    <w:abstractNumId w:val="20"/>
  </w:num>
  <w:num w:numId="22" w16cid:durableId="934555180">
    <w:abstractNumId w:val="17"/>
  </w:num>
  <w:num w:numId="23" w16cid:durableId="1027220861">
    <w:abstractNumId w:val="0"/>
  </w:num>
  <w:num w:numId="24" w16cid:durableId="1647856113">
    <w:abstractNumId w:val="24"/>
  </w:num>
  <w:num w:numId="25" w16cid:durableId="1407848510">
    <w:abstractNumId w:val="8"/>
  </w:num>
  <w:num w:numId="26" w16cid:durableId="1220940769">
    <w:abstractNumId w:val="5"/>
  </w:num>
  <w:num w:numId="27" w16cid:durableId="169954194">
    <w:abstractNumId w:val="20"/>
  </w:num>
  <w:num w:numId="28" w16cid:durableId="833377180">
    <w:abstractNumId w:val="4"/>
  </w:num>
  <w:num w:numId="29" w16cid:durableId="108284575">
    <w:abstractNumId w:val="20"/>
  </w:num>
  <w:num w:numId="30" w16cid:durableId="1963999490">
    <w:abstractNumId w:val="2"/>
  </w:num>
  <w:num w:numId="31" w16cid:durableId="314800571">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B76"/>
    <w:rsid w:val="000001E4"/>
    <w:rsid w:val="00000A67"/>
    <w:rsid w:val="00000AE1"/>
    <w:rsid w:val="00000B72"/>
    <w:rsid w:val="00000E29"/>
    <w:rsid w:val="00001057"/>
    <w:rsid w:val="00001132"/>
    <w:rsid w:val="000017BF"/>
    <w:rsid w:val="00001826"/>
    <w:rsid w:val="00001AA7"/>
    <w:rsid w:val="00001CB0"/>
    <w:rsid w:val="00001E6B"/>
    <w:rsid w:val="000022D5"/>
    <w:rsid w:val="000025A0"/>
    <w:rsid w:val="00002607"/>
    <w:rsid w:val="000027CC"/>
    <w:rsid w:val="00002AC6"/>
    <w:rsid w:val="00003081"/>
    <w:rsid w:val="00003264"/>
    <w:rsid w:val="00003816"/>
    <w:rsid w:val="000038C3"/>
    <w:rsid w:val="00003A2B"/>
    <w:rsid w:val="00003C8B"/>
    <w:rsid w:val="00003CD2"/>
    <w:rsid w:val="00004273"/>
    <w:rsid w:val="0000470C"/>
    <w:rsid w:val="00004C27"/>
    <w:rsid w:val="00004EB9"/>
    <w:rsid w:val="00004FAA"/>
    <w:rsid w:val="0000555D"/>
    <w:rsid w:val="000056B7"/>
    <w:rsid w:val="00005935"/>
    <w:rsid w:val="00005B4F"/>
    <w:rsid w:val="00005B68"/>
    <w:rsid w:val="00005D89"/>
    <w:rsid w:val="00005F48"/>
    <w:rsid w:val="000063F9"/>
    <w:rsid w:val="00006688"/>
    <w:rsid w:val="00006A0B"/>
    <w:rsid w:val="00006AA3"/>
    <w:rsid w:val="00007553"/>
    <w:rsid w:val="000076E2"/>
    <w:rsid w:val="00007AEF"/>
    <w:rsid w:val="00007D53"/>
    <w:rsid w:val="00010706"/>
    <w:rsid w:val="00010779"/>
    <w:rsid w:val="0001081C"/>
    <w:rsid w:val="00010908"/>
    <w:rsid w:val="00010B05"/>
    <w:rsid w:val="00010B89"/>
    <w:rsid w:val="00011852"/>
    <w:rsid w:val="00011CEA"/>
    <w:rsid w:val="0001282F"/>
    <w:rsid w:val="00012A40"/>
    <w:rsid w:val="00012DC2"/>
    <w:rsid w:val="00013633"/>
    <w:rsid w:val="00013840"/>
    <w:rsid w:val="0001402E"/>
    <w:rsid w:val="0001441B"/>
    <w:rsid w:val="000146CE"/>
    <w:rsid w:val="00014C58"/>
    <w:rsid w:val="00014DCC"/>
    <w:rsid w:val="00015430"/>
    <w:rsid w:val="000157B8"/>
    <w:rsid w:val="00015AC5"/>
    <w:rsid w:val="00015B79"/>
    <w:rsid w:val="00015BF9"/>
    <w:rsid w:val="00015F2D"/>
    <w:rsid w:val="00015FD6"/>
    <w:rsid w:val="000166B2"/>
    <w:rsid w:val="000167FC"/>
    <w:rsid w:val="00016BD3"/>
    <w:rsid w:val="00016C41"/>
    <w:rsid w:val="00016F70"/>
    <w:rsid w:val="00016FF4"/>
    <w:rsid w:val="000176B7"/>
    <w:rsid w:val="00017BA2"/>
    <w:rsid w:val="00017D33"/>
    <w:rsid w:val="0002038C"/>
    <w:rsid w:val="00020897"/>
    <w:rsid w:val="00020BF6"/>
    <w:rsid w:val="00020CFE"/>
    <w:rsid w:val="00020D2C"/>
    <w:rsid w:val="00021284"/>
    <w:rsid w:val="000212AE"/>
    <w:rsid w:val="00021374"/>
    <w:rsid w:val="000214E1"/>
    <w:rsid w:val="000217DC"/>
    <w:rsid w:val="00021807"/>
    <w:rsid w:val="000218D4"/>
    <w:rsid w:val="00021E7E"/>
    <w:rsid w:val="00022364"/>
    <w:rsid w:val="00022902"/>
    <w:rsid w:val="00022AB1"/>
    <w:rsid w:val="00022AFF"/>
    <w:rsid w:val="00022C60"/>
    <w:rsid w:val="0002336C"/>
    <w:rsid w:val="000236B8"/>
    <w:rsid w:val="000238C2"/>
    <w:rsid w:val="00023EE8"/>
    <w:rsid w:val="00023FAC"/>
    <w:rsid w:val="00024181"/>
    <w:rsid w:val="00024372"/>
    <w:rsid w:val="00024BE8"/>
    <w:rsid w:val="00024C01"/>
    <w:rsid w:val="000250FA"/>
    <w:rsid w:val="000252B7"/>
    <w:rsid w:val="000255CB"/>
    <w:rsid w:val="0002572D"/>
    <w:rsid w:val="000257DB"/>
    <w:rsid w:val="00025D61"/>
    <w:rsid w:val="00026452"/>
    <w:rsid w:val="00026D5D"/>
    <w:rsid w:val="00026D71"/>
    <w:rsid w:val="00026E55"/>
    <w:rsid w:val="00026FE0"/>
    <w:rsid w:val="000279F0"/>
    <w:rsid w:val="00027ABE"/>
    <w:rsid w:val="00027BBA"/>
    <w:rsid w:val="00027C59"/>
    <w:rsid w:val="00027DA9"/>
    <w:rsid w:val="00027E8D"/>
    <w:rsid w:val="0003000D"/>
    <w:rsid w:val="00030027"/>
    <w:rsid w:val="00030358"/>
    <w:rsid w:val="000304FE"/>
    <w:rsid w:val="000305EC"/>
    <w:rsid w:val="00030955"/>
    <w:rsid w:val="00030CE3"/>
    <w:rsid w:val="00030D2A"/>
    <w:rsid w:val="00031018"/>
    <w:rsid w:val="0003127D"/>
    <w:rsid w:val="000312B1"/>
    <w:rsid w:val="00031420"/>
    <w:rsid w:val="00031BF9"/>
    <w:rsid w:val="00031E43"/>
    <w:rsid w:val="0003262B"/>
    <w:rsid w:val="0003287A"/>
    <w:rsid w:val="00032B49"/>
    <w:rsid w:val="00032D93"/>
    <w:rsid w:val="00033125"/>
    <w:rsid w:val="000334E2"/>
    <w:rsid w:val="000336A4"/>
    <w:rsid w:val="00033BCC"/>
    <w:rsid w:val="00033F1F"/>
    <w:rsid w:val="00034036"/>
    <w:rsid w:val="0003453C"/>
    <w:rsid w:val="0003467D"/>
    <w:rsid w:val="00034B51"/>
    <w:rsid w:val="00034CB1"/>
    <w:rsid w:val="00034D1C"/>
    <w:rsid w:val="000351DE"/>
    <w:rsid w:val="0003572F"/>
    <w:rsid w:val="000357B4"/>
    <w:rsid w:val="0003584F"/>
    <w:rsid w:val="00035ADF"/>
    <w:rsid w:val="00035BA4"/>
    <w:rsid w:val="00035C52"/>
    <w:rsid w:val="00035D55"/>
    <w:rsid w:val="00035DB8"/>
    <w:rsid w:val="00035F99"/>
    <w:rsid w:val="00036081"/>
    <w:rsid w:val="0003647C"/>
    <w:rsid w:val="0003652D"/>
    <w:rsid w:val="000365C0"/>
    <w:rsid w:val="000365D2"/>
    <w:rsid w:val="00036692"/>
    <w:rsid w:val="00036795"/>
    <w:rsid w:val="00036B77"/>
    <w:rsid w:val="00036EA6"/>
    <w:rsid w:val="000374BB"/>
    <w:rsid w:val="000377E6"/>
    <w:rsid w:val="00037B2D"/>
    <w:rsid w:val="00037CFB"/>
    <w:rsid w:val="00040838"/>
    <w:rsid w:val="000408BB"/>
    <w:rsid w:val="00040B99"/>
    <w:rsid w:val="00040BAC"/>
    <w:rsid w:val="00041456"/>
    <w:rsid w:val="00041583"/>
    <w:rsid w:val="00041910"/>
    <w:rsid w:val="00041A08"/>
    <w:rsid w:val="0004231B"/>
    <w:rsid w:val="000426E2"/>
    <w:rsid w:val="0004272D"/>
    <w:rsid w:val="00042961"/>
    <w:rsid w:val="00042FDE"/>
    <w:rsid w:val="000432BC"/>
    <w:rsid w:val="000432C9"/>
    <w:rsid w:val="000433B1"/>
    <w:rsid w:val="000434A0"/>
    <w:rsid w:val="000434DE"/>
    <w:rsid w:val="000435E7"/>
    <w:rsid w:val="00043612"/>
    <w:rsid w:val="00043681"/>
    <w:rsid w:val="00043758"/>
    <w:rsid w:val="00043B3D"/>
    <w:rsid w:val="00044006"/>
    <w:rsid w:val="00044107"/>
    <w:rsid w:val="00044336"/>
    <w:rsid w:val="000447E3"/>
    <w:rsid w:val="00044D49"/>
    <w:rsid w:val="00044E4F"/>
    <w:rsid w:val="00044E5D"/>
    <w:rsid w:val="00045A94"/>
    <w:rsid w:val="00045AD7"/>
    <w:rsid w:val="00045BB6"/>
    <w:rsid w:val="00045F36"/>
    <w:rsid w:val="00046426"/>
    <w:rsid w:val="000468E6"/>
    <w:rsid w:val="00046CEA"/>
    <w:rsid w:val="0004761A"/>
    <w:rsid w:val="0004766C"/>
    <w:rsid w:val="0004771F"/>
    <w:rsid w:val="00047973"/>
    <w:rsid w:val="0005028D"/>
    <w:rsid w:val="00050698"/>
    <w:rsid w:val="00050B15"/>
    <w:rsid w:val="0005138A"/>
    <w:rsid w:val="00051EC1"/>
    <w:rsid w:val="0005206C"/>
    <w:rsid w:val="000534C6"/>
    <w:rsid w:val="000535EA"/>
    <w:rsid w:val="00053793"/>
    <w:rsid w:val="00053B76"/>
    <w:rsid w:val="00053FFF"/>
    <w:rsid w:val="00054070"/>
    <w:rsid w:val="0005416B"/>
    <w:rsid w:val="0005432C"/>
    <w:rsid w:val="00054B0B"/>
    <w:rsid w:val="00054C2A"/>
    <w:rsid w:val="00054D73"/>
    <w:rsid w:val="0005530B"/>
    <w:rsid w:val="00055430"/>
    <w:rsid w:val="00055451"/>
    <w:rsid w:val="000558A7"/>
    <w:rsid w:val="00055DEF"/>
    <w:rsid w:val="00056427"/>
    <w:rsid w:val="0005663A"/>
    <w:rsid w:val="00056702"/>
    <w:rsid w:val="00056B08"/>
    <w:rsid w:val="000571CE"/>
    <w:rsid w:val="000576D5"/>
    <w:rsid w:val="00057AC4"/>
    <w:rsid w:val="00057DCC"/>
    <w:rsid w:val="00060854"/>
    <w:rsid w:val="00060DB9"/>
    <w:rsid w:val="00060E8C"/>
    <w:rsid w:val="000614A6"/>
    <w:rsid w:val="00061725"/>
    <w:rsid w:val="000617C1"/>
    <w:rsid w:val="00061DB6"/>
    <w:rsid w:val="00061FFF"/>
    <w:rsid w:val="00062577"/>
    <w:rsid w:val="000629C8"/>
    <w:rsid w:val="00062DA2"/>
    <w:rsid w:val="00062DC9"/>
    <w:rsid w:val="00062E7D"/>
    <w:rsid w:val="0006304C"/>
    <w:rsid w:val="000630FE"/>
    <w:rsid w:val="000631E7"/>
    <w:rsid w:val="00063243"/>
    <w:rsid w:val="00063290"/>
    <w:rsid w:val="00063382"/>
    <w:rsid w:val="000635DC"/>
    <w:rsid w:val="0006362B"/>
    <w:rsid w:val="00063738"/>
    <w:rsid w:val="00063932"/>
    <w:rsid w:val="00063A28"/>
    <w:rsid w:val="00063ACE"/>
    <w:rsid w:val="00063DF0"/>
    <w:rsid w:val="00063E5C"/>
    <w:rsid w:val="00063FD1"/>
    <w:rsid w:val="000642E9"/>
    <w:rsid w:val="0006434B"/>
    <w:rsid w:val="000645F8"/>
    <w:rsid w:val="00064AC2"/>
    <w:rsid w:val="00064AEA"/>
    <w:rsid w:val="00064EA8"/>
    <w:rsid w:val="00065049"/>
    <w:rsid w:val="000650CD"/>
    <w:rsid w:val="00065441"/>
    <w:rsid w:val="0006568C"/>
    <w:rsid w:val="000656DE"/>
    <w:rsid w:val="00065834"/>
    <w:rsid w:val="00065C6F"/>
    <w:rsid w:val="00065D1E"/>
    <w:rsid w:val="00066059"/>
    <w:rsid w:val="000661CF"/>
    <w:rsid w:val="00066380"/>
    <w:rsid w:val="000664B1"/>
    <w:rsid w:val="00066722"/>
    <w:rsid w:val="0006691F"/>
    <w:rsid w:val="00066CEF"/>
    <w:rsid w:val="000671E7"/>
    <w:rsid w:val="00067324"/>
    <w:rsid w:val="00067669"/>
    <w:rsid w:val="0006768B"/>
    <w:rsid w:val="0006785F"/>
    <w:rsid w:val="00067DC9"/>
    <w:rsid w:val="00067DDF"/>
    <w:rsid w:val="0007010D"/>
    <w:rsid w:val="00070492"/>
    <w:rsid w:val="00070649"/>
    <w:rsid w:val="00070B48"/>
    <w:rsid w:val="00071079"/>
    <w:rsid w:val="0007127C"/>
    <w:rsid w:val="000712E6"/>
    <w:rsid w:val="000714FA"/>
    <w:rsid w:val="0007167E"/>
    <w:rsid w:val="000717FC"/>
    <w:rsid w:val="00071E0F"/>
    <w:rsid w:val="00072131"/>
    <w:rsid w:val="000722FC"/>
    <w:rsid w:val="0007231C"/>
    <w:rsid w:val="00072BA6"/>
    <w:rsid w:val="00073159"/>
    <w:rsid w:val="00073278"/>
    <w:rsid w:val="0007344A"/>
    <w:rsid w:val="000738F4"/>
    <w:rsid w:val="0007393B"/>
    <w:rsid w:val="00073BB0"/>
    <w:rsid w:val="0007432D"/>
    <w:rsid w:val="000746A3"/>
    <w:rsid w:val="0007472A"/>
    <w:rsid w:val="00074798"/>
    <w:rsid w:val="00074D12"/>
    <w:rsid w:val="00074DBE"/>
    <w:rsid w:val="0007516D"/>
    <w:rsid w:val="00075654"/>
    <w:rsid w:val="00075709"/>
    <w:rsid w:val="00075AD6"/>
    <w:rsid w:val="00075C0B"/>
    <w:rsid w:val="00075F83"/>
    <w:rsid w:val="0007609D"/>
    <w:rsid w:val="00076362"/>
    <w:rsid w:val="000765E6"/>
    <w:rsid w:val="00076E90"/>
    <w:rsid w:val="00076FA2"/>
    <w:rsid w:val="00076FDB"/>
    <w:rsid w:val="0007789F"/>
    <w:rsid w:val="00077EE9"/>
    <w:rsid w:val="000802F0"/>
    <w:rsid w:val="000805AE"/>
    <w:rsid w:val="0008076D"/>
    <w:rsid w:val="000809BE"/>
    <w:rsid w:val="00080EFF"/>
    <w:rsid w:val="000817D8"/>
    <w:rsid w:val="0008198E"/>
    <w:rsid w:val="000819D0"/>
    <w:rsid w:val="00081A0A"/>
    <w:rsid w:val="00081E8E"/>
    <w:rsid w:val="000822A1"/>
    <w:rsid w:val="000823A8"/>
    <w:rsid w:val="00082785"/>
    <w:rsid w:val="00082E3F"/>
    <w:rsid w:val="00082EEF"/>
    <w:rsid w:val="000830D4"/>
    <w:rsid w:val="000832AF"/>
    <w:rsid w:val="00083485"/>
    <w:rsid w:val="000835F9"/>
    <w:rsid w:val="00083936"/>
    <w:rsid w:val="00083A32"/>
    <w:rsid w:val="00083DC0"/>
    <w:rsid w:val="00083F92"/>
    <w:rsid w:val="000846F3"/>
    <w:rsid w:val="00084E69"/>
    <w:rsid w:val="0008631B"/>
    <w:rsid w:val="00086656"/>
    <w:rsid w:val="00086861"/>
    <w:rsid w:val="00086B79"/>
    <w:rsid w:val="00086FC2"/>
    <w:rsid w:val="00087B2E"/>
    <w:rsid w:val="00087D0D"/>
    <w:rsid w:val="00090BDE"/>
    <w:rsid w:val="000913FE"/>
    <w:rsid w:val="000915F0"/>
    <w:rsid w:val="000918CB"/>
    <w:rsid w:val="00091ECF"/>
    <w:rsid w:val="00092097"/>
    <w:rsid w:val="000922D2"/>
    <w:rsid w:val="000923D8"/>
    <w:rsid w:val="000928B7"/>
    <w:rsid w:val="00092C4D"/>
    <w:rsid w:val="00092DC3"/>
    <w:rsid w:val="000931D0"/>
    <w:rsid w:val="0009320A"/>
    <w:rsid w:val="00093217"/>
    <w:rsid w:val="00093308"/>
    <w:rsid w:val="00093DF1"/>
    <w:rsid w:val="00093EFD"/>
    <w:rsid w:val="00093FEB"/>
    <w:rsid w:val="00094D76"/>
    <w:rsid w:val="00094F95"/>
    <w:rsid w:val="000955B3"/>
    <w:rsid w:val="000957D6"/>
    <w:rsid w:val="000963BD"/>
    <w:rsid w:val="00096957"/>
    <w:rsid w:val="000969DD"/>
    <w:rsid w:val="00096BCC"/>
    <w:rsid w:val="00096CAF"/>
    <w:rsid w:val="00096D8C"/>
    <w:rsid w:val="00096F79"/>
    <w:rsid w:val="000971C9"/>
    <w:rsid w:val="00097560"/>
    <w:rsid w:val="00097C8B"/>
    <w:rsid w:val="00097CE5"/>
    <w:rsid w:val="00097ED8"/>
    <w:rsid w:val="000A02F5"/>
    <w:rsid w:val="000A09D4"/>
    <w:rsid w:val="000A0EFA"/>
    <w:rsid w:val="000A0EFF"/>
    <w:rsid w:val="000A11FE"/>
    <w:rsid w:val="000A1261"/>
    <w:rsid w:val="000A165F"/>
    <w:rsid w:val="000A1BCD"/>
    <w:rsid w:val="000A1E5E"/>
    <w:rsid w:val="000A220B"/>
    <w:rsid w:val="000A2476"/>
    <w:rsid w:val="000A24A8"/>
    <w:rsid w:val="000A30B5"/>
    <w:rsid w:val="000A3298"/>
    <w:rsid w:val="000A3308"/>
    <w:rsid w:val="000A36B6"/>
    <w:rsid w:val="000A3827"/>
    <w:rsid w:val="000A3871"/>
    <w:rsid w:val="000A3BA8"/>
    <w:rsid w:val="000A3D9B"/>
    <w:rsid w:val="000A3FC3"/>
    <w:rsid w:val="000A41E3"/>
    <w:rsid w:val="000A4596"/>
    <w:rsid w:val="000A4D02"/>
    <w:rsid w:val="000A4E25"/>
    <w:rsid w:val="000A50A1"/>
    <w:rsid w:val="000A524F"/>
    <w:rsid w:val="000A52B8"/>
    <w:rsid w:val="000A53D4"/>
    <w:rsid w:val="000A5AAB"/>
    <w:rsid w:val="000A616D"/>
    <w:rsid w:val="000A62AC"/>
    <w:rsid w:val="000A6826"/>
    <w:rsid w:val="000A734C"/>
    <w:rsid w:val="000A75D2"/>
    <w:rsid w:val="000A771C"/>
    <w:rsid w:val="000A7C76"/>
    <w:rsid w:val="000B0386"/>
    <w:rsid w:val="000B05F3"/>
    <w:rsid w:val="000B072F"/>
    <w:rsid w:val="000B07C8"/>
    <w:rsid w:val="000B09D1"/>
    <w:rsid w:val="000B0E26"/>
    <w:rsid w:val="000B1048"/>
    <w:rsid w:val="000B181E"/>
    <w:rsid w:val="000B1E12"/>
    <w:rsid w:val="000B1E6B"/>
    <w:rsid w:val="000B24EC"/>
    <w:rsid w:val="000B25E7"/>
    <w:rsid w:val="000B2A1A"/>
    <w:rsid w:val="000B31F0"/>
    <w:rsid w:val="000B3249"/>
    <w:rsid w:val="000B32F5"/>
    <w:rsid w:val="000B3D46"/>
    <w:rsid w:val="000B3E5D"/>
    <w:rsid w:val="000B426F"/>
    <w:rsid w:val="000B45F5"/>
    <w:rsid w:val="000B4651"/>
    <w:rsid w:val="000B48D5"/>
    <w:rsid w:val="000B5131"/>
    <w:rsid w:val="000B55DF"/>
    <w:rsid w:val="000B567B"/>
    <w:rsid w:val="000B5863"/>
    <w:rsid w:val="000B5C0E"/>
    <w:rsid w:val="000B5DCB"/>
    <w:rsid w:val="000B5DF3"/>
    <w:rsid w:val="000B5EB2"/>
    <w:rsid w:val="000B5ED6"/>
    <w:rsid w:val="000B60B0"/>
    <w:rsid w:val="000B62B9"/>
    <w:rsid w:val="000B6304"/>
    <w:rsid w:val="000B6580"/>
    <w:rsid w:val="000B6641"/>
    <w:rsid w:val="000B66F2"/>
    <w:rsid w:val="000B6C0A"/>
    <w:rsid w:val="000B6D32"/>
    <w:rsid w:val="000B7E02"/>
    <w:rsid w:val="000C0BC0"/>
    <w:rsid w:val="000C0F55"/>
    <w:rsid w:val="000C147F"/>
    <w:rsid w:val="000C14E9"/>
    <w:rsid w:val="000C1B04"/>
    <w:rsid w:val="000C1CC1"/>
    <w:rsid w:val="000C1D31"/>
    <w:rsid w:val="000C2456"/>
    <w:rsid w:val="000C2AA5"/>
    <w:rsid w:val="000C2AAF"/>
    <w:rsid w:val="000C2CC7"/>
    <w:rsid w:val="000C2CCC"/>
    <w:rsid w:val="000C2CD3"/>
    <w:rsid w:val="000C32D2"/>
    <w:rsid w:val="000C33AD"/>
    <w:rsid w:val="000C3B50"/>
    <w:rsid w:val="000C3B63"/>
    <w:rsid w:val="000C3C6C"/>
    <w:rsid w:val="000C42C3"/>
    <w:rsid w:val="000C47B9"/>
    <w:rsid w:val="000C48E4"/>
    <w:rsid w:val="000C49C6"/>
    <w:rsid w:val="000C4A34"/>
    <w:rsid w:val="000C4FB2"/>
    <w:rsid w:val="000C5318"/>
    <w:rsid w:val="000C5B49"/>
    <w:rsid w:val="000C5C15"/>
    <w:rsid w:val="000C5F09"/>
    <w:rsid w:val="000C5F33"/>
    <w:rsid w:val="000C6097"/>
    <w:rsid w:val="000C66DC"/>
    <w:rsid w:val="000C677A"/>
    <w:rsid w:val="000C6822"/>
    <w:rsid w:val="000C6A31"/>
    <w:rsid w:val="000C6D52"/>
    <w:rsid w:val="000C6F1C"/>
    <w:rsid w:val="000C702A"/>
    <w:rsid w:val="000C7B55"/>
    <w:rsid w:val="000C7BC1"/>
    <w:rsid w:val="000D07ED"/>
    <w:rsid w:val="000D081E"/>
    <w:rsid w:val="000D08DD"/>
    <w:rsid w:val="000D094E"/>
    <w:rsid w:val="000D1671"/>
    <w:rsid w:val="000D1B65"/>
    <w:rsid w:val="000D2649"/>
    <w:rsid w:val="000D26B0"/>
    <w:rsid w:val="000D28ED"/>
    <w:rsid w:val="000D29A3"/>
    <w:rsid w:val="000D2D18"/>
    <w:rsid w:val="000D352F"/>
    <w:rsid w:val="000D3539"/>
    <w:rsid w:val="000D35BB"/>
    <w:rsid w:val="000D362A"/>
    <w:rsid w:val="000D3768"/>
    <w:rsid w:val="000D3A0D"/>
    <w:rsid w:val="000D3C50"/>
    <w:rsid w:val="000D3F25"/>
    <w:rsid w:val="000D3F62"/>
    <w:rsid w:val="000D40A5"/>
    <w:rsid w:val="000D4379"/>
    <w:rsid w:val="000D437D"/>
    <w:rsid w:val="000D48D7"/>
    <w:rsid w:val="000D4A9D"/>
    <w:rsid w:val="000D5194"/>
    <w:rsid w:val="000D51B9"/>
    <w:rsid w:val="000D5364"/>
    <w:rsid w:val="000D53B6"/>
    <w:rsid w:val="000D5775"/>
    <w:rsid w:val="000D57C7"/>
    <w:rsid w:val="000D5A82"/>
    <w:rsid w:val="000D65B7"/>
    <w:rsid w:val="000D681E"/>
    <w:rsid w:val="000D6DFF"/>
    <w:rsid w:val="000D748E"/>
    <w:rsid w:val="000D7A3B"/>
    <w:rsid w:val="000D7B36"/>
    <w:rsid w:val="000D7D70"/>
    <w:rsid w:val="000D7EB4"/>
    <w:rsid w:val="000E03AB"/>
    <w:rsid w:val="000E1355"/>
    <w:rsid w:val="000E143E"/>
    <w:rsid w:val="000E158E"/>
    <w:rsid w:val="000E1849"/>
    <w:rsid w:val="000E1C02"/>
    <w:rsid w:val="000E202D"/>
    <w:rsid w:val="000E2156"/>
    <w:rsid w:val="000E2196"/>
    <w:rsid w:val="000E285B"/>
    <w:rsid w:val="000E29DE"/>
    <w:rsid w:val="000E2E29"/>
    <w:rsid w:val="000E30EE"/>
    <w:rsid w:val="000E339A"/>
    <w:rsid w:val="000E33E4"/>
    <w:rsid w:val="000E3828"/>
    <w:rsid w:val="000E3992"/>
    <w:rsid w:val="000E3BC3"/>
    <w:rsid w:val="000E54FA"/>
    <w:rsid w:val="000E553B"/>
    <w:rsid w:val="000E5589"/>
    <w:rsid w:val="000E562B"/>
    <w:rsid w:val="000E5A59"/>
    <w:rsid w:val="000E601C"/>
    <w:rsid w:val="000E62DB"/>
    <w:rsid w:val="000E6EA3"/>
    <w:rsid w:val="000E7142"/>
    <w:rsid w:val="000E77B3"/>
    <w:rsid w:val="000E77B4"/>
    <w:rsid w:val="000E7BDC"/>
    <w:rsid w:val="000E7C54"/>
    <w:rsid w:val="000E7D16"/>
    <w:rsid w:val="000E7E03"/>
    <w:rsid w:val="000E7F21"/>
    <w:rsid w:val="000F0779"/>
    <w:rsid w:val="000F09E5"/>
    <w:rsid w:val="000F0A08"/>
    <w:rsid w:val="000F1239"/>
    <w:rsid w:val="000F14D5"/>
    <w:rsid w:val="000F1DDA"/>
    <w:rsid w:val="000F1E63"/>
    <w:rsid w:val="000F228E"/>
    <w:rsid w:val="000F26C0"/>
    <w:rsid w:val="000F2855"/>
    <w:rsid w:val="000F2943"/>
    <w:rsid w:val="000F33C5"/>
    <w:rsid w:val="000F356D"/>
    <w:rsid w:val="000F38CC"/>
    <w:rsid w:val="000F3EBB"/>
    <w:rsid w:val="000F3F66"/>
    <w:rsid w:val="000F4952"/>
    <w:rsid w:val="000F4970"/>
    <w:rsid w:val="000F49B4"/>
    <w:rsid w:val="000F5152"/>
    <w:rsid w:val="000F55A5"/>
    <w:rsid w:val="000F568E"/>
    <w:rsid w:val="000F58A2"/>
    <w:rsid w:val="000F5ECC"/>
    <w:rsid w:val="000F6133"/>
    <w:rsid w:val="000F63DD"/>
    <w:rsid w:val="000F6C08"/>
    <w:rsid w:val="000F6F25"/>
    <w:rsid w:val="000F6FE5"/>
    <w:rsid w:val="000F7305"/>
    <w:rsid w:val="000F7BF9"/>
    <w:rsid w:val="00100040"/>
    <w:rsid w:val="00100098"/>
    <w:rsid w:val="001001FC"/>
    <w:rsid w:val="001003EA"/>
    <w:rsid w:val="00100883"/>
    <w:rsid w:val="00100A4D"/>
    <w:rsid w:val="00100BAA"/>
    <w:rsid w:val="00100E5B"/>
    <w:rsid w:val="001010EA"/>
    <w:rsid w:val="001011A3"/>
    <w:rsid w:val="0010145B"/>
    <w:rsid w:val="00101740"/>
    <w:rsid w:val="0010190A"/>
    <w:rsid w:val="00101CE7"/>
    <w:rsid w:val="00102097"/>
    <w:rsid w:val="001024E0"/>
    <w:rsid w:val="00102631"/>
    <w:rsid w:val="00102E89"/>
    <w:rsid w:val="0010307E"/>
    <w:rsid w:val="00103123"/>
    <w:rsid w:val="0010318F"/>
    <w:rsid w:val="00103243"/>
    <w:rsid w:val="001036C9"/>
    <w:rsid w:val="00103807"/>
    <w:rsid w:val="00103828"/>
    <w:rsid w:val="00103AA8"/>
    <w:rsid w:val="00103BF6"/>
    <w:rsid w:val="00103D46"/>
    <w:rsid w:val="00103EFD"/>
    <w:rsid w:val="00104274"/>
    <w:rsid w:val="001049D6"/>
    <w:rsid w:val="00104A5A"/>
    <w:rsid w:val="00104CE0"/>
    <w:rsid w:val="00104FBE"/>
    <w:rsid w:val="00104FEF"/>
    <w:rsid w:val="001053C8"/>
    <w:rsid w:val="00105625"/>
    <w:rsid w:val="00105898"/>
    <w:rsid w:val="001061D2"/>
    <w:rsid w:val="0010668F"/>
    <w:rsid w:val="00106706"/>
    <w:rsid w:val="00106839"/>
    <w:rsid w:val="00106B89"/>
    <w:rsid w:val="00106E73"/>
    <w:rsid w:val="0010722E"/>
    <w:rsid w:val="00107A1F"/>
    <w:rsid w:val="00107B56"/>
    <w:rsid w:val="00107D58"/>
    <w:rsid w:val="00107F9B"/>
    <w:rsid w:val="00110254"/>
    <w:rsid w:val="00110259"/>
    <w:rsid w:val="001102E3"/>
    <w:rsid w:val="00110A4E"/>
    <w:rsid w:val="00110AC7"/>
    <w:rsid w:val="001112B3"/>
    <w:rsid w:val="00111758"/>
    <w:rsid w:val="00111D60"/>
    <w:rsid w:val="00112067"/>
    <w:rsid w:val="001122E1"/>
    <w:rsid w:val="001123AF"/>
    <w:rsid w:val="001123B2"/>
    <w:rsid w:val="0011243E"/>
    <w:rsid w:val="0011298B"/>
    <w:rsid w:val="001129F0"/>
    <w:rsid w:val="00112A26"/>
    <w:rsid w:val="00113002"/>
    <w:rsid w:val="00113026"/>
    <w:rsid w:val="00113477"/>
    <w:rsid w:val="00113708"/>
    <w:rsid w:val="001139A4"/>
    <w:rsid w:val="00114121"/>
    <w:rsid w:val="001142CC"/>
    <w:rsid w:val="001143AA"/>
    <w:rsid w:val="00114925"/>
    <w:rsid w:val="001149F5"/>
    <w:rsid w:val="00114C06"/>
    <w:rsid w:val="00114DA0"/>
    <w:rsid w:val="00114E08"/>
    <w:rsid w:val="0011546B"/>
    <w:rsid w:val="001154CE"/>
    <w:rsid w:val="00115C56"/>
    <w:rsid w:val="0011608C"/>
    <w:rsid w:val="00116125"/>
    <w:rsid w:val="001164BC"/>
    <w:rsid w:val="0011666F"/>
    <w:rsid w:val="00116711"/>
    <w:rsid w:val="00116A73"/>
    <w:rsid w:val="00116C33"/>
    <w:rsid w:val="00116CA8"/>
    <w:rsid w:val="00116CE5"/>
    <w:rsid w:val="00116D23"/>
    <w:rsid w:val="00116E0D"/>
    <w:rsid w:val="00116EA2"/>
    <w:rsid w:val="00117093"/>
    <w:rsid w:val="001174E8"/>
    <w:rsid w:val="00117554"/>
    <w:rsid w:val="00117A21"/>
    <w:rsid w:val="00117CE0"/>
    <w:rsid w:val="00117E9F"/>
    <w:rsid w:val="00117EE0"/>
    <w:rsid w:val="00120621"/>
    <w:rsid w:val="001206EE"/>
    <w:rsid w:val="00120A45"/>
    <w:rsid w:val="00120C16"/>
    <w:rsid w:val="00121604"/>
    <w:rsid w:val="00121854"/>
    <w:rsid w:val="001218B8"/>
    <w:rsid w:val="00121DB0"/>
    <w:rsid w:val="00121E0B"/>
    <w:rsid w:val="00122239"/>
    <w:rsid w:val="001222C3"/>
    <w:rsid w:val="0012231F"/>
    <w:rsid w:val="00122393"/>
    <w:rsid w:val="001223F3"/>
    <w:rsid w:val="001229E0"/>
    <w:rsid w:val="00122B5C"/>
    <w:rsid w:val="00122BCC"/>
    <w:rsid w:val="00122C12"/>
    <w:rsid w:val="00123527"/>
    <w:rsid w:val="00123B4A"/>
    <w:rsid w:val="00123F04"/>
    <w:rsid w:val="00124166"/>
    <w:rsid w:val="0012468F"/>
    <w:rsid w:val="00124A32"/>
    <w:rsid w:val="00124BD7"/>
    <w:rsid w:val="00124CD5"/>
    <w:rsid w:val="00124CD7"/>
    <w:rsid w:val="00124D51"/>
    <w:rsid w:val="00124EF6"/>
    <w:rsid w:val="00125057"/>
    <w:rsid w:val="001250AD"/>
    <w:rsid w:val="0012513D"/>
    <w:rsid w:val="001252C7"/>
    <w:rsid w:val="0012543D"/>
    <w:rsid w:val="0012545D"/>
    <w:rsid w:val="00125883"/>
    <w:rsid w:val="001259FE"/>
    <w:rsid w:val="00125B03"/>
    <w:rsid w:val="00126301"/>
    <w:rsid w:val="0012643D"/>
    <w:rsid w:val="00126457"/>
    <w:rsid w:val="00126695"/>
    <w:rsid w:val="00126B89"/>
    <w:rsid w:val="00126CEB"/>
    <w:rsid w:val="00126EBE"/>
    <w:rsid w:val="00126F30"/>
    <w:rsid w:val="00126FA0"/>
    <w:rsid w:val="00127389"/>
    <w:rsid w:val="0012741E"/>
    <w:rsid w:val="00127726"/>
    <w:rsid w:val="001278EA"/>
    <w:rsid w:val="001279DB"/>
    <w:rsid w:val="001279F6"/>
    <w:rsid w:val="00127DBB"/>
    <w:rsid w:val="00130284"/>
    <w:rsid w:val="0013037F"/>
    <w:rsid w:val="001303CD"/>
    <w:rsid w:val="001304BE"/>
    <w:rsid w:val="00130A74"/>
    <w:rsid w:val="00130C5D"/>
    <w:rsid w:val="00130EFF"/>
    <w:rsid w:val="00130F51"/>
    <w:rsid w:val="00131159"/>
    <w:rsid w:val="0013192E"/>
    <w:rsid w:val="00131A43"/>
    <w:rsid w:val="00131ABE"/>
    <w:rsid w:val="00131B9A"/>
    <w:rsid w:val="00131C1D"/>
    <w:rsid w:val="00132028"/>
    <w:rsid w:val="0013207B"/>
    <w:rsid w:val="001323FA"/>
    <w:rsid w:val="0013260F"/>
    <w:rsid w:val="001327BE"/>
    <w:rsid w:val="00132E79"/>
    <w:rsid w:val="00133900"/>
    <w:rsid w:val="001339F7"/>
    <w:rsid w:val="00133A34"/>
    <w:rsid w:val="00133E03"/>
    <w:rsid w:val="00133E58"/>
    <w:rsid w:val="00134189"/>
    <w:rsid w:val="001347B4"/>
    <w:rsid w:val="001347FB"/>
    <w:rsid w:val="0013499C"/>
    <w:rsid w:val="00134EC1"/>
    <w:rsid w:val="001351C3"/>
    <w:rsid w:val="00135235"/>
    <w:rsid w:val="001352FB"/>
    <w:rsid w:val="00135995"/>
    <w:rsid w:val="00135CF7"/>
    <w:rsid w:val="00135DD1"/>
    <w:rsid w:val="001361CE"/>
    <w:rsid w:val="001363EE"/>
    <w:rsid w:val="00136464"/>
    <w:rsid w:val="00137C00"/>
    <w:rsid w:val="00137C5B"/>
    <w:rsid w:val="00137FF3"/>
    <w:rsid w:val="00140221"/>
    <w:rsid w:val="001407B9"/>
    <w:rsid w:val="001407EB"/>
    <w:rsid w:val="001407FE"/>
    <w:rsid w:val="001408E5"/>
    <w:rsid w:val="00140AD5"/>
    <w:rsid w:val="0014175F"/>
    <w:rsid w:val="00141C59"/>
    <w:rsid w:val="00141C60"/>
    <w:rsid w:val="00141E08"/>
    <w:rsid w:val="001421A5"/>
    <w:rsid w:val="001421A8"/>
    <w:rsid w:val="0014242E"/>
    <w:rsid w:val="00142B5D"/>
    <w:rsid w:val="00142DC7"/>
    <w:rsid w:val="00143B65"/>
    <w:rsid w:val="00143F68"/>
    <w:rsid w:val="00144336"/>
    <w:rsid w:val="00144DB6"/>
    <w:rsid w:val="00144E31"/>
    <w:rsid w:val="00144E44"/>
    <w:rsid w:val="00145157"/>
    <w:rsid w:val="0014543C"/>
    <w:rsid w:val="0014545B"/>
    <w:rsid w:val="00145648"/>
    <w:rsid w:val="00145D15"/>
    <w:rsid w:val="00145E1A"/>
    <w:rsid w:val="001460D7"/>
    <w:rsid w:val="00146200"/>
    <w:rsid w:val="00146530"/>
    <w:rsid w:val="00146F02"/>
    <w:rsid w:val="00147039"/>
    <w:rsid w:val="00147B8E"/>
    <w:rsid w:val="00147DB1"/>
    <w:rsid w:val="00147EDD"/>
    <w:rsid w:val="0015011D"/>
    <w:rsid w:val="0015063C"/>
    <w:rsid w:val="0015090E"/>
    <w:rsid w:val="001509EB"/>
    <w:rsid w:val="00150DDA"/>
    <w:rsid w:val="00151560"/>
    <w:rsid w:val="001518B5"/>
    <w:rsid w:val="00151B61"/>
    <w:rsid w:val="00151FB8"/>
    <w:rsid w:val="001521D2"/>
    <w:rsid w:val="00152402"/>
    <w:rsid w:val="00152A27"/>
    <w:rsid w:val="00152A88"/>
    <w:rsid w:val="00152ECB"/>
    <w:rsid w:val="00152F59"/>
    <w:rsid w:val="00153114"/>
    <w:rsid w:val="001534ED"/>
    <w:rsid w:val="0015366A"/>
    <w:rsid w:val="0015383A"/>
    <w:rsid w:val="00154D1F"/>
    <w:rsid w:val="00154DC3"/>
    <w:rsid w:val="00155169"/>
    <w:rsid w:val="00155415"/>
    <w:rsid w:val="0015543F"/>
    <w:rsid w:val="0015582E"/>
    <w:rsid w:val="0015595D"/>
    <w:rsid w:val="0015599B"/>
    <w:rsid w:val="00155AD1"/>
    <w:rsid w:val="00155D07"/>
    <w:rsid w:val="0015603A"/>
    <w:rsid w:val="00156242"/>
    <w:rsid w:val="0015691F"/>
    <w:rsid w:val="001569DB"/>
    <w:rsid w:val="00156A27"/>
    <w:rsid w:val="00157065"/>
    <w:rsid w:val="0015744F"/>
    <w:rsid w:val="001575B6"/>
    <w:rsid w:val="00157704"/>
    <w:rsid w:val="00157DD6"/>
    <w:rsid w:val="00157F90"/>
    <w:rsid w:val="001602EA"/>
    <w:rsid w:val="00160361"/>
    <w:rsid w:val="00160399"/>
    <w:rsid w:val="0016050D"/>
    <w:rsid w:val="00160FAB"/>
    <w:rsid w:val="00160FFA"/>
    <w:rsid w:val="00161109"/>
    <w:rsid w:val="00161609"/>
    <w:rsid w:val="00161A52"/>
    <w:rsid w:val="00161E8F"/>
    <w:rsid w:val="00161EF2"/>
    <w:rsid w:val="00161F69"/>
    <w:rsid w:val="00162D89"/>
    <w:rsid w:val="00162FC7"/>
    <w:rsid w:val="00163103"/>
    <w:rsid w:val="0016337E"/>
    <w:rsid w:val="001639C2"/>
    <w:rsid w:val="00163A2F"/>
    <w:rsid w:val="00164384"/>
    <w:rsid w:val="001647F4"/>
    <w:rsid w:val="00164AE9"/>
    <w:rsid w:val="00164B20"/>
    <w:rsid w:val="00164B76"/>
    <w:rsid w:val="00164C67"/>
    <w:rsid w:val="00164CCE"/>
    <w:rsid w:val="0016510F"/>
    <w:rsid w:val="00165214"/>
    <w:rsid w:val="0016587A"/>
    <w:rsid w:val="0016599A"/>
    <w:rsid w:val="00165D1D"/>
    <w:rsid w:val="00165D3C"/>
    <w:rsid w:val="0016625A"/>
    <w:rsid w:val="0016638B"/>
    <w:rsid w:val="001666F3"/>
    <w:rsid w:val="00166A13"/>
    <w:rsid w:val="00166A21"/>
    <w:rsid w:val="00167669"/>
    <w:rsid w:val="00167872"/>
    <w:rsid w:val="00167B76"/>
    <w:rsid w:val="00167BF2"/>
    <w:rsid w:val="00167C6C"/>
    <w:rsid w:val="00167CC6"/>
    <w:rsid w:val="00167FCA"/>
    <w:rsid w:val="00170901"/>
    <w:rsid w:val="00170AFC"/>
    <w:rsid w:val="00170DF5"/>
    <w:rsid w:val="00170F4E"/>
    <w:rsid w:val="001710AD"/>
    <w:rsid w:val="001710DF"/>
    <w:rsid w:val="00171112"/>
    <w:rsid w:val="001717CB"/>
    <w:rsid w:val="00171852"/>
    <w:rsid w:val="00171938"/>
    <w:rsid w:val="001719A0"/>
    <w:rsid w:val="00171A7F"/>
    <w:rsid w:val="001721D1"/>
    <w:rsid w:val="0017223C"/>
    <w:rsid w:val="001728B5"/>
    <w:rsid w:val="00173289"/>
    <w:rsid w:val="001732AD"/>
    <w:rsid w:val="00173431"/>
    <w:rsid w:val="00173463"/>
    <w:rsid w:val="00174257"/>
    <w:rsid w:val="00174326"/>
    <w:rsid w:val="00174475"/>
    <w:rsid w:val="0017449B"/>
    <w:rsid w:val="001749CD"/>
    <w:rsid w:val="00174B0A"/>
    <w:rsid w:val="00174C27"/>
    <w:rsid w:val="00174DB4"/>
    <w:rsid w:val="00175555"/>
    <w:rsid w:val="00175808"/>
    <w:rsid w:val="00175819"/>
    <w:rsid w:val="0017588A"/>
    <w:rsid w:val="001758EA"/>
    <w:rsid w:val="001759B9"/>
    <w:rsid w:val="00175C90"/>
    <w:rsid w:val="00175DC4"/>
    <w:rsid w:val="001760D8"/>
    <w:rsid w:val="00176448"/>
    <w:rsid w:val="00176552"/>
    <w:rsid w:val="00176600"/>
    <w:rsid w:val="00176806"/>
    <w:rsid w:val="001769C4"/>
    <w:rsid w:val="00176DFB"/>
    <w:rsid w:val="001777A6"/>
    <w:rsid w:val="0018015F"/>
    <w:rsid w:val="001801B9"/>
    <w:rsid w:val="001806BD"/>
    <w:rsid w:val="001808FD"/>
    <w:rsid w:val="0018092A"/>
    <w:rsid w:val="00180AE2"/>
    <w:rsid w:val="00180B0E"/>
    <w:rsid w:val="00181262"/>
    <w:rsid w:val="001812B1"/>
    <w:rsid w:val="00181C39"/>
    <w:rsid w:val="00181DF9"/>
    <w:rsid w:val="00181F8F"/>
    <w:rsid w:val="00182194"/>
    <w:rsid w:val="001827C5"/>
    <w:rsid w:val="00182D8A"/>
    <w:rsid w:val="00183032"/>
    <w:rsid w:val="00183216"/>
    <w:rsid w:val="0018322F"/>
    <w:rsid w:val="00183338"/>
    <w:rsid w:val="001834D5"/>
    <w:rsid w:val="00183659"/>
    <w:rsid w:val="00183B9D"/>
    <w:rsid w:val="00183C98"/>
    <w:rsid w:val="00183EE7"/>
    <w:rsid w:val="001840A5"/>
    <w:rsid w:val="0018435D"/>
    <w:rsid w:val="00184D33"/>
    <w:rsid w:val="00184E10"/>
    <w:rsid w:val="00184FC8"/>
    <w:rsid w:val="001850AE"/>
    <w:rsid w:val="00185146"/>
    <w:rsid w:val="0018519D"/>
    <w:rsid w:val="0018597B"/>
    <w:rsid w:val="00185A7D"/>
    <w:rsid w:val="00185A9F"/>
    <w:rsid w:val="00185BAC"/>
    <w:rsid w:val="001863DD"/>
    <w:rsid w:val="0018656E"/>
    <w:rsid w:val="00186837"/>
    <w:rsid w:val="00186A96"/>
    <w:rsid w:val="00186ABE"/>
    <w:rsid w:val="00186E10"/>
    <w:rsid w:val="001870F9"/>
    <w:rsid w:val="001872ED"/>
    <w:rsid w:val="0018796F"/>
    <w:rsid w:val="00187B3E"/>
    <w:rsid w:val="00187B80"/>
    <w:rsid w:val="00187F8F"/>
    <w:rsid w:val="00190126"/>
    <w:rsid w:val="001901F6"/>
    <w:rsid w:val="00190676"/>
    <w:rsid w:val="0019072F"/>
    <w:rsid w:val="0019092A"/>
    <w:rsid w:val="00190D94"/>
    <w:rsid w:val="001912BF"/>
    <w:rsid w:val="00191583"/>
    <w:rsid w:val="0019170E"/>
    <w:rsid w:val="00191DDE"/>
    <w:rsid w:val="001929D4"/>
    <w:rsid w:val="00192B35"/>
    <w:rsid w:val="00192B5E"/>
    <w:rsid w:val="001931A2"/>
    <w:rsid w:val="00193263"/>
    <w:rsid w:val="001932D2"/>
    <w:rsid w:val="001933F1"/>
    <w:rsid w:val="001936F8"/>
    <w:rsid w:val="001937AC"/>
    <w:rsid w:val="00193B6E"/>
    <w:rsid w:val="00193C04"/>
    <w:rsid w:val="00193E2F"/>
    <w:rsid w:val="00193F15"/>
    <w:rsid w:val="0019420D"/>
    <w:rsid w:val="00194399"/>
    <w:rsid w:val="001946F6"/>
    <w:rsid w:val="001949B5"/>
    <w:rsid w:val="00194E51"/>
    <w:rsid w:val="00195294"/>
    <w:rsid w:val="001958D1"/>
    <w:rsid w:val="00195933"/>
    <w:rsid w:val="00195D1C"/>
    <w:rsid w:val="00195F22"/>
    <w:rsid w:val="001962C9"/>
    <w:rsid w:val="001963FF"/>
    <w:rsid w:val="0019662D"/>
    <w:rsid w:val="00196F98"/>
    <w:rsid w:val="00196FED"/>
    <w:rsid w:val="0019780F"/>
    <w:rsid w:val="001979E7"/>
    <w:rsid w:val="001A01FC"/>
    <w:rsid w:val="001A0282"/>
    <w:rsid w:val="001A056D"/>
    <w:rsid w:val="001A0845"/>
    <w:rsid w:val="001A095C"/>
    <w:rsid w:val="001A0F84"/>
    <w:rsid w:val="001A1001"/>
    <w:rsid w:val="001A1062"/>
    <w:rsid w:val="001A16A4"/>
    <w:rsid w:val="001A20A7"/>
    <w:rsid w:val="001A241B"/>
    <w:rsid w:val="001A24F8"/>
    <w:rsid w:val="001A26AA"/>
    <w:rsid w:val="001A2726"/>
    <w:rsid w:val="001A2779"/>
    <w:rsid w:val="001A2C05"/>
    <w:rsid w:val="001A338F"/>
    <w:rsid w:val="001A361F"/>
    <w:rsid w:val="001A3E6A"/>
    <w:rsid w:val="001A4402"/>
    <w:rsid w:val="001A478A"/>
    <w:rsid w:val="001A4840"/>
    <w:rsid w:val="001A4AEF"/>
    <w:rsid w:val="001A4C7E"/>
    <w:rsid w:val="001A53D8"/>
    <w:rsid w:val="001A5480"/>
    <w:rsid w:val="001A5588"/>
    <w:rsid w:val="001A5793"/>
    <w:rsid w:val="001A5933"/>
    <w:rsid w:val="001A67E5"/>
    <w:rsid w:val="001A6C94"/>
    <w:rsid w:val="001A6D7B"/>
    <w:rsid w:val="001A6FFE"/>
    <w:rsid w:val="001A71DC"/>
    <w:rsid w:val="001A7207"/>
    <w:rsid w:val="001A72D1"/>
    <w:rsid w:val="001A742B"/>
    <w:rsid w:val="001A74BA"/>
    <w:rsid w:val="001A775A"/>
    <w:rsid w:val="001B0174"/>
    <w:rsid w:val="001B022D"/>
    <w:rsid w:val="001B0233"/>
    <w:rsid w:val="001B0323"/>
    <w:rsid w:val="001B077C"/>
    <w:rsid w:val="001B0C91"/>
    <w:rsid w:val="001B0DB9"/>
    <w:rsid w:val="001B0ED4"/>
    <w:rsid w:val="001B1269"/>
    <w:rsid w:val="001B1630"/>
    <w:rsid w:val="001B17B2"/>
    <w:rsid w:val="001B1C74"/>
    <w:rsid w:val="001B1DC8"/>
    <w:rsid w:val="001B1E70"/>
    <w:rsid w:val="001B2104"/>
    <w:rsid w:val="001B2638"/>
    <w:rsid w:val="001B27D4"/>
    <w:rsid w:val="001B2A29"/>
    <w:rsid w:val="001B2D71"/>
    <w:rsid w:val="001B2FDB"/>
    <w:rsid w:val="001B387A"/>
    <w:rsid w:val="001B42D6"/>
    <w:rsid w:val="001B48AA"/>
    <w:rsid w:val="001B4A02"/>
    <w:rsid w:val="001B4BA2"/>
    <w:rsid w:val="001B4D07"/>
    <w:rsid w:val="001B4F83"/>
    <w:rsid w:val="001B50CF"/>
    <w:rsid w:val="001B5241"/>
    <w:rsid w:val="001B536C"/>
    <w:rsid w:val="001B5699"/>
    <w:rsid w:val="001B5AA1"/>
    <w:rsid w:val="001B6006"/>
    <w:rsid w:val="001B64FE"/>
    <w:rsid w:val="001B6602"/>
    <w:rsid w:val="001B6E06"/>
    <w:rsid w:val="001B720A"/>
    <w:rsid w:val="001B76C2"/>
    <w:rsid w:val="001B7912"/>
    <w:rsid w:val="001B79C2"/>
    <w:rsid w:val="001C002C"/>
    <w:rsid w:val="001C00B6"/>
    <w:rsid w:val="001C04C7"/>
    <w:rsid w:val="001C0618"/>
    <w:rsid w:val="001C0D4C"/>
    <w:rsid w:val="001C0E68"/>
    <w:rsid w:val="001C123C"/>
    <w:rsid w:val="001C161F"/>
    <w:rsid w:val="001C182A"/>
    <w:rsid w:val="001C183C"/>
    <w:rsid w:val="001C1A8C"/>
    <w:rsid w:val="001C1A9F"/>
    <w:rsid w:val="001C1CDF"/>
    <w:rsid w:val="001C1D30"/>
    <w:rsid w:val="001C257C"/>
    <w:rsid w:val="001C2C1E"/>
    <w:rsid w:val="001C2CC3"/>
    <w:rsid w:val="001C3638"/>
    <w:rsid w:val="001C37A8"/>
    <w:rsid w:val="001C3ACA"/>
    <w:rsid w:val="001C3B92"/>
    <w:rsid w:val="001C3BD9"/>
    <w:rsid w:val="001C3ED2"/>
    <w:rsid w:val="001C43CF"/>
    <w:rsid w:val="001C45F7"/>
    <w:rsid w:val="001C49AC"/>
    <w:rsid w:val="001C5256"/>
    <w:rsid w:val="001C5859"/>
    <w:rsid w:val="001C58A7"/>
    <w:rsid w:val="001C58D6"/>
    <w:rsid w:val="001C6006"/>
    <w:rsid w:val="001C62B6"/>
    <w:rsid w:val="001C660A"/>
    <w:rsid w:val="001C674D"/>
    <w:rsid w:val="001C7013"/>
    <w:rsid w:val="001C7328"/>
    <w:rsid w:val="001C73B9"/>
    <w:rsid w:val="001C7411"/>
    <w:rsid w:val="001C747B"/>
    <w:rsid w:val="001C7AA5"/>
    <w:rsid w:val="001D0097"/>
    <w:rsid w:val="001D0620"/>
    <w:rsid w:val="001D0F78"/>
    <w:rsid w:val="001D15CF"/>
    <w:rsid w:val="001D15FE"/>
    <w:rsid w:val="001D179F"/>
    <w:rsid w:val="001D1D32"/>
    <w:rsid w:val="001D1E6C"/>
    <w:rsid w:val="001D2671"/>
    <w:rsid w:val="001D2C26"/>
    <w:rsid w:val="001D2D10"/>
    <w:rsid w:val="001D2F33"/>
    <w:rsid w:val="001D3136"/>
    <w:rsid w:val="001D328D"/>
    <w:rsid w:val="001D38EB"/>
    <w:rsid w:val="001D3931"/>
    <w:rsid w:val="001D39DF"/>
    <w:rsid w:val="001D3A77"/>
    <w:rsid w:val="001D3B6D"/>
    <w:rsid w:val="001D3C2B"/>
    <w:rsid w:val="001D3DCA"/>
    <w:rsid w:val="001D3E10"/>
    <w:rsid w:val="001D3FAB"/>
    <w:rsid w:val="001D4D4B"/>
    <w:rsid w:val="001D4F00"/>
    <w:rsid w:val="001D53DB"/>
    <w:rsid w:val="001D5553"/>
    <w:rsid w:val="001D5A72"/>
    <w:rsid w:val="001D5E5C"/>
    <w:rsid w:val="001D6070"/>
    <w:rsid w:val="001D65A2"/>
    <w:rsid w:val="001D664C"/>
    <w:rsid w:val="001D6722"/>
    <w:rsid w:val="001D6BF9"/>
    <w:rsid w:val="001D6CED"/>
    <w:rsid w:val="001D7308"/>
    <w:rsid w:val="001D77D6"/>
    <w:rsid w:val="001D7C35"/>
    <w:rsid w:val="001D7CAC"/>
    <w:rsid w:val="001D7D6E"/>
    <w:rsid w:val="001E01A3"/>
    <w:rsid w:val="001E021D"/>
    <w:rsid w:val="001E024A"/>
    <w:rsid w:val="001E04F8"/>
    <w:rsid w:val="001E0A12"/>
    <w:rsid w:val="001E0AAD"/>
    <w:rsid w:val="001E0D6A"/>
    <w:rsid w:val="001E138A"/>
    <w:rsid w:val="001E154E"/>
    <w:rsid w:val="001E158D"/>
    <w:rsid w:val="001E1A9D"/>
    <w:rsid w:val="001E1AD0"/>
    <w:rsid w:val="001E1BB2"/>
    <w:rsid w:val="001E1CA1"/>
    <w:rsid w:val="001E23E5"/>
    <w:rsid w:val="001E243C"/>
    <w:rsid w:val="001E2453"/>
    <w:rsid w:val="001E2454"/>
    <w:rsid w:val="001E26A9"/>
    <w:rsid w:val="001E2864"/>
    <w:rsid w:val="001E2D0A"/>
    <w:rsid w:val="001E2F64"/>
    <w:rsid w:val="001E2F6E"/>
    <w:rsid w:val="001E30DF"/>
    <w:rsid w:val="001E31D0"/>
    <w:rsid w:val="001E34C8"/>
    <w:rsid w:val="001E3FD2"/>
    <w:rsid w:val="001E3FF2"/>
    <w:rsid w:val="001E427E"/>
    <w:rsid w:val="001E4303"/>
    <w:rsid w:val="001E43D9"/>
    <w:rsid w:val="001E48BF"/>
    <w:rsid w:val="001E5360"/>
    <w:rsid w:val="001E542E"/>
    <w:rsid w:val="001E54D6"/>
    <w:rsid w:val="001E5A3D"/>
    <w:rsid w:val="001E600B"/>
    <w:rsid w:val="001E64FE"/>
    <w:rsid w:val="001E6BDE"/>
    <w:rsid w:val="001E7285"/>
    <w:rsid w:val="001E7A15"/>
    <w:rsid w:val="001F038D"/>
    <w:rsid w:val="001F03E9"/>
    <w:rsid w:val="001F07FA"/>
    <w:rsid w:val="001F0A63"/>
    <w:rsid w:val="001F0DD4"/>
    <w:rsid w:val="001F0F95"/>
    <w:rsid w:val="001F0FC5"/>
    <w:rsid w:val="001F1077"/>
    <w:rsid w:val="001F1277"/>
    <w:rsid w:val="001F133E"/>
    <w:rsid w:val="001F1534"/>
    <w:rsid w:val="001F1FCC"/>
    <w:rsid w:val="001F24BD"/>
    <w:rsid w:val="001F253E"/>
    <w:rsid w:val="001F2C0A"/>
    <w:rsid w:val="001F2C87"/>
    <w:rsid w:val="001F2D3E"/>
    <w:rsid w:val="001F335D"/>
    <w:rsid w:val="001F350E"/>
    <w:rsid w:val="001F37DF"/>
    <w:rsid w:val="001F387D"/>
    <w:rsid w:val="001F399E"/>
    <w:rsid w:val="001F3CD5"/>
    <w:rsid w:val="001F3E90"/>
    <w:rsid w:val="001F48AF"/>
    <w:rsid w:val="001F4B0C"/>
    <w:rsid w:val="001F4F17"/>
    <w:rsid w:val="001F584E"/>
    <w:rsid w:val="001F58F3"/>
    <w:rsid w:val="001F5A44"/>
    <w:rsid w:val="001F5AD4"/>
    <w:rsid w:val="001F5C8C"/>
    <w:rsid w:val="001F5D64"/>
    <w:rsid w:val="001F6066"/>
    <w:rsid w:val="001F69D8"/>
    <w:rsid w:val="001F6EBE"/>
    <w:rsid w:val="001F70D0"/>
    <w:rsid w:val="001F73B6"/>
    <w:rsid w:val="001F75A0"/>
    <w:rsid w:val="001F78B5"/>
    <w:rsid w:val="001F79AF"/>
    <w:rsid w:val="001F7CCA"/>
    <w:rsid w:val="001F7E4A"/>
    <w:rsid w:val="00200249"/>
    <w:rsid w:val="0020093F"/>
    <w:rsid w:val="00200C1F"/>
    <w:rsid w:val="00200C8A"/>
    <w:rsid w:val="00200FF9"/>
    <w:rsid w:val="0020104C"/>
    <w:rsid w:val="0020150C"/>
    <w:rsid w:val="002019BF"/>
    <w:rsid w:val="00201D31"/>
    <w:rsid w:val="002024FC"/>
    <w:rsid w:val="0020266C"/>
    <w:rsid w:val="00202BEA"/>
    <w:rsid w:val="00202C0B"/>
    <w:rsid w:val="00202C10"/>
    <w:rsid w:val="0020311B"/>
    <w:rsid w:val="0020379B"/>
    <w:rsid w:val="002037C6"/>
    <w:rsid w:val="00203BD1"/>
    <w:rsid w:val="00203BEB"/>
    <w:rsid w:val="00204141"/>
    <w:rsid w:val="002043C3"/>
    <w:rsid w:val="00204548"/>
    <w:rsid w:val="00204A9E"/>
    <w:rsid w:val="00204EB6"/>
    <w:rsid w:val="0020525D"/>
    <w:rsid w:val="00205402"/>
    <w:rsid w:val="002054FA"/>
    <w:rsid w:val="002056CA"/>
    <w:rsid w:val="00205740"/>
    <w:rsid w:val="00205948"/>
    <w:rsid w:val="00205B94"/>
    <w:rsid w:val="00205C05"/>
    <w:rsid w:val="002063A8"/>
    <w:rsid w:val="00206599"/>
    <w:rsid w:val="002069CA"/>
    <w:rsid w:val="00206F28"/>
    <w:rsid w:val="002070E3"/>
    <w:rsid w:val="00207342"/>
    <w:rsid w:val="002073A3"/>
    <w:rsid w:val="00207A9D"/>
    <w:rsid w:val="00207CC6"/>
    <w:rsid w:val="00207F4A"/>
    <w:rsid w:val="00207FEA"/>
    <w:rsid w:val="002100C9"/>
    <w:rsid w:val="002105CB"/>
    <w:rsid w:val="00210786"/>
    <w:rsid w:val="00210AB6"/>
    <w:rsid w:val="00210B28"/>
    <w:rsid w:val="00211DCC"/>
    <w:rsid w:val="0021206B"/>
    <w:rsid w:val="002122CF"/>
    <w:rsid w:val="00212562"/>
    <w:rsid w:val="002127FA"/>
    <w:rsid w:val="00212ACA"/>
    <w:rsid w:val="00212CF3"/>
    <w:rsid w:val="00212DD8"/>
    <w:rsid w:val="002132AF"/>
    <w:rsid w:val="00213698"/>
    <w:rsid w:val="0021423C"/>
    <w:rsid w:val="0021437E"/>
    <w:rsid w:val="00214B7A"/>
    <w:rsid w:val="00214CA5"/>
    <w:rsid w:val="00214F3C"/>
    <w:rsid w:val="0021546A"/>
    <w:rsid w:val="00215517"/>
    <w:rsid w:val="0021583A"/>
    <w:rsid w:val="00215B69"/>
    <w:rsid w:val="0021643E"/>
    <w:rsid w:val="002165D1"/>
    <w:rsid w:val="00216C72"/>
    <w:rsid w:val="002171F1"/>
    <w:rsid w:val="0021721E"/>
    <w:rsid w:val="002173FF"/>
    <w:rsid w:val="00217846"/>
    <w:rsid w:val="00217AA2"/>
    <w:rsid w:val="00217D42"/>
    <w:rsid w:val="00217F44"/>
    <w:rsid w:val="00217FB0"/>
    <w:rsid w:val="00220532"/>
    <w:rsid w:val="00220831"/>
    <w:rsid w:val="00220E10"/>
    <w:rsid w:val="00220ECB"/>
    <w:rsid w:val="00221859"/>
    <w:rsid w:val="0022197D"/>
    <w:rsid w:val="00221CD0"/>
    <w:rsid w:val="00221F0F"/>
    <w:rsid w:val="00221FC3"/>
    <w:rsid w:val="002222B4"/>
    <w:rsid w:val="002225E3"/>
    <w:rsid w:val="0022262B"/>
    <w:rsid w:val="00223063"/>
    <w:rsid w:val="00223374"/>
    <w:rsid w:val="00223389"/>
    <w:rsid w:val="002233D6"/>
    <w:rsid w:val="0022371F"/>
    <w:rsid w:val="002238CC"/>
    <w:rsid w:val="002239F5"/>
    <w:rsid w:val="00223A64"/>
    <w:rsid w:val="00223CA8"/>
    <w:rsid w:val="002241A4"/>
    <w:rsid w:val="00224337"/>
    <w:rsid w:val="0022486B"/>
    <w:rsid w:val="00224CB7"/>
    <w:rsid w:val="00224D75"/>
    <w:rsid w:val="002263D2"/>
    <w:rsid w:val="00226A50"/>
    <w:rsid w:val="00226EA7"/>
    <w:rsid w:val="002273AA"/>
    <w:rsid w:val="0022786F"/>
    <w:rsid w:val="0022799D"/>
    <w:rsid w:val="00227B3A"/>
    <w:rsid w:val="00227D46"/>
    <w:rsid w:val="002307FF"/>
    <w:rsid w:val="0023124C"/>
    <w:rsid w:val="00231270"/>
    <w:rsid w:val="00231392"/>
    <w:rsid w:val="002313EC"/>
    <w:rsid w:val="00231439"/>
    <w:rsid w:val="002314E6"/>
    <w:rsid w:val="002318C7"/>
    <w:rsid w:val="002318C9"/>
    <w:rsid w:val="002319A5"/>
    <w:rsid w:val="00231B49"/>
    <w:rsid w:val="00232212"/>
    <w:rsid w:val="00232AC7"/>
    <w:rsid w:val="00232DE0"/>
    <w:rsid w:val="00232E5D"/>
    <w:rsid w:val="00233110"/>
    <w:rsid w:val="00233235"/>
    <w:rsid w:val="002334EA"/>
    <w:rsid w:val="002337AE"/>
    <w:rsid w:val="0023400D"/>
    <w:rsid w:val="0023416D"/>
    <w:rsid w:val="002343C2"/>
    <w:rsid w:val="00234C62"/>
    <w:rsid w:val="0023542A"/>
    <w:rsid w:val="002354B6"/>
    <w:rsid w:val="00235A9C"/>
    <w:rsid w:val="0023616F"/>
    <w:rsid w:val="00236818"/>
    <w:rsid w:val="002369D8"/>
    <w:rsid w:val="00236DE0"/>
    <w:rsid w:val="0023714B"/>
    <w:rsid w:val="0023751B"/>
    <w:rsid w:val="002375C0"/>
    <w:rsid w:val="00237761"/>
    <w:rsid w:val="0023792F"/>
    <w:rsid w:val="00237D8F"/>
    <w:rsid w:val="0024018A"/>
    <w:rsid w:val="0024112D"/>
    <w:rsid w:val="002411C8"/>
    <w:rsid w:val="0024173B"/>
    <w:rsid w:val="00241779"/>
    <w:rsid w:val="00241843"/>
    <w:rsid w:val="00241864"/>
    <w:rsid w:val="00241B73"/>
    <w:rsid w:val="00241BD1"/>
    <w:rsid w:val="00241C1F"/>
    <w:rsid w:val="002429CB"/>
    <w:rsid w:val="00242AD8"/>
    <w:rsid w:val="00242AF4"/>
    <w:rsid w:val="00242CD2"/>
    <w:rsid w:val="00243082"/>
    <w:rsid w:val="002432E3"/>
    <w:rsid w:val="002433D3"/>
    <w:rsid w:val="0024348C"/>
    <w:rsid w:val="002439E2"/>
    <w:rsid w:val="00243E7F"/>
    <w:rsid w:val="00243E9E"/>
    <w:rsid w:val="0024434C"/>
    <w:rsid w:val="00244FA7"/>
    <w:rsid w:val="00245362"/>
    <w:rsid w:val="00245CDC"/>
    <w:rsid w:val="00245D68"/>
    <w:rsid w:val="00245EA6"/>
    <w:rsid w:val="002460C0"/>
    <w:rsid w:val="00246104"/>
    <w:rsid w:val="0024635F"/>
    <w:rsid w:val="00246660"/>
    <w:rsid w:val="00246994"/>
    <w:rsid w:val="00246A0E"/>
    <w:rsid w:val="00246A47"/>
    <w:rsid w:val="00246B6A"/>
    <w:rsid w:val="00246CBC"/>
    <w:rsid w:val="002472E7"/>
    <w:rsid w:val="00247384"/>
    <w:rsid w:val="00247985"/>
    <w:rsid w:val="00247C3F"/>
    <w:rsid w:val="002503D1"/>
    <w:rsid w:val="002505EA"/>
    <w:rsid w:val="002506C6"/>
    <w:rsid w:val="0025132E"/>
    <w:rsid w:val="002514D5"/>
    <w:rsid w:val="00251510"/>
    <w:rsid w:val="002517E1"/>
    <w:rsid w:val="00252467"/>
    <w:rsid w:val="00252DDD"/>
    <w:rsid w:val="00253933"/>
    <w:rsid w:val="002539F8"/>
    <w:rsid w:val="00253BC2"/>
    <w:rsid w:val="00253C1A"/>
    <w:rsid w:val="00253C31"/>
    <w:rsid w:val="00253D6B"/>
    <w:rsid w:val="00253E54"/>
    <w:rsid w:val="00254676"/>
    <w:rsid w:val="00254B69"/>
    <w:rsid w:val="00254C0C"/>
    <w:rsid w:val="00254E08"/>
    <w:rsid w:val="0025504B"/>
    <w:rsid w:val="00255280"/>
    <w:rsid w:val="002552A6"/>
    <w:rsid w:val="002555D5"/>
    <w:rsid w:val="00255F35"/>
    <w:rsid w:val="00256730"/>
    <w:rsid w:val="002567B2"/>
    <w:rsid w:val="002568B8"/>
    <w:rsid w:val="00256B6A"/>
    <w:rsid w:val="00256E8B"/>
    <w:rsid w:val="00257050"/>
    <w:rsid w:val="00257315"/>
    <w:rsid w:val="0025764C"/>
    <w:rsid w:val="0025798E"/>
    <w:rsid w:val="00257AC7"/>
    <w:rsid w:val="00257B7C"/>
    <w:rsid w:val="00257BAC"/>
    <w:rsid w:val="00257C81"/>
    <w:rsid w:val="00257E2E"/>
    <w:rsid w:val="00257FC9"/>
    <w:rsid w:val="00260434"/>
    <w:rsid w:val="00260E40"/>
    <w:rsid w:val="00260E5F"/>
    <w:rsid w:val="0026133C"/>
    <w:rsid w:val="00261690"/>
    <w:rsid w:val="00261B65"/>
    <w:rsid w:val="00262181"/>
    <w:rsid w:val="002622D3"/>
    <w:rsid w:val="002623EE"/>
    <w:rsid w:val="0026291C"/>
    <w:rsid w:val="00262998"/>
    <w:rsid w:val="00262AFA"/>
    <w:rsid w:val="00262B15"/>
    <w:rsid w:val="0026348A"/>
    <w:rsid w:val="002634FF"/>
    <w:rsid w:val="002641B2"/>
    <w:rsid w:val="00264303"/>
    <w:rsid w:val="00264440"/>
    <w:rsid w:val="002649E6"/>
    <w:rsid w:val="00264AED"/>
    <w:rsid w:val="00264AF4"/>
    <w:rsid w:val="00264DF9"/>
    <w:rsid w:val="00264F2D"/>
    <w:rsid w:val="002651AE"/>
    <w:rsid w:val="002662EB"/>
    <w:rsid w:val="0026659F"/>
    <w:rsid w:val="002665D6"/>
    <w:rsid w:val="00266B88"/>
    <w:rsid w:val="00266E2F"/>
    <w:rsid w:val="0026734D"/>
    <w:rsid w:val="002673EF"/>
    <w:rsid w:val="002676E0"/>
    <w:rsid w:val="00267A18"/>
    <w:rsid w:val="00267E0F"/>
    <w:rsid w:val="00267E52"/>
    <w:rsid w:val="00267EBA"/>
    <w:rsid w:val="0027019B"/>
    <w:rsid w:val="002701F0"/>
    <w:rsid w:val="00270480"/>
    <w:rsid w:val="0027065B"/>
    <w:rsid w:val="002706BF"/>
    <w:rsid w:val="00270894"/>
    <w:rsid w:val="00270B0A"/>
    <w:rsid w:val="00270D09"/>
    <w:rsid w:val="00271085"/>
    <w:rsid w:val="00271B57"/>
    <w:rsid w:val="00272067"/>
    <w:rsid w:val="002720DF"/>
    <w:rsid w:val="0027216F"/>
    <w:rsid w:val="0027274E"/>
    <w:rsid w:val="00272762"/>
    <w:rsid w:val="002727C6"/>
    <w:rsid w:val="002727D7"/>
    <w:rsid w:val="002727FD"/>
    <w:rsid w:val="002731E8"/>
    <w:rsid w:val="00273545"/>
    <w:rsid w:val="002735AA"/>
    <w:rsid w:val="002735C3"/>
    <w:rsid w:val="0027371F"/>
    <w:rsid w:val="002737A7"/>
    <w:rsid w:val="00273CA6"/>
    <w:rsid w:val="00273D06"/>
    <w:rsid w:val="00274401"/>
    <w:rsid w:val="002744B8"/>
    <w:rsid w:val="0027479B"/>
    <w:rsid w:val="0027497C"/>
    <w:rsid w:val="00274AF8"/>
    <w:rsid w:val="00274C37"/>
    <w:rsid w:val="00274D84"/>
    <w:rsid w:val="002752AF"/>
    <w:rsid w:val="00275461"/>
    <w:rsid w:val="002756CA"/>
    <w:rsid w:val="00275834"/>
    <w:rsid w:val="00275A98"/>
    <w:rsid w:val="00275ACA"/>
    <w:rsid w:val="00276038"/>
    <w:rsid w:val="002761F1"/>
    <w:rsid w:val="00276397"/>
    <w:rsid w:val="0027662C"/>
    <w:rsid w:val="00276BAF"/>
    <w:rsid w:val="00276D4D"/>
    <w:rsid w:val="002771BE"/>
    <w:rsid w:val="0027731A"/>
    <w:rsid w:val="0027748C"/>
    <w:rsid w:val="002775C5"/>
    <w:rsid w:val="002777CA"/>
    <w:rsid w:val="00277BD5"/>
    <w:rsid w:val="00277D5E"/>
    <w:rsid w:val="00280131"/>
    <w:rsid w:val="0028026B"/>
    <w:rsid w:val="002807E7"/>
    <w:rsid w:val="00280B41"/>
    <w:rsid w:val="00280C31"/>
    <w:rsid w:val="00280D4A"/>
    <w:rsid w:val="00280F11"/>
    <w:rsid w:val="00281169"/>
    <w:rsid w:val="002811ED"/>
    <w:rsid w:val="002813BE"/>
    <w:rsid w:val="0028180A"/>
    <w:rsid w:val="00281951"/>
    <w:rsid w:val="002819F6"/>
    <w:rsid w:val="00281B98"/>
    <w:rsid w:val="00281F9D"/>
    <w:rsid w:val="002820A0"/>
    <w:rsid w:val="002823A9"/>
    <w:rsid w:val="00282C66"/>
    <w:rsid w:val="002831C6"/>
    <w:rsid w:val="00283406"/>
    <w:rsid w:val="0028426B"/>
    <w:rsid w:val="00284B69"/>
    <w:rsid w:val="00284C26"/>
    <w:rsid w:val="00284D09"/>
    <w:rsid w:val="00284E3F"/>
    <w:rsid w:val="0028524D"/>
    <w:rsid w:val="00285371"/>
    <w:rsid w:val="00285453"/>
    <w:rsid w:val="00285E50"/>
    <w:rsid w:val="00286482"/>
    <w:rsid w:val="0028671C"/>
    <w:rsid w:val="002868D4"/>
    <w:rsid w:val="00286960"/>
    <w:rsid w:val="00286F30"/>
    <w:rsid w:val="00286F61"/>
    <w:rsid w:val="002871CD"/>
    <w:rsid w:val="00287707"/>
    <w:rsid w:val="00287853"/>
    <w:rsid w:val="00287D14"/>
    <w:rsid w:val="00287D70"/>
    <w:rsid w:val="00287DF8"/>
    <w:rsid w:val="00287E57"/>
    <w:rsid w:val="002900E0"/>
    <w:rsid w:val="0029016C"/>
    <w:rsid w:val="00290387"/>
    <w:rsid w:val="002904E5"/>
    <w:rsid w:val="00290522"/>
    <w:rsid w:val="002905B1"/>
    <w:rsid w:val="00290F77"/>
    <w:rsid w:val="00290FCD"/>
    <w:rsid w:val="002911A0"/>
    <w:rsid w:val="002913F8"/>
    <w:rsid w:val="00291ACB"/>
    <w:rsid w:val="00291CC7"/>
    <w:rsid w:val="00291FE0"/>
    <w:rsid w:val="002925A2"/>
    <w:rsid w:val="00292E33"/>
    <w:rsid w:val="00293711"/>
    <w:rsid w:val="00293AEE"/>
    <w:rsid w:val="00293B13"/>
    <w:rsid w:val="00293B8E"/>
    <w:rsid w:val="00293BA8"/>
    <w:rsid w:val="00294364"/>
    <w:rsid w:val="002944E6"/>
    <w:rsid w:val="002947C3"/>
    <w:rsid w:val="00294ACA"/>
    <w:rsid w:val="00294D7C"/>
    <w:rsid w:val="00295574"/>
    <w:rsid w:val="0029594E"/>
    <w:rsid w:val="00295AC8"/>
    <w:rsid w:val="00295BCB"/>
    <w:rsid w:val="002961B2"/>
    <w:rsid w:val="0029668E"/>
    <w:rsid w:val="00296909"/>
    <w:rsid w:val="00297183"/>
    <w:rsid w:val="002971F0"/>
    <w:rsid w:val="002972A7"/>
    <w:rsid w:val="00297669"/>
    <w:rsid w:val="00297983"/>
    <w:rsid w:val="002979CF"/>
    <w:rsid w:val="00297DF5"/>
    <w:rsid w:val="002A03F7"/>
    <w:rsid w:val="002A05F2"/>
    <w:rsid w:val="002A060C"/>
    <w:rsid w:val="002A0655"/>
    <w:rsid w:val="002A0929"/>
    <w:rsid w:val="002A0AAB"/>
    <w:rsid w:val="002A0FAA"/>
    <w:rsid w:val="002A118B"/>
    <w:rsid w:val="002A11A7"/>
    <w:rsid w:val="002A172C"/>
    <w:rsid w:val="002A1B28"/>
    <w:rsid w:val="002A1C4F"/>
    <w:rsid w:val="002A1E87"/>
    <w:rsid w:val="002A20C8"/>
    <w:rsid w:val="002A20F0"/>
    <w:rsid w:val="002A2344"/>
    <w:rsid w:val="002A2530"/>
    <w:rsid w:val="002A280B"/>
    <w:rsid w:val="002A2969"/>
    <w:rsid w:val="002A2FCE"/>
    <w:rsid w:val="002A30B0"/>
    <w:rsid w:val="002A356B"/>
    <w:rsid w:val="002A3A6A"/>
    <w:rsid w:val="002A3B55"/>
    <w:rsid w:val="002A4501"/>
    <w:rsid w:val="002A453C"/>
    <w:rsid w:val="002A4570"/>
    <w:rsid w:val="002A472A"/>
    <w:rsid w:val="002A4B0D"/>
    <w:rsid w:val="002A4B97"/>
    <w:rsid w:val="002A4BC1"/>
    <w:rsid w:val="002A4C7E"/>
    <w:rsid w:val="002A4D33"/>
    <w:rsid w:val="002A5289"/>
    <w:rsid w:val="002A5892"/>
    <w:rsid w:val="002A5BF2"/>
    <w:rsid w:val="002A5DB5"/>
    <w:rsid w:val="002A5E0F"/>
    <w:rsid w:val="002A5F59"/>
    <w:rsid w:val="002A5FDD"/>
    <w:rsid w:val="002A6113"/>
    <w:rsid w:val="002A64BF"/>
    <w:rsid w:val="002A6907"/>
    <w:rsid w:val="002A6DF3"/>
    <w:rsid w:val="002A7274"/>
    <w:rsid w:val="002A729E"/>
    <w:rsid w:val="002A7696"/>
    <w:rsid w:val="002B01B6"/>
    <w:rsid w:val="002B0372"/>
    <w:rsid w:val="002B0395"/>
    <w:rsid w:val="002B091D"/>
    <w:rsid w:val="002B0ABD"/>
    <w:rsid w:val="002B0CCE"/>
    <w:rsid w:val="002B11A7"/>
    <w:rsid w:val="002B140F"/>
    <w:rsid w:val="002B1C3E"/>
    <w:rsid w:val="002B1CBF"/>
    <w:rsid w:val="002B2026"/>
    <w:rsid w:val="002B2092"/>
    <w:rsid w:val="002B2434"/>
    <w:rsid w:val="002B2462"/>
    <w:rsid w:val="002B2649"/>
    <w:rsid w:val="002B2B29"/>
    <w:rsid w:val="002B2ED5"/>
    <w:rsid w:val="002B30D6"/>
    <w:rsid w:val="002B327E"/>
    <w:rsid w:val="002B32E0"/>
    <w:rsid w:val="002B3796"/>
    <w:rsid w:val="002B379E"/>
    <w:rsid w:val="002B37F4"/>
    <w:rsid w:val="002B386D"/>
    <w:rsid w:val="002B3CD9"/>
    <w:rsid w:val="002B4480"/>
    <w:rsid w:val="002B4AD8"/>
    <w:rsid w:val="002B4E83"/>
    <w:rsid w:val="002B5163"/>
    <w:rsid w:val="002B5296"/>
    <w:rsid w:val="002B5402"/>
    <w:rsid w:val="002B5CF0"/>
    <w:rsid w:val="002B5D32"/>
    <w:rsid w:val="002B6155"/>
    <w:rsid w:val="002B6549"/>
    <w:rsid w:val="002B6776"/>
    <w:rsid w:val="002B690C"/>
    <w:rsid w:val="002B6B7C"/>
    <w:rsid w:val="002B7098"/>
    <w:rsid w:val="002B7120"/>
    <w:rsid w:val="002B7793"/>
    <w:rsid w:val="002B7A0F"/>
    <w:rsid w:val="002B7A8B"/>
    <w:rsid w:val="002B7D7C"/>
    <w:rsid w:val="002B7EA7"/>
    <w:rsid w:val="002B7F3C"/>
    <w:rsid w:val="002C0093"/>
    <w:rsid w:val="002C062D"/>
    <w:rsid w:val="002C0944"/>
    <w:rsid w:val="002C0BB7"/>
    <w:rsid w:val="002C141A"/>
    <w:rsid w:val="002C1738"/>
    <w:rsid w:val="002C1A3F"/>
    <w:rsid w:val="002C1F32"/>
    <w:rsid w:val="002C2048"/>
    <w:rsid w:val="002C25A4"/>
    <w:rsid w:val="002C25F0"/>
    <w:rsid w:val="002C2849"/>
    <w:rsid w:val="002C2C18"/>
    <w:rsid w:val="002C2C7E"/>
    <w:rsid w:val="002C2CAE"/>
    <w:rsid w:val="002C2ED9"/>
    <w:rsid w:val="002C30E6"/>
    <w:rsid w:val="002C34D0"/>
    <w:rsid w:val="002C3848"/>
    <w:rsid w:val="002C389A"/>
    <w:rsid w:val="002C3A71"/>
    <w:rsid w:val="002C3F9E"/>
    <w:rsid w:val="002C434E"/>
    <w:rsid w:val="002C4446"/>
    <w:rsid w:val="002C495C"/>
    <w:rsid w:val="002C4DE7"/>
    <w:rsid w:val="002C4EA0"/>
    <w:rsid w:val="002C51C3"/>
    <w:rsid w:val="002C529B"/>
    <w:rsid w:val="002C5872"/>
    <w:rsid w:val="002C58F9"/>
    <w:rsid w:val="002C5C7D"/>
    <w:rsid w:val="002C5D6F"/>
    <w:rsid w:val="002C5FEA"/>
    <w:rsid w:val="002C61F9"/>
    <w:rsid w:val="002C6673"/>
    <w:rsid w:val="002C6759"/>
    <w:rsid w:val="002C67D9"/>
    <w:rsid w:val="002C6969"/>
    <w:rsid w:val="002C6CCE"/>
    <w:rsid w:val="002C6D89"/>
    <w:rsid w:val="002C6EF4"/>
    <w:rsid w:val="002C7173"/>
    <w:rsid w:val="002C72BB"/>
    <w:rsid w:val="002C72F1"/>
    <w:rsid w:val="002C7432"/>
    <w:rsid w:val="002C763C"/>
    <w:rsid w:val="002C785E"/>
    <w:rsid w:val="002C7ABD"/>
    <w:rsid w:val="002C7C8B"/>
    <w:rsid w:val="002C7EC0"/>
    <w:rsid w:val="002C7F91"/>
    <w:rsid w:val="002D0118"/>
    <w:rsid w:val="002D01DB"/>
    <w:rsid w:val="002D069F"/>
    <w:rsid w:val="002D0ACC"/>
    <w:rsid w:val="002D1AE3"/>
    <w:rsid w:val="002D1E66"/>
    <w:rsid w:val="002D2036"/>
    <w:rsid w:val="002D2164"/>
    <w:rsid w:val="002D2249"/>
    <w:rsid w:val="002D2518"/>
    <w:rsid w:val="002D28ED"/>
    <w:rsid w:val="002D2D4A"/>
    <w:rsid w:val="002D31D9"/>
    <w:rsid w:val="002D3292"/>
    <w:rsid w:val="002D34C0"/>
    <w:rsid w:val="002D355B"/>
    <w:rsid w:val="002D385E"/>
    <w:rsid w:val="002D39C5"/>
    <w:rsid w:val="002D3B34"/>
    <w:rsid w:val="002D406B"/>
    <w:rsid w:val="002D4352"/>
    <w:rsid w:val="002D43B9"/>
    <w:rsid w:val="002D470E"/>
    <w:rsid w:val="002D4C3E"/>
    <w:rsid w:val="002D50BB"/>
    <w:rsid w:val="002D539E"/>
    <w:rsid w:val="002D5709"/>
    <w:rsid w:val="002D5E3E"/>
    <w:rsid w:val="002D6218"/>
    <w:rsid w:val="002D68B8"/>
    <w:rsid w:val="002D6C17"/>
    <w:rsid w:val="002D6CA6"/>
    <w:rsid w:val="002D6DE1"/>
    <w:rsid w:val="002D6E9E"/>
    <w:rsid w:val="002D7328"/>
    <w:rsid w:val="002D74C4"/>
    <w:rsid w:val="002D74EF"/>
    <w:rsid w:val="002D74FA"/>
    <w:rsid w:val="002D7715"/>
    <w:rsid w:val="002D7925"/>
    <w:rsid w:val="002D7955"/>
    <w:rsid w:val="002D7CB1"/>
    <w:rsid w:val="002D7F30"/>
    <w:rsid w:val="002E03B1"/>
    <w:rsid w:val="002E05A6"/>
    <w:rsid w:val="002E06B9"/>
    <w:rsid w:val="002E07BC"/>
    <w:rsid w:val="002E10FC"/>
    <w:rsid w:val="002E1236"/>
    <w:rsid w:val="002E14F3"/>
    <w:rsid w:val="002E159E"/>
    <w:rsid w:val="002E1640"/>
    <w:rsid w:val="002E193E"/>
    <w:rsid w:val="002E214A"/>
    <w:rsid w:val="002E2298"/>
    <w:rsid w:val="002E2A53"/>
    <w:rsid w:val="002E3AD0"/>
    <w:rsid w:val="002E3FDE"/>
    <w:rsid w:val="002E437D"/>
    <w:rsid w:val="002E4890"/>
    <w:rsid w:val="002E4ADD"/>
    <w:rsid w:val="002E4AE9"/>
    <w:rsid w:val="002E4CF6"/>
    <w:rsid w:val="002E4DE7"/>
    <w:rsid w:val="002E4F4F"/>
    <w:rsid w:val="002E54C3"/>
    <w:rsid w:val="002E58AD"/>
    <w:rsid w:val="002E5A40"/>
    <w:rsid w:val="002E5DD3"/>
    <w:rsid w:val="002E6138"/>
    <w:rsid w:val="002E6689"/>
    <w:rsid w:val="002E6A3A"/>
    <w:rsid w:val="002E6C50"/>
    <w:rsid w:val="002E6DD9"/>
    <w:rsid w:val="002E717B"/>
    <w:rsid w:val="002E723B"/>
    <w:rsid w:val="002E7480"/>
    <w:rsid w:val="002E760F"/>
    <w:rsid w:val="002F0046"/>
    <w:rsid w:val="002F009B"/>
    <w:rsid w:val="002F02E6"/>
    <w:rsid w:val="002F054F"/>
    <w:rsid w:val="002F0582"/>
    <w:rsid w:val="002F07BF"/>
    <w:rsid w:val="002F08A8"/>
    <w:rsid w:val="002F0CA6"/>
    <w:rsid w:val="002F0CAA"/>
    <w:rsid w:val="002F0F7A"/>
    <w:rsid w:val="002F159F"/>
    <w:rsid w:val="002F16F1"/>
    <w:rsid w:val="002F18C1"/>
    <w:rsid w:val="002F1BA8"/>
    <w:rsid w:val="002F21A2"/>
    <w:rsid w:val="002F2293"/>
    <w:rsid w:val="002F22B4"/>
    <w:rsid w:val="002F2FD9"/>
    <w:rsid w:val="002F31DF"/>
    <w:rsid w:val="002F35EF"/>
    <w:rsid w:val="002F37D5"/>
    <w:rsid w:val="002F3C34"/>
    <w:rsid w:val="002F3C3F"/>
    <w:rsid w:val="002F3CFC"/>
    <w:rsid w:val="002F3E68"/>
    <w:rsid w:val="002F413F"/>
    <w:rsid w:val="002F427B"/>
    <w:rsid w:val="002F4390"/>
    <w:rsid w:val="002F4435"/>
    <w:rsid w:val="002F4695"/>
    <w:rsid w:val="002F46DB"/>
    <w:rsid w:val="002F4C19"/>
    <w:rsid w:val="002F4CE1"/>
    <w:rsid w:val="002F5286"/>
    <w:rsid w:val="002F5452"/>
    <w:rsid w:val="002F5473"/>
    <w:rsid w:val="002F5660"/>
    <w:rsid w:val="002F571A"/>
    <w:rsid w:val="002F671E"/>
    <w:rsid w:val="002F67BC"/>
    <w:rsid w:val="002F6A8B"/>
    <w:rsid w:val="002F6C92"/>
    <w:rsid w:val="002F6D3E"/>
    <w:rsid w:val="002F6F38"/>
    <w:rsid w:val="002F702B"/>
    <w:rsid w:val="002F72DE"/>
    <w:rsid w:val="002F79E4"/>
    <w:rsid w:val="002F7B50"/>
    <w:rsid w:val="002F7DCE"/>
    <w:rsid w:val="002F7E79"/>
    <w:rsid w:val="002F7EBD"/>
    <w:rsid w:val="002F7EC3"/>
    <w:rsid w:val="00300246"/>
    <w:rsid w:val="003004A1"/>
    <w:rsid w:val="00300853"/>
    <w:rsid w:val="00300C95"/>
    <w:rsid w:val="0030135F"/>
    <w:rsid w:val="00301477"/>
    <w:rsid w:val="0030149B"/>
    <w:rsid w:val="003019CC"/>
    <w:rsid w:val="00301C19"/>
    <w:rsid w:val="00301E27"/>
    <w:rsid w:val="003020B7"/>
    <w:rsid w:val="00302196"/>
    <w:rsid w:val="00302A0F"/>
    <w:rsid w:val="00302CB7"/>
    <w:rsid w:val="00303092"/>
    <w:rsid w:val="003031D2"/>
    <w:rsid w:val="003036B3"/>
    <w:rsid w:val="00303BC1"/>
    <w:rsid w:val="00303D19"/>
    <w:rsid w:val="00303E08"/>
    <w:rsid w:val="00303F63"/>
    <w:rsid w:val="003040CF"/>
    <w:rsid w:val="00304151"/>
    <w:rsid w:val="00304214"/>
    <w:rsid w:val="003047E3"/>
    <w:rsid w:val="00304870"/>
    <w:rsid w:val="00304C39"/>
    <w:rsid w:val="00304C42"/>
    <w:rsid w:val="00304DAD"/>
    <w:rsid w:val="00304F42"/>
    <w:rsid w:val="00305453"/>
    <w:rsid w:val="00305507"/>
    <w:rsid w:val="00305A04"/>
    <w:rsid w:val="00305AA4"/>
    <w:rsid w:val="00305E26"/>
    <w:rsid w:val="00305E47"/>
    <w:rsid w:val="0030665D"/>
    <w:rsid w:val="0030670E"/>
    <w:rsid w:val="00306FB9"/>
    <w:rsid w:val="003070AC"/>
    <w:rsid w:val="0030747F"/>
    <w:rsid w:val="0030791C"/>
    <w:rsid w:val="00307AD6"/>
    <w:rsid w:val="00310606"/>
    <w:rsid w:val="003106C0"/>
    <w:rsid w:val="0031071B"/>
    <w:rsid w:val="00310919"/>
    <w:rsid w:val="0031092B"/>
    <w:rsid w:val="00310CD7"/>
    <w:rsid w:val="00310F3D"/>
    <w:rsid w:val="0031150D"/>
    <w:rsid w:val="0031192A"/>
    <w:rsid w:val="00311D12"/>
    <w:rsid w:val="00311FB8"/>
    <w:rsid w:val="00312272"/>
    <w:rsid w:val="003122D1"/>
    <w:rsid w:val="003122FB"/>
    <w:rsid w:val="0031240F"/>
    <w:rsid w:val="003125C5"/>
    <w:rsid w:val="003127FA"/>
    <w:rsid w:val="0031297E"/>
    <w:rsid w:val="003129E0"/>
    <w:rsid w:val="00312D2A"/>
    <w:rsid w:val="00312EBC"/>
    <w:rsid w:val="0031310A"/>
    <w:rsid w:val="003133EE"/>
    <w:rsid w:val="003134BF"/>
    <w:rsid w:val="0031375A"/>
    <w:rsid w:val="003138B4"/>
    <w:rsid w:val="003138F9"/>
    <w:rsid w:val="00313A2C"/>
    <w:rsid w:val="00314347"/>
    <w:rsid w:val="00314489"/>
    <w:rsid w:val="0031467B"/>
    <w:rsid w:val="00314CD5"/>
    <w:rsid w:val="003155BC"/>
    <w:rsid w:val="003156A7"/>
    <w:rsid w:val="00315A15"/>
    <w:rsid w:val="003160E5"/>
    <w:rsid w:val="00316147"/>
    <w:rsid w:val="00316293"/>
    <w:rsid w:val="00316759"/>
    <w:rsid w:val="0031688A"/>
    <w:rsid w:val="003168C6"/>
    <w:rsid w:val="00320671"/>
    <w:rsid w:val="00320A48"/>
    <w:rsid w:val="00320D65"/>
    <w:rsid w:val="00320F39"/>
    <w:rsid w:val="00321113"/>
    <w:rsid w:val="0032119F"/>
    <w:rsid w:val="00321B3E"/>
    <w:rsid w:val="00322017"/>
    <w:rsid w:val="0032288E"/>
    <w:rsid w:val="00322918"/>
    <w:rsid w:val="00322C85"/>
    <w:rsid w:val="00322CB0"/>
    <w:rsid w:val="00323532"/>
    <w:rsid w:val="00323545"/>
    <w:rsid w:val="003235B7"/>
    <w:rsid w:val="00323715"/>
    <w:rsid w:val="0032386F"/>
    <w:rsid w:val="00323D61"/>
    <w:rsid w:val="00323E74"/>
    <w:rsid w:val="00324300"/>
    <w:rsid w:val="003245BA"/>
    <w:rsid w:val="0032471F"/>
    <w:rsid w:val="00324807"/>
    <w:rsid w:val="00324968"/>
    <w:rsid w:val="003251AE"/>
    <w:rsid w:val="00325615"/>
    <w:rsid w:val="0032599F"/>
    <w:rsid w:val="00325CA3"/>
    <w:rsid w:val="00326683"/>
    <w:rsid w:val="0032674B"/>
    <w:rsid w:val="00326771"/>
    <w:rsid w:val="00326928"/>
    <w:rsid w:val="00326EA6"/>
    <w:rsid w:val="003275DE"/>
    <w:rsid w:val="003276CF"/>
    <w:rsid w:val="003279FE"/>
    <w:rsid w:val="00327AB9"/>
    <w:rsid w:val="00327C3A"/>
    <w:rsid w:val="00327C7C"/>
    <w:rsid w:val="00327D55"/>
    <w:rsid w:val="00327FD6"/>
    <w:rsid w:val="0033015F"/>
    <w:rsid w:val="00330359"/>
    <w:rsid w:val="003304DF"/>
    <w:rsid w:val="0033060E"/>
    <w:rsid w:val="00330A0C"/>
    <w:rsid w:val="00331101"/>
    <w:rsid w:val="00331220"/>
    <w:rsid w:val="0033127C"/>
    <w:rsid w:val="003314AB"/>
    <w:rsid w:val="0033166F"/>
    <w:rsid w:val="0033174E"/>
    <w:rsid w:val="0033194C"/>
    <w:rsid w:val="003319E1"/>
    <w:rsid w:val="00331CF6"/>
    <w:rsid w:val="00332134"/>
    <w:rsid w:val="00332423"/>
    <w:rsid w:val="003326AB"/>
    <w:rsid w:val="0033282E"/>
    <w:rsid w:val="00332849"/>
    <w:rsid w:val="00332DA3"/>
    <w:rsid w:val="00333260"/>
    <w:rsid w:val="003332EC"/>
    <w:rsid w:val="003333A7"/>
    <w:rsid w:val="003333EF"/>
    <w:rsid w:val="0033351D"/>
    <w:rsid w:val="003335C1"/>
    <w:rsid w:val="0033393D"/>
    <w:rsid w:val="00333BE2"/>
    <w:rsid w:val="00333E78"/>
    <w:rsid w:val="0033408A"/>
    <w:rsid w:val="00334137"/>
    <w:rsid w:val="0033418F"/>
    <w:rsid w:val="00334367"/>
    <w:rsid w:val="0033457D"/>
    <w:rsid w:val="00334ABC"/>
    <w:rsid w:val="00334F60"/>
    <w:rsid w:val="00335571"/>
    <w:rsid w:val="00335611"/>
    <w:rsid w:val="003356AD"/>
    <w:rsid w:val="00335D4F"/>
    <w:rsid w:val="00335E9B"/>
    <w:rsid w:val="0033649A"/>
    <w:rsid w:val="00336601"/>
    <w:rsid w:val="0033683B"/>
    <w:rsid w:val="00336BE9"/>
    <w:rsid w:val="0033734E"/>
    <w:rsid w:val="0033747B"/>
    <w:rsid w:val="003376CA"/>
    <w:rsid w:val="003379CE"/>
    <w:rsid w:val="00337E2D"/>
    <w:rsid w:val="003403BD"/>
    <w:rsid w:val="003403C2"/>
    <w:rsid w:val="003419F8"/>
    <w:rsid w:val="00341B2D"/>
    <w:rsid w:val="003421DA"/>
    <w:rsid w:val="003423F3"/>
    <w:rsid w:val="00342587"/>
    <w:rsid w:val="003429D7"/>
    <w:rsid w:val="00342C33"/>
    <w:rsid w:val="0034310C"/>
    <w:rsid w:val="00343177"/>
    <w:rsid w:val="003435A4"/>
    <w:rsid w:val="00343745"/>
    <w:rsid w:val="00343C0B"/>
    <w:rsid w:val="00343E0F"/>
    <w:rsid w:val="0034409E"/>
    <w:rsid w:val="003441FE"/>
    <w:rsid w:val="00344369"/>
    <w:rsid w:val="00344493"/>
    <w:rsid w:val="003444EC"/>
    <w:rsid w:val="00344777"/>
    <w:rsid w:val="00344EC1"/>
    <w:rsid w:val="00344EF3"/>
    <w:rsid w:val="00345006"/>
    <w:rsid w:val="0034503C"/>
    <w:rsid w:val="0034535A"/>
    <w:rsid w:val="00345933"/>
    <w:rsid w:val="0034667F"/>
    <w:rsid w:val="0034710D"/>
    <w:rsid w:val="00347577"/>
    <w:rsid w:val="003477B3"/>
    <w:rsid w:val="00347860"/>
    <w:rsid w:val="00347B63"/>
    <w:rsid w:val="00347C97"/>
    <w:rsid w:val="00347E12"/>
    <w:rsid w:val="00350240"/>
    <w:rsid w:val="0035024F"/>
    <w:rsid w:val="003504C6"/>
    <w:rsid w:val="00350616"/>
    <w:rsid w:val="00350EEE"/>
    <w:rsid w:val="00350F38"/>
    <w:rsid w:val="00350F90"/>
    <w:rsid w:val="00350FC1"/>
    <w:rsid w:val="00351FD9"/>
    <w:rsid w:val="0035240D"/>
    <w:rsid w:val="003524AB"/>
    <w:rsid w:val="00352593"/>
    <w:rsid w:val="003525D8"/>
    <w:rsid w:val="00352784"/>
    <w:rsid w:val="0035285E"/>
    <w:rsid w:val="003529F8"/>
    <w:rsid w:val="00352F59"/>
    <w:rsid w:val="00352F7D"/>
    <w:rsid w:val="00352F7E"/>
    <w:rsid w:val="003531F2"/>
    <w:rsid w:val="00353818"/>
    <w:rsid w:val="00353CA8"/>
    <w:rsid w:val="0035403F"/>
    <w:rsid w:val="00354714"/>
    <w:rsid w:val="00354CF1"/>
    <w:rsid w:val="003552D6"/>
    <w:rsid w:val="0035568E"/>
    <w:rsid w:val="00355854"/>
    <w:rsid w:val="00355922"/>
    <w:rsid w:val="00355DD5"/>
    <w:rsid w:val="003560FB"/>
    <w:rsid w:val="00356F7C"/>
    <w:rsid w:val="00356FC3"/>
    <w:rsid w:val="00357078"/>
    <w:rsid w:val="003575FD"/>
    <w:rsid w:val="00357AB6"/>
    <w:rsid w:val="00357DFB"/>
    <w:rsid w:val="00360113"/>
    <w:rsid w:val="0036094D"/>
    <w:rsid w:val="00360BDB"/>
    <w:rsid w:val="00360CF5"/>
    <w:rsid w:val="00360F29"/>
    <w:rsid w:val="003616BC"/>
    <w:rsid w:val="0036199F"/>
    <w:rsid w:val="003619A9"/>
    <w:rsid w:val="00361A8A"/>
    <w:rsid w:val="00361B48"/>
    <w:rsid w:val="00361B6F"/>
    <w:rsid w:val="00361C40"/>
    <w:rsid w:val="00361D9A"/>
    <w:rsid w:val="003621CA"/>
    <w:rsid w:val="00362625"/>
    <w:rsid w:val="00362D59"/>
    <w:rsid w:val="00362F06"/>
    <w:rsid w:val="00362FC8"/>
    <w:rsid w:val="00363071"/>
    <w:rsid w:val="0036313F"/>
    <w:rsid w:val="003631E0"/>
    <w:rsid w:val="00363520"/>
    <w:rsid w:val="00363623"/>
    <w:rsid w:val="00363A40"/>
    <w:rsid w:val="00363AF1"/>
    <w:rsid w:val="00363B8A"/>
    <w:rsid w:val="00364752"/>
    <w:rsid w:val="00364A66"/>
    <w:rsid w:val="00364E8E"/>
    <w:rsid w:val="00365780"/>
    <w:rsid w:val="00366478"/>
    <w:rsid w:val="00366694"/>
    <w:rsid w:val="00366AED"/>
    <w:rsid w:val="00366DF8"/>
    <w:rsid w:val="00367102"/>
    <w:rsid w:val="0036798A"/>
    <w:rsid w:val="00367999"/>
    <w:rsid w:val="003679ED"/>
    <w:rsid w:val="00367C65"/>
    <w:rsid w:val="00367E0E"/>
    <w:rsid w:val="003700B6"/>
    <w:rsid w:val="00370515"/>
    <w:rsid w:val="00370677"/>
    <w:rsid w:val="0037074A"/>
    <w:rsid w:val="00370B0C"/>
    <w:rsid w:val="00370EA2"/>
    <w:rsid w:val="00370F26"/>
    <w:rsid w:val="00371046"/>
    <w:rsid w:val="003711E2"/>
    <w:rsid w:val="0037173B"/>
    <w:rsid w:val="00371763"/>
    <w:rsid w:val="0037178F"/>
    <w:rsid w:val="003717BE"/>
    <w:rsid w:val="003718AC"/>
    <w:rsid w:val="00371938"/>
    <w:rsid w:val="00371A26"/>
    <w:rsid w:val="00371CF5"/>
    <w:rsid w:val="003728F6"/>
    <w:rsid w:val="00372C0A"/>
    <w:rsid w:val="00372EA4"/>
    <w:rsid w:val="00372F1C"/>
    <w:rsid w:val="00372F56"/>
    <w:rsid w:val="003732FC"/>
    <w:rsid w:val="0037363A"/>
    <w:rsid w:val="00373A32"/>
    <w:rsid w:val="00373CD1"/>
    <w:rsid w:val="00373D4F"/>
    <w:rsid w:val="00374531"/>
    <w:rsid w:val="00374575"/>
    <w:rsid w:val="00374732"/>
    <w:rsid w:val="00374C0D"/>
    <w:rsid w:val="00374FB1"/>
    <w:rsid w:val="00375147"/>
    <w:rsid w:val="00375161"/>
    <w:rsid w:val="0037517C"/>
    <w:rsid w:val="00375725"/>
    <w:rsid w:val="00375966"/>
    <w:rsid w:val="00375BB1"/>
    <w:rsid w:val="00375C02"/>
    <w:rsid w:val="00375C70"/>
    <w:rsid w:val="00376195"/>
    <w:rsid w:val="003765A9"/>
    <w:rsid w:val="00376D32"/>
    <w:rsid w:val="00376D41"/>
    <w:rsid w:val="00376F17"/>
    <w:rsid w:val="00377009"/>
    <w:rsid w:val="0037726D"/>
    <w:rsid w:val="003772F2"/>
    <w:rsid w:val="00377465"/>
    <w:rsid w:val="00377483"/>
    <w:rsid w:val="00377ADE"/>
    <w:rsid w:val="00377D1C"/>
    <w:rsid w:val="003806E6"/>
    <w:rsid w:val="00380D69"/>
    <w:rsid w:val="00380E45"/>
    <w:rsid w:val="0038100B"/>
    <w:rsid w:val="00381179"/>
    <w:rsid w:val="0038128B"/>
    <w:rsid w:val="00381444"/>
    <w:rsid w:val="00381948"/>
    <w:rsid w:val="00381A27"/>
    <w:rsid w:val="00381B25"/>
    <w:rsid w:val="00381BA5"/>
    <w:rsid w:val="00381C91"/>
    <w:rsid w:val="00381CCC"/>
    <w:rsid w:val="00381EA9"/>
    <w:rsid w:val="003820DB"/>
    <w:rsid w:val="003827BE"/>
    <w:rsid w:val="00382838"/>
    <w:rsid w:val="003828DD"/>
    <w:rsid w:val="003831F1"/>
    <w:rsid w:val="003833ED"/>
    <w:rsid w:val="003837CC"/>
    <w:rsid w:val="003838CF"/>
    <w:rsid w:val="00384583"/>
    <w:rsid w:val="00384877"/>
    <w:rsid w:val="003848AA"/>
    <w:rsid w:val="00384A9F"/>
    <w:rsid w:val="00384AD4"/>
    <w:rsid w:val="00384C3F"/>
    <w:rsid w:val="00384F0B"/>
    <w:rsid w:val="0038554F"/>
    <w:rsid w:val="003855D6"/>
    <w:rsid w:val="00385909"/>
    <w:rsid w:val="00386064"/>
    <w:rsid w:val="0038628D"/>
    <w:rsid w:val="003865F4"/>
    <w:rsid w:val="00386B07"/>
    <w:rsid w:val="00386DF0"/>
    <w:rsid w:val="003870DC"/>
    <w:rsid w:val="00387527"/>
    <w:rsid w:val="00387573"/>
    <w:rsid w:val="00387A33"/>
    <w:rsid w:val="00387B12"/>
    <w:rsid w:val="00387BB3"/>
    <w:rsid w:val="00390046"/>
    <w:rsid w:val="003901BA"/>
    <w:rsid w:val="003903CA"/>
    <w:rsid w:val="003907B2"/>
    <w:rsid w:val="00390D8F"/>
    <w:rsid w:val="003910B9"/>
    <w:rsid w:val="003916D9"/>
    <w:rsid w:val="003918FC"/>
    <w:rsid w:val="0039193A"/>
    <w:rsid w:val="00391A6F"/>
    <w:rsid w:val="00391A93"/>
    <w:rsid w:val="003921FB"/>
    <w:rsid w:val="003927EA"/>
    <w:rsid w:val="003931EC"/>
    <w:rsid w:val="00393326"/>
    <w:rsid w:val="0039377C"/>
    <w:rsid w:val="003939A8"/>
    <w:rsid w:val="00394077"/>
    <w:rsid w:val="003947B4"/>
    <w:rsid w:val="00394CCA"/>
    <w:rsid w:val="00394EBC"/>
    <w:rsid w:val="003954F2"/>
    <w:rsid w:val="00395577"/>
    <w:rsid w:val="00395B62"/>
    <w:rsid w:val="00395DED"/>
    <w:rsid w:val="00396A9A"/>
    <w:rsid w:val="00396BF4"/>
    <w:rsid w:val="00396F3F"/>
    <w:rsid w:val="003970EE"/>
    <w:rsid w:val="003970FA"/>
    <w:rsid w:val="0039714D"/>
    <w:rsid w:val="003973FE"/>
    <w:rsid w:val="0039748B"/>
    <w:rsid w:val="00397B8A"/>
    <w:rsid w:val="00397C58"/>
    <w:rsid w:val="003A016F"/>
    <w:rsid w:val="003A02EE"/>
    <w:rsid w:val="003A04EA"/>
    <w:rsid w:val="003A0AC3"/>
    <w:rsid w:val="003A0AD5"/>
    <w:rsid w:val="003A0D6E"/>
    <w:rsid w:val="003A1134"/>
    <w:rsid w:val="003A1400"/>
    <w:rsid w:val="003A1AB2"/>
    <w:rsid w:val="003A1C06"/>
    <w:rsid w:val="003A28D1"/>
    <w:rsid w:val="003A29DF"/>
    <w:rsid w:val="003A3058"/>
    <w:rsid w:val="003A308D"/>
    <w:rsid w:val="003A30CB"/>
    <w:rsid w:val="003A35DC"/>
    <w:rsid w:val="003A38F1"/>
    <w:rsid w:val="003A3B6D"/>
    <w:rsid w:val="003A3E9A"/>
    <w:rsid w:val="003A40EC"/>
    <w:rsid w:val="003A4174"/>
    <w:rsid w:val="003A422F"/>
    <w:rsid w:val="003A4503"/>
    <w:rsid w:val="003A4AC4"/>
    <w:rsid w:val="003A4BF4"/>
    <w:rsid w:val="003A4C3C"/>
    <w:rsid w:val="003A4FB7"/>
    <w:rsid w:val="003A501C"/>
    <w:rsid w:val="003A5447"/>
    <w:rsid w:val="003A5B5C"/>
    <w:rsid w:val="003A5D75"/>
    <w:rsid w:val="003A5F14"/>
    <w:rsid w:val="003A60D3"/>
    <w:rsid w:val="003A63EC"/>
    <w:rsid w:val="003A679C"/>
    <w:rsid w:val="003A6BB2"/>
    <w:rsid w:val="003A6C42"/>
    <w:rsid w:val="003A6E29"/>
    <w:rsid w:val="003A735E"/>
    <w:rsid w:val="003A7713"/>
    <w:rsid w:val="003A7791"/>
    <w:rsid w:val="003A7B83"/>
    <w:rsid w:val="003A7E6D"/>
    <w:rsid w:val="003A7E6F"/>
    <w:rsid w:val="003B04AF"/>
    <w:rsid w:val="003B09AE"/>
    <w:rsid w:val="003B1178"/>
    <w:rsid w:val="003B131F"/>
    <w:rsid w:val="003B136D"/>
    <w:rsid w:val="003B1763"/>
    <w:rsid w:val="003B2248"/>
    <w:rsid w:val="003B2480"/>
    <w:rsid w:val="003B27BB"/>
    <w:rsid w:val="003B2E0F"/>
    <w:rsid w:val="003B30A3"/>
    <w:rsid w:val="003B32AF"/>
    <w:rsid w:val="003B38A3"/>
    <w:rsid w:val="003B38F3"/>
    <w:rsid w:val="003B3BF2"/>
    <w:rsid w:val="003B3D4A"/>
    <w:rsid w:val="003B3DBE"/>
    <w:rsid w:val="003B4233"/>
    <w:rsid w:val="003B471D"/>
    <w:rsid w:val="003B488E"/>
    <w:rsid w:val="003B489C"/>
    <w:rsid w:val="003B4EBC"/>
    <w:rsid w:val="003B5341"/>
    <w:rsid w:val="003B5AC9"/>
    <w:rsid w:val="003B6099"/>
    <w:rsid w:val="003B64A4"/>
    <w:rsid w:val="003B6571"/>
    <w:rsid w:val="003B65F4"/>
    <w:rsid w:val="003B6A32"/>
    <w:rsid w:val="003B6C37"/>
    <w:rsid w:val="003B6C55"/>
    <w:rsid w:val="003B70D5"/>
    <w:rsid w:val="003B72C4"/>
    <w:rsid w:val="003B74FD"/>
    <w:rsid w:val="003B7662"/>
    <w:rsid w:val="003B7E88"/>
    <w:rsid w:val="003C0147"/>
    <w:rsid w:val="003C0CEF"/>
    <w:rsid w:val="003C0D8E"/>
    <w:rsid w:val="003C1B84"/>
    <w:rsid w:val="003C1F83"/>
    <w:rsid w:val="003C2154"/>
    <w:rsid w:val="003C225C"/>
    <w:rsid w:val="003C2705"/>
    <w:rsid w:val="003C2D37"/>
    <w:rsid w:val="003C34E5"/>
    <w:rsid w:val="003C374A"/>
    <w:rsid w:val="003C390E"/>
    <w:rsid w:val="003C3C04"/>
    <w:rsid w:val="003C3ECC"/>
    <w:rsid w:val="003C3FAC"/>
    <w:rsid w:val="003C3FF1"/>
    <w:rsid w:val="003C47A6"/>
    <w:rsid w:val="003C49EE"/>
    <w:rsid w:val="003C4B3C"/>
    <w:rsid w:val="003C4D4E"/>
    <w:rsid w:val="003C53B1"/>
    <w:rsid w:val="003C54AD"/>
    <w:rsid w:val="003C56F5"/>
    <w:rsid w:val="003C5A5B"/>
    <w:rsid w:val="003C5CF0"/>
    <w:rsid w:val="003C6786"/>
    <w:rsid w:val="003C6DA5"/>
    <w:rsid w:val="003C6FE2"/>
    <w:rsid w:val="003C7691"/>
    <w:rsid w:val="003C7D22"/>
    <w:rsid w:val="003C7D28"/>
    <w:rsid w:val="003C7F2E"/>
    <w:rsid w:val="003D006B"/>
    <w:rsid w:val="003D01E7"/>
    <w:rsid w:val="003D0D63"/>
    <w:rsid w:val="003D18B2"/>
    <w:rsid w:val="003D18D1"/>
    <w:rsid w:val="003D1943"/>
    <w:rsid w:val="003D1B28"/>
    <w:rsid w:val="003D1D30"/>
    <w:rsid w:val="003D248C"/>
    <w:rsid w:val="003D27D8"/>
    <w:rsid w:val="003D3652"/>
    <w:rsid w:val="003D36F6"/>
    <w:rsid w:val="003D3C03"/>
    <w:rsid w:val="003D3DCF"/>
    <w:rsid w:val="003D3EE9"/>
    <w:rsid w:val="003D4519"/>
    <w:rsid w:val="003D4528"/>
    <w:rsid w:val="003D49B9"/>
    <w:rsid w:val="003D4BA0"/>
    <w:rsid w:val="003D4C50"/>
    <w:rsid w:val="003D4DF6"/>
    <w:rsid w:val="003D540B"/>
    <w:rsid w:val="003D5863"/>
    <w:rsid w:val="003D594C"/>
    <w:rsid w:val="003D5A84"/>
    <w:rsid w:val="003D5ADF"/>
    <w:rsid w:val="003D5B8A"/>
    <w:rsid w:val="003D5EB0"/>
    <w:rsid w:val="003D5F51"/>
    <w:rsid w:val="003D6247"/>
    <w:rsid w:val="003D67B5"/>
    <w:rsid w:val="003D6A1F"/>
    <w:rsid w:val="003D748B"/>
    <w:rsid w:val="003D754C"/>
    <w:rsid w:val="003D7656"/>
    <w:rsid w:val="003E016B"/>
    <w:rsid w:val="003E037B"/>
    <w:rsid w:val="003E03C7"/>
    <w:rsid w:val="003E04AF"/>
    <w:rsid w:val="003E06F4"/>
    <w:rsid w:val="003E0803"/>
    <w:rsid w:val="003E0C18"/>
    <w:rsid w:val="003E0E5B"/>
    <w:rsid w:val="003E0FAA"/>
    <w:rsid w:val="003E1932"/>
    <w:rsid w:val="003E1B1E"/>
    <w:rsid w:val="003E1B3C"/>
    <w:rsid w:val="003E1CAC"/>
    <w:rsid w:val="003E1CE4"/>
    <w:rsid w:val="003E2526"/>
    <w:rsid w:val="003E261F"/>
    <w:rsid w:val="003E2662"/>
    <w:rsid w:val="003E2C53"/>
    <w:rsid w:val="003E30AF"/>
    <w:rsid w:val="003E32E4"/>
    <w:rsid w:val="003E3803"/>
    <w:rsid w:val="003E3853"/>
    <w:rsid w:val="003E386C"/>
    <w:rsid w:val="003E4073"/>
    <w:rsid w:val="003E4077"/>
    <w:rsid w:val="003E42BE"/>
    <w:rsid w:val="003E438B"/>
    <w:rsid w:val="003E4402"/>
    <w:rsid w:val="003E4603"/>
    <w:rsid w:val="003E4AEE"/>
    <w:rsid w:val="003E5156"/>
    <w:rsid w:val="003E5723"/>
    <w:rsid w:val="003E5747"/>
    <w:rsid w:val="003E5EED"/>
    <w:rsid w:val="003E6094"/>
    <w:rsid w:val="003E60F6"/>
    <w:rsid w:val="003E65E3"/>
    <w:rsid w:val="003E6EEC"/>
    <w:rsid w:val="003E71EA"/>
    <w:rsid w:val="003E71F1"/>
    <w:rsid w:val="003E72E9"/>
    <w:rsid w:val="003E779B"/>
    <w:rsid w:val="003E7812"/>
    <w:rsid w:val="003E788F"/>
    <w:rsid w:val="003F03C2"/>
    <w:rsid w:val="003F0461"/>
    <w:rsid w:val="003F04E6"/>
    <w:rsid w:val="003F06BD"/>
    <w:rsid w:val="003F06EB"/>
    <w:rsid w:val="003F0B88"/>
    <w:rsid w:val="003F0C28"/>
    <w:rsid w:val="003F0F68"/>
    <w:rsid w:val="003F1170"/>
    <w:rsid w:val="003F1675"/>
    <w:rsid w:val="003F1693"/>
    <w:rsid w:val="003F170B"/>
    <w:rsid w:val="003F17B0"/>
    <w:rsid w:val="003F18BA"/>
    <w:rsid w:val="003F22D3"/>
    <w:rsid w:val="003F24A3"/>
    <w:rsid w:val="003F269F"/>
    <w:rsid w:val="003F2797"/>
    <w:rsid w:val="003F365D"/>
    <w:rsid w:val="003F36DF"/>
    <w:rsid w:val="003F3A76"/>
    <w:rsid w:val="003F4381"/>
    <w:rsid w:val="003F4404"/>
    <w:rsid w:val="003F4666"/>
    <w:rsid w:val="003F4A1D"/>
    <w:rsid w:val="003F4C73"/>
    <w:rsid w:val="003F5045"/>
    <w:rsid w:val="003F5356"/>
    <w:rsid w:val="003F5483"/>
    <w:rsid w:val="003F5853"/>
    <w:rsid w:val="003F597E"/>
    <w:rsid w:val="003F5B06"/>
    <w:rsid w:val="003F60AF"/>
    <w:rsid w:val="003F6820"/>
    <w:rsid w:val="003F6950"/>
    <w:rsid w:val="003F69C5"/>
    <w:rsid w:val="003F6E3A"/>
    <w:rsid w:val="003F71E6"/>
    <w:rsid w:val="003F770B"/>
    <w:rsid w:val="003F7769"/>
    <w:rsid w:val="003F7795"/>
    <w:rsid w:val="003F7841"/>
    <w:rsid w:val="003F7FCE"/>
    <w:rsid w:val="0040040A"/>
    <w:rsid w:val="004008BC"/>
    <w:rsid w:val="00401142"/>
    <w:rsid w:val="0040132B"/>
    <w:rsid w:val="00401557"/>
    <w:rsid w:val="004017AA"/>
    <w:rsid w:val="004018D8"/>
    <w:rsid w:val="00401C78"/>
    <w:rsid w:val="00402016"/>
    <w:rsid w:val="004026F4"/>
    <w:rsid w:val="004027DB"/>
    <w:rsid w:val="00402B61"/>
    <w:rsid w:val="00402C7E"/>
    <w:rsid w:val="00402CD2"/>
    <w:rsid w:val="0040301A"/>
    <w:rsid w:val="00403458"/>
    <w:rsid w:val="0040347D"/>
    <w:rsid w:val="00403486"/>
    <w:rsid w:val="0040377A"/>
    <w:rsid w:val="0040381C"/>
    <w:rsid w:val="00403B76"/>
    <w:rsid w:val="004041F3"/>
    <w:rsid w:val="00404255"/>
    <w:rsid w:val="004043D9"/>
    <w:rsid w:val="004046CD"/>
    <w:rsid w:val="004049BD"/>
    <w:rsid w:val="00404AB8"/>
    <w:rsid w:val="00404AD1"/>
    <w:rsid w:val="00404C15"/>
    <w:rsid w:val="00404D8B"/>
    <w:rsid w:val="00404EBE"/>
    <w:rsid w:val="004053BE"/>
    <w:rsid w:val="00405A0C"/>
    <w:rsid w:val="00405CF8"/>
    <w:rsid w:val="004069C4"/>
    <w:rsid w:val="00406E0B"/>
    <w:rsid w:val="00406E5A"/>
    <w:rsid w:val="004074E8"/>
    <w:rsid w:val="00407554"/>
    <w:rsid w:val="004076FD"/>
    <w:rsid w:val="00407A7B"/>
    <w:rsid w:val="00407DE2"/>
    <w:rsid w:val="00407FDC"/>
    <w:rsid w:val="00410274"/>
    <w:rsid w:val="00410DAB"/>
    <w:rsid w:val="00410EEE"/>
    <w:rsid w:val="0041107F"/>
    <w:rsid w:val="004119D9"/>
    <w:rsid w:val="00412357"/>
    <w:rsid w:val="004130F6"/>
    <w:rsid w:val="004135B4"/>
    <w:rsid w:val="00413731"/>
    <w:rsid w:val="0041412D"/>
    <w:rsid w:val="00414188"/>
    <w:rsid w:val="004141A0"/>
    <w:rsid w:val="004144FD"/>
    <w:rsid w:val="00414F79"/>
    <w:rsid w:val="004158CB"/>
    <w:rsid w:val="004158E0"/>
    <w:rsid w:val="00415A5B"/>
    <w:rsid w:val="00415BD6"/>
    <w:rsid w:val="00415BF4"/>
    <w:rsid w:val="00415DF8"/>
    <w:rsid w:val="00416507"/>
    <w:rsid w:val="004166CB"/>
    <w:rsid w:val="0041692F"/>
    <w:rsid w:val="004170C6"/>
    <w:rsid w:val="004172C3"/>
    <w:rsid w:val="004173BF"/>
    <w:rsid w:val="00417847"/>
    <w:rsid w:val="00417C9F"/>
    <w:rsid w:val="00417CF8"/>
    <w:rsid w:val="00417F37"/>
    <w:rsid w:val="00420125"/>
    <w:rsid w:val="004204BB"/>
    <w:rsid w:val="004206CD"/>
    <w:rsid w:val="00420AE3"/>
    <w:rsid w:val="004210FA"/>
    <w:rsid w:val="004211E4"/>
    <w:rsid w:val="00421304"/>
    <w:rsid w:val="004214DE"/>
    <w:rsid w:val="00421505"/>
    <w:rsid w:val="0042155F"/>
    <w:rsid w:val="0042179C"/>
    <w:rsid w:val="004219FE"/>
    <w:rsid w:val="00421B52"/>
    <w:rsid w:val="00422321"/>
    <w:rsid w:val="004226CF"/>
    <w:rsid w:val="00422766"/>
    <w:rsid w:val="00422FB7"/>
    <w:rsid w:val="0042301B"/>
    <w:rsid w:val="00423383"/>
    <w:rsid w:val="0042338D"/>
    <w:rsid w:val="004234BE"/>
    <w:rsid w:val="00423CDA"/>
    <w:rsid w:val="00423E1E"/>
    <w:rsid w:val="00424056"/>
    <w:rsid w:val="00424093"/>
    <w:rsid w:val="0042469A"/>
    <w:rsid w:val="004246A1"/>
    <w:rsid w:val="00424DD0"/>
    <w:rsid w:val="00424F4C"/>
    <w:rsid w:val="004251B7"/>
    <w:rsid w:val="00425206"/>
    <w:rsid w:val="00425677"/>
    <w:rsid w:val="00425D89"/>
    <w:rsid w:val="00426187"/>
    <w:rsid w:val="00426B11"/>
    <w:rsid w:val="00426B16"/>
    <w:rsid w:val="00426B2A"/>
    <w:rsid w:val="00426BD2"/>
    <w:rsid w:val="00426C62"/>
    <w:rsid w:val="00427534"/>
    <w:rsid w:val="00427538"/>
    <w:rsid w:val="004278BB"/>
    <w:rsid w:val="00427A15"/>
    <w:rsid w:val="00427BB5"/>
    <w:rsid w:val="0043006B"/>
    <w:rsid w:val="00430181"/>
    <w:rsid w:val="004302B2"/>
    <w:rsid w:val="00430475"/>
    <w:rsid w:val="004305E8"/>
    <w:rsid w:val="004308C0"/>
    <w:rsid w:val="00430C4F"/>
    <w:rsid w:val="00431068"/>
    <w:rsid w:val="00431394"/>
    <w:rsid w:val="00431A4E"/>
    <w:rsid w:val="0043213C"/>
    <w:rsid w:val="00432266"/>
    <w:rsid w:val="00432486"/>
    <w:rsid w:val="0043265C"/>
    <w:rsid w:val="00432700"/>
    <w:rsid w:val="004327BD"/>
    <w:rsid w:val="004329B5"/>
    <w:rsid w:val="00432C0E"/>
    <w:rsid w:val="00432D4A"/>
    <w:rsid w:val="00432DAB"/>
    <w:rsid w:val="00433368"/>
    <w:rsid w:val="00433613"/>
    <w:rsid w:val="00433B12"/>
    <w:rsid w:val="00433DE1"/>
    <w:rsid w:val="00433F00"/>
    <w:rsid w:val="0043421E"/>
    <w:rsid w:val="0043460F"/>
    <w:rsid w:val="00434661"/>
    <w:rsid w:val="00434A8F"/>
    <w:rsid w:val="00434AD1"/>
    <w:rsid w:val="00434F29"/>
    <w:rsid w:val="00435341"/>
    <w:rsid w:val="004357A1"/>
    <w:rsid w:val="00435B37"/>
    <w:rsid w:val="00435E2D"/>
    <w:rsid w:val="00436065"/>
    <w:rsid w:val="00436304"/>
    <w:rsid w:val="00436499"/>
    <w:rsid w:val="004364C0"/>
    <w:rsid w:val="004365BA"/>
    <w:rsid w:val="0043670A"/>
    <w:rsid w:val="00436FF3"/>
    <w:rsid w:val="00437034"/>
    <w:rsid w:val="00437372"/>
    <w:rsid w:val="00437425"/>
    <w:rsid w:val="004375E6"/>
    <w:rsid w:val="00437A5D"/>
    <w:rsid w:val="00437AB3"/>
    <w:rsid w:val="00437B35"/>
    <w:rsid w:val="00437D26"/>
    <w:rsid w:val="00437F46"/>
    <w:rsid w:val="00437F80"/>
    <w:rsid w:val="0044009F"/>
    <w:rsid w:val="00440418"/>
    <w:rsid w:val="00440765"/>
    <w:rsid w:val="00440C99"/>
    <w:rsid w:val="0044123E"/>
    <w:rsid w:val="0044133C"/>
    <w:rsid w:val="00441438"/>
    <w:rsid w:val="00441461"/>
    <w:rsid w:val="0044178C"/>
    <w:rsid w:val="004417E0"/>
    <w:rsid w:val="004418A7"/>
    <w:rsid w:val="0044198C"/>
    <w:rsid w:val="0044202B"/>
    <w:rsid w:val="00442515"/>
    <w:rsid w:val="00442858"/>
    <w:rsid w:val="00442FF1"/>
    <w:rsid w:val="004432FB"/>
    <w:rsid w:val="00443596"/>
    <w:rsid w:val="00443A6E"/>
    <w:rsid w:val="00443A7B"/>
    <w:rsid w:val="00443C06"/>
    <w:rsid w:val="00443D00"/>
    <w:rsid w:val="004443F3"/>
    <w:rsid w:val="004445FF"/>
    <w:rsid w:val="004446BE"/>
    <w:rsid w:val="00444712"/>
    <w:rsid w:val="004449C8"/>
    <w:rsid w:val="0044503A"/>
    <w:rsid w:val="00445525"/>
    <w:rsid w:val="00445592"/>
    <w:rsid w:val="00445760"/>
    <w:rsid w:val="00445809"/>
    <w:rsid w:val="004458D0"/>
    <w:rsid w:val="004459E6"/>
    <w:rsid w:val="00445A40"/>
    <w:rsid w:val="00445C37"/>
    <w:rsid w:val="00446A41"/>
    <w:rsid w:val="00446D47"/>
    <w:rsid w:val="004471E1"/>
    <w:rsid w:val="00447471"/>
    <w:rsid w:val="004474B7"/>
    <w:rsid w:val="004477A2"/>
    <w:rsid w:val="004477BA"/>
    <w:rsid w:val="00450719"/>
    <w:rsid w:val="00450AB2"/>
    <w:rsid w:val="00450AE1"/>
    <w:rsid w:val="00450FDE"/>
    <w:rsid w:val="004510E2"/>
    <w:rsid w:val="004513EF"/>
    <w:rsid w:val="00451865"/>
    <w:rsid w:val="00451A03"/>
    <w:rsid w:val="00451CF6"/>
    <w:rsid w:val="00451DA3"/>
    <w:rsid w:val="00452571"/>
    <w:rsid w:val="004526F3"/>
    <w:rsid w:val="0045281C"/>
    <w:rsid w:val="00452B2C"/>
    <w:rsid w:val="00452B4A"/>
    <w:rsid w:val="00452CE7"/>
    <w:rsid w:val="00452D17"/>
    <w:rsid w:val="00452E55"/>
    <w:rsid w:val="0045330E"/>
    <w:rsid w:val="00453503"/>
    <w:rsid w:val="004535BA"/>
    <w:rsid w:val="0045375B"/>
    <w:rsid w:val="004541CA"/>
    <w:rsid w:val="00454240"/>
    <w:rsid w:val="0045442A"/>
    <w:rsid w:val="00454458"/>
    <w:rsid w:val="00454589"/>
    <w:rsid w:val="004545CF"/>
    <w:rsid w:val="00454600"/>
    <w:rsid w:val="00454BF5"/>
    <w:rsid w:val="00454E17"/>
    <w:rsid w:val="004551B2"/>
    <w:rsid w:val="0045527A"/>
    <w:rsid w:val="00455449"/>
    <w:rsid w:val="004557C3"/>
    <w:rsid w:val="004557C7"/>
    <w:rsid w:val="00455BC2"/>
    <w:rsid w:val="0045648D"/>
    <w:rsid w:val="00456525"/>
    <w:rsid w:val="0045661B"/>
    <w:rsid w:val="004569ED"/>
    <w:rsid w:val="00456A80"/>
    <w:rsid w:val="00456B7B"/>
    <w:rsid w:val="004573A4"/>
    <w:rsid w:val="004579A7"/>
    <w:rsid w:val="00457B8F"/>
    <w:rsid w:val="00460406"/>
    <w:rsid w:val="00460541"/>
    <w:rsid w:val="00461541"/>
    <w:rsid w:val="004619B5"/>
    <w:rsid w:val="00461A07"/>
    <w:rsid w:val="00461C93"/>
    <w:rsid w:val="00461E73"/>
    <w:rsid w:val="00461F4C"/>
    <w:rsid w:val="00462140"/>
    <w:rsid w:val="0046250D"/>
    <w:rsid w:val="00462668"/>
    <w:rsid w:val="0046274E"/>
    <w:rsid w:val="00462A8B"/>
    <w:rsid w:val="00462ABC"/>
    <w:rsid w:val="00462AEF"/>
    <w:rsid w:val="00462CE7"/>
    <w:rsid w:val="00463555"/>
    <w:rsid w:val="0046363E"/>
    <w:rsid w:val="0046375B"/>
    <w:rsid w:val="00463829"/>
    <w:rsid w:val="004638BC"/>
    <w:rsid w:val="004639E8"/>
    <w:rsid w:val="00463EEA"/>
    <w:rsid w:val="004640E4"/>
    <w:rsid w:val="0046413A"/>
    <w:rsid w:val="004641B1"/>
    <w:rsid w:val="0046450C"/>
    <w:rsid w:val="0046464E"/>
    <w:rsid w:val="00464805"/>
    <w:rsid w:val="00464FA0"/>
    <w:rsid w:val="004653EB"/>
    <w:rsid w:val="00465431"/>
    <w:rsid w:val="0046576D"/>
    <w:rsid w:val="00465882"/>
    <w:rsid w:val="004658C9"/>
    <w:rsid w:val="004658D2"/>
    <w:rsid w:val="00465A1D"/>
    <w:rsid w:val="00465A8A"/>
    <w:rsid w:val="00465CFF"/>
    <w:rsid w:val="004662CB"/>
    <w:rsid w:val="00466553"/>
    <w:rsid w:val="00466848"/>
    <w:rsid w:val="0046684F"/>
    <w:rsid w:val="00466C4A"/>
    <w:rsid w:val="00466CA8"/>
    <w:rsid w:val="00466DE9"/>
    <w:rsid w:val="004670FF"/>
    <w:rsid w:val="00470048"/>
    <w:rsid w:val="004704DD"/>
    <w:rsid w:val="00470788"/>
    <w:rsid w:val="00470E40"/>
    <w:rsid w:val="00470E9B"/>
    <w:rsid w:val="00470E9D"/>
    <w:rsid w:val="00471134"/>
    <w:rsid w:val="00471234"/>
    <w:rsid w:val="00471269"/>
    <w:rsid w:val="004713A8"/>
    <w:rsid w:val="0047178B"/>
    <w:rsid w:val="00471881"/>
    <w:rsid w:val="004719CC"/>
    <w:rsid w:val="00471F8B"/>
    <w:rsid w:val="00471F96"/>
    <w:rsid w:val="0047223A"/>
    <w:rsid w:val="00472268"/>
    <w:rsid w:val="004723A4"/>
    <w:rsid w:val="00472439"/>
    <w:rsid w:val="00472C4A"/>
    <w:rsid w:val="00472F2B"/>
    <w:rsid w:val="00473041"/>
    <w:rsid w:val="00473089"/>
    <w:rsid w:val="00473444"/>
    <w:rsid w:val="0047349F"/>
    <w:rsid w:val="00473B84"/>
    <w:rsid w:val="00473C57"/>
    <w:rsid w:val="00473CEA"/>
    <w:rsid w:val="00473F19"/>
    <w:rsid w:val="0047411A"/>
    <w:rsid w:val="00474B1D"/>
    <w:rsid w:val="00474E6E"/>
    <w:rsid w:val="004750A6"/>
    <w:rsid w:val="0047520B"/>
    <w:rsid w:val="00475867"/>
    <w:rsid w:val="00475A6C"/>
    <w:rsid w:val="00475CEC"/>
    <w:rsid w:val="00475D04"/>
    <w:rsid w:val="00475F9A"/>
    <w:rsid w:val="00476208"/>
    <w:rsid w:val="0047678A"/>
    <w:rsid w:val="00476B9C"/>
    <w:rsid w:val="00476D2B"/>
    <w:rsid w:val="00476E00"/>
    <w:rsid w:val="00477B18"/>
    <w:rsid w:val="00477BFD"/>
    <w:rsid w:val="00477F0E"/>
    <w:rsid w:val="0048032E"/>
    <w:rsid w:val="00480584"/>
    <w:rsid w:val="004809AB"/>
    <w:rsid w:val="00480D9A"/>
    <w:rsid w:val="0048120F"/>
    <w:rsid w:val="004815C7"/>
    <w:rsid w:val="0048173E"/>
    <w:rsid w:val="004818D4"/>
    <w:rsid w:val="00481C6D"/>
    <w:rsid w:val="00481D04"/>
    <w:rsid w:val="00481D0F"/>
    <w:rsid w:val="00481E92"/>
    <w:rsid w:val="004823F2"/>
    <w:rsid w:val="004824A8"/>
    <w:rsid w:val="004827E4"/>
    <w:rsid w:val="00482A06"/>
    <w:rsid w:val="00482CEB"/>
    <w:rsid w:val="00482D24"/>
    <w:rsid w:val="00482D47"/>
    <w:rsid w:val="00483590"/>
    <w:rsid w:val="00483600"/>
    <w:rsid w:val="0048370E"/>
    <w:rsid w:val="00483C21"/>
    <w:rsid w:val="00483D1F"/>
    <w:rsid w:val="00483FBF"/>
    <w:rsid w:val="00484289"/>
    <w:rsid w:val="00484521"/>
    <w:rsid w:val="00484DED"/>
    <w:rsid w:val="00485076"/>
    <w:rsid w:val="00485306"/>
    <w:rsid w:val="004854E8"/>
    <w:rsid w:val="00485750"/>
    <w:rsid w:val="00485AE5"/>
    <w:rsid w:val="00485B59"/>
    <w:rsid w:val="00485C16"/>
    <w:rsid w:val="00485F36"/>
    <w:rsid w:val="00485FB5"/>
    <w:rsid w:val="00485FD0"/>
    <w:rsid w:val="00486939"/>
    <w:rsid w:val="00486FD9"/>
    <w:rsid w:val="0048701C"/>
    <w:rsid w:val="0048725E"/>
    <w:rsid w:val="004872B0"/>
    <w:rsid w:val="00487629"/>
    <w:rsid w:val="00487714"/>
    <w:rsid w:val="004877B7"/>
    <w:rsid w:val="00487846"/>
    <w:rsid w:val="004879E0"/>
    <w:rsid w:val="00487B51"/>
    <w:rsid w:val="00487B84"/>
    <w:rsid w:val="00487DC0"/>
    <w:rsid w:val="0049064C"/>
    <w:rsid w:val="00490736"/>
    <w:rsid w:val="00490B58"/>
    <w:rsid w:val="00490C26"/>
    <w:rsid w:val="004915A4"/>
    <w:rsid w:val="0049171C"/>
    <w:rsid w:val="004917ED"/>
    <w:rsid w:val="004917F4"/>
    <w:rsid w:val="00491B3C"/>
    <w:rsid w:val="00491DFB"/>
    <w:rsid w:val="004921AD"/>
    <w:rsid w:val="004921CB"/>
    <w:rsid w:val="00492255"/>
    <w:rsid w:val="00492BE1"/>
    <w:rsid w:val="00492F66"/>
    <w:rsid w:val="00493AD2"/>
    <w:rsid w:val="00493F80"/>
    <w:rsid w:val="004940AD"/>
    <w:rsid w:val="0049438D"/>
    <w:rsid w:val="00494562"/>
    <w:rsid w:val="0049499D"/>
    <w:rsid w:val="00495105"/>
    <w:rsid w:val="00495481"/>
    <w:rsid w:val="004954D6"/>
    <w:rsid w:val="0049572E"/>
    <w:rsid w:val="00495921"/>
    <w:rsid w:val="00495996"/>
    <w:rsid w:val="00495F80"/>
    <w:rsid w:val="0049728A"/>
    <w:rsid w:val="0049736F"/>
    <w:rsid w:val="004978C4"/>
    <w:rsid w:val="00497D1B"/>
    <w:rsid w:val="00497D48"/>
    <w:rsid w:val="00497F48"/>
    <w:rsid w:val="004A0269"/>
    <w:rsid w:val="004A0BF5"/>
    <w:rsid w:val="004A150B"/>
    <w:rsid w:val="004A178F"/>
    <w:rsid w:val="004A17A6"/>
    <w:rsid w:val="004A1A01"/>
    <w:rsid w:val="004A1F9A"/>
    <w:rsid w:val="004A25AB"/>
    <w:rsid w:val="004A2B89"/>
    <w:rsid w:val="004A2CE5"/>
    <w:rsid w:val="004A2E0B"/>
    <w:rsid w:val="004A2E68"/>
    <w:rsid w:val="004A2F96"/>
    <w:rsid w:val="004A30A2"/>
    <w:rsid w:val="004A3A72"/>
    <w:rsid w:val="004A4508"/>
    <w:rsid w:val="004A4B68"/>
    <w:rsid w:val="004A4C7A"/>
    <w:rsid w:val="004A4D65"/>
    <w:rsid w:val="004A5299"/>
    <w:rsid w:val="004A576D"/>
    <w:rsid w:val="004A5B77"/>
    <w:rsid w:val="004A5D00"/>
    <w:rsid w:val="004A605D"/>
    <w:rsid w:val="004A6082"/>
    <w:rsid w:val="004A651C"/>
    <w:rsid w:val="004A683A"/>
    <w:rsid w:val="004A695A"/>
    <w:rsid w:val="004A6A48"/>
    <w:rsid w:val="004A6B9F"/>
    <w:rsid w:val="004A6DDF"/>
    <w:rsid w:val="004A6EFC"/>
    <w:rsid w:val="004A6FED"/>
    <w:rsid w:val="004A73FB"/>
    <w:rsid w:val="004A764C"/>
    <w:rsid w:val="004A7748"/>
    <w:rsid w:val="004A782C"/>
    <w:rsid w:val="004A7D1F"/>
    <w:rsid w:val="004B0099"/>
    <w:rsid w:val="004B01F9"/>
    <w:rsid w:val="004B0388"/>
    <w:rsid w:val="004B03C4"/>
    <w:rsid w:val="004B048D"/>
    <w:rsid w:val="004B0690"/>
    <w:rsid w:val="004B0866"/>
    <w:rsid w:val="004B0AA8"/>
    <w:rsid w:val="004B0C37"/>
    <w:rsid w:val="004B1464"/>
    <w:rsid w:val="004B14FD"/>
    <w:rsid w:val="004B1C05"/>
    <w:rsid w:val="004B1C82"/>
    <w:rsid w:val="004B1D13"/>
    <w:rsid w:val="004B1D4F"/>
    <w:rsid w:val="004B1DE8"/>
    <w:rsid w:val="004B2293"/>
    <w:rsid w:val="004B246C"/>
    <w:rsid w:val="004B24D6"/>
    <w:rsid w:val="004B2C32"/>
    <w:rsid w:val="004B2DD7"/>
    <w:rsid w:val="004B30EB"/>
    <w:rsid w:val="004B35D0"/>
    <w:rsid w:val="004B36D8"/>
    <w:rsid w:val="004B433A"/>
    <w:rsid w:val="004B43A4"/>
    <w:rsid w:val="004B44DD"/>
    <w:rsid w:val="004B48F3"/>
    <w:rsid w:val="004B49C4"/>
    <w:rsid w:val="004B4C98"/>
    <w:rsid w:val="004B4E62"/>
    <w:rsid w:val="004B5340"/>
    <w:rsid w:val="004B575A"/>
    <w:rsid w:val="004B58C0"/>
    <w:rsid w:val="004B59D1"/>
    <w:rsid w:val="004B60DC"/>
    <w:rsid w:val="004B659E"/>
    <w:rsid w:val="004B65F3"/>
    <w:rsid w:val="004B6A0C"/>
    <w:rsid w:val="004B6A24"/>
    <w:rsid w:val="004B6A63"/>
    <w:rsid w:val="004B6F55"/>
    <w:rsid w:val="004B6F6E"/>
    <w:rsid w:val="004B6FE5"/>
    <w:rsid w:val="004B77B2"/>
    <w:rsid w:val="004B780A"/>
    <w:rsid w:val="004B7B28"/>
    <w:rsid w:val="004B7B34"/>
    <w:rsid w:val="004C0413"/>
    <w:rsid w:val="004C048E"/>
    <w:rsid w:val="004C078F"/>
    <w:rsid w:val="004C084B"/>
    <w:rsid w:val="004C0BF2"/>
    <w:rsid w:val="004C0C3C"/>
    <w:rsid w:val="004C0F7D"/>
    <w:rsid w:val="004C12BE"/>
    <w:rsid w:val="004C1517"/>
    <w:rsid w:val="004C177A"/>
    <w:rsid w:val="004C1D09"/>
    <w:rsid w:val="004C1FF3"/>
    <w:rsid w:val="004C2216"/>
    <w:rsid w:val="004C2308"/>
    <w:rsid w:val="004C2666"/>
    <w:rsid w:val="004C2D0D"/>
    <w:rsid w:val="004C2EBB"/>
    <w:rsid w:val="004C2F1B"/>
    <w:rsid w:val="004C30BA"/>
    <w:rsid w:val="004C3162"/>
    <w:rsid w:val="004C3316"/>
    <w:rsid w:val="004C36D7"/>
    <w:rsid w:val="004C36EC"/>
    <w:rsid w:val="004C3C7F"/>
    <w:rsid w:val="004C4455"/>
    <w:rsid w:val="004C46EA"/>
    <w:rsid w:val="004C4947"/>
    <w:rsid w:val="004C4A15"/>
    <w:rsid w:val="004C4EA6"/>
    <w:rsid w:val="004C5220"/>
    <w:rsid w:val="004C5417"/>
    <w:rsid w:val="004C5614"/>
    <w:rsid w:val="004C58FA"/>
    <w:rsid w:val="004C5D66"/>
    <w:rsid w:val="004C5EFF"/>
    <w:rsid w:val="004C5FC3"/>
    <w:rsid w:val="004C600C"/>
    <w:rsid w:val="004C6A05"/>
    <w:rsid w:val="004C6CEE"/>
    <w:rsid w:val="004C6E9F"/>
    <w:rsid w:val="004C7073"/>
    <w:rsid w:val="004C7150"/>
    <w:rsid w:val="004C747D"/>
    <w:rsid w:val="004C74D4"/>
    <w:rsid w:val="004C7615"/>
    <w:rsid w:val="004C78A3"/>
    <w:rsid w:val="004C7910"/>
    <w:rsid w:val="004C7A4A"/>
    <w:rsid w:val="004D024E"/>
    <w:rsid w:val="004D0990"/>
    <w:rsid w:val="004D129A"/>
    <w:rsid w:val="004D1680"/>
    <w:rsid w:val="004D1C5D"/>
    <w:rsid w:val="004D1DA2"/>
    <w:rsid w:val="004D20FA"/>
    <w:rsid w:val="004D2409"/>
    <w:rsid w:val="004D24C3"/>
    <w:rsid w:val="004D255C"/>
    <w:rsid w:val="004D278D"/>
    <w:rsid w:val="004D294C"/>
    <w:rsid w:val="004D31A8"/>
    <w:rsid w:val="004D31AE"/>
    <w:rsid w:val="004D3323"/>
    <w:rsid w:val="004D3CCF"/>
    <w:rsid w:val="004D3D62"/>
    <w:rsid w:val="004D47FD"/>
    <w:rsid w:val="004D4ADD"/>
    <w:rsid w:val="004D4BEC"/>
    <w:rsid w:val="004D4E37"/>
    <w:rsid w:val="004D514D"/>
    <w:rsid w:val="004D5508"/>
    <w:rsid w:val="004D565E"/>
    <w:rsid w:val="004D56D9"/>
    <w:rsid w:val="004D59A4"/>
    <w:rsid w:val="004D59C4"/>
    <w:rsid w:val="004D5B91"/>
    <w:rsid w:val="004D70D7"/>
    <w:rsid w:val="004D72B2"/>
    <w:rsid w:val="004D7348"/>
    <w:rsid w:val="004D7389"/>
    <w:rsid w:val="004D73D5"/>
    <w:rsid w:val="004D76F4"/>
    <w:rsid w:val="004D7796"/>
    <w:rsid w:val="004D77C3"/>
    <w:rsid w:val="004E05AE"/>
    <w:rsid w:val="004E0725"/>
    <w:rsid w:val="004E07A4"/>
    <w:rsid w:val="004E08B5"/>
    <w:rsid w:val="004E09A3"/>
    <w:rsid w:val="004E0C9C"/>
    <w:rsid w:val="004E0FCF"/>
    <w:rsid w:val="004E104D"/>
    <w:rsid w:val="004E1094"/>
    <w:rsid w:val="004E1136"/>
    <w:rsid w:val="004E12F3"/>
    <w:rsid w:val="004E185A"/>
    <w:rsid w:val="004E18AD"/>
    <w:rsid w:val="004E1B45"/>
    <w:rsid w:val="004E1DC1"/>
    <w:rsid w:val="004E1FB1"/>
    <w:rsid w:val="004E2243"/>
    <w:rsid w:val="004E2245"/>
    <w:rsid w:val="004E2263"/>
    <w:rsid w:val="004E2291"/>
    <w:rsid w:val="004E2677"/>
    <w:rsid w:val="004E27AC"/>
    <w:rsid w:val="004E2D8D"/>
    <w:rsid w:val="004E2FEC"/>
    <w:rsid w:val="004E345D"/>
    <w:rsid w:val="004E3518"/>
    <w:rsid w:val="004E3720"/>
    <w:rsid w:val="004E372D"/>
    <w:rsid w:val="004E44A8"/>
    <w:rsid w:val="004E45B4"/>
    <w:rsid w:val="004E46F2"/>
    <w:rsid w:val="004E4870"/>
    <w:rsid w:val="004E502B"/>
    <w:rsid w:val="004E51D2"/>
    <w:rsid w:val="004E53DB"/>
    <w:rsid w:val="004E5472"/>
    <w:rsid w:val="004E5A08"/>
    <w:rsid w:val="004E5CAF"/>
    <w:rsid w:val="004E5CC2"/>
    <w:rsid w:val="004E6343"/>
    <w:rsid w:val="004E6658"/>
    <w:rsid w:val="004E6708"/>
    <w:rsid w:val="004E6D19"/>
    <w:rsid w:val="004E6E21"/>
    <w:rsid w:val="004E6FCA"/>
    <w:rsid w:val="004E70A9"/>
    <w:rsid w:val="004E733D"/>
    <w:rsid w:val="004E73A7"/>
    <w:rsid w:val="004E7527"/>
    <w:rsid w:val="004E7690"/>
    <w:rsid w:val="004E77DB"/>
    <w:rsid w:val="004E7A40"/>
    <w:rsid w:val="004E7BD8"/>
    <w:rsid w:val="004E7BFD"/>
    <w:rsid w:val="004E7C75"/>
    <w:rsid w:val="004E7DD2"/>
    <w:rsid w:val="004E7DF2"/>
    <w:rsid w:val="004E7EAE"/>
    <w:rsid w:val="004F01C6"/>
    <w:rsid w:val="004F0339"/>
    <w:rsid w:val="004F043A"/>
    <w:rsid w:val="004F0825"/>
    <w:rsid w:val="004F08E8"/>
    <w:rsid w:val="004F0973"/>
    <w:rsid w:val="004F09EE"/>
    <w:rsid w:val="004F0D0D"/>
    <w:rsid w:val="004F0E22"/>
    <w:rsid w:val="004F143B"/>
    <w:rsid w:val="004F1DF7"/>
    <w:rsid w:val="004F24AF"/>
    <w:rsid w:val="004F2758"/>
    <w:rsid w:val="004F28EA"/>
    <w:rsid w:val="004F38F8"/>
    <w:rsid w:val="004F3B82"/>
    <w:rsid w:val="004F3BF5"/>
    <w:rsid w:val="004F3D5C"/>
    <w:rsid w:val="004F40F6"/>
    <w:rsid w:val="004F4145"/>
    <w:rsid w:val="004F41B2"/>
    <w:rsid w:val="004F4C50"/>
    <w:rsid w:val="004F4E54"/>
    <w:rsid w:val="004F518C"/>
    <w:rsid w:val="004F538E"/>
    <w:rsid w:val="004F553B"/>
    <w:rsid w:val="004F5C45"/>
    <w:rsid w:val="004F60BB"/>
    <w:rsid w:val="004F62A4"/>
    <w:rsid w:val="004F62C3"/>
    <w:rsid w:val="004F6B03"/>
    <w:rsid w:val="004F6B12"/>
    <w:rsid w:val="004F7147"/>
    <w:rsid w:val="004F71C9"/>
    <w:rsid w:val="004F721A"/>
    <w:rsid w:val="004F7275"/>
    <w:rsid w:val="004F7540"/>
    <w:rsid w:val="004F784B"/>
    <w:rsid w:val="004F7A35"/>
    <w:rsid w:val="004F7AFF"/>
    <w:rsid w:val="004F7D65"/>
    <w:rsid w:val="004F7E8E"/>
    <w:rsid w:val="0050047D"/>
    <w:rsid w:val="00500504"/>
    <w:rsid w:val="00500541"/>
    <w:rsid w:val="00500728"/>
    <w:rsid w:val="00500935"/>
    <w:rsid w:val="00500B21"/>
    <w:rsid w:val="00500C70"/>
    <w:rsid w:val="0050104A"/>
    <w:rsid w:val="005011A8"/>
    <w:rsid w:val="005017D5"/>
    <w:rsid w:val="00501A77"/>
    <w:rsid w:val="00501C58"/>
    <w:rsid w:val="005023C9"/>
    <w:rsid w:val="0050276D"/>
    <w:rsid w:val="00502A0E"/>
    <w:rsid w:val="00502A56"/>
    <w:rsid w:val="00502B36"/>
    <w:rsid w:val="00502BCD"/>
    <w:rsid w:val="00503B4C"/>
    <w:rsid w:val="00503F26"/>
    <w:rsid w:val="0050445D"/>
    <w:rsid w:val="005044F6"/>
    <w:rsid w:val="005045F2"/>
    <w:rsid w:val="00504C83"/>
    <w:rsid w:val="005050C3"/>
    <w:rsid w:val="00505EFF"/>
    <w:rsid w:val="00506352"/>
    <w:rsid w:val="005065A7"/>
    <w:rsid w:val="0050668A"/>
    <w:rsid w:val="00506858"/>
    <w:rsid w:val="00506B90"/>
    <w:rsid w:val="005070E3"/>
    <w:rsid w:val="005072BC"/>
    <w:rsid w:val="0050738A"/>
    <w:rsid w:val="005073E5"/>
    <w:rsid w:val="005074B1"/>
    <w:rsid w:val="00507B11"/>
    <w:rsid w:val="00507B98"/>
    <w:rsid w:val="00507F63"/>
    <w:rsid w:val="005100B3"/>
    <w:rsid w:val="005103D2"/>
    <w:rsid w:val="0051061E"/>
    <w:rsid w:val="00510704"/>
    <w:rsid w:val="005108D7"/>
    <w:rsid w:val="005109D7"/>
    <w:rsid w:val="00510E4E"/>
    <w:rsid w:val="00511A03"/>
    <w:rsid w:val="00512061"/>
    <w:rsid w:val="0051219C"/>
    <w:rsid w:val="00512496"/>
    <w:rsid w:val="005125D7"/>
    <w:rsid w:val="0051295E"/>
    <w:rsid w:val="00512990"/>
    <w:rsid w:val="00512B45"/>
    <w:rsid w:val="00512BE7"/>
    <w:rsid w:val="00512CB5"/>
    <w:rsid w:val="00512D41"/>
    <w:rsid w:val="00512ED6"/>
    <w:rsid w:val="00512F8E"/>
    <w:rsid w:val="00513125"/>
    <w:rsid w:val="005133F5"/>
    <w:rsid w:val="00513E3B"/>
    <w:rsid w:val="00514026"/>
    <w:rsid w:val="00514028"/>
    <w:rsid w:val="00514069"/>
    <w:rsid w:val="0051415A"/>
    <w:rsid w:val="00514496"/>
    <w:rsid w:val="00514599"/>
    <w:rsid w:val="005149CA"/>
    <w:rsid w:val="00514B9D"/>
    <w:rsid w:val="00514F18"/>
    <w:rsid w:val="00515815"/>
    <w:rsid w:val="00515935"/>
    <w:rsid w:val="0051612D"/>
    <w:rsid w:val="005164A3"/>
    <w:rsid w:val="00516B74"/>
    <w:rsid w:val="005173B6"/>
    <w:rsid w:val="005174B8"/>
    <w:rsid w:val="00517CB3"/>
    <w:rsid w:val="00517DFF"/>
    <w:rsid w:val="00517FD7"/>
    <w:rsid w:val="0052071A"/>
    <w:rsid w:val="0052079C"/>
    <w:rsid w:val="00520807"/>
    <w:rsid w:val="0052162F"/>
    <w:rsid w:val="00521D11"/>
    <w:rsid w:val="00521F9A"/>
    <w:rsid w:val="0052250D"/>
    <w:rsid w:val="0052278E"/>
    <w:rsid w:val="00522C10"/>
    <w:rsid w:val="00522F20"/>
    <w:rsid w:val="0052301A"/>
    <w:rsid w:val="00523428"/>
    <w:rsid w:val="0052374E"/>
    <w:rsid w:val="00523BE0"/>
    <w:rsid w:val="00523C7E"/>
    <w:rsid w:val="00523E74"/>
    <w:rsid w:val="00523EA0"/>
    <w:rsid w:val="00523FBA"/>
    <w:rsid w:val="00524748"/>
    <w:rsid w:val="005247C8"/>
    <w:rsid w:val="00524C36"/>
    <w:rsid w:val="0052503E"/>
    <w:rsid w:val="00525119"/>
    <w:rsid w:val="00525447"/>
    <w:rsid w:val="005256AC"/>
    <w:rsid w:val="005259DD"/>
    <w:rsid w:val="005263DA"/>
    <w:rsid w:val="00526B2D"/>
    <w:rsid w:val="00526BE9"/>
    <w:rsid w:val="00526EDB"/>
    <w:rsid w:val="00527036"/>
    <w:rsid w:val="005273D8"/>
    <w:rsid w:val="0052742D"/>
    <w:rsid w:val="005274E7"/>
    <w:rsid w:val="00527EDE"/>
    <w:rsid w:val="00527F31"/>
    <w:rsid w:val="005301A7"/>
    <w:rsid w:val="005307A3"/>
    <w:rsid w:val="00530920"/>
    <w:rsid w:val="00530E29"/>
    <w:rsid w:val="0053127E"/>
    <w:rsid w:val="005314E1"/>
    <w:rsid w:val="005315E5"/>
    <w:rsid w:val="00531712"/>
    <w:rsid w:val="00532033"/>
    <w:rsid w:val="005323C1"/>
    <w:rsid w:val="005324D8"/>
    <w:rsid w:val="0053339A"/>
    <w:rsid w:val="00533985"/>
    <w:rsid w:val="00533AC1"/>
    <w:rsid w:val="00533C0C"/>
    <w:rsid w:val="00533C99"/>
    <w:rsid w:val="00533F54"/>
    <w:rsid w:val="005340AF"/>
    <w:rsid w:val="005340EB"/>
    <w:rsid w:val="0053466D"/>
    <w:rsid w:val="005346AA"/>
    <w:rsid w:val="00534965"/>
    <w:rsid w:val="005351B9"/>
    <w:rsid w:val="0053572D"/>
    <w:rsid w:val="00535842"/>
    <w:rsid w:val="0053589A"/>
    <w:rsid w:val="00535A64"/>
    <w:rsid w:val="00535C1C"/>
    <w:rsid w:val="00535DEA"/>
    <w:rsid w:val="005360CC"/>
    <w:rsid w:val="005362E9"/>
    <w:rsid w:val="0053696D"/>
    <w:rsid w:val="00536B06"/>
    <w:rsid w:val="00536D64"/>
    <w:rsid w:val="00536E7B"/>
    <w:rsid w:val="005370EB"/>
    <w:rsid w:val="005374D3"/>
    <w:rsid w:val="005374E2"/>
    <w:rsid w:val="005376ED"/>
    <w:rsid w:val="00537D1A"/>
    <w:rsid w:val="00540405"/>
    <w:rsid w:val="0054058D"/>
    <w:rsid w:val="00540682"/>
    <w:rsid w:val="005408DD"/>
    <w:rsid w:val="00541013"/>
    <w:rsid w:val="0054115E"/>
    <w:rsid w:val="0054123E"/>
    <w:rsid w:val="005414D0"/>
    <w:rsid w:val="005419E0"/>
    <w:rsid w:val="00541A50"/>
    <w:rsid w:val="00541D36"/>
    <w:rsid w:val="00541ED3"/>
    <w:rsid w:val="00541FD3"/>
    <w:rsid w:val="00542868"/>
    <w:rsid w:val="00542891"/>
    <w:rsid w:val="00542AC6"/>
    <w:rsid w:val="00542B7D"/>
    <w:rsid w:val="00542D20"/>
    <w:rsid w:val="00542E21"/>
    <w:rsid w:val="0054388E"/>
    <w:rsid w:val="00543891"/>
    <w:rsid w:val="00543910"/>
    <w:rsid w:val="00543B93"/>
    <w:rsid w:val="00543D50"/>
    <w:rsid w:val="00544154"/>
    <w:rsid w:val="00544567"/>
    <w:rsid w:val="005445E0"/>
    <w:rsid w:val="005449C1"/>
    <w:rsid w:val="00544F36"/>
    <w:rsid w:val="005452B0"/>
    <w:rsid w:val="0054598C"/>
    <w:rsid w:val="0054598F"/>
    <w:rsid w:val="00545A64"/>
    <w:rsid w:val="00545BE3"/>
    <w:rsid w:val="005461EA"/>
    <w:rsid w:val="005462FA"/>
    <w:rsid w:val="00546393"/>
    <w:rsid w:val="00546FA0"/>
    <w:rsid w:val="005470DC"/>
    <w:rsid w:val="005473BC"/>
    <w:rsid w:val="0054779A"/>
    <w:rsid w:val="00547E70"/>
    <w:rsid w:val="00547EAD"/>
    <w:rsid w:val="00547FC3"/>
    <w:rsid w:val="00550100"/>
    <w:rsid w:val="00550261"/>
    <w:rsid w:val="0055065A"/>
    <w:rsid w:val="005511F0"/>
    <w:rsid w:val="00551577"/>
    <w:rsid w:val="00551B43"/>
    <w:rsid w:val="00551CDF"/>
    <w:rsid w:val="00551DDD"/>
    <w:rsid w:val="00552012"/>
    <w:rsid w:val="0055226C"/>
    <w:rsid w:val="005522B0"/>
    <w:rsid w:val="0055230D"/>
    <w:rsid w:val="00552827"/>
    <w:rsid w:val="0055282F"/>
    <w:rsid w:val="00552A20"/>
    <w:rsid w:val="0055314A"/>
    <w:rsid w:val="005531A5"/>
    <w:rsid w:val="0055326F"/>
    <w:rsid w:val="00553CF1"/>
    <w:rsid w:val="0055441E"/>
    <w:rsid w:val="00554632"/>
    <w:rsid w:val="0055475A"/>
    <w:rsid w:val="005548D0"/>
    <w:rsid w:val="005548FD"/>
    <w:rsid w:val="005554DE"/>
    <w:rsid w:val="00555647"/>
    <w:rsid w:val="00555ADC"/>
    <w:rsid w:val="00555E94"/>
    <w:rsid w:val="00556201"/>
    <w:rsid w:val="005568FB"/>
    <w:rsid w:val="00556CF2"/>
    <w:rsid w:val="0055708B"/>
    <w:rsid w:val="00557192"/>
    <w:rsid w:val="005573F9"/>
    <w:rsid w:val="00557466"/>
    <w:rsid w:val="005579F2"/>
    <w:rsid w:val="00557DF8"/>
    <w:rsid w:val="0056004C"/>
    <w:rsid w:val="0056014D"/>
    <w:rsid w:val="005602FB"/>
    <w:rsid w:val="005603A6"/>
    <w:rsid w:val="00560686"/>
    <w:rsid w:val="005607C9"/>
    <w:rsid w:val="00560A23"/>
    <w:rsid w:val="00561011"/>
    <w:rsid w:val="0056108B"/>
    <w:rsid w:val="00561773"/>
    <w:rsid w:val="00561993"/>
    <w:rsid w:val="00561E56"/>
    <w:rsid w:val="00562275"/>
    <w:rsid w:val="005624F2"/>
    <w:rsid w:val="00562932"/>
    <w:rsid w:val="00562B96"/>
    <w:rsid w:val="00562D3B"/>
    <w:rsid w:val="00562FD7"/>
    <w:rsid w:val="00563269"/>
    <w:rsid w:val="0056372F"/>
    <w:rsid w:val="005638B6"/>
    <w:rsid w:val="00563A8E"/>
    <w:rsid w:val="00563BD5"/>
    <w:rsid w:val="00563E69"/>
    <w:rsid w:val="00563E6C"/>
    <w:rsid w:val="00563F98"/>
    <w:rsid w:val="0056423C"/>
    <w:rsid w:val="00564A31"/>
    <w:rsid w:val="00564F9C"/>
    <w:rsid w:val="005656BA"/>
    <w:rsid w:val="00565813"/>
    <w:rsid w:val="005662C0"/>
    <w:rsid w:val="0056691E"/>
    <w:rsid w:val="00566C51"/>
    <w:rsid w:val="00566D75"/>
    <w:rsid w:val="00566E31"/>
    <w:rsid w:val="00567399"/>
    <w:rsid w:val="0056756E"/>
    <w:rsid w:val="0056794D"/>
    <w:rsid w:val="00567A38"/>
    <w:rsid w:val="00567AA6"/>
    <w:rsid w:val="00567B43"/>
    <w:rsid w:val="00570035"/>
    <w:rsid w:val="00570046"/>
    <w:rsid w:val="005702A8"/>
    <w:rsid w:val="00570376"/>
    <w:rsid w:val="005707D3"/>
    <w:rsid w:val="00570802"/>
    <w:rsid w:val="00570BA9"/>
    <w:rsid w:val="00570FBB"/>
    <w:rsid w:val="005714E0"/>
    <w:rsid w:val="00571534"/>
    <w:rsid w:val="00571A3C"/>
    <w:rsid w:val="005720F9"/>
    <w:rsid w:val="00572143"/>
    <w:rsid w:val="005722FF"/>
    <w:rsid w:val="0057286A"/>
    <w:rsid w:val="0057299B"/>
    <w:rsid w:val="00572CBC"/>
    <w:rsid w:val="00572D57"/>
    <w:rsid w:val="00572FCB"/>
    <w:rsid w:val="005730D0"/>
    <w:rsid w:val="0057313F"/>
    <w:rsid w:val="005732B6"/>
    <w:rsid w:val="0057368C"/>
    <w:rsid w:val="00574101"/>
    <w:rsid w:val="005742E9"/>
    <w:rsid w:val="0057432A"/>
    <w:rsid w:val="005743FA"/>
    <w:rsid w:val="0057449F"/>
    <w:rsid w:val="005744C5"/>
    <w:rsid w:val="0057455D"/>
    <w:rsid w:val="0057462A"/>
    <w:rsid w:val="00574801"/>
    <w:rsid w:val="00574BB0"/>
    <w:rsid w:val="00574C72"/>
    <w:rsid w:val="00575285"/>
    <w:rsid w:val="00575464"/>
    <w:rsid w:val="0057570D"/>
    <w:rsid w:val="00575A76"/>
    <w:rsid w:val="00575BD5"/>
    <w:rsid w:val="00575CCB"/>
    <w:rsid w:val="00575E7F"/>
    <w:rsid w:val="005762E1"/>
    <w:rsid w:val="0057632F"/>
    <w:rsid w:val="005768CA"/>
    <w:rsid w:val="00576A8C"/>
    <w:rsid w:val="00577529"/>
    <w:rsid w:val="005775B2"/>
    <w:rsid w:val="00577607"/>
    <w:rsid w:val="00577785"/>
    <w:rsid w:val="005778E8"/>
    <w:rsid w:val="00577DDD"/>
    <w:rsid w:val="00580751"/>
    <w:rsid w:val="00580944"/>
    <w:rsid w:val="00580CC0"/>
    <w:rsid w:val="00581505"/>
    <w:rsid w:val="005815F5"/>
    <w:rsid w:val="0058160B"/>
    <w:rsid w:val="00581653"/>
    <w:rsid w:val="00581C08"/>
    <w:rsid w:val="00581CAB"/>
    <w:rsid w:val="00582106"/>
    <w:rsid w:val="00582345"/>
    <w:rsid w:val="005823D9"/>
    <w:rsid w:val="00582834"/>
    <w:rsid w:val="00582A3F"/>
    <w:rsid w:val="00582C03"/>
    <w:rsid w:val="0058313B"/>
    <w:rsid w:val="00583B77"/>
    <w:rsid w:val="005842E2"/>
    <w:rsid w:val="00584401"/>
    <w:rsid w:val="005844F6"/>
    <w:rsid w:val="005847AE"/>
    <w:rsid w:val="0058491B"/>
    <w:rsid w:val="00584A85"/>
    <w:rsid w:val="00584BDD"/>
    <w:rsid w:val="00585A22"/>
    <w:rsid w:val="005860A4"/>
    <w:rsid w:val="0058630F"/>
    <w:rsid w:val="00586591"/>
    <w:rsid w:val="005865DC"/>
    <w:rsid w:val="00586853"/>
    <w:rsid w:val="005877A9"/>
    <w:rsid w:val="005878E3"/>
    <w:rsid w:val="00587B02"/>
    <w:rsid w:val="00587C77"/>
    <w:rsid w:val="005913C4"/>
    <w:rsid w:val="00591BAD"/>
    <w:rsid w:val="00591C84"/>
    <w:rsid w:val="00592491"/>
    <w:rsid w:val="00592783"/>
    <w:rsid w:val="00592816"/>
    <w:rsid w:val="00592A19"/>
    <w:rsid w:val="00592A88"/>
    <w:rsid w:val="00592AE6"/>
    <w:rsid w:val="005931B5"/>
    <w:rsid w:val="005932C5"/>
    <w:rsid w:val="00593302"/>
    <w:rsid w:val="00593338"/>
    <w:rsid w:val="00593FB1"/>
    <w:rsid w:val="00594819"/>
    <w:rsid w:val="00594DA9"/>
    <w:rsid w:val="005950A1"/>
    <w:rsid w:val="00595256"/>
    <w:rsid w:val="0059550C"/>
    <w:rsid w:val="0059573D"/>
    <w:rsid w:val="005958D3"/>
    <w:rsid w:val="00595ADE"/>
    <w:rsid w:val="00595CE4"/>
    <w:rsid w:val="00595DFE"/>
    <w:rsid w:val="0059659D"/>
    <w:rsid w:val="00596A32"/>
    <w:rsid w:val="00596A48"/>
    <w:rsid w:val="00596DAF"/>
    <w:rsid w:val="00597EC0"/>
    <w:rsid w:val="00597F91"/>
    <w:rsid w:val="005A02CD"/>
    <w:rsid w:val="005A0EA9"/>
    <w:rsid w:val="005A103C"/>
    <w:rsid w:val="005A11C1"/>
    <w:rsid w:val="005A124F"/>
    <w:rsid w:val="005A125E"/>
    <w:rsid w:val="005A175B"/>
    <w:rsid w:val="005A1E9E"/>
    <w:rsid w:val="005A1F5B"/>
    <w:rsid w:val="005A205F"/>
    <w:rsid w:val="005A2108"/>
    <w:rsid w:val="005A23D3"/>
    <w:rsid w:val="005A26B2"/>
    <w:rsid w:val="005A2888"/>
    <w:rsid w:val="005A290F"/>
    <w:rsid w:val="005A2EB2"/>
    <w:rsid w:val="005A2ED5"/>
    <w:rsid w:val="005A2FF5"/>
    <w:rsid w:val="005A3001"/>
    <w:rsid w:val="005A3C80"/>
    <w:rsid w:val="005A3CAE"/>
    <w:rsid w:val="005A46EC"/>
    <w:rsid w:val="005A4783"/>
    <w:rsid w:val="005A4A18"/>
    <w:rsid w:val="005A4FBA"/>
    <w:rsid w:val="005A54DD"/>
    <w:rsid w:val="005A56B9"/>
    <w:rsid w:val="005A57E6"/>
    <w:rsid w:val="005A5CD7"/>
    <w:rsid w:val="005A5E47"/>
    <w:rsid w:val="005A6534"/>
    <w:rsid w:val="005A65C3"/>
    <w:rsid w:val="005A6670"/>
    <w:rsid w:val="005A69D4"/>
    <w:rsid w:val="005A73E1"/>
    <w:rsid w:val="005A7507"/>
    <w:rsid w:val="005A763F"/>
    <w:rsid w:val="005A77B4"/>
    <w:rsid w:val="005A783C"/>
    <w:rsid w:val="005A7A0D"/>
    <w:rsid w:val="005B0125"/>
    <w:rsid w:val="005B0414"/>
    <w:rsid w:val="005B0778"/>
    <w:rsid w:val="005B0802"/>
    <w:rsid w:val="005B080C"/>
    <w:rsid w:val="005B0AAD"/>
    <w:rsid w:val="005B10F4"/>
    <w:rsid w:val="005B11BC"/>
    <w:rsid w:val="005B1546"/>
    <w:rsid w:val="005B18F3"/>
    <w:rsid w:val="005B1B38"/>
    <w:rsid w:val="005B1FAF"/>
    <w:rsid w:val="005B2012"/>
    <w:rsid w:val="005B20B8"/>
    <w:rsid w:val="005B2145"/>
    <w:rsid w:val="005B2865"/>
    <w:rsid w:val="005B2CC9"/>
    <w:rsid w:val="005B3899"/>
    <w:rsid w:val="005B3A05"/>
    <w:rsid w:val="005B3D34"/>
    <w:rsid w:val="005B4452"/>
    <w:rsid w:val="005B46AA"/>
    <w:rsid w:val="005B4799"/>
    <w:rsid w:val="005B48BE"/>
    <w:rsid w:val="005B4976"/>
    <w:rsid w:val="005B4D85"/>
    <w:rsid w:val="005B5D83"/>
    <w:rsid w:val="005B5EBD"/>
    <w:rsid w:val="005B5EFF"/>
    <w:rsid w:val="005B5F82"/>
    <w:rsid w:val="005B6C47"/>
    <w:rsid w:val="005B707E"/>
    <w:rsid w:val="005B773B"/>
    <w:rsid w:val="005B7756"/>
    <w:rsid w:val="005B7801"/>
    <w:rsid w:val="005B7805"/>
    <w:rsid w:val="005B7944"/>
    <w:rsid w:val="005B796D"/>
    <w:rsid w:val="005B7DE2"/>
    <w:rsid w:val="005B7E52"/>
    <w:rsid w:val="005C024F"/>
    <w:rsid w:val="005C0678"/>
    <w:rsid w:val="005C06C1"/>
    <w:rsid w:val="005C1054"/>
    <w:rsid w:val="005C1098"/>
    <w:rsid w:val="005C1173"/>
    <w:rsid w:val="005C1224"/>
    <w:rsid w:val="005C1552"/>
    <w:rsid w:val="005C15D1"/>
    <w:rsid w:val="005C19F8"/>
    <w:rsid w:val="005C1A44"/>
    <w:rsid w:val="005C1B68"/>
    <w:rsid w:val="005C1B8A"/>
    <w:rsid w:val="005C1E35"/>
    <w:rsid w:val="005C209A"/>
    <w:rsid w:val="005C245F"/>
    <w:rsid w:val="005C26D1"/>
    <w:rsid w:val="005C2ADE"/>
    <w:rsid w:val="005C2CE7"/>
    <w:rsid w:val="005C2DF9"/>
    <w:rsid w:val="005C3178"/>
    <w:rsid w:val="005C381B"/>
    <w:rsid w:val="005C3921"/>
    <w:rsid w:val="005C3C7A"/>
    <w:rsid w:val="005C4155"/>
    <w:rsid w:val="005C432B"/>
    <w:rsid w:val="005C45D8"/>
    <w:rsid w:val="005C4A99"/>
    <w:rsid w:val="005C5177"/>
    <w:rsid w:val="005C5257"/>
    <w:rsid w:val="005C5521"/>
    <w:rsid w:val="005C5669"/>
    <w:rsid w:val="005C5C1A"/>
    <w:rsid w:val="005C5C1B"/>
    <w:rsid w:val="005C63AA"/>
    <w:rsid w:val="005C63BC"/>
    <w:rsid w:val="005C6894"/>
    <w:rsid w:val="005C6DCF"/>
    <w:rsid w:val="005C7414"/>
    <w:rsid w:val="005C742B"/>
    <w:rsid w:val="005C77E2"/>
    <w:rsid w:val="005C78AC"/>
    <w:rsid w:val="005C7EC1"/>
    <w:rsid w:val="005D0275"/>
    <w:rsid w:val="005D02F8"/>
    <w:rsid w:val="005D039C"/>
    <w:rsid w:val="005D0740"/>
    <w:rsid w:val="005D08E6"/>
    <w:rsid w:val="005D1608"/>
    <w:rsid w:val="005D197B"/>
    <w:rsid w:val="005D19D7"/>
    <w:rsid w:val="005D1C78"/>
    <w:rsid w:val="005D1D53"/>
    <w:rsid w:val="005D1F95"/>
    <w:rsid w:val="005D21B5"/>
    <w:rsid w:val="005D2223"/>
    <w:rsid w:val="005D24CC"/>
    <w:rsid w:val="005D2A0D"/>
    <w:rsid w:val="005D2BF5"/>
    <w:rsid w:val="005D2C88"/>
    <w:rsid w:val="005D3295"/>
    <w:rsid w:val="005D376D"/>
    <w:rsid w:val="005D38D0"/>
    <w:rsid w:val="005D392E"/>
    <w:rsid w:val="005D3BDB"/>
    <w:rsid w:val="005D3CC1"/>
    <w:rsid w:val="005D3E6B"/>
    <w:rsid w:val="005D3F0D"/>
    <w:rsid w:val="005D41C4"/>
    <w:rsid w:val="005D42B3"/>
    <w:rsid w:val="005D4790"/>
    <w:rsid w:val="005D489D"/>
    <w:rsid w:val="005D49B9"/>
    <w:rsid w:val="005D4CC2"/>
    <w:rsid w:val="005D4FB4"/>
    <w:rsid w:val="005D4FE7"/>
    <w:rsid w:val="005D5AE2"/>
    <w:rsid w:val="005D5CCB"/>
    <w:rsid w:val="005D647C"/>
    <w:rsid w:val="005D6612"/>
    <w:rsid w:val="005D6E21"/>
    <w:rsid w:val="005D6EED"/>
    <w:rsid w:val="005D7012"/>
    <w:rsid w:val="005D7277"/>
    <w:rsid w:val="005D74C2"/>
    <w:rsid w:val="005D7643"/>
    <w:rsid w:val="005D7803"/>
    <w:rsid w:val="005D79A9"/>
    <w:rsid w:val="005D7A57"/>
    <w:rsid w:val="005D7AC1"/>
    <w:rsid w:val="005D7D01"/>
    <w:rsid w:val="005E0109"/>
    <w:rsid w:val="005E04CF"/>
    <w:rsid w:val="005E0CD7"/>
    <w:rsid w:val="005E0CD9"/>
    <w:rsid w:val="005E10FE"/>
    <w:rsid w:val="005E1237"/>
    <w:rsid w:val="005E1370"/>
    <w:rsid w:val="005E1B79"/>
    <w:rsid w:val="005E1BDD"/>
    <w:rsid w:val="005E215E"/>
    <w:rsid w:val="005E2200"/>
    <w:rsid w:val="005E2647"/>
    <w:rsid w:val="005E26C7"/>
    <w:rsid w:val="005E2A55"/>
    <w:rsid w:val="005E3000"/>
    <w:rsid w:val="005E3352"/>
    <w:rsid w:val="005E374E"/>
    <w:rsid w:val="005E3AA7"/>
    <w:rsid w:val="005E3C4F"/>
    <w:rsid w:val="005E3D7E"/>
    <w:rsid w:val="005E3F31"/>
    <w:rsid w:val="005E40BD"/>
    <w:rsid w:val="005E4543"/>
    <w:rsid w:val="005E46A5"/>
    <w:rsid w:val="005E4729"/>
    <w:rsid w:val="005E536A"/>
    <w:rsid w:val="005E567E"/>
    <w:rsid w:val="005E5FF2"/>
    <w:rsid w:val="005E61F8"/>
    <w:rsid w:val="005E647F"/>
    <w:rsid w:val="005E66A3"/>
    <w:rsid w:val="005E6C00"/>
    <w:rsid w:val="005E6DF3"/>
    <w:rsid w:val="005E6EA1"/>
    <w:rsid w:val="005E709C"/>
    <w:rsid w:val="005E71C8"/>
    <w:rsid w:val="005E743E"/>
    <w:rsid w:val="005E761F"/>
    <w:rsid w:val="005E789A"/>
    <w:rsid w:val="005E7B3B"/>
    <w:rsid w:val="005E7C54"/>
    <w:rsid w:val="005F064F"/>
    <w:rsid w:val="005F079E"/>
    <w:rsid w:val="005F09CF"/>
    <w:rsid w:val="005F0C26"/>
    <w:rsid w:val="005F1075"/>
    <w:rsid w:val="005F1173"/>
    <w:rsid w:val="005F2173"/>
    <w:rsid w:val="005F2690"/>
    <w:rsid w:val="005F2A7F"/>
    <w:rsid w:val="005F2C06"/>
    <w:rsid w:val="005F3196"/>
    <w:rsid w:val="005F352E"/>
    <w:rsid w:val="005F3F02"/>
    <w:rsid w:val="005F41CB"/>
    <w:rsid w:val="005F43CF"/>
    <w:rsid w:val="005F483C"/>
    <w:rsid w:val="005F492F"/>
    <w:rsid w:val="005F4E1E"/>
    <w:rsid w:val="005F5093"/>
    <w:rsid w:val="005F5403"/>
    <w:rsid w:val="005F553C"/>
    <w:rsid w:val="005F5688"/>
    <w:rsid w:val="005F597B"/>
    <w:rsid w:val="005F59F4"/>
    <w:rsid w:val="005F5AFF"/>
    <w:rsid w:val="005F5F0A"/>
    <w:rsid w:val="005F617F"/>
    <w:rsid w:val="005F6399"/>
    <w:rsid w:val="005F6609"/>
    <w:rsid w:val="005F6861"/>
    <w:rsid w:val="005F7BC5"/>
    <w:rsid w:val="005F7D1D"/>
    <w:rsid w:val="005F7F2C"/>
    <w:rsid w:val="00600AE1"/>
    <w:rsid w:val="00600B20"/>
    <w:rsid w:val="00600BEF"/>
    <w:rsid w:val="006012DA"/>
    <w:rsid w:val="00601A15"/>
    <w:rsid w:val="00601C5E"/>
    <w:rsid w:val="00602301"/>
    <w:rsid w:val="00602336"/>
    <w:rsid w:val="00602B47"/>
    <w:rsid w:val="00602DD2"/>
    <w:rsid w:val="00602FD6"/>
    <w:rsid w:val="00603121"/>
    <w:rsid w:val="00603269"/>
    <w:rsid w:val="00603659"/>
    <w:rsid w:val="006037B8"/>
    <w:rsid w:val="00603896"/>
    <w:rsid w:val="0060389E"/>
    <w:rsid w:val="00603A10"/>
    <w:rsid w:val="00603DB1"/>
    <w:rsid w:val="00603FA2"/>
    <w:rsid w:val="0060491E"/>
    <w:rsid w:val="0060497B"/>
    <w:rsid w:val="00604B27"/>
    <w:rsid w:val="00604C74"/>
    <w:rsid w:val="00604DF1"/>
    <w:rsid w:val="00604EED"/>
    <w:rsid w:val="00604F99"/>
    <w:rsid w:val="006050A8"/>
    <w:rsid w:val="00605125"/>
    <w:rsid w:val="0060550A"/>
    <w:rsid w:val="006055F5"/>
    <w:rsid w:val="006059A6"/>
    <w:rsid w:val="00605BCF"/>
    <w:rsid w:val="00605C58"/>
    <w:rsid w:val="006062A5"/>
    <w:rsid w:val="00606324"/>
    <w:rsid w:val="00606D2B"/>
    <w:rsid w:val="00607612"/>
    <w:rsid w:val="00607747"/>
    <w:rsid w:val="006077C3"/>
    <w:rsid w:val="00607E26"/>
    <w:rsid w:val="00607ED5"/>
    <w:rsid w:val="00607F0D"/>
    <w:rsid w:val="00607FE0"/>
    <w:rsid w:val="00610664"/>
    <w:rsid w:val="00610AEB"/>
    <w:rsid w:val="00610E0B"/>
    <w:rsid w:val="00610FFB"/>
    <w:rsid w:val="00611389"/>
    <w:rsid w:val="00611533"/>
    <w:rsid w:val="00611DBE"/>
    <w:rsid w:val="00611DEB"/>
    <w:rsid w:val="00612125"/>
    <w:rsid w:val="006123C7"/>
    <w:rsid w:val="00612617"/>
    <w:rsid w:val="006129F5"/>
    <w:rsid w:val="00612D0C"/>
    <w:rsid w:val="00612D61"/>
    <w:rsid w:val="00612DDD"/>
    <w:rsid w:val="006130D9"/>
    <w:rsid w:val="006130F3"/>
    <w:rsid w:val="0061391C"/>
    <w:rsid w:val="00613ADE"/>
    <w:rsid w:val="00613B4D"/>
    <w:rsid w:val="00613F8C"/>
    <w:rsid w:val="00614771"/>
    <w:rsid w:val="00614BD5"/>
    <w:rsid w:val="00614FDA"/>
    <w:rsid w:val="0061503D"/>
    <w:rsid w:val="006150DB"/>
    <w:rsid w:val="0061579D"/>
    <w:rsid w:val="006159FD"/>
    <w:rsid w:val="00615B36"/>
    <w:rsid w:val="00615C33"/>
    <w:rsid w:val="00615C3C"/>
    <w:rsid w:val="006162BF"/>
    <w:rsid w:val="00616BF0"/>
    <w:rsid w:val="00616D81"/>
    <w:rsid w:val="006170B9"/>
    <w:rsid w:val="00617300"/>
    <w:rsid w:val="00617361"/>
    <w:rsid w:val="00617491"/>
    <w:rsid w:val="00617522"/>
    <w:rsid w:val="006177C2"/>
    <w:rsid w:val="00617825"/>
    <w:rsid w:val="0061794F"/>
    <w:rsid w:val="00617B89"/>
    <w:rsid w:val="00617BCC"/>
    <w:rsid w:val="00617D4A"/>
    <w:rsid w:val="00617DE4"/>
    <w:rsid w:val="00620465"/>
    <w:rsid w:val="0062047D"/>
    <w:rsid w:val="00620514"/>
    <w:rsid w:val="006206B2"/>
    <w:rsid w:val="0062081C"/>
    <w:rsid w:val="00620C07"/>
    <w:rsid w:val="00620E0F"/>
    <w:rsid w:val="00620EE9"/>
    <w:rsid w:val="00620FBE"/>
    <w:rsid w:val="006210F5"/>
    <w:rsid w:val="00621299"/>
    <w:rsid w:val="006216F0"/>
    <w:rsid w:val="00621748"/>
    <w:rsid w:val="00621B2B"/>
    <w:rsid w:val="00621CA0"/>
    <w:rsid w:val="00621ED4"/>
    <w:rsid w:val="00621ED9"/>
    <w:rsid w:val="00621F6E"/>
    <w:rsid w:val="00622077"/>
    <w:rsid w:val="006222B3"/>
    <w:rsid w:val="006228E8"/>
    <w:rsid w:val="00622CCD"/>
    <w:rsid w:val="00622D21"/>
    <w:rsid w:val="00622E45"/>
    <w:rsid w:val="00622F3F"/>
    <w:rsid w:val="00623311"/>
    <w:rsid w:val="00623931"/>
    <w:rsid w:val="006239E5"/>
    <w:rsid w:val="00623D48"/>
    <w:rsid w:val="0062414A"/>
    <w:rsid w:val="006242D1"/>
    <w:rsid w:val="00624FB6"/>
    <w:rsid w:val="00625164"/>
    <w:rsid w:val="006252BE"/>
    <w:rsid w:val="0062568C"/>
    <w:rsid w:val="006256F8"/>
    <w:rsid w:val="00625A9F"/>
    <w:rsid w:val="00625D23"/>
    <w:rsid w:val="00625E06"/>
    <w:rsid w:val="00625E98"/>
    <w:rsid w:val="00626056"/>
    <w:rsid w:val="0062623B"/>
    <w:rsid w:val="00626292"/>
    <w:rsid w:val="00626306"/>
    <w:rsid w:val="0062673A"/>
    <w:rsid w:val="00626ADC"/>
    <w:rsid w:val="00626B72"/>
    <w:rsid w:val="00626C71"/>
    <w:rsid w:val="006274C8"/>
    <w:rsid w:val="0062755C"/>
    <w:rsid w:val="0062789E"/>
    <w:rsid w:val="00627BD4"/>
    <w:rsid w:val="006300D1"/>
    <w:rsid w:val="0063014B"/>
    <w:rsid w:val="006301E5"/>
    <w:rsid w:val="006302D5"/>
    <w:rsid w:val="0063089A"/>
    <w:rsid w:val="006318FF"/>
    <w:rsid w:val="00631D7E"/>
    <w:rsid w:val="00631FC5"/>
    <w:rsid w:val="00632090"/>
    <w:rsid w:val="00632250"/>
    <w:rsid w:val="0063228D"/>
    <w:rsid w:val="00632433"/>
    <w:rsid w:val="0063254B"/>
    <w:rsid w:val="00632596"/>
    <w:rsid w:val="0063276D"/>
    <w:rsid w:val="00632C48"/>
    <w:rsid w:val="00633201"/>
    <w:rsid w:val="006332E4"/>
    <w:rsid w:val="0063386C"/>
    <w:rsid w:val="0063392C"/>
    <w:rsid w:val="00633AB3"/>
    <w:rsid w:val="00633AD1"/>
    <w:rsid w:val="00633D17"/>
    <w:rsid w:val="00633E19"/>
    <w:rsid w:val="00634664"/>
    <w:rsid w:val="006346AA"/>
    <w:rsid w:val="0063472F"/>
    <w:rsid w:val="00634829"/>
    <w:rsid w:val="006348FA"/>
    <w:rsid w:val="00634B16"/>
    <w:rsid w:val="00634D1D"/>
    <w:rsid w:val="006351A3"/>
    <w:rsid w:val="006357D2"/>
    <w:rsid w:val="00635A07"/>
    <w:rsid w:val="00635C62"/>
    <w:rsid w:val="00635F54"/>
    <w:rsid w:val="00636202"/>
    <w:rsid w:val="00636492"/>
    <w:rsid w:val="006364D2"/>
    <w:rsid w:val="00636603"/>
    <w:rsid w:val="006366DE"/>
    <w:rsid w:val="006367DE"/>
    <w:rsid w:val="00636826"/>
    <w:rsid w:val="006369F4"/>
    <w:rsid w:val="00636A06"/>
    <w:rsid w:val="00636A18"/>
    <w:rsid w:val="006370BB"/>
    <w:rsid w:val="0063710A"/>
    <w:rsid w:val="0063732C"/>
    <w:rsid w:val="006373FE"/>
    <w:rsid w:val="006374EC"/>
    <w:rsid w:val="006377D0"/>
    <w:rsid w:val="00637AC9"/>
    <w:rsid w:val="00637C26"/>
    <w:rsid w:val="00637E77"/>
    <w:rsid w:val="00637FE1"/>
    <w:rsid w:val="0064003B"/>
    <w:rsid w:val="006405C1"/>
    <w:rsid w:val="00640CB8"/>
    <w:rsid w:val="00641138"/>
    <w:rsid w:val="0064114F"/>
    <w:rsid w:val="00641461"/>
    <w:rsid w:val="0064148C"/>
    <w:rsid w:val="006417AE"/>
    <w:rsid w:val="006417CA"/>
    <w:rsid w:val="00641F37"/>
    <w:rsid w:val="00641FC2"/>
    <w:rsid w:val="00642173"/>
    <w:rsid w:val="00642B25"/>
    <w:rsid w:val="00642B5F"/>
    <w:rsid w:val="00643614"/>
    <w:rsid w:val="0064365C"/>
    <w:rsid w:val="00643785"/>
    <w:rsid w:val="00643859"/>
    <w:rsid w:val="00644577"/>
    <w:rsid w:val="00644BE0"/>
    <w:rsid w:val="00644D7C"/>
    <w:rsid w:val="00645B71"/>
    <w:rsid w:val="00645B93"/>
    <w:rsid w:val="00645EF8"/>
    <w:rsid w:val="006460E8"/>
    <w:rsid w:val="00646711"/>
    <w:rsid w:val="006467B8"/>
    <w:rsid w:val="006468D5"/>
    <w:rsid w:val="00646C3A"/>
    <w:rsid w:val="00646E2D"/>
    <w:rsid w:val="006472FC"/>
    <w:rsid w:val="00647578"/>
    <w:rsid w:val="00647CAF"/>
    <w:rsid w:val="00647CCC"/>
    <w:rsid w:val="00647D2D"/>
    <w:rsid w:val="00647FA6"/>
    <w:rsid w:val="00647FBE"/>
    <w:rsid w:val="00650058"/>
    <w:rsid w:val="00650119"/>
    <w:rsid w:val="006504AB"/>
    <w:rsid w:val="006505F9"/>
    <w:rsid w:val="006506C8"/>
    <w:rsid w:val="00650E56"/>
    <w:rsid w:val="0065102D"/>
    <w:rsid w:val="006510C0"/>
    <w:rsid w:val="0065116C"/>
    <w:rsid w:val="00651350"/>
    <w:rsid w:val="006513E0"/>
    <w:rsid w:val="00651618"/>
    <w:rsid w:val="00651773"/>
    <w:rsid w:val="0065182D"/>
    <w:rsid w:val="00651846"/>
    <w:rsid w:val="00651879"/>
    <w:rsid w:val="006518AB"/>
    <w:rsid w:val="00651D93"/>
    <w:rsid w:val="00651E3C"/>
    <w:rsid w:val="00651EBE"/>
    <w:rsid w:val="00652DA1"/>
    <w:rsid w:val="0065314D"/>
    <w:rsid w:val="00653405"/>
    <w:rsid w:val="006537D9"/>
    <w:rsid w:val="00653BB4"/>
    <w:rsid w:val="00653E9C"/>
    <w:rsid w:val="0065412B"/>
    <w:rsid w:val="00654BCB"/>
    <w:rsid w:val="00654EC7"/>
    <w:rsid w:val="00654F43"/>
    <w:rsid w:val="006550EC"/>
    <w:rsid w:val="0065526A"/>
    <w:rsid w:val="006552C7"/>
    <w:rsid w:val="006554C3"/>
    <w:rsid w:val="00655B53"/>
    <w:rsid w:val="00655CAA"/>
    <w:rsid w:val="00655EB0"/>
    <w:rsid w:val="00656509"/>
    <w:rsid w:val="00656683"/>
    <w:rsid w:val="00656A04"/>
    <w:rsid w:val="00656BE8"/>
    <w:rsid w:val="00657126"/>
    <w:rsid w:val="006572BC"/>
    <w:rsid w:val="00657495"/>
    <w:rsid w:val="00657580"/>
    <w:rsid w:val="00657617"/>
    <w:rsid w:val="0065762D"/>
    <w:rsid w:val="00657A97"/>
    <w:rsid w:val="00657D52"/>
    <w:rsid w:val="0066121B"/>
    <w:rsid w:val="0066181C"/>
    <w:rsid w:val="00661AAC"/>
    <w:rsid w:val="00661E75"/>
    <w:rsid w:val="00662865"/>
    <w:rsid w:val="00662A34"/>
    <w:rsid w:val="0066383E"/>
    <w:rsid w:val="006639C8"/>
    <w:rsid w:val="00663C0E"/>
    <w:rsid w:val="00664272"/>
    <w:rsid w:val="0066471F"/>
    <w:rsid w:val="00664989"/>
    <w:rsid w:val="00664CDE"/>
    <w:rsid w:val="00664E1C"/>
    <w:rsid w:val="00664F3C"/>
    <w:rsid w:val="00664F83"/>
    <w:rsid w:val="00664FDA"/>
    <w:rsid w:val="006656C7"/>
    <w:rsid w:val="00665885"/>
    <w:rsid w:val="00665911"/>
    <w:rsid w:val="006659F3"/>
    <w:rsid w:val="00665AB7"/>
    <w:rsid w:val="00665E81"/>
    <w:rsid w:val="006662F3"/>
    <w:rsid w:val="0066656C"/>
    <w:rsid w:val="006665DB"/>
    <w:rsid w:val="006666EB"/>
    <w:rsid w:val="006667CD"/>
    <w:rsid w:val="00666AF5"/>
    <w:rsid w:val="00666C49"/>
    <w:rsid w:val="006673C4"/>
    <w:rsid w:val="00667618"/>
    <w:rsid w:val="006679C3"/>
    <w:rsid w:val="00667F23"/>
    <w:rsid w:val="006703F3"/>
    <w:rsid w:val="0067047D"/>
    <w:rsid w:val="006704C9"/>
    <w:rsid w:val="0067074C"/>
    <w:rsid w:val="006709C1"/>
    <w:rsid w:val="00670D49"/>
    <w:rsid w:val="00670DFD"/>
    <w:rsid w:val="00670E67"/>
    <w:rsid w:val="00670F30"/>
    <w:rsid w:val="0067114F"/>
    <w:rsid w:val="006711B0"/>
    <w:rsid w:val="006712D2"/>
    <w:rsid w:val="006712F1"/>
    <w:rsid w:val="00671622"/>
    <w:rsid w:val="006716CE"/>
    <w:rsid w:val="00671B75"/>
    <w:rsid w:val="00671C22"/>
    <w:rsid w:val="00671E68"/>
    <w:rsid w:val="00672047"/>
    <w:rsid w:val="006720D9"/>
    <w:rsid w:val="00672214"/>
    <w:rsid w:val="0067243B"/>
    <w:rsid w:val="0067250A"/>
    <w:rsid w:val="0067297C"/>
    <w:rsid w:val="00672D90"/>
    <w:rsid w:val="006736A5"/>
    <w:rsid w:val="006738E1"/>
    <w:rsid w:val="00673A18"/>
    <w:rsid w:val="00673A75"/>
    <w:rsid w:val="00673E85"/>
    <w:rsid w:val="0067463B"/>
    <w:rsid w:val="006748B4"/>
    <w:rsid w:val="006748B6"/>
    <w:rsid w:val="006748DC"/>
    <w:rsid w:val="00674BB6"/>
    <w:rsid w:val="00674D6A"/>
    <w:rsid w:val="00674F70"/>
    <w:rsid w:val="00675B06"/>
    <w:rsid w:val="00675E07"/>
    <w:rsid w:val="00675FB7"/>
    <w:rsid w:val="006760D6"/>
    <w:rsid w:val="0067616C"/>
    <w:rsid w:val="00676462"/>
    <w:rsid w:val="0067660C"/>
    <w:rsid w:val="006769B9"/>
    <w:rsid w:val="0067728A"/>
    <w:rsid w:val="0067776E"/>
    <w:rsid w:val="00677889"/>
    <w:rsid w:val="00677D54"/>
    <w:rsid w:val="00677EA2"/>
    <w:rsid w:val="00677ED1"/>
    <w:rsid w:val="0068009C"/>
    <w:rsid w:val="00680413"/>
    <w:rsid w:val="00680A9E"/>
    <w:rsid w:val="00680F2F"/>
    <w:rsid w:val="00681134"/>
    <w:rsid w:val="00681222"/>
    <w:rsid w:val="006819D4"/>
    <w:rsid w:val="00681C31"/>
    <w:rsid w:val="00681D3C"/>
    <w:rsid w:val="00681D5F"/>
    <w:rsid w:val="0068212A"/>
    <w:rsid w:val="006821D5"/>
    <w:rsid w:val="0068244F"/>
    <w:rsid w:val="006824F1"/>
    <w:rsid w:val="006825CF"/>
    <w:rsid w:val="00682A46"/>
    <w:rsid w:val="00682AAC"/>
    <w:rsid w:val="006830FE"/>
    <w:rsid w:val="00683291"/>
    <w:rsid w:val="006832FA"/>
    <w:rsid w:val="006837FB"/>
    <w:rsid w:val="00683862"/>
    <w:rsid w:val="00683B33"/>
    <w:rsid w:val="0068406D"/>
    <w:rsid w:val="00684098"/>
    <w:rsid w:val="006841D6"/>
    <w:rsid w:val="0068498B"/>
    <w:rsid w:val="00684B25"/>
    <w:rsid w:val="00684CC0"/>
    <w:rsid w:val="00684DA6"/>
    <w:rsid w:val="00684EA7"/>
    <w:rsid w:val="00685033"/>
    <w:rsid w:val="00685820"/>
    <w:rsid w:val="00685AB5"/>
    <w:rsid w:val="00685BF9"/>
    <w:rsid w:val="00685DAE"/>
    <w:rsid w:val="0068617D"/>
    <w:rsid w:val="00686308"/>
    <w:rsid w:val="0068685D"/>
    <w:rsid w:val="00686874"/>
    <w:rsid w:val="006868BE"/>
    <w:rsid w:val="006868C6"/>
    <w:rsid w:val="00686F49"/>
    <w:rsid w:val="00687067"/>
    <w:rsid w:val="0068768C"/>
    <w:rsid w:val="006877DB"/>
    <w:rsid w:val="00687954"/>
    <w:rsid w:val="00687C83"/>
    <w:rsid w:val="00690795"/>
    <w:rsid w:val="00690855"/>
    <w:rsid w:val="0069086F"/>
    <w:rsid w:val="00690DB0"/>
    <w:rsid w:val="00691408"/>
    <w:rsid w:val="0069148C"/>
    <w:rsid w:val="00691A2B"/>
    <w:rsid w:val="00691BD0"/>
    <w:rsid w:val="00691BDC"/>
    <w:rsid w:val="00692056"/>
    <w:rsid w:val="006922C9"/>
    <w:rsid w:val="006928CB"/>
    <w:rsid w:val="00692A54"/>
    <w:rsid w:val="00693460"/>
    <w:rsid w:val="006935F5"/>
    <w:rsid w:val="00693CF2"/>
    <w:rsid w:val="00693DAC"/>
    <w:rsid w:val="00693EEF"/>
    <w:rsid w:val="0069444B"/>
    <w:rsid w:val="006946F0"/>
    <w:rsid w:val="00694800"/>
    <w:rsid w:val="00694926"/>
    <w:rsid w:val="00694AB8"/>
    <w:rsid w:val="006952C0"/>
    <w:rsid w:val="0069537E"/>
    <w:rsid w:val="00695939"/>
    <w:rsid w:val="00695F8A"/>
    <w:rsid w:val="00696012"/>
    <w:rsid w:val="0069601B"/>
    <w:rsid w:val="006960E4"/>
    <w:rsid w:val="00696255"/>
    <w:rsid w:val="006962E8"/>
    <w:rsid w:val="0069640C"/>
    <w:rsid w:val="0069686C"/>
    <w:rsid w:val="00696AD7"/>
    <w:rsid w:val="00696D72"/>
    <w:rsid w:val="00696DD0"/>
    <w:rsid w:val="00697119"/>
    <w:rsid w:val="0069741F"/>
    <w:rsid w:val="0069747E"/>
    <w:rsid w:val="00697AE0"/>
    <w:rsid w:val="00697CD3"/>
    <w:rsid w:val="00697D58"/>
    <w:rsid w:val="00697E2C"/>
    <w:rsid w:val="00697F97"/>
    <w:rsid w:val="006A08F7"/>
    <w:rsid w:val="006A0B7A"/>
    <w:rsid w:val="006A0D7E"/>
    <w:rsid w:val="006A0E04"/>
    <w:rsid w:val="006A0E36"/>
    <w:rsid w:val="006A10B4"/>
    <w:rsid w:val="006A11B4"/>
    <w:rsid w:val="006A161A"/>
    <w:rsid w:val="006A170A"/>
    <w:rsid w:val="006A1BA5"/>
    <w:rsid w:val="006A1BFE"/>
    <w:rsid w:val="006A1E7F"/>
    <w:rsid w:val="006A2043"/>
    <w:rsid w:val="006A23F1"/>
    <w:rsid w:val="006A2A0A"/>
    <w:rsid w:val="006A365D"/>
    <w:rsid w:val="006A3F0E"/>
    <w:rsid w:val="006A3FD0"/>
    <w:rsid w:val="006A4793"/>
    <w:rsid w:val="006A47D8"/>
    <w:rsid w:val="006A48DD"/>
    <w:rsid w:val="006A4966"/>
    <w:rsid w:val="006A4975"/>
    <w:rsid w:val="006A4E92"/>
    <w:rsid w:val="006A4F3D"/>
    <w:rsid w:val="006A50F7"/>
    <w:rsid w:val="006A52B9"/>
    <w:rsid w:val="006A52D1"/>
    <w:rsid w:val="006A596E"/>
    <w:rsid w:val="006A5A29"/>
    <w:rsid w:val="006A6019"/>
    <w:rsid w:val="006A64D3"/>
    <w:rsid w:val="006A6771"/>
    <w:rsid w:val="006A6873"/>
    <w:rsid w:val="006A740D"/>
    <w:rsid w:val="006A77AE"/>
    <w:rsid w:val="006A77B7"/>
    <w:rsid w:val="006A7A0A"/>
    <w:rsid w:val="006A7B4F"/>
    <w:rsid w:val="006A7C85"/>
    <w:rsid w:val="006A7E12"/>
    <w:rsid w:val="006B01E5"/>
    <w:rsid w:val="006B0364"/>
    <w:rsid w:val="006B06E3"/>
    <w:rsid w:val="006B120C"/>
    <w:rsid w:val="006B18E0"/>
    <w:rsid w:val="006B1A90"/>
    <w:rsid w:val="006B200C"/>
    <w:rsid w:val="006B22B9"/>
    <w:rsid w:val="006B27BA"/>
    <w:rsid w:val="006B281D"/>
    <w:rsid w:val="006B2959"/>
    <w:rsid w:val="006B2C18"/>
    <w:rsid w:val="006B306B"/>
    <w:rsid w:val="006B32C5"/>
    <w:rsid w:val="006B33C6"/>
    <w:rsid w:val="006B3483"/>
    <w:rsid w:val="006B34E7"/>
    <w:rsid w:val="006B3539"/>
    <w:rsid w:val="006B3614"/>
    <w:rsid w:val="006B3BB7"/>
    <w:rsid w:val="006B3FEA"/>
    <w:rsid w:val="006B4401"/>
    <w:rsid w:val="006B4D69"/>
    <w:rsid w:val="006B4F0A"/>
    <w:rsid w:val="006B4F80"/>
    <w:rsid w:val="006B4FF4"/>
    <w:rsid w:val="006B5672"/>
    <w:rsid w:val="006B5EE2"/>
    <w:rsid w:val="006B628B"/>
    <w:rsid w:val="006B66F3"/>
    <w:rsid w:val="006B6768"/>
    <w:rsid w:val="006B6D1A"/>
    <w:rsid w:val="006B6D30"/>
    <w:rsid w:val="006B6F94"/>
    <w:rsid w:val="006B7015"/>
    <w:rsid w:val="006B701B"/>
    <w:rsid w:val="006B7645"/>
    <w:rsid w:val="006B7D02"/>
    <w:rsid w:val="006C04BB"/>
    <w:rsid w:val="006C07A9"/>
    <w:rsid w:val="006C086B"/>
    <w:rsid w:val="006C0910"/>
    <w:rsid w:val="006C0AB2"/>
    <w:rsid w:val="006C0AC9"/>
    <w:rsid w:val="006C0D7E"/>
    <w:rsid w:val="006C10B4"/>
    <w:rsid w:val="006C1108"/>
    <w:rsid w:val="006C1178"/>
    <w:rsid w:val="006C11EF"/>
    <w:rsid w:val="006C185E"/>
    <w:rsid w:val="006C2144"/>
    <w:rsid w:val="006C266D"/>
    <w:rsid w:val="006C2832"/>
    <w:rsid w:val="006C3149"/>
    <w:rsid w:val="006C33E5"/>
    <w:rsid w:val="006C3403"/>
    <w:rsid w:val="006C34CB"/>
    <w:rsid w:val="006C3546"/>
    <w:rsid w:val="006C3771"/>
    <w:rsid w:val="006C386B"/>
    <w:rsid w:val="006C396A"/>
    <w:rsid w:val="006C39B7"/>
    <w:rsid w:val="006C39BD"/>
    <w:rsid w:val="006C3B5B"/>
    <w:rsid w:val="006C3B91"/>
    <w:rsid w:val="006C3C8F"/>
    <w:rsid w:val="006C3D36"/>
    <w:rsid w:val="006C3E08"/>
    <w:rsid w:val="006C3E8B"/>
    <w:rsid w:val="006C461A"/>
    <w:rsid w:val="006C465B"/>
    <w:rsid w:val="006C48BA"/>
    <w:rsid w:val="006C48F5"/>
    <w:rsid w:val="006C4A50"/>
    <w:rsid w:val="006C4E9E"/>
    <w:rsid w:val="006C523A"/>
    <w:rsid w:val="006C59C4"/>
    <w:rsid w:val="006C6275"/>
    <w:rsid w:val="006C63E4"/>
    <w:rsid w:val="006C6A21"/>
    <w:rsid w:val="006C7244"/>
    <w:rsid w:val="006C74F4"/>
    <w:rsid w:val="006C7598"/>
    <w:rsid w:val="006C7D1C"/>
    <w:rsid w:val="006C7D1F"/>
    <w:rsid w:val="006C7D35"/>
    <w:rsid w:val="006D1075"/>
    <w:rsid w:val="006D156C"/>
    <w:rsid w:val="006D1B87"/>
    <w:rsid w:val="006D1CD1"/>
    <w:rsid w:val="006D1D0E"/>
    <w:rsid w:val="006D1F92"/>
    <w:rsid w:val="006D226D"/>
    <w:rsid w:val="006D2319"/>
    <w:rsid w:val="006D2720"/>
    <w:rsid w:val="006D2852"/>
    <w:rsid w:val="006D29A3"/>
    <w:rsid w:val="006D312E"/>
    <w:rsid w:val="006D323A"/>
    <w:rsid w:val="006D335A"/>
    <w:rsid w:val="006D34D1"/>
    <w:rsid w:val="006D34F2"/>
    <w:rsid w:val="006D3E47"/>
    <w:rsid w:val="006D4368"/>
    <w:rsid w:val="006D4466"/>
    <w:rsid w:val="006D48CA"/>
    <w:rsid w:val="006D4D76"/>
    <w:rsid w:val="006D4FA7"/>
    <w:rsid w:val="006D5684"/>
    <w:rsid w:val="006D5BA1"/>
    <w:rsid w:val="006D60EE"/>
    <w:rsid w:val="006D62A9"/>
    <w:rsid w:val="006D6341"/>
    <w:rsid w:val="006D6474"/>
    <w:rsid w:val="006D6553"/>
    <w:rsid w:val="006D679E"/>
    <w:rsid w:val="006D6BAF"/>
    <w:rsid w:val="006D6D46"/>
    <w:rsid w:val="006D6FAA"/>
    <w:rsid w:val="006D737E"/>
    <w:rsid w:val="006D798B"/>
    <w:rsid w:val="006E0371"/>
    <w:rsid w:val="006E04B8"/>
    <w:rsid w:val="006E0625"/>
    <w:rsid w:val="006E075F"/>
    <w:rsid w:val="006E0E13"/>
    <w:rsid w:val="006E0EEA"/>
    <w:rsid w:val="006E1136"/>
    <w:rsid w:val="006E18E7"/>
    <w:rsid w:val="006E1DD5"/>
    <w:rsid w:val="006E2067"/>
    <w:rsid w:val="006E2B82"/>
    <w:rsid w:val="006E2D3C"/>
    <w:rsid w:val="006E2DB2"/>
    <w:rsid w:val="006E321B"/>
    <w:rsid w:val="006E355E"/>
    <w:rsid w:val="006E364C"/>
    <w:rsid w:val="006E370E"/>
    <w:rsid w:val="006E387B"/>
    <w:rsid w:val="006E3A39"/>
    <w:rsid w:val="006E3A96"/>
    <w:rsid w:val="006E3E6A"/>
    <w:rsid w:val="006E4001"/>
    <w:rsid w:val="006E44AF"/>
    <w:rsid w:val="006E459F"/>
    <w:rsid w:val="006E45C8"/>
    <w:rsid w:val="006E4B4C"/>
    <w:rsid w:val="006E52A8"/>
    <w:rsid w:val="006E54B2"/>
    <w:rsid w:val="006E62FA"/>
    <w:rsid w:val="006E66B2"/>
    <w:rsid w:val="006E71BE"/>
    <w:rsid w:val="006E730C"/>
    <w:rsid w:val="006E730E"/>
    <w:rsid w:val="006E796E"/>
    <w:rsid w:val="006E7B77"/>
    <w:rsid w:val="006E7B83"/>
    <w:rsid w:val="006E7BCD"/>
    <w:rsid w:val="006F00D0"/>
    <w:rsid w:val="006F040F"/>
    <w:rsid w:val="006F0494"/>
    <w:rsid w:val="006F0495"/>
    <w:rsid w:val="006F04DC"/>
    <w:rsid w:val="006F06B1"/>
    <w:rsid w:val="006F13A5"/>
    <w:rsid w:val="006F14AE"/>
    <w:rsid w:val="006F1541"/>
    <w:rsid w:val="006F1637"/>
    <w:rsid w:val="006F1F1A"/>
    <w:rsid w:val="006F2068"/>
    <w:rsid w:val="006F21BE"/>
    <w:rsid w:val="006F22A0"/>
    <w:rsid w:val="006F22D0"/>
    <w:rsid w:val="006F2312"/>
    <w:rsid w:val="006F25AD"/>
    <w:rsid w:val="006F25EF"/>
    <w:rsid w:val="006F2800"/>
    <w:rsid w:val="006F305C"/>
    <w:rsid w:val="006F3119"/>
    <w:rsid w:val="006F31C6"/>
    <w:rsid w:val="006F36BA"/>
    <w:rsid w:val="006F3FA8"/>
    <w:rsid w:val="006F3FE5"/>
    <w:rsid w:val="006F4039"/>
    <w:rsid w:val="006F4425"/>
    <w:rsid w:val="006F4487"/>
    <w:rsid w:val="006F4645"/>
    <w:rsid w:val="006F4FB6"/>
    <w:rsid w:val="006F52B5"/>
    <w:rsid w:val="006F5357"/>
    <w:rsid w:val="006F53C0"/>
    <w:rsid w:val="006F5676"/>
    <w:rsid w:val="006F586E"/>
    <w:rsid w:val="006F5A19"/>
    <w:rsid w:val="006F5BEC"/>
    <w:rsid w:val="006F5EA4"/>
    <w:rsid w:val="006F5F80"/>
    <w:rsid w:val="006F6806"/>
    <w:rsid w:val="006F692A"/>
    <w:rsid w:val="006F6EA1"/>
    <w:rsid w:val="006F6EB9"/>
    <w:rsid w:val="006F71DE"/>
    <w:rsid w:val="006F7545"/>
    <w:rsid w:val="006F755F"/>
    <w:rsid w:val="006F7953"/>
    <w:rsid w:val="006F7CF8"/>
    <w:rsid w:val="00700ABB"/>
    <w:rsid w:val="00700CBC"/>
    <w:rsid w:val="00700E25"/>
    <w:rsid w:val="00700E7F"/>
    <w:rsid w:val="00701C7E"/>
    <w:rsid w:val="00701ED1"/>
    <w:rsid w:val="00702123"/>
    <w:rsid w:val="0070221E"/>
    <w:rsid w:val="00702239"/>
    <w:rsid w:val="00702271"/>
    <w:rsid w:val="007025E1"/>
    <w:rsid w:val="00702642"/>
    <w:rsid w:val="0070277E"/>
    <w:rsid w:val="007027D3"/>
    <w:rsid w:val="007028FA"/>
    <w:rsid w:val="00702AA6"/>
    <w:rsid w:val="00702C46"/>
    <w:rsid w:val="00703073"/>
    <w:rsid w:val="0070324E"/>
    <w:rsid w:val="0070360C"/>
    <w:rsid w:val="00703F74"/>
    <w:rsid w:val="00703FB6"/>
    <w:rsid w:val="007040F0"/>
    <w:rsid w:val="00704570"/>
    <w:rsid w:val="00704933"/>
    <w:rsid w:val="00704968"/>
    <w:rsid w:val="00704CF0"/>
    <w:rsid w:val="00705034"/>
    <w:rsid w:val="00705203"/>
    <w:rsid w:val="00705250"/>
    <w:rsid w:val="00705393"/>
    <w:rsid w:val="00705562"/>
    <w:rsid w:val="00705824"/>
    <w:rsid w:val="00705AFA"/>
    <w:rsid w:val="00705DF1"/>
    <w:rsid w:val="0070612C"/>
    <w:rsid w:val="007065E6"/>
    <w:rsid w:val="0070692A"/>
    <w:rsid w:val="00706BB9"/>
    <w:rsid w:val="00706F62"/>
    <w:rsid w:val="0070719F"/>
    <w:rsid w:val="00707531"/>
    <w:rsid w:val="007100D4"/>
    <w:rsid w:val="007101AF"/>
    <w:rsid w:val="00710B12"/>
    <w:rsid w:val="00710B21"/>
    <w:rsid w:val="00710C22"/>
    <w:rsid w:val="00711869"/>
    <w:rsid w:val="007119FE"/>
    <w:rsid w:val="00711A89"/>
    <w:rsid w:val="00711E6A"/>
    <w:rsid w:val="00712418"/>
    <w:rsid w:val="0071241B"/>
    <w:rsid w:val="0071249A"/>
    <w:rsid w:val="00712C79"/>
    <w:rsid w:val="00712E9C"/>
    <w:rsid w:val="00713200"/>
    <w:rsid w:val="007136A8"/>
    <w:rsid w:val="007136D1"/>
    <w:rsid w:val="00713918"/>
    <w:rsid w:val="00714193"/>
    <w:rsid w:val="00714267"/>
    <w:rsid w:val="0071505B"/>
    <w:rsid w:val="007150F1"/>
    <w:rsid w:val="00715118"/>
    <w:rsid w:val="0071517E"/>
    <w:rsid w:val="007153A5"/>
    <w:rsid w:val="007154EF"/>
    <w:rsid w:val="00715567"/>
    <w:rsid w:val="00715938"/>
    <w:rsid w:val="00715950"/>
    <w:rsid w:val="00715D93"/>
    <w:rsid w:val="00715F3D"/>
    <w:rsid w:val="00715FA2"/>
    <w:rsid w:val="00716135"/>
    <w:rsid w:val="00716234"/>
    <w:rsid w:val="00716368"/>
    <w:rsid w:val="00717053"/>
    <w:rsid w:val="007173E1"/>
    <w:rsid w:val="007175C8"/>
    <w:rsid w:val="0071799D"/>
    <w:rsid w:val="00717ACB"/>
    <w:rsid w:val="00717F0E"/>
    <w:rsid w:val="00720475"/>
    <w:rsid w:val="0072048E"/>
    <w:rsid w:val="007205E4"/>
    <w:rsid w:val="007207BF"/>
    <w:rsid w:val="00720A3C"/>
    <w:rsid w:val="00720B84"/>
    <w:rsid w:val="00720CF1"/>
    <w:rsid w:val="0072125F"/>
    <w:rsid w:val="0072134E"/>
    <w:rsid w:val="0072135B"/>
    <w:rsid w:val="00721693"/>
    <w:rsid w:val="00721D19"/>
    <w:rsid w:val="00721F6B"/>
    <w:rsid w:val="00721FCC"/>
    <w:rsid w:val="007220E7"/>
    <w:rsid w:val="00722209"/>
    <w:rsid w:val="0072223B"/>
    <w:rsid w:val="0072278C"/>
    <w:rsid w:val="0072293F"/>
    <w:rsid w:val="007229CE"/>
    <w:rsid w:val="00722B20"/>
    <w:rsid w:val="00722C89"/>
    <w:rsid w:val="00722E34"/>
    <w:rsid w:val="00723347"/>
    <w:rsid w:val="00723385"/>
    <w:rsid w:val="007233AE"/>
    <w:rsid w:val="007235E9"/>
    <w:rsid w:val="00723B85"/>
    <w:rsid w:val="00723E93"/>
    <w:rsid w:val="00723FA1"/>
    <w:rsid w:val="0072407A"/>
    <w:rsid w:val="0072413B"/>
    <w:rsid w:val="00724167"/>
    <w:rsid w:val="0072464E"/>
    <w:rsid w:val="00724C55"/>
    <w:rsid w:val="00724D2B"/>
    <w:rsid w:val="0072582E"/>
    <w:rsid w:val="00725A41"/>
    <w:rsid w:val="00725BA1"/>
    <w:rsid w:val="00725C06"/>
    <w:rsid w:val="00725EE1"/>
    <w:rsid w:val="007264BD"/>
    <w:rsid w:val="00726645"/>
    <w:rsid w:val="00727020"/>
    <w:rsid w:val="00727346"/>
    <w:rsid w:val="0072743E"/>
    <w:rsid w:val="00727500"/>
    <w:rsid w:val="00727B83"/>
    <w:rsid w:val="007300D4"/>
    <w:rsid w:val="00730143"/>
    <w:rsid w:val="007301F2"/>
    <w:rsid w:val="00730643"/>
    <w:rsid w:val="00730724"/>
    <w:rsid w:val="00730933"/>
    <w:rsid w:val="00730977"/>
    <w:rsid w:val="00730C4F"/>
    <w:rsid w:val="00731836"/>
    <w:rsid w:val="007320AD"/>
    <w:rsid w:val="00732202"/>
    <w:rsid w:val="00732926"/>
    <w:rsid w:val="00732B57"/>
    <w:rsid w:val="00732BCF"/>
    <w:rsid w:val="00732F48"/>
    <w:rsid w:val="007338D3"/>
    <w:rsid w:val="00734654"/>
    <w:rsid w:val="00734908"/>
    <w:rsid w:val="00734CE2"/>
    <w:rsid w:val="00734EAC"/>
    <w:rsid w:val="0073514A"/>
    <w:rsid w:val="007352CA"/>
    <w:rsid w:val="00735CD0"/>
    <w:rsid w:val="00735E55"/>
    <w:rsid w:val="00735EC6"/>
    <w:rsid w:val="007368D4"/>
    <w:rsid w:val="007372C1"/>
    <w:rsid w:val="007374BA"/>
    <w:rsid w:val="0073766C"/>
    <w:rsid w:val="00737839"/>
    <w:rsid w:val="0073789D"/>
    <w:rsid w:val="00737D87"/>
    <w:rsid w:val="00737EE4"/>
    <w:rsid w:val="00740041"/>
    <w:rsid w:val="007400BF"/>
    <w:rsid w:val="00740422"/>
    <w:rsid w:val="0074056A"/>
    <w:rsid w:val="0074084E"/>
    <w:rsid w:val="007409F1"/>
    <w:rsid w:val="00740F70"/>
    <w:rsid w:val="00741410"/>
    <w:rsid w:val="007414AD"/>
    <w:rsid w:val="0074152D"/>
    <w:rsid w:val="00741580"/>
    <w:rsid w:val="007415ED"/>
    <w:rsid w:val="007416A5"/>
    <w:rsid w:val="00741753"/>
    <w:rsid w:val="0074192C"/>
    <w:rsid w:val="00741A01"/>
    <w:rsid w:val="00741B45"/>
    <w:rsid w:val="00741D27"/>
    <w:rsid w:val="00742384"/>
    <w:rsid w:val="00742524"/>
    <w:rsid w:val="00742942"/>
    <w:rsid w:val="00742F7E"/>
    <w:rsid w:val="00743010"/>
    <w:rsid w:val="00743198"/>
    <w:rsid w:val="0074323D"/>
    <w:rsid w:val="0074380F"/>
    <w:rsid w:val="007438DD"/>
    <w:rsid w:val="007439D1"/>
    <w:rsid w:val="00743FB4"/>
    <w:rsid w:val="00744312"/>
    <w:rsid w:val="00744736"/>
    <w:rsid w:val="007449B8"/>
    <w:rsid w:val="00744E48"/>
    <w:rsid w:val="00745000"/>
    <w:rsid w:val="00745429"/>
    <w:rsid w:val="00745AEC"/>
    <w:rsid w:val="007461E2"/>
    <w:rsid w:val="007469AD"/>
    <w:rsid w:val="00747371"/>
    <w:rsid w:val="0074737A"/>
    <w:rsid w:val="00747760"/>
    <w:rsid w:val="00747929"/>
    <w:rsid w:val="00747977"/>
    <w:rsid w:val="00747C93"/>
    <w:rsid w:val="00750DA9"/>
    <w:rsid w:val="00750E33"/>
    <w:rsid w:val="00750ED3"/>
    <w:rsid w:val="007510E0"/>
    <w:rsid w:val="0075124F"/>
    <w:rsid w:val="00751472"/>
    <w:rsid w:val="007514A0"/>
    <w:rsid w:val="0075154A"/>
    <w:rsid w:val="00751557"/>
    <w:rsid w:val="00751669"/>
    <w:rsid w:val="00751781"/>
    <w:rsid w:val="007525FE"/>
    <w:rsid w:val="0075286A"/>
    <w:rsid w:val="00752D98"/>
    <w:rsid w:val="0075304E"/>
    <w:rsid w:val="0075357E"/>
    <w:rsid w:val="007538CB"/>
    <w:rsid w:val="00754444"/>
    <w:rsid w:val="00754A5C"/>
    <w:rsid w:val="00754CE2"/>
    <w:rsid w:val="00754F1E"/>
    <w:rsid w:val="007558CD"/>
    <w:rsid w:val="0075595A"/>
    <w:rsid w:val="00755BBB"/>
    <w:rsid w:val="007565D6"/>
    <w:rsid w:val="00756A78"/>
    <w:rsid w:val="00756C43"/>
    <w:rsid w:val="00757009"/>
    <w:rsid w:val="007571BF"/>
    <w:rsid w:val="007576D4"/>
    <w:rsid w:val="0075789C"/>
    <w:rsid w:val="0075797F"/>
    <w:rsid w:val="00757A08"/>
    <w:rsid w:val="00757BCC"/>
    <w:rsid w:val="0076015B"/>
    <w:rsid w:val="0076041D"/>
    <w:rsid w:val="007605A5"/>
    <w:rsid w:val="00760629"/>
    <w:rsid w:val="0076083B"/>
    <w:rsid w:val="00760957"/>
    <w:rsid w:val="007609A3"/>
    <w:rsid w:val="00760D36"/>
    <w:rsid w:val="007610B2"/>
    <w:rsid w:val="007612E2"/>
    <w:rsid w:val="00761930"/>
    <w:rsid w:val="0076199D"/>
    <w:rsid w:val="00761B01"/>
    <w:rsid w:val="0076207A"/>
    <w:rsid w:val="0076224A"/>
    <w:rsid w:val="0076249D"/>
    <w:rsid w:val="0076265A"/>
    <w:rsid w:val="007626A5"/>
    <w:rsid w:val="007626EF"/>
    <w:rsid w:val="007628F2"/>
    <w:rsid w:val="00762ABF"/>
    <w:rsid w:val="007631C5"/>
    <w:rsid w:val="007636BE"/>
    <w:rsid w:val="00763881"/>
    <w:rsid w:val="0076410A"/>
    <w:rsid w:val="00764294"/>
    <w:rsid w:val="00764640"/>
    <w:rsid w:val="007648B5"/>
    <w:rsid w:val="00764C3A"/>
    <w:rsid w:val="0076522F"/>
    <w:rsid w:val="0076539D"/>
    <w:rsid w:val="007653CF"/>
    <w:rsid w:val="007658F6"/>
    <w:rsid w:val="00765AC4"/>
    <w:rsid w:val="00765BD9"/>
    <w:rsid w:val="00765EB3"/>
    <w:rsid w:val="007669E4"/>
    <w:rsid w:val="007669E5"/>
    <w:rsid w:val="00766D4C"/>
    <w:rsid w:val="00766E90"/>
    <w:rsid w:val="00766FD8"/>
    <w:rsid w:val="007673A3"/>
    <w:rsid w:val="0076776B"/>
    <w:rsid w:val="007677EB"/>
    <w:rsid w:val="007678BC"/>
    <w:rsid w:val="00767ADD"/>
    <w:rsid w:val="00767B1E"/>
    <w:rsid w:val="00767BEC"/>
    <w:rsid w:val="00767C65"/>
    <w:rsid w:val="00767D8C"/>
    <w:rsid w:val="007701D5"/>
    <w:rsid w:val="007705A3"/>
    <w:rsid w:val="007707F5"/>
    <w:rsid w:val="007709EB"/>
    <w:rsid w:val="00770B7C"/>
    <w:rsid w:val="00770C3D"/>
    <w:rsid w:val="00770D0E"/>
    <w:rsid w:val="00770DE8"/>
    <w:rsid w:val="007710E0"/>
    <w:rsid w:val="00771477"/>
    <w:rsid w:val="007714C8"/>
    <w:rsid w:val="007714EA"/>
    <w:rsid w:val="0077169F"/>
    <w:rsid w:val="00771DC9"/>
    <w:rsid w:val="00772112"/>
    <w:rsid w:val="00772158"/>
    <w:rsid w:val="007724B1"/>
    <w:rsid w:val="007724F3"/>
    <w:rsid w:val="00772C3F"/>
    <w:rsid w:val="00772DFE"/>
    <w:rsid w:val="00772F5A"/>
    <w:rsid w:val="00773368"/>
    <w:rsid w:val="007733C7"/>
    <w:rsid w:val="007733DF"/>
    <w:rsid w:val="0077340E"/>
    <w:rsid w:val="00773457"/>
    <w:rsid w:val="007734D9"/>
    <w:rsid w:val="00773515"/>
    <w:rsid w:val="007735FA"/>
    <w:rsid w:val="00773623"/>
    <w:rsid w:val="0077395D"/>
    <w:rsid w:val="00773C03"/>
    <w:rsid w:val="00773DC9"/>
    <w:rsid w:val="00773DE2"/>
    <w:rsid w:val="00773F69"/>
    <w:rsid w:val="00774301"/>
    <w:rsid w:val="007745D1"/>
    <w:rsid w:val="007746AA"/>
    <w:rsid w:val="00774B37"/>
    <w:rsid w:val="00774C30"/>
    <w:rsid w:val="00774C80"/>
    <w:rsid w:val="00774EE4"/>
    <w:rsid w:val="0077562E"/>
    <w:rsid w:val="00775677"/>
    <w:rsid w:val="00775A9B"/>
    <w:rsid w:val="00775ADD"/>
    <w:rsid w:val="00775D50"/>
    <w:rsid w:val="0077634F"/>
    <w:rsid w:val="0077646D"/>
    <w:rsid w:val="00776A92"/>
    <w:rsid w:val="00776C61"/>
    <w:rsid w:val="00776D0E"/>
    <w:rsid w:val="0077713E"/>
    <w:rsid w:val="007773C7"/>
    <w:rsid w:val="00777AC2"/>
    <w:rsid w:val="00777B53"/>
    <w:rsid w:val="00777CBF"/>
    <w:rsid w:val="00780146"/>
    <w:rsid w:val="007803E6"/>
    <w:rsid w:val="00780566"/>
    <w:rsid w:val="007808DD"/>
    <w:rsid w:val="007809A8"/>
    <w:rsid w:val="007809D5"/>
    <w:rsid w:val="00780A31"/>
    <w:rsid w:val="00781195"/>
    <w:rsid w:val="00781F3E"/>
    <w:rsid w:val="0078220E"/>
    <w:rsid w:val="0078244F"/>
    <w:rsid w:val="00782CE5"/>
    <w:rsid w:val="007831AE"/>
    <w:rsid w:val="00783467"/>
    <w:rsid w:val="00783D8E"/>
    <w:rsid w:val="00783EE2"/>
    <w:rsid w:val="0078431D"/>
    <w:rsid w:val="007845ED"/>
    <w:rsid w:val="00784680"/>
    <w:rsid w:val="00784884"/>
    <w:rsid w:val="00784D34"/>
    <w:rsid w:val="00784FD7"/>
    <w:rsid w:val="0078512B"/>
    <w:rsid w:val="007853D0"/>
    <w:rsid w:val="007856CD"/>
    <w:rsid w:val="0078571D"/>
    <w:rsid w:val="0078583C"/>
    <w:rsid w:val="00786217"/>
    <w:rsid w:val="00786A77"/>
    <w:rsid w:val="007871F0"/>
    <w:rsid w:val="007875D8"/>
    <w:rsid w:val="0078775A"/>
    <w:rsid w:val="00787876"/>
    <w:rsid w:val="00787A02"/>
    <w:rsid w:val="00787A5F"/>
    <w:rsid w:val="00787A86"/>
    <w:rsid w:val="00787BB7"/>
    <w:rsid w:val="00787BE8"/>
    <w:rsid w:val="00787F1D"/>
    <w:rsid w:val="00787FCC"/>
    <w:rsid w:val="0079018B"/>
    <w:rsid w:val="007902F6"/>
    <w:rsid w:val="00790341"/>
    <w:rsid w:val="0079093E"/>
    <w:rsid w:val="00791189"/>
    <w:rsid w:val="00791224"/>
    <w:rsid w:val="0079188C"/>
    <w:rsid w:val="00791B3F"/>
    <w:rsid w:val="00791D37"/>
    <w:rsid w:val="0079234B"/>
    <w:rsid w:val="00792980"/>
    <w:rsid w:val="00792D22"/>
    <w:rsid w:val="00793117"/>
    <w:rsid w:val="00793170"/>
    <w:rsid w:val="0079319C"/>
    <w:rsid w:val="00793300"/>
    <w:rsid w:val="0079332B"/>
    <w:rsid w:val="0079356D"/>
    <w:rsid w:val="007935E6"/>
    <w:rsid w:val="00793DE9"/>
    <w:rsid w:val="0079461A"/>
    <w:rsid w:val="0079475E"/>
    <w:rsid w:val="007947C4"/>
    <w:rsid w:val="007947F0"/>
    <w:rsid w:val="00794CC3"/>
    <w:rsid w:val="00794E89"/>
    <w:rsid w:val="007952C2"/>
    <w:rsid w:val="0079544F"/>
    <w:rsid w:val="00795760"/>
    <w:rsid w:val="00795D86"/>
    <w:rsid w:val="0079662C"/>
    <w:rsid w:val="00796643"/>
    <w:rsid w:val="007967C0"/>
    <w:rsid w:val="00796818"/>
    <w:rsid w:val="00796B30"/>
    <w:rsid w:val="00796D8B"/>
    <w:rsid w:val="00796E59"/>
    <w:rsid w:val="007974AA"/>
    <w:rsid w:val="00797562"/>
    <w:rsid w:val="00797904"/>
    <w:rsid w:val="00797D90"/>
    <w:rsid w:val="00797FCF"/>
    <w:rsid w:val="007A0206"/>
    <w:rsid w:val="007A02AC"/>
    <w:rsid w:val="007A0708"/>
    <w:rsid w:val="007A0C82"/>
    <w:rsid w:val="007A101F"/>
    <w:rsid w:val="007A1056"/>
    <w:rsid w:val="007A1164"/>
    <w:rsid w:val="007A1584"/>
    <w:rsid w:val="007A1585"/>
    <w:rsid w:val="007A15B4"/>
    <w:rsid w:val="007A15E1"/>
    <w:rsid w:val="007A185C"/>
    <w:rsid w:val="007A198B"/>
    <w:rsid w:val="007A1DFB"/>
    <w:rsid w:val="007A1FBA"/>
    <w:rsid w:val="007A1FE3"/>
    <w:rsid w:val="007A2410"/>
    <w:rsid w:val="007A2413"/>
    <w:rsid w:val="007A2625"/>
    <w:rsid w:val="007A2D62"/>
    <w:rsid w:val="007A35E9"/>
    <w:rsid w:val="007A3A1F"/>
    <w:rsid w:val="007A4976"/>
    <w:rsid w:val="007A4B47"/>
    <w:rsid w:val="007A5592"/>
    <w:rsid w:val="007A55D9"/>
    <w:rsid w:val="007A5766"/>
    <w:rsid w:val="007A588E"/>
    <w:rsid w:val="007A5968"/>
    <w:rsid w:val="007A60FA"/>
    <w:rsid w:val="007A6294"/>
    <w:rsid w:val="007A655B"/>
    <w:rsid w:val="007A65E7"/>
    <w:rsid w:val="007A6A8A"/>
    <w:rsid w:val="007A6BA8"/>
    <w:rsid w:val="007A6EEF"/>
    <w:rsid w:val="007A79E4"/>
    <w:rsid w:val="007A7F2F"/>
    <w:rsid w:val="007B0288"/>
    <w:rsid w:val="007B02D6"/>
    <w:rsid w:val="007B05CD"/>
    <w:rsid w:val="007B06B3"/>
    <w:rsid w:val="007B0996"/>
    <w:rsid w:val="007B0D0E"/>
    <w:rsid w:val="007B1063"/>
    <w:rsid w:val="007B1187"/>
    <w:rsid w:val="007B1427"/>
    <w:rsid w:val="007B1810"/>
    <w:rsid w:val="007B1A72"/>
    <w:rsid w:val="007B1C07"/>
    <w:rsid w:val="007B1DD6"/>
    <w:rsid w:val="007B1F12"/>
    <w:rsid w:val="007B2112"/>
    <w:rsid w:val="007B2FF6"/>
    <w:rsid w:val="007B3491"/>
    <w:rsid w:val="007B3684"/>
    <w:rsid w:val="007B3CAF"/>
    <w:rsid w:val="007B3F24"/>
    <w:rsid w:val="007B3F71"/>
    <w:rsid w:val="007B41D9"/>
    <w:rsid w:val="007B4480"/>
    <w:rsid w:val="007B47DE"/>
    <w:rsid w:val="007B48CC"/>
    <w:rsid w:val="007B4BA7"/>
    <w:rsid w:val="007B4EC9"/>
    <w:rsid w:val="007B4F73"/>
    <w:rsid w:val="007B5768"/>
    <w:rsid w:val="007B5869"/>
    <w:rsid w:val="007B5D36"/>
    <w:rsid w:val="007B5D4A"/>
    <w:rsid w:val="007B61D2"/>
    <w:rsid w:val="007B620C"/>
    <w:rsid w:val="007B63C7"/>
    <w:rsid w:val="007B65AA"/>
    <w:rsid w:val="007B6789"/>
    <w:rsid w:val="007B67F0"/>
    <w:rsid w:val="007B6D28"/>
    <w:rsid w:val="007B6F5D"/>
    <w:rsid w:val="007B6FC7"/>
    <w:rsid w:val="007B709A"/>
    <w:rsid w:val="007B70C7"/>
    <w:rsid w:val="007B71C0"/>
    <w:rsid w:val="007B71DB"/>
    <w:rsid w:val="007B725B"/>
    <w:rsid w:val="007B729A"/>
    <w:rsid w:val="007B7616"/>
    <w:rsid w:val="007B7C3B"/>
    <w:rsid w:val="007C097D"/>
    <w:rsid w:val="007C0E6A"/>
    <w:rsid w:val="007C0EE2"/>
    <w:rsid w:val="007C126D"/>
    <w:rsid w:val="007C1481"/>
    <w:rsid w:val="007C15D4"/>
    <w:rsid w:val="007C1793"/>
    <w:rsid w:val="007C1CE2"/>
    <w:rsid w:val="007C1D44"/>
    <w:rsid w:val="007C20D6"/>
    <w:rsid w:val="007C23FC"/>
    <w:rsid w:val="007C2864"/>
    <w:rsid w:val="007C2C9D"/>
    <w:rsid w:val="007C3623"/>
    <w:rsid w:val="007C3694"/>
    <w:rsid w:val="007C3BF8"/>
    <w:rsid w:val="007C3FE9"/>
    <w:rsid w:val="007C41B5"/>
    <w:rsid w:val="007C4341"/>
    <w:rsid w:val="007C4CA9"/>
    <w:rsid w:val="007C4D32"/>
    <w:rsid w:val="007C4EB1"/>
    <w:rsid w:val="007C501E"/>
    <w:rsid w:val="007C515C"/>
    <w:rsid w:val="007C52E2"/>
    <w:rsid w:val="007C533E"/>
    <w:rsid w:val="007C5509"/>
    <w:rsid w:val="007C5541"/>
    <w:rsid w:val="007C55CC"/>
    <w:rsid w:val="007C5A4B"/>
    <w:rsid w:val="007C5A7B"/>
    <w:rsid w:val="007C5CF2"/>
    <w:rsid w:val="007C6140"/>
    <w:rsid w:val="007C6209"/>
    <w:rsid w:val="007C647F"/>
    <w:rsid w:val="007C650B"/>
    <w:rsid w:val="007C73EC"/>
    <w:rsid w:val="007C7459"/>
    <w:rsid w:val="007C74E0"/>
    <w:rsid w:val="007C75BE"/>
    <w:rsid w:val="007C785C"/>
    <w:rsid w:val="007C7D8B"/>
    <w:rsid w:val="007D06D5"/>
    <w:rsid w:val="007D0912"/>
    <w:rsid w:val="007D0BF0"/>
    <w:rsid w:val="007D12CA"/>
    <w:rsid w:val="007D133B"/>
    <w:rsid w:val="007D14F6"/>
    <w:rsid w:val="007D18B7"/>
    <w:rsid w:val="007D1973"/>
    <w:rsid w:val="007D1C78"/>
    <w:rsid w:val="007D1DC6"/>
    <w:rsid w:val="007D21FF"/>
    <w:rsid w:val="007D2A39"/>
    <w:rsid w:val="007D2A3F"/>
    <w:rsid w:val="007D3514"/>
    <w:rsid w:val="007D3633"/>
    <w:rsid w:val="007D370C"/>
    <w:rsid w:val="007D3868"/>
    <w:rsid w:val="007D3A42"/>
    <w:rsid w:val="007D3ACC"/>
    <w:rsid w:val="007D3BA8"/>
    <w:rsid w:val="007D3CA3"/>
    <w:rsid w:val="007D3E3B"/>
    <w:rsid w:val="007D3E72"/>
    <w:rsid w:val="007D400E"/>
    <w:rsid w:val="007D4081"/>
    <w:rsid w:val="007D44C7"/>
    <w:rsid w:val="007D466B"/>
    <w:rsid w:val="007D47AF"/>
    <w:rsid w:val="007D48A5"/>
    <w:rsid w:val="007D49BB"/>
    <w:rsid w:val="007D49D0"/>
    <w:rsid w:val="007D4CC0"/>
    <w:rsid w:val="007D5025"/>
    <w:rsid w:val="007D50FD"/>
    <w:rsid w:val="007D5326"/>
    <w:rsid w:val="007D56B7"/>
    <w:rsid w:val="007D58B1"/>
    <w:rsid w:val="007D5B0B"/>
    <w:rsid w:val="007D5B44"/>
    <w:rsid w:val="007D5C55"/>
    <w:rsid w:val="007D5DAA"/>
    <w:rsid w:val="007D6159"/>
    <w:rsid w:val="007D64A5"/>
    <w:rsid w:val="007D66D5"/>
    <w:rsid w:val="007D70CA"/>
    <w:rsid w:val="007D79AE"/>
    <w:rsid w:val="007D7B54"/>
    <w:rsid w:val="007D7B95"/>
    <w:rsid w:val="007E011B"/>
    <w:rsid w:val="007E01A9"/>
    <w:rsid w:val="007E0497"/>
    <w:rsid w:val="007E0EDB"/>
    <w:rsid w:val="007E1219"/>
    <w:rsid w:val="007E13C2"/>
    <w:rsid w:val="007E1622"/>
    <w:rsid w:val="007E1738"/>
    <w:rsid w:val="007E1B2D"/>
    <w:rsid w:val="007E1D31"/>
    <w:rsid w:val="007E1FF7"/>
    <w:rsid w:val="007E214D"/>
    <w:rsid w:val="007E21CB"/>
    <w:rsid w:val="007E2663"/>
    <w:rsid w:val="007E2E50"/>
    <w:rsid w:val="007E300A"/>
    <w:rsid w:val="007E3630"/>
    <w:rsid w:val="007E3B9B"/>
    <w:rsid w:val="007E3F7C"/>
    <w:rsid w:val="007E445D"/>
    <w:rsid w:val="007E4901"/>
    <w:rsid w:val="007E4A1B"/>
    <w:rsid w:val="007E4F03"/>
    <w:rsid w:val="007E529B"/>
    <w:rsid w:val="007E5D86"/>
    <w:rsid w:val="007E6092"/>
    <w:rsid w:val="007E69E6"/>
    <w:rsid w:val="007E6ED2"/>
    <w:rsid w:val="007E6EDD"/>
    <w:rsid w:val="007E7597"/>
    <w:rsid w:val="007E7988"/>
    <w:rsid w:val="007E79CF"/>
    <w:rsid w:val="007E7A1D"/>
    <w:rsid w:val="007E7AAA"/>
    <w:rsid w:val="007E7E27"/>
    <w:rsid w:val="007F009C"/>
    <w:rsid w:val="007F0936"/>
    <w:rsid w:val="007F0ADD"/>
    <w:rsid w:val="007F0B77"/>
    <w:rsid w:val="007F0CD2"/>
    <w:rsid w:val="007F0EE0"/>
    <w:rsid w:val="007F156F"/>
    <w:rsid w:val="007F161B"/>
    <w:rsid w:val="007F16E2"/>
    <w:rsid w:val="007F17CF"/>
    <w:rsid w:val="007F1838"/>
    <w:rsid w:val="007F1BD9"/>
    <w:rsid w:val="007F1E13"/>
    <w:rsid w:val="007F2291"/>
    <w:rsid w:val="007F2367"/>
    <w:rsid w:val="007F25B1"/>
    <w:rsid w:val="007F2FF1"/>
    <w:rsid w:val="007F37D5"/>
    <w:rsid w:val="007F3913"/>
    <w:rsid w:val="007F3BD9"/>
    <w:rsid w:val="007F43BC"/>
    <w:rsid w:val="007F44E6"/>
    <w:rsid w:val="007F5698"/>
    <w:rsid w:val="007F56A4"/>
    <w:rsid w:val="007F5A25"/>
    <w:rsid w:val="007F5D20"/>
    <w:rsid w:val="007F5D9E"/>
    <w:rsid w:val="007F6705"/>
    <w:rsid w:val="007F685A"/>
    <w:rsid w:val="007F6A7F"/>
    <w:rsid w:val="007F70EA"/>
    <w:rsid w:val="007F72A6"/>
    <w:rsid w:val="007F734C"/>
    <w:rsid w:val="007F76E2"/>
    <w:rsid w:val="007F7887"/>
    <w:rsid w:val="007F7E2A"/>
    <w:rsid w:val="00800122"/>
    <w:rsid w:val="008006D4"/>
    <w:rsid w:val="008008D2"/>
    <w:rsid w:val="00800A88"/>
    <w:rsid w:val="00800C10"/>
    <w:rsid w:val="008010B7"/>
    <w:rsid w:val="00801407"/>
    <w:rsid w:val="008016F2"/>
    <w:rsid w:val="00801700"/>
    <w:rsid w:val="008018B3"/>
    <w:rsid w:val="0080191C"/>
    <w:rsid w:val="00801E05"/>
    <w:rsid w:val="00801E2B"/>
    <w:rsid w:val="00802107"/>
    <w:rsid w:val="008021AE"/>
    <w:rsid w:val="00802270"/>
    <w:rsid w:val="0080231B"/>
    <w:rsid w:val="00802695"/>
    <w:rsid w:val="00802923"/>
    <w:rsid w:val="00802CD1"/>
    <w:rsid w:val="00802F65"/>
    <w:rsid w:val="008031EE"/>
    <w:rsid w:val="0080369D"/>
    <w:rsid w:val="00803C33"/>
    <w:rsid w:val="008042BB"/>
    <w:rsid w:val="0080496E"/>
    <w:rsid w:val="00804AC4"/>
    <w:rsid w:val="008052B5"/>
    <w:rsid w:val="008055E3"/>
    <w:rsid w:val="00805621"/>
    <w:rsid w:val="00805B50"/>
    <w:rsid w:val="00805B73"/>
    <w:rsid w:val="008061EE"/>
    <w:rsid w:val="00806238"/>
    <w:rsid w:val="0080630F"/>
    <w:rsid w:val="0080636C"/>
    <w:rsid w:val="00806379"/>
    <w:rsid w:val="00806470"/>
    <w:rsid w:val="00806589"/>
    <w:rsid w:val="008065A1"/>
    <w:rsid w:val="00806624"/>
    <w:rsid w:val="00806736"/>
    <w:rsid w:val="008067B6"/>
    <w:rsid w:val="008069F7"/>
    <w:rsid w:val="00806A7A"/>
    <w:rsid w:val="00806F37"/>
    <w:rsid w:val="00807955"/>
    <w:rsid w:val="00807C22"/>
    <w:rsid w:val="00807DC8"/>
    <w:rsid w:val="00807EC7"/>
    <w:rsid w:val="00807EDF"/>
    <w:rsid w:val="0081052C"/>
    <w:rsid w:val="00810990"/>
    <w:rsid w:val="00810BD2"/>
    <w:rsid w:val="00810D50"/>
    <w:rsid w:val="00811834"/>
    <w:rsid w:val="00811CE2"/>
    <w:rsid w:val="008124B2"/>
    <w:rsid w:val="008127BC"/>
    <w:rsid w:val="00812E1F"/>
    <w:rsid w:val="00812E2A"/>
    <w:rsid w:val="00812F7D"/>
    <w:rsid w:val="00812FB0"/>
    <w:rsid w:val="00813045"/>
    <w:rsid w:val="008132D5"/>
    <w:rsid w:val="008133A7"/>
    <w:rsid w:val="00813792"/>
    <w:rsid w:val="00813D2A"/>
    <w:rsid w:val="00813F20"/>
    <w:rsid w:val="008141EE"/>
    <w:rsid w:val="00814851"/>
    <w:rsid w:val="00814B8F"/>
    <w:rsid w:val="0081530A"/>
    <w:rsid w:val="008157E7"/>
    <w:rsid w:val="008158F0"/>
    <w:rsid w:val="00815A0D"/>
    <w:rsid w:val="00815B19"/>
    <w:rsid w:val="00815B42"/>
    <w:rsid w:val="00815B7A"/>
    <w:rsid w:val="00815E72"/>
    <w:rsid w:val="00815FAA"/>
    <w:rsid w:val="0081600F"/>
    <w:rsid w:val="008164C4"/>
    <w:rsid w:val="0081650B"/>
    <w:rsid w:val="00816645"/>
    <w:rsid w:val="008167C6"/>
    <w:rsid w:val="00816A12"/>
    <w:rsid w:val="00816B26"/>
    <w:rsid w:val="0081712D"/>
    <w:rsid w:val="0081729B"/>
    <w:rsid w:val="008174B9"/>
    <w:rsid w:val="008178FC"/>
    <w:rsid w:val="008179B8"/>
    <w:rsid w:val="00817B42"/>
    <w:rsid w:val="00817B43"/>
    <w:rsid w:val="00817BAA"/>
    <w:rsid w:val="008201C9"/>
    <w:rsid w:val="008201EB"/>
    <w:rsid w:val="00820235"/>
    <w:rsid w:val="0082026F"/>
    <w:rsid w:val="00820386"/>
    <w:rsid w:val="0082038C"/>
    <w:rsid w:val="008204E0"/>
    <w:rsid w:val="0082082A"/>
    <w:rsid w:val="0082091C"/>
    <w:rsid w:val="00820BD6"/>
    <w:rsid w:val="00820E0C"/>
    <w:rsid w:val="00820E53"/>
    <w:rsid w:val="00820F97"/>
    <w:rsid w:val="008210DE"/>
    <w:rsid w:val="008212C9"/>
    <w:rsid w:val="0082141A"/>
    <w:rsid w:val="008214D8"/>
    <w:rsid w:val="008216D6"/>
    <w:rsid w:val="008218CE"/>
    <w:rsid w:val="0082198C"/>
    <w:rsid w:val="008219DE"/>
    <w:rsid w:val="0082247E"/>
    <w:rsid w:val="00822574"/>
    <w:rsid w:val="0082267F"/>
    <w:rsid w:val="00822A2B"/>
    <w:rsid w:val="00822BF1"/>
    <w:rsid w:val="00822E03"/>
    <w:rsid w:val="00822E96"/>
    <w:rsid w:val="00823581"/>
    <w:rsid w:val="008236D5"/>
    <w:rsid w:val="00823D89"/>
    <w:rsid w:val="00823DAD"/>
    <w:rsid w:val="00823F98"/>
    <w:rsid w:val="00823FA3"/>
    <w:rsid w:val="00824306"/>
    <w:rsid w:val="008243FC"/>
    <w:rsid w:val="00824CCA"/>
    <w:rsid w:val="00824E7D"/>
    <w:rsid w:val="008254FF"/>
    <w:rsid w:val="00825E33"/>
    <w:rsid w:val="00826209"/>
    <w:rsid w:val="00826253"/>
    <w:rsid w:val="00826404"/>
    <w:rsid w:val="0082671B"/>
    <w:rsid w:val="00826B27"/>
    <w:rsid w:val="00826E04"/>
    <w:rsid w:val="008276F2"/>
    <w:rsid w:val="0082777D"/>
    <w:rsid w:val="00827BC6"/>
    <w:rsid w:val="0083000D"/>
    <w:rsid w:val="00830013"/>
    <w:rsid w:val="0083018D"/>
    <w:rsid w:val="008306BF"/>
    <w:rsid w:val="008307B2"/>
    <w:rsid w:val="00830D9F"/>
    <w:rsid w:val="00830DC8"/>
    <w:rsid w:val="00831066"/>
    <w:rsid w:val="008312BB"/>
    <w:rsid w:val="00831589"/>
    <w:rsid w:val="00832171"/>
    <w:rsid w:val="008325F4"/>
    <w:rsid w:val="008331A0"/>
    <w:rsid w:val="008331AD"/>
    <w:rsid w:val="00833CD5"/>
    <w:rsid w:val="008341F2"/>
    <w:rsid w:val="00834231"/>
    <w:rsid w:val="0083456D"/>
    <w:rsid w:val="0083474D"/>
    <w:rsid w:val="008348D0"/>
    <w:rsid w:val="00834D36"/>
    <w:rsid w:val="00834DDA"/>
    <w:rsid w:val="00834ED3"/>
    <w:rsid w:val="00834F4B"/>
    <w:rsid w:val="00835498"/>
    <w:rsid w:val="008355E1"/>
    <w:rsid w:val="0083582B"/>
    <w:rsid w:val="00835A73"/>
    <w:rsid w:val="00835CF5"/>
    <w:rsid w:val="00835D1A"/>
    <w:rsid w:val="008361CE"/>
    <w:rsid w:val="00836627"/>
    <w:rsid w:val="00836651"/>
    <w:rsid w:val="0083676A"/>
    <w:rsid w:val="0083696D"/>
    <w:rsid w:val="00836A72"/>
    <w:rsid w:val="00836A86"/>
    <w:rsid w:val="00836C53"/>
    <w:rsid w:val="00837468"/>
    <w:rsid w:val="00837604"/>
    <w:rsid w:val="00837A74"/>
    <w:rsid w:val="00837EDC"/>
    <w:rsid w:val="0084071B"/>
    <w:rsid w:val="00840A57"/>
    <w:rsid w:val="00840CF1"/>
    <w:rsid w:val="00840F1B"/>
    <w:rsid w:val="00840F3E"/>
    <w:rsid w:val="0084102D"/>
    <w:rsid w:val="00841408"/>
    <w:rsid w:val="00841500"/>
    <w:rsid w:val="0084160B"/>
    <w:rsid w:val="008417B9"/>
    <w:rsid w:val="00841914"/>
    <w:rsid w:val="00841B9D"/>
    <w:rsid w:val="00842285"/>
    <w:rsid w:val="008427A2"/>
    <w:rsid w:val="008427FC"/>
    <w:rsid w:val="00842CA4"/>
    <w:rsid w:val="00842D8C"/>
    <w:rsid w:val="00842E13"/>
    <w:rsid w:val="0084300B"/>
    <w:rsid w:val="00843573"/>
    <w:rsid w:val="008438CF"/>
    <w:rsid w:val="00843913"/>
    <w:rsid w:val="00843B34"/>
    <w:rsid w:val="00843C65"/>
    <w:rsid w:val="00843E00"/>
    <w:rsid w:val="008441CD"/>
    <w:rsid w:val="00844713"/>
    <w:rsid w:val="00844C11"/>
    <w:rsid w:val="00845004"/>
    <w:rsid w:val="008453EB"/>
    <w:rsid w:val="008455AE"/>
    <w:rsid w:val="00845878"/>
    <w:rsid w:val="00845971"/>
    <w:rsid w:val="008459F1"/>
    <w:rsid w:val="00845B1B"/>
    <w:rsid w:val="00845E9F"/>
    <w:rsid w:val="00845FF1"/>
    <w:rsid w:val="008462F5"/>
    <w:rsid w:val="0084662B"/>
    <w:rsid w:val="0084699A"/>
    <w:rsid w:val="00847169"/>
    <w:rsid w:val="00847333"/>
    <w:rsid w:val="0084748D"/>
    <w:rsid w:val="00847974"/>
    <w:rsid w:val="00847CDE"/>
    <w:rsid w:val="0085030A"/>
    <w:rsid w:val="00850699"/>
    <w:rsid w:val="00850827"/>
    <w:rsid w:val="00850AD4"/>
    <w:rsid w:val="00850C5D"/>
    <w:rsid w:val="00850ED1"/>
    <w:rsid w:val="008510E9"/>
    <w:rsid w:val="0085153F"/>
    <w:rsid w:val="008517FF"/>
    <w:rsid w:val="00851E0E"/>
    <w:rsid w:val="00851E35"/>
    <w:rsid w:val="0085218F"/>
    <w:rsid w:val="0085244C"/>
    <w:rsid w:val="00852530"/>
    <w:rsid w:val="00852633"/>
    <w:rsid w:val="00852B5D"/>
    <w:rsid w:val="00852EDD"/>
    <w:rsid w:val="008530F6"/>
    <w:rsid w:val="00853479"/>
    <w:rsid w:val="00853814"/>
    <w:rsid w:val="008538BC"/>
    <w:rsid w:val="008538D9"/>
    <w:rsid w:val="0085391F"/>
    <w:rsid w:val="0085392F"/>
    <w:rsid w:val="0085423C"/>
    <w:rsid w:val="008548ED"/>
    <w:rsid w:val="00854E6C"/>
    <w:rsid w:val="00855430"/>
    <w:rsid w:val="0085547C"/>
    <w:rsid w:val="008554FF"/>
    <w:rsid w:val="0085570D"/>
    <w:rsid w:val="008558BE"/>
    <w:rsid w:val="00855A07"/>
    <w:rsid w:val="00855C97"/>
    <w:rsid w:val="00855D0D"/>
    <w:rsid w:val="00855DEA"/>
    <w:rsid w:val="00856206"/>
    <w:rsid w:val="00856626"/>
    <w:rsid w:val="00856986"/>
    <w:rsid w:val="008569BA"/>
    <w:rsid w:val="00856CD3"/>
    <w:rsid w:val="008571DA"/>
    <w:rsid w:val="00857B31"/>
    <w:rsid w:val="00857FAC"/>
    <w:rsid w:val="00857FDD"/>
    <w:rsid w:val="00860469"/>
    <w:rsid w:val="00860FD8"/>
    <w:rsid w:val="00861335"/>
    <w:rsid w:val="0086133E"/>
    <w:rsid w:val="00861692"/>
    <w:rsid w:val="00861A65"/>
    <w:rsid w:val="00861F6B"/>
    <w:rsid w:val="008622D7"/>
    <w:rsid w:val="00862373"/>
    <w:rsid w:val="00862435"/>
    <w:rsid w:val="00862540"/>
    <w:rsid w:val="0086288B"/>
    <w:rsid w:val="00862D43"/>
    <w:rsid w:val="00862FBA"/>
    <w:rsid w:val="008630BC"/>
    <w:rsid w:val="00863245"/>
    <w:rsid w:val="008634CA"/>
    <w:rsid w:val="00863513"/>
    <w:rsid w:val="008637F6"/>
    <w:rsid w:val="00863E5A"/>
    <w:rsid w:val="00863F92"/>
    <w:rsid w:val="00864045"/>
    <w:rsid w:val="00864383"/>
    <w:rsid w:val="008649E1"/>
    <w:rsid w:val="00864D72"/>
    <w:rsid w:val="00865835"/>
    <w:rsid w:val="0086676B"/>
    <w:rsid w:val="008669E5"/>
    <w:rsid w:val="0086732B"/>
    <w:rsid w:val="008674E7"/>
    <w:rsid w:val="00867612"/>
    <w:rsid w:val="00870019"/>
    <w:rsid w:val="00870074"/>
    <w:rsid w:val="00870904"/>
    <w:rsid w:val="00870A2C"/>
    <w:rsid w:val="00870BE5"/>
    <w:rsid w:val="00870EAB"/>
    <w:rsid w:val="008711F0"/>
    <w:rsid w:val="00871457"/>
    <w:rsid w:val="00871618"/>
    <w:rsid w:val="00871711"/>
    <w:rsid w:val="00872134"/>
    <w:rsid w:val="00872233"/>
    <w:rsid w:val="008722B9"/>
    <w:rsid w:val="0087270D"/>
    <w:rsid w:val="008729F7"/>
    <w:rsid w:val="00873153"/>
    <w:rsid w:val="00873388"/>
    <w:rsid w:val="0087353F"/>
    <w:rsid w:val="008735DB"/>
    <w:rsid w:val="00873BEE"/>
    <w:rsid w:val="0087441D"/>
    <w:rsid w:val="00874626"/>
    <w:rsid w:val="00874787"/>
    <w:rsid w:val="00874C10"/>
    <w:rsid w:val="00874C5C"/>
    <w:rsid w:val="00874D8F"/>
    <w:rsid w:val="00875544"/>
    <w:rsid w:val="008755D2"/>
    <w:rsid w:val="00875C1B"/>
    <w:rsid w:val="00875F31"/>
    <w:rsid w:val="008763C8"/>
    <w:rsid w:val="00876555"/>
    <w:rsid w:val="0087694B"/>
    <w:rsid w:val="0087776C"/>
    <w:rsid w:val="00877CA7"/>
    <w:rsid w:val="008801A0"/>
    <w:rsid w:val="008805EA"/>
    <w:rsid w:val="0088075A"/>
    <w:rsid w:val="00880873"/>
    <w:rsid w:val="00880881"/>
    <w:rsid w:val="00880A08"/>
    <w:rsid w:val="00880C2F"/>
    <w:rsid w:val="0088179F"/>
    <w:rsid w:val="00881C2C"/>
    <w:rsid w:val="00882D51"/>
    <w:rsid w:val="00882D8E"/>
    <w:rsid w:val="008830EB"/>
    <w:rsid w:val="00883287"/>
    <w:rsid w:val="008833C0"/>
    <w:rsid w:val="008835A5"/>
    <w:rsid w:val="0088368A"/>
    <w:rsid w:val="00883B4B"/>
    <w:rsid w:val="00883D8B"/>
    <w:rsid w:val="00884082"/>
    <w:rsid w:val="0088411E"/>
    <w:rsid w:val="008846A5"/>
    <w:rsid w:val="008849D8"/>
    <w:rsid w:val="00884D7E"/>
    <w:rsid w:val="00885087"/>
    <w:rsid w:val="00885232"/>
    <w:rsid w:val="0088524B"/>
    <w:rsid w:val="00885260"/>
    <w:rsid w:val="008854AE"/>
    <w:rsid w:val="00885A56"/>
    <w:rsid w:val="00885E38"/>
    <w:rsid w:val="00885F6F"/>
    <w:rsid w:val="00886333"/>
    <w:rsid w:val="00886454"/>
    <w:rsid w:val="00886853"/>
    <w:rsid w:val="008869E5"/>
    <w:rsid w:val="00886A35"/>
    <w:rsid w:val="00886CE2"/>
    <w:rsid w:val="00886E46"/>
    <w:rsid w:val="00886F0A"/>
    <w:rsid w:val="0088707D"/>
    <w:rsid w:val="0088714F"/>
    <w:rsid w:val="00887349"/>
    <w:rsid w:val="008876A4"/>
    <w:rsid w:val="008877B2"/>
    <w:rsid w:val="00887918"/>
    <w:rsid w:val="00887D28"/>
    <w:rsid w:val="00887DC7"/>
    <w:rsid w:val="00887F7C"/>
    <w:rsid w:val="008900C4"/>
    <w:rsid w:val="00890166"/>
    <w:rsid w:val="0089033F"/>
    <w:rsid w:val="00890659"/>
    <w:rsid w:val="00890727"/>
    <w:rsid w:val="00890979"/>
    <w:rsid w:val="008909C9"/>
    <w:rsid w:val="00890CDE"/>
    <w:rsid w:val="00890D20"/>
    <w:rsid w:val="00891083"/>
    <w:rsid w:val="0089115B"/>
    <w:rsid w:val="0089154C"/>
    <w:rsid w:val="008916D9"/>
    <w:rsid w:val="00891ABC"/>
    <w:rsid w:val="00891C1E"/>
    <w:rsid w:val="00891CAF"/>
    <w:rsid w:val="0089219E"/>
    <w:rsid w:val="00892581"/>
    <w:rsid w:val="00892C2D"/>
    <w:rsid w:val="00892CA1"/>
    <w:rsid w:val="00892E68"/>
    <w:rsid w:val="00892E8C"/>
    <w:rsid w:val="00892F1C"/>
    <w:rsid w:val="008937CD"/>
    <w:rsid w:val="00893A59"/>
    <w:rsid w:val="00893FB4"/>
    <w:rsid w:val="0089475C"/>
    <w:rsid w:val="00894B38"/>
    <w:rsid w:val="00894BE2"/>
    <w:rsid w:val="00895373"/>
    <w:rsid w:val="008953A0"/>
    <w:rsid w:val="008955B9"/>
    <w:rsid w:val="008955C3"/>
    <w:rsid w:val="008957CB"/>
    <w:rsid w:val="008957D9"/>
    <w:rsid w:val="00895B6C"/>
    <w:rsid w:val="00895CC7"/>
    <w:rsid w:val="008961C9"/>
    <w:rsid w:val="008964AD"/>
    <w:rsid w:val="00896831"/>
    <w:rsid w:val="00896B70"/>
    <w:rsid w:val="00896CF0"/>
    <w:rsid w:val="0089793A"/>
    <w:rsid w:val="00897A4D"/>
    <w:rsid w:val="00897B12"/>
    <w:rsid w:val="00897B66"/>
    <w:rsid w:val="00897CA6"/>
    <w:rsid w:val="008A028F"/>
    <w:rsid w:val="008A0F0A"/>
    <w:rsid w:val="008A1333"/>
    <w:rsid w:val="008A1E4A"/>
    <w:rsid w:val="008A1E89"/>
    <w:rsid w:val="008A20C5"/>
    <w:rsid w:val="008A2400"/>
    <w:rsid w:val="008A264B"/>
    <w:rsid w:val="008A2C06"/>
    <w:rsid w:val="008A2E10"/>
    <w:rsid w:val="008A370A"/>
    <w:rsid w:val="008A4000"/>
    <w:rsid w:val="008A473B"/>
    <w:rsid w:val="008A4B8E"/>
    <w:rsid w:val="008A4D3F"/>
    <w:rsid w:val="008A4F49"/>
    <w:rsid w:val="008A50B0"/>
    <w:rsid w:val="008A528C"/>
    <w:rsid w:val="008A549A"/>
    <w:rsid w:val="008A6331"/>
    <w:rsid w:val="008A6771"/>
    <w:rsid w:val="008A691B"/>
    <w:rsid w:val="008A6A52"/>
    <w:rsid w:val="008A6CE1"/>
    <w:rsid w:val="008A6D7A"/>
    <w:rsid w:val="008A6F1A"/>
    <w:rsid w:val="008A70C5"/>
    <w:rsid w:val="008A73A5"/>
    <w:rsid w:val="008A75EA"/>
    <w:rsid w:val="008A7910"/>
    <w:rsid w:val="008A7ACC"/>
    <w:rsid w:val="008A7F4D"/>
    <w:rsid w:val="008B0DCE"/>
    <w:rsid w:val="008B0E01"/>
    <w:rsid w:val="008B0E1B"/>
    <w:rsid w:val="008B0EA4"/>
    <w:rsid w:val="008B139B"/>
    <w:rsid w:val="008B270D"/>
    <w:rsid w:val="008B27F3"/>
    <w:rsid w:val="008B2A88"/>
    <w:rsid w:val="008B2E98"/>
    <w:rsid w:val="008B3030"/>
    <w:rsid w:val="008B34D5"/>
    <w:rsid w:val="008B3638"/>
    <w:rsid w:val="008B37CA"/>
    <w:rsid w:val="008B3842"/>
    <w:rsid w:val="008B38CD"/>
    <w:rsid w:val="008B3A7F"/>
    <w:rsid w:val="008B3D62"/>
    <w:rsid w:val="008B3F39"/>
    <w:rsid w:val="008B40DB"/>
    <w:rsid w:val="008B414B"/>
    <w:rsid w:val="008B43D5"/>
    <w:rsid w:val="008B497C"/>
    <w:rsid w:val="008B4CA6"/>
    <w:rsid w:val="008B4CF0"/>
    <w:rsid w:val="008B4D7B"/>
    <w:rsid w:val="008B4F19"/>
    <w:rsid w:val="008B5653"/>
    <w:rsid w:val="008B5785"/>
    <w:rsid w:val="008B6219"/>
    <w:rsid w:val="008B6292"/>
    <w:rsid w:val="008B6339"/>
    <w:rsid w:val="008B65B8"/>
    <w:rsid w:val="008B6623"/>
    <w:rsid w:val="008B66D2"/>
    <w:rsid w:val="008B66DB"/>
    <w:rsid w:val="008B6956"/>
    <w:rsid w:val="008B6D5A"/>
    <w:rsid w:val="008B76EA"/>
    <w:rsid w:val="008B7DE3"/>
    <w:rsid w:val="008C047C"/>
    <w:rsid w:val="008C077A"/>
    <w:rsid w:val="008C084F"/>
    <w:rsid w:val="008C176B"/>
    <w:rsid w:val="008C17D9"/>
    <w:rsid w:val="008C23E8"/>
    <w:rsid w:val="008C27EB"/>
    <w:rsid w:val="008C2B3F"/>
    <w:rsid w:val="008C2F00"/>
    <w:rsid w:val="008C31E8"/>
    <w:rsid w:val="008C3641"/>
    <w:rsid w:val="008C38C9"/>
    <w:rsid w:val="008C3BC0"/>
    <w:rsid w:val="008C3C6E"/>
    <w:rsid w:val="008C3CE2"/>
    <w:rsid w:val="008C3E2A"/>
    <w:rsid w:val="008C433C"/>
    <w:rsid w:val="008C4442"/>
    <w:rsid w:val="008C462B"/>
    <w:rsid w:val="008C4C1A"/>
    <w:rsid w:val="008C4EBB"/>
    <w:rsid w:val="008C52D9"/>
    <w:rsid w:val="008C5F4E"/>
    <w:rsid w:val="008C66F9"/>
    <w:rsid w:val="008C6827"/>
    <w:rsid w:val="008C6E78"/>
    <w:rsid w:val="008C7268"/>
    <w:rsid w:val="008C72CC"/>
    <w:rsid w:val="008C771F"/>
    <w:rsid w:val="008C7A35"/>
    <w:rsid w:val="008C7A89"/>
    <w:rsid w:val="008C7B7C"/>
    <w:rsid w:val="008C7F5A"/>
    <w:rsid w:val="008C7FE9"/>
    <w:rsid w:val="008D0138"/>
    <w:rsid w:val="008D0397"/>
    <w:rsid w:val="008D0D74"/>
    <w:rsid w:val="008D0E94"/>
    <w:rsid w:val="008D17EE"/>
    <w:rsid w:val="008D185A"/>
    <w:rsid w:val="008D1A3E"/>
    <w:rsid w:val="008D1A95"/>
    <w:rsid w:val="008D1E9C"/>
    <w:rsid w:val="008D2A6B"/>
    <w:rsid w:val="008D2B32"/>
    <w:rsid w:val="008D3032"/>
    <w:rsid w:val="008D32AB"/>
    <w:rsid w:val="008D3B0A"/>
    <w:rsid w:val="008D400D"/>
    <w:rsid w:val="008D42C0"/>
    <w:rsid w:val="008D431D"/>
    <w:rsid w:val="008D4379"/>
    <w:rsid w:val="008D43E9"/>
    <w:rsid w:val="008D4824"/>
    <w:rsid w:val="008D4AA2"/>
    <w:rsid w:val="008D4B30"/>
    <w:rsid w:val="008D4BA9"/>
    <w:rsid w:val="008D4DD0"/>
    <w:rsid w:val="008D4FF2"/>
    <w:rsid w:val="008D52DD"/>
    <w:rsid w:val="008D55E8"/>
    <w:rsid w:val="008D5830"/>
    <w:rsid w:val="008D5A71"/>
    <w:rsid w:val="008D5BE9"/>
    <w:rsid w:val="008D5D2F"/>
    <w:rsid w:val="008D5DF1"/>
    <w:rsid w:val="008D5EAF"/>
    <w:rsid w:val="008D5F0A"/>
    <w:rsid w:val="008D6070"/>
    <w:rsid w:val="008D61E2"/>
    <w:rsid w:val="008D67F1"/>
    <w:rsid w:val="008D6895"/>
    <w:rsid w:val="008D6BF6"/>
    <w:rsid w:val="008D6C31"/>
    <w:rsid w:val="008D6EA4"/>
    <w:rsid w:val="008D7218"/>
    <w:rsid w:val="008D73E7"/>
    <w:rsid w:val="008D77F9"/>
    <w:rsid w:val="008D7BAD"/>
    <w:rsid w:val="008D7CA5"/>
    <w:rsid w:val="008E00B7"/>
    <w:rsid w:val="008E0228"/>
    <w:rsid w:val="008E044C"/>
    <w:rsid w:val="008E069C"/>
    <w:rsid w:val="008E0A23"/>
    <w:rsid w:val="008E0AAC"/>
    <w:rsid w:val="008E0AF5"/>
    <w:rsid w:val="008E11F9"/>
    <w:rsid w:val="008E1343"/>
    <w:rsid w:val="008E16B5"/>
    <w:rsid w:val="008E16B8"/>
    <w:rsid w:val="008E180E"/>
    <w:rsid w:val="008E2108"/>
    <w:rsid w:val="008E232F"/>
    <w:rsid w:val="008E2545"/>
    <w:rsid w:val="008E27CD"/>
    <w:rsid w:val="008E2D5B"/>
    <w:rsid w:val="008E2F12"/>
    <w:rsid w:val="008E2FA2"/>
    <w:rsid w:val="008E3367"/>
    <w:rsid w:val="008E35BA"/>
    <w:rsid w:val="008E3759"/>
    <w:rsid w:val="008E394B"/>
    <w:rsid w:val="008E396F"/>
    <w:rsid w:val="008E3A66"/>
    <w:rsid w:val="008E3B87"/>
    <w:rsid w:val="008E3F0E"/>
    <w:rsid w:val="008E3FC3"/>
    <w:rsid w:val="008E3FE2"/>
    <w:rsid w:val="008E40D4"/>
    <w:rsid w:val="008E41EE"/>
    <w:rsid w:val="008E429D"/>
    <w:rsid w:val="008E4FBD"/>
    <w:rsid w:val="008E509B"/>
    <w:rsid w:val="008E5229"/>
    <w:rsid w:val="008E536B"/>
    <w:rsid w:val="008E554C"/>
    <w:rsid w:val="008E565C"/>
    <w:rsid w:val="008E5690"/>
    <w:rsid w:val="008E57DA"/>
    <w:rsid w:val="008E5C48"/>
    <w:rsid w:val="008E6151"/>
    <w:rsid w:val="008E6465"/>
    <w:rsid w:val="008E7024"/>
    <w:rsid w:val="008E7851"/>
    <w:rsid w:val="008E7974"/>
    <w:rsid w:val="008E7D93"/>
    <w:rsid w:val="008F0347"/>
    <w:rsid w:val="008F054C"/>
    <w:rsid w:val="008F05F9"/>
    <w:rsid w:val="008F0BEB"/>
    <w:rsid w:val="008F0D00"/>
    <w:rsid w:val="008F0E57"/>
    <w:rsid w:val="008F1279"/>
    <w:rsid w:val="008F19EC"/>
    <w:rsid w:val="008F19F3"/>
    <w:rsid w:val="008F1D54"/>
    <w:rsid w:val="008F1F3E"/>
    <w:rsid w:val="008F23C4"/>
    <w:rsid w:val="008F240E"/>
    <w:rsid w:val="008F254B"/>
    <w:rsid w:val="008F280D"/>
    <w:rsid w:val="008F2837"/>
    <w:rsid w:val="008F2FF7"/>
    <w:rsid w:val="008F3941"/>
    <w:rsid w:val="008F3A92"/>
    <w:rsid w:val="008F3C71"/>
    <w:rsid w:val="008F3D33"/>
    <w:rsid w:val="008F43E7"/>
    <w:rsid w:val="008F4861"/>
    <w:rsid w:val="008F4A33"/>
    <w:rsid w:val="008F4B20"/>
    <w:rsid w:val="008F4F8E"/>
    <w:rsid w:val="008F4FB8"/>
    <w:rsid w:val="008F5152"/>
    <w:rsid w:val="008F5170"/>
    <w:rsid w:val="008F524F"/>
    <w:rsid w:val="008F54AB"/>
    <w:rsid w:val="008F5508"/>
    <w:rsid w:val="008F5B93"/>
    <w:rsid w:val="008F6286"/>
    <w:rsid w:val="008F63E6"/>
    <w:rsid w:val="008F65D8"/>
    <w:rsid w:val="008F663B"/>
    <w:rsid w:val="008F66E6"/>
    <w:rsid w:val="008F6BCB"/>
    <w:rsid w:val="008F6C77"/>
    <w:rsid w:val="008F6CEA"/>
    <w:rsid w:val="008F6F83"/>
    <w:rsid w:val="008F6FE8"/>
    <w:rsid w:val="008F73BA"/>
    <w:rsid w:val="008F76BF"/>
    <w:rsid w:val="008F77DA"/>
    <w:rsid w:val="008F7BCC"/>
    <w:rsid w:val="008F7C66"/>
    <w:rsid w:val="008F7DF4"/>
    <w:rsid w:val="008F7FD1"/>
    <w:rsid w:val="00900194"/>
    <w:rsid w:val="00900A1E"/>
    <w:rsid w:val="00900D04"/>
    <w:rsid w:val="00900D96"/>
    <w:rsid w:val="00901520"/>
    <w:rsid w:val="00901B63"/>
    <w:rsid w:val="00902218"/>
    <w:rsid w:val="00902595"/>
    <w:rsid w:val="00902860"/>
    <w:rsid w:val="009028EB"/>
    <w:rsid w:val="00902D15"/>
    <w:rsid w:val="0090368C"/>
    <w:rsid w:val="00903759"/>
    <w:rsid w:val="00903ADB"/>
    <w:rsid w:val="00903C8D"/>
    <w:rsid w:val="00903F49"/>
    <w:rsid w:val="0090410D"/>
    <w:rsid w:val="0090412D"/>
    <w:rsid w:val="00904187"/>
    <w:rsid w:val="0090459E"/>
    <w:rsid w:val="009045F3"/>
    <w:rsid w:val="009049C4"/>
    <w:rsid w:val="00904B84"/>
    <w:rsid w:val="00904E12"/>
    <w:rsid w:val="009051AC"/>
    <w:rsid w:val="009052BE"/>
    <w:rsid w:val="00905614"/>
    <w:rsid w:val="00905CF4"/>
    <w:rsid w:val="0090649B"/>
    <w:rsid w:val="00906506"/>
    <w:rsid w:val="00906531"/>
    <w:rsid w:val="009066A2"/>
    <w:rsid w:val="00906799"/>
    <w:rsid w:val="00906C1A"/>
    <w:rsid w:val="00906DDB"/>
    <w:rsid w:val="0090748E"/>
    <w:rsid w:val="00907535"/>
    <w:rsid w:val="00907547"/>
    <w:rsid w:val="00907731"/>
    <w:rsid w:val="00907A94"/>
    <w:rsid w:val="00907F6B"/>
    <w:rsid w:val="00910008"/>
    <w:rsid w:val="00910460"/>
    <w:rsid w:val="009104F8"/>
    <w:rsid w:val="00911380"/>
    <w:rsid w:val="0091192D"/>
    <w:rsid w:val="00911A72"/>
    <w:rsid w:val="00911E71"/>
    <w:rsid w:val="009121E9"/>
    <w:rsid w:val="00912419"/>
    <w:rsid w:val="0091250A"/>
    <w:rsid w:val="009126A7"/>
    <w:rsid w:val="00912842"/>
    <w:rsid w:val="00912B5F"/>
    <w:rsid w:val="00912D7E"/>
    <w:rsid w:val="009131D4"/>
    <w:rsid w:val="009131E4"/>
    <w:rsid w:val="009131FE"/>
    <w:rsid w:val="0091367A"/>
    <w:rsid w:val="009138F6"/>
    <w:rsid w:val="00913ECC"/>
    <w:rsid w:val="0091417E"/>
    <w:rsid w:val="009146B1"/>
    <w:rsid w:val="00914AC2"/>
    <w:rsid w:val="009150ED"/>
    <w:rsid w:val="00915468"/>
    <w:rsid w:val="0091567C"/>
    <w:rsid w:val="009157A9"/>
    <w:rsid w:val="00915FBB"/>
    <w:rsid w:val="009164C2"/>
    <w:rsid w:val="00916D6E"/>
    <w:rsid w:val="00916F1C"/>
    <w:rsid w:val="009172B3"/>
    <w:rsid w:val="0091768A"/>
    <w:rsid w:val="00917746"/>
    <w:rsid w:val="0091776E"/>
    <w:rsid w:val="00917868"/>
    <w:rsid w:val="0092029A"/>
    <w:rsid w:val="00920464"/>
    <w:rsid w:val="00921454"/>
    <w:rsid w:val="009216FF"/>
    <w:rsid w:val="00921A92"/>
    <w:rsid w:val="00922018"/>
    <w:rsid w:val="0092212F"/>
    <w:rsid w:val="009222EC"/>
    <w:rsid w:val="0092277D"/>
    <w:rsid w:val="009227BA"/>
    <w:rsid w:val="00922F59"/>
    <w:rsid w:val="00923D23"/>
    <w:rsid w:val="0092427F"/>
    <w:rsid w:val="00924343"/>
    <w:rsid w:val="009244A9"/>
    <w:rsid w:val="00925B87"/>
    <w:rsid w:val="00925ED3"/>
    <w:rsid w:val="00926799"/>
    <w:rsid w:val="00926AE6"/>
    <w:rsid w:val="00926D8D"/>
    <w:rsid w:val="00927006"/>
    <w:rsid w:val="00927027"/>
    <w:rsid w:val="009271B4"/>
    <w:rsid w:val="0092724D"/>
    <w:rsid w:val="0092736E"/>
    <w:rsid w:val="00927E30"/>
    <w:rsid w:val="00927F99"/>
    <w:rsid w:val="00927FC7"/>
    <w:rsid w:val="00930D6B"/>
    <w:rsid w:val="00930DFC"/>
    <w:rsid w:val="009319BE"/>
    <w:rsid w:val="00931D96"/>
    <w:rsid w:val="00932664"/>
    <w:rsid w:val="0093284C"/>
    <w:rsid w:val="00932DDB"/>
    <w:rsid w:val="0093314D"/>
    <w:rsid w:val="00933332"/>
    <w:rsid w:val="009334BD"/>
    <w:rsid w:val="00933C3E"/>
    <w:rsid w:val="00934009"/>
    <w:rsid w:val="0093489F"/>
    <w:rsid w:val="009348C9"/>
    <w:rsid w:val="00934934"/>
    <w:rsid w:val="00934BA5"/>
    <w:rsid w:val="00935394"/>
    <w:rsid w:val="00935976"/>
    <w:rsid w:val="00935C43"/>
    <w:rsid w:val="00936CD1"/>
    <w:rsid w:val="0093727C"/>
    <w:rsid w:val="00937339"/>
    <w:rsid w:val="0093741B"/>
    <w:rsid w:val="00937719"/>
    <w:rsid w:val="00937C5A"/>
    <w:rsid w:val="00937D0B"/>
    <w:rsid w:val="00940180"/>
    <w:rsid w:val="0094083C"/>
    <w:rsid w:val="00940924"/>
    <w:rsid w:val="0094111E"/>
    <w:rsid w:val="009413ED"/>
    <w:rsid w:val="009414E5"/>
    <w:rsid w:val="009417C4"/>
    <w:rsid w:val="00941CE5"/>
    <w:rsid w:val="00941F79"/>
    <w:rsid w:val="0094204F"/>
    <w:rsid w:val="009427CF"/>
    <w:rsid w:val="00942933"/>
    <w:rsid w:val="00942B11"/>
    <w:rsid w:val="00942FF7"/>
    <w:rsid w:val="0094318C"/>
    <w:rsid w:val="00943C1D"/>
    <w:rsid w:val="00943DC7"/>
    <w:rsid w:val="00943E0F"/>
    <w:rsid w:val="00943F73"/>
    <w:rsid w:val="009447F3"/>
    <w:rsid w:val="0094490D"/>
    <w:rsid w:val="009449AB"/>
    <w:rsid w:val="00945026"/>
    <w:rsid w:val="00945126"/>
    <w:rsid w:val="00945811"/>
    <w:rsid w:val="009459B2"/>
    <w:rsid w:val="00945C0E"/>
    <w:rsid w:val="00945C5D"/>
    <w:rsid w:val="00945D9C"/>
    <w:rsid w:val="009462E1"/>
    <w:rsid w:val="009462EF"/>
    <w:rsid w:val="00946341"/>
    <w:rsid w:val="0094666D"/>
    <w:rsid w:val="00946911"/>
    <w:rsid w:val="009469F2"/>
    <w:rsid w:val="00946A08"/>
    <w:rsid w:val="00946E50"/>
    <w:rsid w:val="00947033"/>
    <w:rsid w:val="009470CC"/>
    <w:rsid w:val="00947BB1"/>
    <w:rsid w:val="00947BB8"/>
    <w:rsid w:val="00947FEB"/>
    <w:rsid w:val="00947FF4"/>
    <w:rsid w:val="00950018"/>
    <w:rsid w:val="00950326"/>
    <w:rsid w:val="0095058C"/>
    <w:rsid w:val="009508EF"/>
    <w:rsid w:val="00950EB8"/>
    <w:rsid w:val="00950F4E"/>
    <w:rsid w:val="009516BC"/>
    <w:rsid w:val="00951855"/>
    <w:rsid w:val="009518CC"/>
    <w:rsid w:val="00951C18"/>
    <w:rsid w:val="00951FEB"/>
    <w:rsid w:val="0095216B"/>
    <w:rsid w:val="00952199"/>
    <w:rsid w:val="0095288D"/>
    <w:rsid w:val="00952A13"/>
    <w:rsid w:val="0095313A"/>
    <w:rsid w:val="009532A9"/>
    <w:rsid w:val="00953420"/>
    <w:rsid w:val="009536B2"/>
    <w:rsid w:val="00953B01"/>
    <w:rsid w:val="00953CBB"/>
    <w:rsid w:val="009544C4"/>
    <w:rsid w:val="009545CC"/>
    <w:rsid w:val="009546BA"/>
    <w:rsid w:val="009547AA"/>
    <w:rsid w:val="009549F8"/>
    <w:rsid w:val="00954E4F"/>
    <w:rsid w:val="00955387"/>
    <w:rsid w:val="0095553D"/>
    <w:rsid w:val="00955798"/>
    <w:rsid w:val="00955A9A"/>
    <w:rsid w:val="00955AC1"/>
    <w:rsid w:val="00955C39"/>
    <w:rsid w:val="00955C78"/>
    <w:rsid w:val="00955D33"/>
    <w:rsid w:val="00955F29"/>
    <w:rsid w:val="009561AF"/>
    <w:rsid w:val="00956679"/>
    <w:rsid w:val="00956720"/>
    <w:rsid w:val="00956B9C"/>
    <w:rsid w:val="0095711C"/>
    <w:rsid w:val="0095747F"/>
    <w:rsid w:val="00957CCB"/>
    <w:rsid w:val="00957DFA"/>
    <w:rsid w:val="0096017D"/>
    <w:rsid w:val="009603B4"/>
    <w:rsid w:val="009603E3"/>
    <w:rsid w:val="00960464"/>
    <w:rsid w:val="00960567"/>
    <w:rsid w:val="009605B4"/>
    <w:rsid w:val="009605E4"/>
    <w:rsid w:val="0096070C"/>
    <w:rsid w:val="009608FE"/>
    <w:rsid w:val="00960A88"/>
    <w:rsid w:val="009612D2"/>
    <w:rsid w:val="009617F1"/>
    <w:rsid w:val="0096188A"/>
    <w:rsid w:val="00961A77"/>
    <w:rsid w:val="00961BB8"/>
    <w:rsid w:val="00962198"/>
    <w:rsid w:val="009629D2"/>
    <w:rsid w:val="00962BF8"/>
    <w:rsid w:val="009630FA"/>
    <w:rsid w:val="00963289"/>
    <w:rsid w:val="00963503"/>
    <w:rsid w:val="00964046"/>
    <w:rsid w:val="00964515"/>
    <w:rsid w:val="009647A8"/>
    <w:rsid w:val="0096497F"/>
    <w:rsid w:val="00964DB7"/>
    <w:rsid w:val="009654DE"/>
    <w:rsid w:val="009658C4"/>
    <w:rsid w:val="0096597A"/>
    <w:rsid w:val="009659E2"/>
    <w:rsid w:val="00965AF9"/>
    <w:rsid w:val="00965C6C"/>
    <w:rsid w:val="00965E46"/>
    <w:rsid w:val="009663D3"/>
    <w:rsid w:val="00966601"/>
    <w:rsid w:val="009669EA"/>
    <w:rsid w:val="00966FB4"/>
    <w:rsid w:val="00967234"/>
    <w:rsid w:val="00967400"/>
    <w:rsid w:val="0096741C"/>
    <w:rsid w:val="009677D8"/>
    <w:rsid w:val="009679BF"/>
    <w:rsid w:val="0097017A"/>
    <w:rsid w:val="00970475"/>
    <w:rsid w:val="009707D0"/>
    <w:rsid w:val="00970DAF"/>
    <w:rsid w:val="00970ECD"/>
    <w:rsid w:val="0097111A"/>
    <w:rsid w:val="00971174"/>
    <w:rsid w:val="00971FFC"/>
    <w:rsid w:val="00972311"/>
    <w:rsid w:val="009725D5"/>
    <w:rsid w:val="00972969"/>
    <w:rsid w:val="00972EBD"/>
    <w:rsid w:val="0097375C"/>
    <w:rsid w:val="00973960"/>
    <w:rsid w:val="00973B43"/>
    <w:rsid w:val="009740B3"/>
    <w:rsid w:val="00974157"/>
    <w:rsid w:val="0097434E"/>
    <w:rsid w:val="009745BA"/>
    <w:rsid w:val="00974845"/>
    <w:rsid w:val="00974902"/>
    <w:rsid w:val="00974BFE"/>
    <w:rsid w:val="00974C94"/>
    <w:rsid w:val="00975009"/>
    <w:rsid w:val="009754FE"/>
    <w:rsid w:val="00975CE7"/>
    <w:rsid w:val="00976034"/>
    <w:rsid w:val="009762A7"/>
    <w:rsid w:val="00976434"/>
    <w:rsid w:val="00976643"/>
    <w:rsid w:val="009768DD"/>
    <w:rsid w:val="009769D2"/>
    <w:rsid w:val="00976C1C"/>
    <w:rsid w:val="00976D1D"/>
    <w:rsid w:val="00976E52"/>
    <w:rsid w:val="00976F16"/>
    <w:rsid w:val="009773FA"/>
    <w:rsid w:val="00977502"/>
    <w:rsid w:val="0097772F"/>
    <w:rsid w:val="00977A4E"/>
    <w:rsid w:val="009801EB"/>
    <w:rsid w:val="0098030F"/>
    <w:rsid w:val="009804D5"/>
    <w:rsid w:val="009805E3"/>
    <w:rsid w:val="00980743"/>
    <w:rsid w:val="0098093D"/>
    <w:rsid w:val="00980EA8"/>
    <w:rsid w:val="00980F51"/>
    <w:rsid w:val="009812E8"/>
    <w:rsid w:val="0098149D"/>
    <w:rsid w:val="009815CE"/>
    <w:rsid w:val="00981736"/>
    <w:rsid w:val="00982000"/>
    <w:rsid w:val="0098207A"/>
    <w:rsid w:val="00982142"/>
    <w:rsid w:val="009821A7"/>
    <w:rsid w:val="0098226C"/>
    <w:rsid w:val="00982557"/>
    <w:rsid w:val="00982751"/>
    <w:rsid w:val="00982B13"/>
    <w:rsid w:val="00983047"/>
    <w:rsid w:val="00983322"/>
    <w:rsid w:val="00983872"/>
    <w:rsid w:val="00983DFD"/>
    <w:rsid w:val="00984279"/>
    <w:rsid w:val="0098435E"/>
    <w:rsid w:val="00984711"/>
    <w:rsid w:val="0098491C"/>
    <w:rsid w:val="009849A0"/>
    <w:rsid w:val="00985158"/>
    <w:rsid w:val="00985345"/>
    <w:rsid w:val="009855BB"/>
    <w:rsid w:val="009857BF"/>
    <w:rsid w:val="009859A4"/>
    <w:rsid w:val="00985AE5"/>
    <w:rsid w:val="00985C20"/>
    <w:rsid w:val="00985F39"/>
    <w:rsid w:val="0098635F"/>
    <w:rsid w:val="0098689C"/>
    <w:rsid w:val="009869F5"/>
    <w:rsid w:val="00986B55"/>
    <w:rsid w:val="00986BAC"/>
    <w:rsid w:val="00986BC9"/>
    <w:rsid w:val="00986C11"/>
    <w:rsid w:val="00986E34"/>
    <w:rsid w:val="00987435"/>
    <w:rsid w:val="0098765E"/>
    <w:rsid w:val="009878B6"/>
    <w:rsid w:val="00987F4E"/>
    <w:rsid w:val="00990A3C"/>
    <w:rsid w:val="00990BE5"/>
    <w:rsid w:val="00990DEA"/>
    <w:rsid w:val="00990F5C"/>
    <w:rsid w:val="009910EC"/>
    <w:rsid w:val="00991275"/>
    <w:rsid w:val="00991719"/>
    <w:rsid w:val="00991E4D"/>
    <w:rsid w:val="00991FA0"/>
    <w:rsid w:val="00992072"/>
    <w:rsid w:val="009920E8"/>
    <w:rsid w:val="00992AA5"/>
    <w:rsid w:val="00992C9E"/>
    <w:rsid w:val="00992E8E"/>
    <w:rsid w:val="00992F57"/>
    <w:rsid w:val="009931C6"/>
    <w:rsid w:val="009932F1"/>
    <w:rsid w:val="009937A9"/>
    <w:rsid w:val="009937C5"/>
    <w:rsid w:val="00993812"/>
    <w:rsid w:val="00993996"/>
    <w:rsid w:val="00993A09"/>
    <w:rsid w:val="00993E84"/>
    <w:rsid w:val="00993ED5"/>
    <w:rsid w:val="00994061"/>
    <w:rsid w:val="00994103"/>
    <w:rsid w:val="009943F8"/>
    <w:rsid w:val="00994968"/>
    <w:rsid w:val="00994B48"/>
    <w:rsid w:val="00994ECB"/>
    <w:rsid w:val="00994EE2"/>
    <w:rsid w:val="00994FE0"/>
    <w:rsid w:val="00995885"/>
    <w:rsid w:val="00995D0D"/>
    <w:rsid w:val="00995D78"/>
    <w:rsid w:val="00995D8D"/>
    <w:rsid w:val="00996133"/>
    <w:rsid w:val="0099617E"/>
    <w:rsid w:val="00996A56"/>
    <w:rsid w:val="00996AA5"/>
    <w:rsid w:val="00996C99"/>
    <w:rsid w:val="00996E82"/>
    <w:rsid w:val="0099738F"/>
    <w:rsid w:val="00997535"/>
    <w:rsid w:val="00997D76"/>
    <w:rsid w:val="009A0387"/>
    <w:rsid w:val="009A03D4"/>
    <w:rsid w:val="009A0555"/>
    <w:rsid w:val="009A070C"/>
    <w:rsid w:val="009A072F"/>
    <w:rsid w:val="009A0D1C"/>
    <w:rsid w:val="009A1438"/>
    <w:rsid w:val="009A148F"/>
    <w:rsid w:val="009A1602"/>
    <w:rsid w:val="009A20A0"/>
    <w:rsid w:val="009A20B3"/>
    <w:rsid w:val="009A243B"/>
    <w:rsid w:val="009A2AA8"/>
    <w:rsid w:val="009A2AFD"/>
    <w:rsid w:val="009A2CB2"/>
    <w:rsid w:val="009A2DC2"/>
    <w:rsid w:val="009A39E1"/>
    <w:rsid w:val="009A43E6"/>
    <w:rsid w:val="009A4728"/>
    <w:rsid w:val="009A4802"/>
    <w:rsid w:val="009A4CF3"/>
    <w:rsid w:val="009A4E50"/>
    <w:rsid w:val="009A506F"/>
    <w:rsid w:val="009A5AEB"/>
    <w:rsid w:val="009A60EE"/>
    <w:rsid w:val="009A644A"/>
    <w:rsid w:val="009A651C"/>
    <w:rsid w:val="009A6784"/>
    <w:rsid w:val="009A684C"/>
    <w:rsid w:val="009A6A6C"/>
    <w:rsid w:val="009A6ABC"/>
    <w:rsid w:val="009A6AC1"/>
    <w:rsid w:val="009A6AED"/>
    <w:rsid w:val="009A6B63"/>
    <w:rsid w:val="009A6F11"/>
    <w:rsid w:val="009A70C1"/>
    <w:rsid w:val="009A7227"/>
    <w:rsid w:val="009A7591"/>
    <w:rsid w:val="009A764B"/>
    <w:rsid w:val="009A768F"/>
    <w:rsid w:val="009A7B4A"/>
    <w:rsid w:val="009B059D"/>
    <w:rsid w:val="009B0697"/>
    <w:rsid w:val="009B07D5"/>
    <w:rsid w:val="009B127B"/>
    <w:rsid w:val="009B18D0"/>
    <w:rsid w:val="009B1976"/>
    <w:rsid w:val="009B1A42"/>
    <w:rsid w:val="009B1C85"/>
    <w:rsid w:val="009B1E76"/>
    <w:rsid w:val="009B1F0E"/>
    <w:rsid w:val="009B25F0"/>
    <w:rsid w:val="009B2681"/>
    <w:rsid w:val="009B26BC"/>
    <w:rsid w:val="009B2AB3"/>
    <w:rsid w:val="009B2C88"/>
    <w:rsid w:val="009B2FAB"/>
    <w:rsid w:val="009B336D"/>
    <w:rsid w:val="009B370C"/>
    <w:rsid w:val="009B3BF7"/>
    <w:rsid w:val="009B3F0E"/>
    <w:rsid w:val="009B41F8"/>
    <w:rsid w:val="009B42B4"/>
    <w:rsid w:val="009B4907"/>
    <w:rsid w:val="009B4E1B"/>
    <w:rsid w:val="009B51A4"/>
    <w:rsid w:val="009B5256"/>
    <w:rsid w:val="009B542E"/>
    <w:rsid w:val="009B570B"/>
    <w:rsid w:val="009B5734"/>
    <w:rsid w:val="009B57BE"/>
    <w:rsid w:val="009B5869"/>
    <w:rsid w:val="009B58D1"/>
    <w:rsid w:val="009B5CFB"/>
    <w:rsid w:val="009B63F2"/>
    <w:rsid w:val="009B644A"/>
    <w:rsid w:val="009B67A7"/>
    <w:rsid w:val="009B6B41"/>
    <w:rsid w:val="009B6D7F"/>
    <w:rsid w:val="009B6F41"/>
    <w:rsid w:val="009B7254"/>
    <w:rsid w:val="009B793C"/>
    <w:rsid w:val="009B7A04"/>
    <w:rsid w:val="009B7FC2"/>
    <w:rsid w:val="009C0010"/>
    <w:rsid w:val="009C00E9"/>
    <w:rsid w:val="009C03DB"/>
    <w:rsid w:val="009C04A2"/>
    <w:rsid w:val="009C05B8"/>
    <w:rsid w:val="009C08F4"/>
    <w:rsid w:val="009C1CD3"/>
    <w:rsid w:val="009C20F4"/>
    <w:rsid w:val="009C24C0"/>
    <w:rsid w:val="009C2738"/>
    <w:rsid w:val="009C28D1"/>
    <w:rsid w:val="009C28D9"/>
    <w:rsid w:val="009C2962"/>
    <w:rsid w:val="009C2CDB"/>
    <w:rsid w:val="009C3692"/>
    <w:rsid w:val="009C3DD2"/>
    <w:rsid w:val="009C47F3"/>
    <w:rsid w:val="009C4A01"/>
    <w:rsid w:val="009C4B3D"/>
    <w:rsid w:val="009C5010"/>
    <w:rsid w:val="009C5213"/>
    <w:rsid w:val="009C5315"/>
    <w:rsid w:val="009C5419"/>
    <w:rsid w:val="009C57F8"/>
    <w:rsid w:val="009C6102"/>
    <w:rsid w:val="009C6886"/>
    <w:rsid w:val="009C6B61"/>
    <w:rsid w:val="009C6F60"/>
    <w:rsid w:val="009C7632"/>
    <w:rsid w:val="009C7859"/>
    <w:rsid w:val="009C7881"/>
    <w:rsid w:val="009C79E4"/>
    <w:rsid w:val="009C7B4B"/>
    <w:rsid w:val="009C7B93"/>
    <w:rsid w:val="009C7DD0"/>
    <w:rsid w:val="009D0028"/>
    <w:rsid w:val="009D0483"/>
    <w:rsid w:val="009D0A9F"/>
    <w:rsid w:val="009D0AB4"/>
    <w:rsid w:val="009D105B"/>
    <w:rsid w:val="009D2155"/>
    <w:rsid w:val="009D27D9"/>
    <w:rsid w:val="009D27DA"/>
    <w:rsid w:val="009D2BEB"/>
    <w:rsid w:val="009D2ED8"/>
    <w:rsid w:val="009D31A0"/>
    <w:rsid w:val="009D34D2"/>
    <w:rsid w:val="009D3852"/>
    <w:rsid w:val="009D38CF"/>
    <w:rsid w:val="009D3C85"/>
    <w:rsid w:val="009D3E31"/>
    <w:rsid w:val="009D415F"/>
    <w:rsid w:val="009D4248"/>
    <w:rsid w:val="009D436E"/>
    <w:rsid w:val="009D45F3"/>
    <w:rsid w:val="009D4FE8"/>
    <w:rsid w:val="009D5D75"/>
    <w:rsid w:val="009D5DB7"/>
    <w:rsid w:val="009D5DBF"/>
    <w:rsid w:val="009D641C"/>
    <w:rsid w:val="009D663A"/>
    <w:rsid w:val="009D6677"/>
    <w:rsid w:val="009D6775"/>
    <w:rsid w:val="009D6A2D"/>
    <w:rsid w:val="009D72A3"/>
    <w:rsid w:val="009D73F4"/>
    <w:rsid w:val="009D74FE"/>
    <w:rsid w:val="009D7673"/>
    <w:rsid w:val="009D7C49"/>
    <w:rsid w:val="009D7D02"/>
    <w:rsid w:val="009D7D81"/>
    <w:rsid w:val="009E08FE"/>
    <w:rsid w:val="009E0955"/>
    <w:rsid w:val="009E0A6A"/>
    <w:rsid w:val="009E0C46"/>
    <w:rsid w:val="009E0CA6"/>
    <w:rsid w:val="009E0E8A"/>
    <w:rsid w:val="009E106C"/>
    <w:rsid w:val="009E10E8"/>
    <w:rsid w:val="009E11BB"/>
    <w:rsid w:val="009E12E3"/>
    <w:rsid w:val="009E16E1"/>
    <w:rsid w:val="009E1717"/>
    <w:rsid w:val="009E17EF"/>
    <w:rsid w:val="009E1CE2"/>
    <w:rsid w:val="009E1D7C"/>
    <w:rsid w:val="009E2058"/>
    <w:rsid w:val="009E29F7"/>
    <w:rsid w:val="009E2EE4"/>
    <w:rsid w:val="009E30BD"/>
    <w:rsid w:val="009E32C7"/>
    <w:rsid w:val="009E3456"/>
    <w:rsid w:val="009E36A0"/>
    <w:rsid w:val="009E36CA"/>
    <w:rsid w:val="009E3A40"/>
    <w:rsid w:val="009E3BEC"/>
    <w:rsid w:val="009E412E"/>
    <w:rsid w:val="009E448C"/>
    <w:rsid w:val="009E449B"/>
    <w:rsid w:val="009E457A"/>
    <w:rsid w:val="009E45D4"/>
    <w:rsid w:val="009E4756"/>
    <w:rsid w:val="009E47EF"/>
    <w:rsid w:val="009E49D8"/>
    <w:rsid w:val="009E4C93"/>
    <w:rsid w:val="009E4D28"/>
    <w:rsid w:val="009E4E0D"/>
    <w:rsid w:val="009E4FAF"/>
    <w:rsid w:val="009E508F"/>
    <w:rsid w:val="009E5935"/>
    <w:rsid w:val="009E5D4B"/>
    <w:rsid w:val="009E65BD"/>
    <w:rsid w:val="009E6967"/>
    <w:rsid w:val="009E7508"/>
    <w:rsid w:val="009E756E"/>
    <w:rsid w:val="009E7591"/>
    <w:rsid w:val="009E7725"/>
    <w:rsid w:val="009E79A9"/>
    <w:rsid w:val="009E7AE8"/>
    <w:rsid w:val="009E7C3A"/>
    <w:rsid w:val="009F00A7"/>
    <w:rsid w:val="009F0678"/>
    <w:rsid w:val="009F07FD"/>
    <w:rsid w:val="009F1094"/>
    <w:rsid w:val="009F1173"/>
    <w:rsid w:val="009F143E"/>
    <w:rsid w:val="009F1645"/>
    <w:rsid w:val="009F1CD7"/>
    <w:rsid w:val="009F2435"/>
    <w:rsid w:val="009F2CA2"/>
    <w:rsid w:val="009F3157"/>
    <w:rsid w:val="009F327D"/>
    <w:rsid w:val="009F3372"/>
    <w:rsid w:val="009F3910"/>
    <w:rsid w:val="009F3C05"/>
    <w:rsid w:val="009F3FD7"/>
    <w:rsid w:val="009F4098"/>
    <w:rsid w:val="009F42AE"/>
    <w:rsid w:val="009F4381"/>
    <w:rsid w:val="009F43EB"/>
    <w:rsid w:val="009F4482"/>
    <w:rsid w:val="009F45E0"/>
    <w:rsid w:val="009F46CE"/>
    <w:rsid w:val="009F513E"/>
    <w:rsid w:val="009F54CD"/>
    <w:rsid w:val="009F58F5"/>
    <w:rsid w:val="009F601F"/>
    <w:rsid w:val="009F664A"/>
    <w:rsid w:val="009F6A25"/>
    <w:rsid w:val="009F6C10"/>
    <w:rsid w:val="009F6FB1"/>
    <w:rsid w:val="009F71C1"/>
    <w:rsid w:val="009F73FD"/>
    <w:rsid w:val="009F79C7"/>
    <w:rsid w:val="009F79CB"/>
    <w:rsid w:val="009F7E4C"/>
    <w:rsid w:val="009F7FDE"/>
    <w:rsid w:val="00A00509"/>
    <w:rsid w:val="00A0076F"/>
    <w:rsid w:val="00A00964"/>
    <w:rsid w:val="00A00AAE"/>
    <w:rsid w:val="00A00C6E"/>
    <w:rsid w:val="00A01728"/>
    <w:rsid w:val="00A01A71"/>
    <w:rsid w:val="00A01B6B"/>
    <w:rsid w:val="00A01C31"/>
    <w:rsid w:val="00A01F0B"/>
    <w:rsid w:val="00A02250"/>
    <w:rsid w:val="00A026DB"/>
    <w:rsid w:val="00A02AC7"/>
    <w:rsid w:val="00A03841"/>
    <w:rsid w:val="00A0397B"/>
    <w:rsid w:val="00A03E3F"/>
    <w:rsid w:val="00A0403F"/>
    <w:rsid w:val="00A04292"/>
    <w:rsid w:val="00A042E0"/>
    <w:rsid w:val="00A043F5"/>
    <w:rsid w:val="00A04663"/>
    <w:rsid w:val="00A04BA3"/>
    <w:rsid w:val="00A04E0B"/>
    <w:rsid w:val="00A050B9"/>
    <w:rsid w:val="00A05179"/>
    <w:rsid w:val="00A05666"/>
    <w:rsid w:val="00A0598F"/>
    <w:rsid w:val="00A05D1C"/>
    <w:rsid w:val="00A05DD0"/>
    <w:rsid w:val="00A05EC6"/>
    <w:rsid w:val="00A060FC"/>
    <w:rsid w:val="00A062A3"/>
    <w:rsid w:val="00A066AC"/>
    <w:rsid w:val="00A0670D"/>
    <w:rsid w:val="00A067A1"/>
    <w:rsid w:val="00A06A43"/>
    <w:rsid w:val="00A06BA7"/>
    <w:rsid w:val="00A06C56"/>
    <w:rsid w:val="00A06D64"/>
    <w:rsid w:val="00A06ED3"/>
    <w:rsid w:val="00A07390"/>
    <w:rsid w:val="00A07562"/>
    <w:rsid w:val="00A0767B"/>
    <w:rsid w:val="00A07C4D"/>
    <w:rsid w:val="00A07E61"/>
    <w:rsid w:val="00A07EAB"/>
    <w:rsid w:val="00A07FE0"/>
    <w:rsid w:val="00A105CF"/>
    <w:rsid w:val="00A1086C"/>
    <w:rsid w:val="00A10C02"/>
    <w:rsid w:val="00A10CBF"/>
    <w:rsid w:val="00A10E91"/>
    <w:rsid w:val="00A110C3"/>
    <w:rsid w:val="00A112DB"/>
    <w:rsid w:val="00A11300"/>
    <w:rsid w:val="00A11484"/>
    <w:rsid w:val="00A11544"/>
    <w:rsid w:val="00A119AF"/>
    <w:rsid w:val="00A11C2C"/>
    <w:rsid w:val="00A11C82"/>
    <w:rsid w:val="00A124E8"/>
    <w:rsid w:val="00A12512"/>
    <w:rsid w:val="00A126C7"/>
    <w:rsid w:val="00A12B85"/>
    <w:rsid w:val="00A1409A"/>
    <w:rsid w:val="00A14490"/>
    <w:rsid w:val="00A1452F"/>
    <w:rsid w:val="00A14FC7"/>
    <w:rsid w:val="00A15147"/>
    <w:rsid w:val="00A151FB"/>
    <w:rsid w:val="00A1539D"/>
    <w:rsid w:val="00A1562B"/>
    <w:rsid w:val="00A15D02"/>
    <w:rsid w:val="00A1614C"/>
    <w:rsid w:val="00A16292"/>
    <w:rsid w:val="00A168D4"/>
    <w:rsid w:val="00A16B1F"/>
    <w:rsid w:val="00A16C3E"/>
    <w:rsid w:val="00A16E84"/>
    <w:rsid w:val="00A16FD6"/>
    <w:rsid w:val="00A16FF5"/>
    <w:rsid w:val="00A17533"/>
    <w:rsid w:val="00A1788C"/>
    <w:rsid w:val="00A178A5"/>
    <w:rsid w:val="00A201AA"/>
    <w:rsid w:val="00A20612"/>
    <w:rsid w:val="00A20716"/>
    <w:rsid w:val="00A20A10"/>
    <w:rsid w:val="00A20A4F"/>
    <w:rsid w:val="00A21081"/>
    <w:rsid w:val="00A21197"/>
    <w:rsid w:val="00A214F6"/>
    <w:rsid w:val="00A2191F"/>
    <w:rsid w:val="00A21C39"/>
    <w:rsid w:val="00A21D0F"/>
    <w:rsid w:val="00A21D8E"/>
    <w:rsid w:val="00A225B4"/>
    <w:rsid w:val="00A229A7"/>
    <w:rsid w:val="00A22B14"/>
    <w:rsid w:val="00A22B7D"/>
    <w:rsid w:val="00A22BDD"/>
    <w:rsid w:val="00A23531"/>
    <w:rsid w:val="00A2391E"/>
    <w:rsid w:val="00A23FE9"/>
    <w:rsid w:val="00A240E1"/>
    <w:rsid w:val="00A24109"/>
    <w:rsid w:val="00A2438A"/>
    <w:rsid w:val="00A24903"/>
    <w:rsid w:val="00A255FD"/>
    <w:rsid w:val="00A2560D"/>
    <w:rsid w:val="00A25C2D"/>
    <w:rsid w:val="00A25EEA"/>
    <w:rsid w:val="00A2630D"/>
    <w:rsid w:val="00A2640D"/>
    <w:rsid w:val="00A265A4"/>
    <w:rsid w:val="00A26A50"/>
    <w:rsid w:val="00A26C2E"/>
    <w:rsid w:val="00A26E38"/>
    <w:rsid w:val="00A2740D"/>
    <w:rsid w:val="00A27598"/>
    <w:rsid w:val="00A27EDB"/>
    <w:rsid w:val="00A27EE3"/>
    <w:rsid w:val="00A27FC3"/>
    <w:rsid w:val="00A307A2"/>
    <w:rsid w:val="00A30A95"/>
    <w:rsid w:val="00A30D51"/>
    <w:rsid w:val="00A310C8"/>
    <w:rsid w:val="00A314A8"/>
    <w:rsid w:val="00A315B3"/>
    <w:rsid w:val="00A31664"/>
    <w:rsid w:val="00A3174D"/>
    <w:rsid w:val="00A31887"/>
    <w:rsid w:val="00A31AC9"/>
    <w:rsid w:val="00A31D89"/>
    <w:rsid w:val="00A320FE"/>
    <w:rsid w:val="00A322D6"/>
    <w:rsid w:val="00A323BF"/>
    <w:rsid w:val="00A3277C"/>
    <w:rsid w:val="00A32A3A"/>
    <w:rsid w:val="00A32BAF"/>
    <w:rsid w:val="00A332BA"/>
    <w:rsid w:val="00A33501"/>
    <w:rsid w:val="00A33DC7"/>
    <w:rsid w:val="00A33E4E"/>
    <w:rsid w:val="00A33EBD"/>
    <w:rsid w:val="00A33F4A"/>
    <w:rsid w:val="00A3528B"/>
    <w:rsid w:val="00A35404"/>
    <w:rsid w:val="00A35785"/>
    <w:rsid w:val="00A35C97"/>
    <w:rsid w:val="00A35CBC"/>
    <w:rsid w:val="00A35D10"/>
    <w:rsid w:val="00A368DD"/>
    <w:rsid w:val="00A36BB2"/>
    <w:rsid w:val="00A36DF3"/>
    <w:rsid w:val="00A372F6"/>
    <w:rsid w:val="00A375DD"/>
    <w:rsid w:val="00A37A1D"/>
    <w:rsid w:val="00A37F05"/>
    <w:rsid w:val="00A402E9"/>
    <w:rsid w:val="00A408DB"/>
    <w:rsid w:val="00A40CD3"/>
    <w:rsid w:val="00A40DE3"/>
    <w:rsid w:val="00A41218"/>
    <w:rsid w:val="00A413CA"/>
    <w:rsid w:val="00A4141E"/>
    <w:rsid w:val="00A41512"/>
    <w:rsid w:val="00A418A8"/>
    <w:rsid w:val="00A41A3A"/>
    <w:rsid w:val="00A41AF0"/>
    <w:rsid w:val="00A41CEA"/>
    <w:rsid w:val="00A41D61"/>
    <w:rsid w:val="00A422D6"/>
    <w:rsid w:val="00A42B1D"/>
    <w:rsid w:val="00A42C8C"/>
    <w:rsid w:val="00A42D71"/>
    <w:rsid w:val="00A43E7E"/>
    <w:rsid w:val="00A43F92"/>
    <w:rsid w:val="00A440E9"/>
    <w:rsid w:val="00A4412C"/>
    <w:rsid w:val="00A442D0"/>
    <w:rsid w:val="00A44CAE"/>
    <w:rsid w:val="00A45075"/>
    <w:rsid w:val="00A451BC"/>
    <w:rsid w:val="00A452A3"/>
    <w:rsid w:val="00A452B6"/>
    <w:rsid w:val="00A4557B"/>
    <w:rsid w:val="00A4558E"/>
    <w:rsid w:val="00A456F4"/>
    <w:rsid w:val="00A4587D"/>
    <w:rsid w:val="00A45A1B"/>
    <w:rsid w:val="00A45A7E"/>
    <w:rsid w:val="00A45C57"/>
    <w:rsid w:val="00A45DF0"/>
    <w:rsid w:val="00A460AA"/>
    <w:rsid w:val="00A46640"/>
    <w:rsid w:val="00A46CE7"/>
    <w:rsid w:val="00A47197"/>
    <w:rsid w:val="00A50302"/>
    <w:rsid w:val="00A5062B"/>
    <w:rsid w:val="00A50635"/>
    <w:rsid w:val="00A506D8"/>
    <w:rsid w:val="00A5116F"/>
    <w:rsid w:val="00A512FE"/>
    <w:rsid w:val="00A513FE"/>
    <w:rsid w:val="00A52221"/>
    <w:rsid w:val="00A524AA"/>
    <w:rsid w:val="00A528C1"/>
    <w:rsid w:val="00A529D9"/>
    <w:rsid w:val="00A52AF1"/>
    <w:rsid w:val="00A52BD2"/>
    <w:rsid w:val="00A52D19"/>
    <w:rsid w:val="00A53303"/>
    <w:rsid w:val="00A533FB"/>
    <w:rsid w:val="00A538EE"/>
    <w:rsid w:val="00A53F1A"/>
    <w:rsid w:val="00A54297"/>
    <w:rsid w:val="00A54304"/>
    <w:rsid w:val="00A546C7"/>
    <w:rsid w:val="00A54B0E"/>
    <w:rsid w:val="00A54C4A"/>
    <w:rsid w:val="00A54DD1"/>
    <w:rsid w:val="00A55304"/>
    <w:rsid w:val="00A5539D"/>
    <w:rsid w:val="00A55581"/>
    <w:rsid w:val="00A556A9"/>
    <w:rsid w:val="00A55A4C"/>
    <w:rsid w:val="00A55C53"/>
    <w:rsid w:val="00A55EE6"/>
    <w:rsid w:val="00A56088"/>
    <w:rsid w:val="00A562E4"/>
    <w:rsid w:val="00A5656D"/>
    <w:rsid w:val="00A56630"/>
    <w:rsid w:val="00A569D2"/>
    <w:rsid w:val="00A56C69"/>
    <w:rsid w:val="00A56FB5"/>
    <w:rsid w:val="00A57085"/>
    <w:rsid w:val="00A5728D"/>
    <w:rsid w:val="00A57600"/>
    <w:rsid w:val="00A578F2"/>
    <w:rsid w:val="00A57975"/>
    <w:rsid w:val="00A57F51"/>
    <w:rsid w:val="00A57F68"/>
    <w:rsid w:val="00A608DD"/>
    <w:rsid w:val="00A60B4D"/>
    <w:rsid w:val="00A60F57"/>
    <w:rsid w:val="00A61786"/>
    <w:rsid w:val="00A61893"/>
    <w:rsid w:val="00A61D8B"/>
    <w:rsid w:val="00A61F24"/>
    <w:rsid w:val="00A622AD"/>
    <w:rsid w:val="00A6265B"/>
    <w:rsid w:val="00A6268E"/>
    <w:rsid w:val="00A628D9"/>
    <w:rsid w:val="00A62A70"/>
    <w:rsid w:val="00A62B1F"/>
    <w:rsid w:val="00A62D16"/>
    <w:rsid w:val="00A62FD7"/>
    <w:rsid w:val="00A6304F"/>
    <w:rsid w:val="00A632B2"/>
    <w:rsid w:val="00A6336E"/>
    <w:rsid w:val="00A63B7A"/>
    <w:rsid w:val="00A640E7"/>
    <w:rsid w:val="00A64663"/>
    <w:rsid w:val="00A6489F"/>
    <w:rsid w:val="00A649C6"/>
    <w:rsid w:val="00A64A56"/>
    <w:rsid w:val="00A64F1C"/>
    <w:rsid w:val="00A6541D"/>
    <w:rsid w:val="00A6553C"/>
    <w:rsid w:val="00A656E9"/>
    <w:rsid w:val="00A65A32"/>
    <w:rsid w:val="00A65C21"/>
    <w:rsid w:val="00A65F3D"/>
    <w:rsid w:val="00A660C4"/>
    <w:rsid w:val="00A665F8"/>
    <w:rsid w:val="00A66612"/>
    <w:rsid w:val="00A669E8"/>
    <w:rsid w:val="00A66B00"/>
    <w:rsid w:val="00A66CB4"/>
    <w:rsid w:val="00A66D5F"/>
    <w:rsid w:val="00A66EC3"/>
    <w:rsid w:val="00A67303"/>
    <w:rsid w:val="00A67766"/>
    <w:rsid w:val="00A677C1"/>
    <w:rsid w:val="00A70780"/>
    <w:rsid w:val="00A70859"/>
    <w:rsid w:val="00A70A2C"/>
    <w:rsid w:val="00A70BB9"/>
    <w:rsid w:val="00A71310"/>
    <w:rsid w:val="00A7173B"/>
    <w:rsid w:val="00A71AC9"/>
    <w:rsid w:val="00A71B85"/>
    <w:rsid w:val="00A71EA8"/>
    <w:rsid w:val="00A71EBC"/>
    <w:rsid w:val="00A71EE5"/>
    <w:rsid w:val="00A72BBD"/>
    <w:rsid w:val="00A72C6A"/>
    <w:rsid w:val="00A72D1E"/>
    <w:rsid w:val="00A72D76"/>
    <w:rsid w:val="00A72D8E"/>
    <w:rsid w:val="00A72F04"/>
    <w:rsid w:val="00A72FEB"/>
    <w:rsid w:val="00A73056"/>
    <w:rsid w:val="00A7390D"/>
    <w:rsid w:val="00A7441B"/>
    <w:rsid w:val="00A74572"/>
    <w:rsid w:val="00A74699"/>
    <w:rsid w:val="00A74C58"/>
    <w:rsid w:val="00A74CD5"/>
    <w:rsid w:val="00A74EDE"/>
    <w:rsid w:val="00A75280"/>
    <w:rsid w:val="00A75669"/>
    <w:rsid w:val="00A75A17"/>
    <w:rsid w:val="00A75B9F"/>
    <w:rsid w:val="00A76797"/>
    <w:rsid w:val="00A76A3D"/>
    <w:rsid w:val="00A76B32"/>
    <w:rsid w:val="00A7704F"/>
    <w:rsid w:val="00A771F3"/>
    <w:rsid w:val="00A775FC"/>
    <w:rsid w:val="00A776E9"/>
    <w:rsid w:val="00A7775B"/>
    <w:rsid w:val="00A77AD4"/>
    <w:rsid w:val="00A77B8B"/>
    <w:rsid w:val="00A77D71"/>
    <w:rsid w:val="00A77E20"/>
    <w:rsid w:val="00A77FAA"/>
    <w:rsid w:val="00A80183"/>
    <w:rsid w:val="00A80229"/>
    <w:rsid w:val="00A80333"/>
    <w:rsid w:val="00A80664"/>
    <w:rsid w:val="00A80799"/>
    <w:rsid w:val="00A8080F"/>
    <w:rsid w:val="00A808C7"/>
    <w:rsid w:val="00A80A1F"/>
    <w:rsid w:val="00A8130F"/>
    <w:rsid w:val="00A816B1"/>
    <w:rsid w:val="00A81E6C"/>
    <w:rsid w:val="00A81F9E"/>
    <w:rsid w:val="00A81FB1"/>
    <w:rsid w:val="00A82327"/>
    <w:rsid w:val="00A823FF"/>
    <w:rsid w:val="00A826C8"/>
    <w:rsid w:val="00A82961"/>
    <w:rsid w:val="00A8348E"/>
    <w:rsid w:val="00A83CA1"/>
    <w:rsid w:val="00A83D66"/>
    <w:rsid w:val="00A83E4F"/>
    <w:rsid w:val="00A84224"/>
    <w:rsid w:val="00A8440E"/>
    <w:rsid w:val="00A846A3"/>
    <w:rsid w:val="00A84B58"/>
    <w:rsid w:val="00A84E62"/>
    <w:rsid w:val="00A84F0A"/>
    <w:rsid w:val="00A850B8"/>
    <w:rsid w:val="00A85177"/>
    <w:rsid w:val="00A852CD"/>
    <w:rsid w:val="00A85651"/>
    <w:rsid w:val="00A85E2E"/>
    <w:rsid w:val="00A8632F"/>
    <w:rsid w:val="00A86A3B"/>
    <w:rsid w:val="00A86CA4"/>
    <w:rsid w:val="00A86D5A"/>
    <w:rsid w:val="00A86E91"/>
    <w:rsid w:val="00A87222"/>
    <w:rsid w:val="00A87268"/>
    <w:rsid w:val="00A873C4"/>
    <w:rsid w:val="00A87541"/>
    <w:rsid w:val="00A87571"/>
    <w:rsid w:val="00A87BE6"/>
    <w:rsid w:val="00A87E0E"/>
    <w:rsid w:val="00A87EE4"/>
    <w:rsid w:val="00A90005"/>
    <w:rsid w:val="00A9015A"/>
    <w:rsid w:val="00A902B5"/>
    <w:rsid w:val="00A9092F"/>
    <w:rsid w:val="00A90B2B"/>
    <w:rsid w:val="00A90B34"/>
    <w:rsid w:val="00A90D52"/>
    <w:rsid w:val="00A90E0E"/>
    <w:rsid w:val="00A912B5"/>
    <w:rsid w:val="00A91378"/>
    <w:rsid w:val="00A913A9"/>
    <w:rsid w:val="00A917C8"/>
    <w:rsid w:val="00A917CB"/>
    <w:rsid w:val="00A918F4"/>
    <w:rsid w:val="00A919AB"/>
    <w:rsid w:val="00A91CF7"/>
    <w:rsid w:val="00A91D1B"/>
    <w:rsid w:val="00A91F70"/>
    <w:rsid w:val="00A92241"/>
    <w:rsid w:val="00A925EE"/>
    <w:rsid w:val="00A92736"/>
    <w:rsid w:val="00A92765"/>
    <w:rsid w:val="00A92DBF"/>
    <w:rsid w:val="00A9323F"/>
    <w:rsid w:val="00A9335D"/>
    <w:rsid w:val="00A93384"/>
    <w:rsid w:val="00A935D6"/>
    <w:rsid w:val="00A93894"/>
    <w:rsid w:val="00A93CF7"/>
    <w:rsid w:val="00A93F5D"/>
    <w:rsid w:val="00A941EE"/>
    <w:rsid w:val="00A94307"/>
    <w:rsid w:val="00A9437E"/>
    <w:rsid w:val="00A94A20"/>
    <w:rsid w:val="00A94B69"/>
    <w:rsid w:val="00A94BB5"/>
    <w:rsid w:val="00A94EC8"/>
    <w:rsid w:val="00A94F6F"/>
    <w:rsid w:val="00A95027"/>
    <w:rsid w:val="00A95371"/>
    <w:rsid w:val="00A95992"/>
    <w:rsid w:val="00A95A4D"/>
    <w:rsid w:val="00A95AD0"/>
    <w:rsid w:val="00A95C2E"/>
    <w:rsid w:val="00A95ED5"/>
    <w:rsid w:val="00A96741"/>
    <w:rsid w:val="00A96B15"/>
    <w:rsid w:val="00A96B32"/>
    <w:rsid w:val="00A96CC2"/>
    <w:rsid w:val="00A975AA"/>
    <w:rsid w:val="00A97747"/>
    <w:rsid w:val="00A9789B"/>
    <w:rsid w:val="00A979C1"/>
    <w:rsid w:val="00A97A3A"/>
    <w:rsid w:val="00A97B17"/>
    <w:rsid w:val="00A97CAE"/>
    <w:rsid w:val="00A97D22"/>
    <w:rsid w:val="00AA000F"/>
    <w:rsid w:val="00AA0037"/>
    <w:rsid w:val="00AA00C8"/>
    <w:rsid w:val="00AA05D3"/>
    <w:rsid w:val="00AA06BF"/>
    <w:rsid w:val="00AA0BBC"/>
    <w:rsid w:val="00AA10A9"/>
    <w:rsid w:val="00AA126F"/>
    <w:rsid w:val="00AA1454"/>
    <w:rsid w:val="00AA1551"/>
    <w:rsid w:val="00AA1782"/>
    <w:rsid w:val="00AA1A0C"/>
    <w:rsid w:val="00AA1FCB"/>
    <w:rsid w:val="00AA2120"/>
    <w:rsid w:val="00AA23FF"/>
    <w:rsid w:val="00AA2861"/>
    <w:rsid w:val="00AA28C6"/>
    <w:rsid w:val="00AA2D85"/>
    <w:rsid w:val="00AA2EC1"/>
    <w:rsid w:val="00AA2F39"/>
    <w:rsid w:val="00AA323B"/>
    <w:rsid w:val="00AA3627"/>
    <w:rsid w:val="00AA36AE"/>
    <w:rsid w:val="00AA3DCF"/>
    <w:rsid w:val="00AA3E4C"/>
    <w:rsid w:val="00AA41DA"/>
    <w:rsid w:val="00AA4464"/>
    <w:rsid w:val="00AA486B"/>
    <w:rsid w:val="00AA4903"/>
    <w:rsid w:val="00AA4B4B"/>
    <w:rsid w:val="00AA4DD6"/>
    <w:rsid w:val="00AA4ED0"/>
    <w:rsid w:val="00AA4FBF"/>
    <w:rsid w:val="00AA4FEC"/>
    <w:rsid w:val="00AA5207"/>
    <w:rsid w:val="00AA5331"/>
    <w:rsid w:val="00AA53E9"/>
    <w:rsid w:val="00AA5753"/>
    <w:rsid w:val="00AA5F92"/>
    <w:rsid w:val="00AA619E"/>
    <w:rsid w:val="00AA644B"/>
    <w:rsid w:val="00AA6603"/>
    <w:rsid w:val="00AA6862"/>
    <w:rsid w:val="00AA72C2"/>
    <w:rsid w:val="00AA7326"/>
    <w:rsid w:val="00AA7A9F"/>
    <w:rsid w:val="00AA7BF9"/>
    <w:rsid w:val="00AA7F50"/>
    <w:rsid w:val="00AB06DC"/>
    <w:rsid w:val="00AB0C9D"/>
    <w:rsid w:val="00AB0DDE"/>
    <w:rsid w:val="00AB0F3E"/>
    <w:rsid w:val="00AB1411"/>
    <w:rsid w:val="00AB14F5"/>
    <w:rsid w:val="00AB1972"/>
    <w:rsid w:val="00AB19C5"/>
    <w:rsid w:val="00AB19F0"/>
    <w:rsid w:val="00AB1B3A"/>
    <w:rsid w:val="00AB1F56"/>
    <w:rsid w:val="00AB23E4"/>
    <w:rsid w:val="00AB24D4"/>
    <w:rsid w:val="00AB2670"/>
    <w:rsid w:val="00AB2750"/>
    <w:rsid w:val="00AB2756"/>
    <w:rsid w:val="00AB29B2"/>
    <w:rsid w:val="00AB2EAB"/>
    <w:rsid w:val="00AB316B"/>
    <w:rsid w:val="00AB371F"/>
    <w:rsid w:val="00AB38DC"/>
    <w:rsid w:val="00AB3DC1"/>
    <w:rsid w:val="00AB4054"/>
    <w:rsid w:val="00AB4081"/>
    <w:rsid w:val="00AB40FE"/>
    <w:rsid w:val="00AB41AB"/>
    <w:rsid w:val="00AB44E4"/>
    <w:rsid w:val="00AB4D23"/>
    <w:rsid w:val="00AB4F7F"/>
    <w:rsid w:val="00AB4FEF"/>
    <w:rsid w:val="00AB5790"/>
    <w:rsid w:val="00AB5894"/>
    <w:rsid w:val="00AB5AA3"/>
    <w:rsid w:val="00AB5BB0"/>
    <w:rsid w:val="00AB5C1C"/>
    <w:rsid w:val="00AB61E0"/>
    <w:rsid w:val="00AB6268"/>
    <w:rsid w:val="00AB62DC"/>
    <w:rsid w:val="00AB6865"/>
    <w:rsid w:val="00AB6C32"/>
    <w:rsid w:val="00AB6C75"/>
    <w:rsid w:val="00AB748A"/>
    <w:rsid w:val="00AB76D9"/>
    <w:rsid w:val="00AB79C4"/>
    <w:rsid w:val="00AB7BEE"/>
    <w:rsid w:val="00AC0403"/>
    <w:rsid w:val="00AC0967"/>
    <w:rsid w:val="00AC0B1A"/>
    <w:rsid w:val="00AC11AF"/>
    <w:rsid w:val="00AC1458"/>
    <w:rsid w:val="00AC18DA"/>
    <w:rsid w:val="00AC1987"/>
    <w:rsid w:val="00AC1AD9"/>
    <w:rsid w:val="00AC1C32"/>
    <w:rsid w:val="00AC2720"/>
    <w:rsid w:val="00AC2750"/>
    <w:rsid w:val="00AC28D1"/>
    <w:rsid w:val="00AC2A97"/>
    <w:rsid w:val="00AC325A"/>
    <w:rsid w:val="00AC37FB"/>
    <w:rsid w:val="00AC403D"/>
    <w:rsid w:val="00AC4314"/>
    <w:rsid w:val="00AC4487"/>
    <w:rsid w:val="00AC47FF"/>
    <w:rsid w:val="00AC4A9F"/>
    <w:rsid w:val="00AC4FE7"/>
    <w:rsid w:val="00AC53F1"/>
    <w:rsid w:val="00AC55D0"/>
    <w:rsid w:val="00AC56CE"/>
    <w:rsid w:val="00AC58D6"/>
    <w:rsid w:val="00AC58F0"/>
    <w:rsid w:val="00AC5CC6"/>
    <w:rsid w:val="00AC5D32"/>
    <w:rsid w:val="00AC63BF"/>
    <w:rsid w:val="00AC64D0"/>
    <w:rsid w:val="00AC6563"/>
    <w:rsid w:val="00AC6601"/>
    <w:rsid w:val="00AC68CC"/>
    <w:rsid w:val="00AC7509"/>
    <w:rsid w:val="00AC7968"/>
    <w:rsid w:val="00AC7AF5"/>
    <w:rsid w:val="00AC7B6C"/>
    <w:rsid w:val="00AC7BC0"/>
    <w:rsid w:val="00AC7DC2"/>
    <w:rsid w:val="00AD03B8"/>
    <w:rsid w:val="00AD0659"/>
    <w:rsid w:val="00AD08E9"/>
    <w:rsid w:val="00AD0D15"/>
    <w:rsid w:val="00AD0DD3"/>
    <w:rsid w:val="00AD0F01"/>
    <w:rsid w:val="00AD1622"/>
    <w:rsid w:val="00AD1915"/>
    <w:rsid w:val="00AD20BD"/>
    <w:rsid w:val="00AD21F9"/>
    <w:rsid w:val="00AD22DD"/>
    <w:rsid w:val="00AD2476"/>
    <w:rsid w:val="00AD265A"/>
    <w:rsid w:val="00AD27D5"/>
    <w:rsid w:val="00AD2824"/>
    <w:rsid w:val="00AD289C"/>
    <w:rsid w:val="00AD29C9"/>
    <w:rsid w:val="00AD2CD2"/>
    <w:rsid w:val="00AD2CD4"/>
    <w:rsid w:val="00AD2FE8"/>
    <w:rsid w:val="00AD3041"/>
    <w:rsid w:val="00AD3CA6"/>
    <w:rsid w:val="00AD3F4C"/>
    <w:rsid w:val="00AD3F7C"/>
    <w:rsid w:val="00AD44C8"/>
    <w:rsid w:val="00AD4DD9"/>
    <w:rsid w:val="00AD4E79"/>
    <w:rsid w:val="00AD4EF8"/>
    <w:rsid w:val="00AD512C"/>
    <w:rsid w:val="00AD51A6"/>
    <w:rsid w:val="00AD5B00"/>
    <w:rsid w:val="00AD5B47"/>
    <w:rsid w:val="00AD5E92"/>
    <w:rsid w:val="00AD5EC8"/>
    <w:rsid w:val="00AD631A"/>
    <w:rsid w:val="00AD63B2"/>
    <w:rsid w:val="00AD64CA"/>
    <w:rsid w:val="00AD664A"/>
    <w:rsid w:val="00AD683B"/>
    <w:rsid w:val="00AD6909"/>
    <w:rsid w:val="00AD6998"/>
    <w:rsid w:val="00AD69AA"/>
    <w:rsid w:val="00AD6D14"/>
    <w:rsid w:val="00AD6E8A"/>
    <w:rsid w:val="00AD723E"/>
    <w:rsid w:val="00AD729D"/>
    <w:rsid w:val="00AD73BA"/>
    <w:rsid w:val="00AD74C5"/>
    <w:rsid w:val="00AD7816"/>
    <w:rsid w:val="00AD7AF1"/>
    <w:rsid w:val="00AD7E1E"/>
    <w:rsid w:val="00AD7F74"/>
    <w:rsid w:val="00AE036C"/>
    <w:rsid w:val="00AE04B8"/>
    <w:rsid w:val="00AE04FF"/>
    <w:rsid w:val="00AE0A32"/>
    <w:rsid w:val="00AE0F02"/>
    <w:rsid w:val="00AE1236"/>
    <w:rsid w:val="00AE1702"/>
    <w:rsid w:val="00AE183F"/>
    <w:rsid w:val="00AE1A71"/>
    <w:rsid w:val="00AE1ABB"/>
    <w:rsid w:val="00AE1AD9"/>
    <w:rsid w:val="00AE21A3"/>
    <w:rsid w:val="00AE237C"/>
    <w:rsid w:val="00AE2877"/>
    <w:rsid w:val="00AE2D07"/>
    <w:rsid w:val="00AE2E44"/>
    <w:rsid w:val="00AE303F"/>
    <w:rsid w:val="00AE3145"/>
    <w:rsid w:val="00AE3177"/>
    <w:rsid w:val="00AE31F9"/>
    <w:rsid w:val="00AE3648"/>
    <w:rsid w:val="00AE3823"/>
    <w:rsid w:val="00AE3B1E"/>
    <w:rsid w:val="00AE3C41"/>
    <w:rsid w:val="00AE3C83"/>
    <w:rsid w:val="00AE49CC"/>
    <w:rsid w:val="00AE55A8"/>
    <w:rsid w:val="00AE567A"/>
    <w:rsid w:val="00AE5689"/>
    <w:rsid w:val="00AE59C0"/>
    <w:rsid w:val="00AE5ADD"/>
    <w:rsid w:val="00AE5B30"/>
    <w:rsid w:val="00AE5C5F"/>
    <w:rsid w:val="00AE5CAF"/>
    <w:rsid w:val="00AE5ED9"/>
    <w:rsid w:val="00AE6697"/>
    <w:rsid w:val="00AE6771"/>
    <w:rsid w:val="00AE6883"/>
    <w:rsid w:val="00AE7AEB"/>
    <w:rsid w:val="00AE7B5F"/>
    <w:rsid w:val="00AE7C97"/>
    <w:rsid w:val="00AE7CD6"/>
    <w:rsid w:val="00AE7E47"/>
    <w:rsid w:val="00AF0986"/>
    <w:rsid w:val="00AF0D01"/>
    <w:rsid w:val="00AF0DB0"/>
    <w:rsid w:val="00AF1648"/>
    <w:rsid w:val="00AF1718"/>
    <w:rsid w:val="00AF2127"/>
    <w:rsid w:val="00AF2342"/>
    <w:rsid w:val="00AF2772"/>
    <w:rsid w:val="00AF2D23"/>
    <w:rsid w:val="00AF2D69"/>
    <w:rsid w:val="00AF2F57"/>
    <w:rsid w:val="00AF32F5"/>
    <w:rsid w:val="00AF34B0"/>
    <w:rsid w:val="00AF3714"/>
    <w:rsid w:val="00AF3868"/>
    <w:rsid w:val="00AF3870"/>
    <w:rsid w:val="00AF3997"/>
    <w:rsid w:val="00AF39B7"/>
    <w:rsid w:val="00AF39F3"/>
    <w:rsid w:val="00AF3DBC"/>
    <w:rsid w:val="00AF3F62"/>
    <w:rsid w:val="00AF4352"/>
    <w:rsid w:val="00AF4367"/>
    <w:rsid w:val="00AF43B2"/>
    <w:rsid w:val="00AF4517"/>
    <w:rsid w:val="00AF46DF"/>
    <w:rsid w:val="00AF46EF"/>
    <w:rsid w:val="00AF4C4F"/>
    <w:rsid w:val="00AF5150"/>
    <w:rsid w:val="00AF5771"/>
    <w:rsid w:val="00AF6E78"/>
    <w:rsid w:val="00AF7279"/>
    <w:rsid w:val="00AF738E"/>
    <w:rsid w:val="00AF7518"/>
    <w:rsid w:val="00AF7612"/>
    <w:rsid w:val="00AF7758"/>
    <w:rsid w:val="00AF7804"/>
    <w:rsid w:val="00AF7BA6"/>
    <w:rsid w:val="00B00C72"/>
    <w:rsid w:val="00B00EA9"/>
    <w:rsid w:val="00B00F32"/>
    <w:rsid w:val="00B0109B"/>
    <w:rsid w:val="00B0127D"/>
    <w:rsid w:val="00B012DD"/>
    <w:rsid w:val="00B0134F"/>
    <w:rsid w:val="00B013F7"/>
    <w:rsid w:val="00B01480"/>
    <w:rsid w:val="00B014B1"/>
    <w:rsid w:val="00B01651"/>
    <w:rsid w:val="00B016DC"/>
    <w:rsid w:val="00B019FC"/>
    <w:rsid w:val="00B01BE7"/>
    <w:rsid w:val="00B01E71"/>
    <w:rsid w:val="00B025C9"/>
    <w:rsid w:val="00B02AE5"/>
    <w:rsid w:val="00B02E53"/>
    <w:rsid w:val="00B0334C"/>
    <w:rsid w:val="00B03502"/>
    <w:rsid w:val="00B035EF"/>
    <w:rsid w:val="00B036FC"/>
    <w:rsid w:val="00B03732"/>
    <w:rsid w:val="00B04015"/>
    <w:rsid w:val="00B042FE"/>
    <w:rsid w:val="00B043A5"/>
    <w:rsid w:val="00B04477"/>
    <w:rsid w:val="00B0460F"/>
    <w:rsid w:val="00B05073"/>
    <w:rsid w:val="00B053BE"/>
    <w:rsid w:val="00B0540E"/>
    <w:rsid w:val="00B05AC8"/>
    <w:rsid w:val="00B05DA5"/>
    <w:rsid w:val="00B05EB1"/>
    <w:rsid w:val="00B05F84"/>
    <w:rsid w:val="00B0601C"/>
    <w:rsid w:val="00B061B7"/>
    <w:rsid w:val="00B062DC"/>
    <w:rsid w:val="00B06C5C"/>
    <w:rsid w:val="00B073EE"/>
    <w:rsid w:val="00B07685"/>
    <w:rsid w:val="00B0775C"/>
    <w:rsid w:val="00B07A43"/>
    <w:rsid w:val="00B07B5F"/>
    <w:rsid w:val="00B07D77"/>
    <w:rsid w:val="00B10310"/>
    <w:rsid w:val="00B104DA"/>
    <w:rsid w:val="00B108B5"/>
    <w:rsid w:val="00B108F8"/>
    <w:rsid w:val="00B10D36"/>
    <w:rsid w:val="00B10E63"/>
    <w:rsid w:val="00B11350"/>
    <w:rsid w:val="00B1138B"/>
    <w:rsid w:val="00B11511"/>
    <w:rsid w:val="00B11A4A"/>
    <w:rsid w:val="00B11A70"/>
    <w:rsid w:val="00B11B84"/>
    <w:rsid w:val="00B12A33"/>
    <w:rsid w:val="00B137AA"/>
    <w:rsid w:val="00B13CF0"/>
    <w:rsid w:val="00B13D6A"/>
    <w:rsid w:val="00B1430E"/>
    <w:rsid w:val="00B14826"/>
    <w:rsid w:val="00B1499B"/>
    <w:rsid w:val="00B14B10"/>
    <w:rsid w:val="00B14B9E"/>
    <w:rsid w:val="00B14C73"/>
    <w:rsid w:val="00B150FA"/>
    <w:rsid w:val="00B151BA"/>
    <w:rsid w:val="00B152D8"/>
    <w:rsid w:val="00B156C8"/>
    <w:rsid w:val="00B15A1B"/>
    <w:rsid w:val="00B15ADA"/>
    <w:rsid w:val="00B15B48"/>
    <w:rsid w:val="00B15FE0"/>
    <w:rsid w:val="00B161CE"/>
    <w:rsid w:val="00B1633C"/>
    <w:rsid w:val="00B16849"/>
    <w:rsid w:val="00B16BC8"/>
    <w:rsid w:val="00B16BDB"/>
    <w:rsid w:val="00B16DF8"/>
    <w:rsid w:val="00B16F41"/>
    <w:rsid w:val="00B16FCF"/>
    <w:rsid w:val="00B17074"/>
    <w:rsid w:val="00B17101"/>
    <w:rsid w:val="00B17A98"/>
    <w:rsid w:val="00B17E3C"/>
    <w:rsid w:val="00B203FA"/>
    <w:rsid w:val="00B2073E"/>
    <w:rsid w:val="00B20F31"/>
    <w:rsid w:val="00B21230"/>
    <w:rsid w:val="00B213E1"/>
    <w:rsid w:val="00B215F7"/>
    <w:rsid w:val="00B224F4"/>
    <w:rsid w:val="00B22541"/>
    <w:rsid w:val="00B22671"/>
    <w:rsid w:val="00B22811"/>
    <w:rsid w:val="00B2311F"/>
    <w:rsid w:val="00B23474"/>
    <w:rsid w:val="00B23726"/>
    <w:rsid w:val="00B237CE"/>
    <w:rsid w:val="00B23DF0"/>
    <w:rsid w:val="00B246E1"/>
    <w:rsid w:val="00B246FD"/>
    <w:rsid w:val="00B247E3"/>
    <w:rsid w:val="00B24956"/>
    <w:rsid w:val="00B25379"/>
    <w:rsid w:val="00B254FC"/>
    <w:rsid w:val="00B25604"/>
    <w:rsid w:val="00B25704"/>
    <w:rsid w:val="00B2580C"/>
    <w:rsid w:val="00B25932"/>
    <w:rsid w:val="00B26219"/>
    <w:rsid w:val="00B262DB"/>
    <w:rsid w:val="00B26564"/>
    <w:rsid w:val="00B26760"/>
    <w:rsid w:val="00B26981"/>
    <w:rsid w:val="00B27003"/>
    <w:rsid w:val="00B2701F"/>
    <w:rsid w:val="00B27072"/>
    <w:rsid w:val="00B272E4"/>
    <w:rsid w:val="00B2772F"/>
    <w:rsid w:val="00B27783"/>
    <w:rsid w:val="00B2788F"/>
    <w:rsid w:val="00B278C0"/>
    <w:rsid w:val="00B279A1"/>
    <w:rsid w:val="00B27A9E"/>
    <w:rsid w:val="00B27B10"/>
    <w:rsid w:val="00B27C15"/>
    <w:rsid w:val="00B30039"/>
    <w:rsid w:val="00B300AC"/>
    <w:rsid w:val="00B30177"/>
    <w:rsid w:val="00B3055D"/>
    <w:rsid w:val="00B308C8"/>
    <w:rsid w:val="00B30D15"/>
    <w:rsid w:val="00B30F8E"/>
    <w:rsid w:val="00B31043"/>
    <w:rsid w:val="00B31454"/>
    <w:rsid w:val="00B31996"/>
    <w:rsid w:val="00B31D86"/>
    <w:rsid w:val="00B31D98"/>
    <w:rsid w:val="00B31DEE"/>
    <w:rsid w:val="00B31E20"/>
    <w:rsid w:val="00B31FC4"/>
    <w:rsid w:val="00B320D3"/>
    <w:rsid w:val="00B323AB"/>
    <w:rsid w:val="00B32464"/>
    <w:rsid w:val="00B328E7"/>
    <w:rsid w:val="00B329A1"/>
    <w:rsid w:val="00B3305F"/>
    <w:rsid w:val="00B337E7"/>
    <w:rsid w:val="00B33BC3"/>
    <w:rsid w:val="00B33C91"/>
    <w:rsid w:val="00B33C93"/>
    <w:rsid w:val="00B340BB"/>
    <w:rsid w:val="00B3458F"/>
    <w:rsid w:val="00B34A1C"/>
    <w:rsid w:val="00B34D72"/>
    <w:rsid w:val="00B3502D"/>
    <w:rsid w:val="00B35C10"/>
    <w:rsid w:val="00B35C9E"/>
    <w:rsid w:val="00B35D34"/>
    <w:rsid w:val="00B35FFC"/>
    <w:rsid w:val="00B36193"/>
    <w:rsid w:val="00B36991"/>
    <w:rsid w:val="00B36D1E"/>
    <w:rsid w:val="00B36FBC"/>
    <w:rsid w:val="00B37373"/>
    <w:rsid w:val="00B37452"/>
    <w:rsid w:val="00B37453"/>
    <w:rsid w:val="00B37782"/>
    <w:rsid w:val="00B37C65"/>
    <w:rsid w:val="00B37CED"/>
    <w:rsid w:val="00B4004E"/>
    <w:rsid w:val="00B40A27"/>
    <w:rsid w:val="00B40BF9"/>
    <w:rsid w:val="00B40D25"/>
    <w:rsid w:val="00B41811"/>
    <w:rsid w:val="00B41ADA"/>
    <w:rsid w:val="00B41AF1"/>
    <w:rsid w:val="00B4205F"/>
    <w:rsid w:val="00B4238B"/>
    <w:rsid w:val="00B423E6"/>
    <w:rsid w:val="00B424FF"/>
    <w:rsid w:val="00B42565"/>
    <w:rsid w:val="00B425C1"/>
    <w:rsid w:val="00B42605"/>
    <w:rsid w:val="00B42883"/>
    <w:rsid w:val="00B42B16"/>
    <w:rsid w:val="00B42B40"/>
    <w:rsid w:val="00B42DEA"/>
    <w:rsid w:val="00B43280"/>
    <w:rsid w:val="00B432CA"/>
    <w:rsid w:val="00B43677"/>
    <w:rsid w:val="00B44276"/>
    <w:rsid w:val="00B4433B"/>
    <w:rsid w:val="00B4494F"/>
    <w:rsid w:val="00B44BD9"/>
    <w:rsid w:val="00B45222"/>
    <w:rsid w:val="00B4531F"/>
    <w:rsid w:val="00B455B8"/>
    <w:rsid w:val="00B45741"/>
    <w:rsid w:val="00B458D8"/>
    <w:rsid w:val="00B45AEB"/>
    <w:rsid w:val="00B461F7"/>
    <w:rsid w:val="00B463B3"/>
    <w:rsid w:val="00B4694C"/>
    <w:rsid w:val="00B46FCE"/>
    <w:rsid w:val="00B471DF"/>
    <w:rsid w:val="00B4782C"/>
    <w:rsid w:val="00B47E10"/>
    <w:rsid w:val="00B5016E"/>
    <w:rsid w:val="00B503A6"/>
    <w:rsid w:val="00B504C7"/>
    <w:rsid w:val="00B504C9"/>
    <w:rsid w:val="00B50609"/>
    <w:rsid w:val="00B507E3"/>
    <w:rsid w:val="00B50892"/>
    <w:rsid w:val="00B50DCA"/>
    <w:rsid w:val="00B50DFC"/>
    <w:rsid w:val="00B50FE1"/>
    <w:rsid w:val="00B5101B"/>
    <w:rsid w:val="00B5135B"/>
    <w:rsid w:val="00B51402"/>
    <w:rsid w:val="00B515AD"/>
    <w:rsid w:val="00B516A7"/>
    <w:rsid w:val="00B5183E"/>
    <w:rsid w:val="00B51A23"/>
    <w:rsid w:val="00B51A6A"/>
    <w:rsid w:val="00B51C51"/>
    <w:rsid w:val="00B52507"/>
    <w:rsid w:val="00B52B1E"/>
    <w:rsid w:val="00B52BDE"/>
    <w:rsid w:val="00B52DEF"/>
    <w:rsid w:val="00B52EF6"/>
    <w:rsid w:val="00B531ED"/>
    <w:rsid w:val="00B53218"/>
    <w:rsid w:val="00B535F7"/>
    <w:rsid w:val="00B53C72"/>
    <w:rsid w:val="00B53DB6"/>
    <w:rsid w:val="00B53F1F"/>
    <w:rsid w:val="00B54083"/>
    <w:rsid w:val="00B54431"/>
    <w:rsid w:val="00B547B0"/>
    <w:rsid w:val="00B54A81"/>
    <w:rsid w:val="00B54AC6"/>
    <w:rsid w:val="00B54AC9"/>
    <w:rsid w:val="00B54D9D"/>
    <w:rsid w:val="00B54DA3"/>
    <w:rsid w:val="00B54F3B"/>
    <w:rsid w:val="00B5522B"/>
    <w:rsid w:val="00B5579E"/>
    <w:rsid w:val="00B55876"/>
    <w:rsid w:val="00B55ECD"/>
    <w:rsid w:val="00B5601B"/>
    <w:rsid w:val="00B5603C"/>
    <w:rsid w:val="00B568FC"/>
    <w:rsid w:val="00B56954"/>
    <w:rsid w:val="00B56A12"/>
    <w:rsid w:val="00B57040"/>
    <w:rsid w:val="00B57701"/>
    <w:rsid w:val="00B57FD2"/>
    <w:rsid w:val="00B600B2"/>
    <w:rsid w:val="00B606A7"/>
    <w:rsid w:val="00B61184"/>
    <w:rsid w:val="00B614ED"/>
    <w:rsid w:val="00B615C9"/>
    <w:rsid w:val="00B61773"/>
    <w:rsid w:val="00B61B7E"/>
    <w:rsid w:val="00B61D64"/>
    <w:rsid w:val="00B624FB"/>
    <w:rsid w:val="00B625AE"/>
    <w:rsid w:val="00B6277C"/>
    <w:rsid w:val="00B627DF"/>
    <w:rsid w:val="00B62D6F"/>
    <w:rsid w:val="00B633FD"/>
    <w:rsid w:val="00B63919"/>
    <w:rsid w:val="00B6417A"/>
    <w:rsid w:val="00B644AA"/>
    <w:rsid w:val="00B6490F"/>
    <w:rsid w:val="00B649CB"/>
    <w:rsid w:val="00B64BDC"/>
    <w:rsid w:val="00B64CE2"/>
    <w:rsid w:val="00B64E09"/>
    <w:rsid w:val="00B6596B"/>
    <w:rsid w:val="00B65AB3"/>
    <w:rsid w:val="00B65D1E"/>
    <w:rsid w:val="00B65F68"/>
    <w:rsid w:val="00B66134"/>
    <w:rsid w:val="00B66311"/>
    <w:rsid w:val="00B664B0"/>
    <w:rsid w:val="00B66C7A"/>
    <w:rsid w:val="00B67443"/>
    <w:rsid w:val="00B6780C"/>
    <w:rsid w:val="00B67814"/>
    <w:rsid w:val="00B679B8"/>
    <w:rsid w:val="00B67EC2"/>
    <w:rsid w:val="00B701A8"/>
    <w:rsid w:val="00B70228"/>
    <w:rsid w:val="00B704E4"/>
    <w:rsid w:val="00B708EC"/>
    <w:rsid w:val="00B70ACB"/>
    <w:rsid w:val="00B70CE2"/>
    <w:rsid w:val="00B70F33"/>
    <w:rsid w:val="00B71081"/>
    <w:rsid w:val="00B710FA"/>
    <w:rsid w:val="00B715BF"/>
    <w:rsid w:val="00B71CFF"/>
    <w:rsid w:val="00B71E36"/>
    <w:rsid w:val="00B72749"/>
    <w:rsid w:val="00B7289D"/>
    <w:rsid w:val="00B72975"/>
    <w:rsid w:val="00B72C44"/>
    <w:rsid w:val="00B72C4F"/>
    <w:rsid w:val="00B72D63"/>
    <w:rsid w:val="00B72DBB"/>
    <w:rsid w:val="00B72E59"/>
    <w:rsid w:val="00B730F4"/>
    <w:rsid w:val="00B73329"/>
    <w:rsid w:val="00B73528"/>
    <w:rsid w:val="00B739A6"/>
    <w:rsid w:val="00B73C36"/>
    <w:rsid w:val="00B73FF2"/>
    <w:rsid w:val="00B74619"/>
    <w:rsid w:val="00B74BED"/>
    <w:rsid w:val="00B74D54"/>
    <w:rsid w:val="00B751C2"/>
    <w:rsid w:val="00B75228"/>
    <w:rsid w:val="00B75259"/>
    <w:rsid w:val="00B7567C"/>
    <w:rsid w:val="00B75DEE"/>
    <w:rsid w:val="00B75E49"/>
    <w:rsid w:val="00B75FED"/>
    <w:rsid w:val="00B76032"/>
    <w:rsid w:val="00B7634F"/>
    <w:rsid w:val="00B76576"/>
    <w:rsid w:val="00B76885"/>
    <w:rsid w:val="00B77336"/>
    <w:rsid w:val="00B77375"/>
    <w:rsid w:val="00B776DA"/>
    <w:rsid w:val="00B77960"/>
    <w:rsid w:val="00B779B3"/>
    <w:rsid w:val="00B779B5"/>
    <w:rsid w:val="00B77A18"/>
    <w:rsid w:val="00B77B36"/>
    <w:rsid w:val="00B77B4E"/>
    <w:rsid w:val="00B8093D"/>
    <w:rsid w:val="00B80AB5"/>
    <w:rsid w:val="00B80FEF"/>
    <w:rsid w:val="00B811CE"/>
    <w:rsid w:val="00B816D9"/>
    <w:rsid w:val="00B81868"/>
    <w:rsid w:val="00B8189A"/>
    <w:rsid w:val="00B818DE"/>
    <w:rsid w:val="00B81966"/>
    <w:rsid w:val="00B820B3"/>
    <w:rsid w:val="00B8239D"/>
    <w:rsid w:val="00B824E2"/>
    <w:rsid w:val="00B82564"/>
    <w:rsid w:val="00B8260D"/>
    <w:rsid w:val="00B82748"/>
    <w:rsid w:val="00B82AD8"/>
    <w:rsid w:val="00B82D1A"/>
    <w:rsid w:val="00B82F81"/>
    <w:rsid w:val="00B8310B"/>
    <w:rsid w:val="00B83822"/>
    <w:rsid w:val="00B839FD"/>
    <w:rsid w:val="00B83C20"/>
    <w:rsid w:val="00B84000"/>
    <w:rsid w:val="00B842DB"/>
    <w:rsid w:val="00B8475C"/>
    <w:rsid w:val="00B84E0A"/>
    <w:rsid w:val="00B84E18"/>
    <w:rsid w:val="00B8504F"/>
    <w:rsid w:val="00B85641"/>
    <w:rsid w:val="00B85D68"/>
    <w:rsid w:val="00B85DBE"/>
    <w:rsid w:val="00B86234"/>
    <w:rsid w:val="00B863EA"/>
    <w:rsid w:val="00B8663B"/>
    <w:rsid w:val="00B867EF"/>
    <w:rsid w:val="00B86B01"/>
    <w:rsid w:val="00B86F8A"/>
    <w:rsid w:val="00B87020"/>
    <w:rsid w:val="00B872BE"/>
    <w:rsid w:val="00B872F6"/>
    <w:rsid w:val="00B87A43"/>
    <w:rsid w:val="00B90321"/>
    <w:rsid w:val="00B90591"/>
    <w:rsid w:val="00B90625"/>
    <w:rsid w:val="00B90757"/>
    <w:rsid w:val="00B909AF"/>
    <w:rsid w:val="00B90B0E"/>
    <w:rsid w:val="00B91A76"/>
    <w:rsid w:val="00B91AAD"/>
    <w:rsid w:val="00B92077"/>
    <w:rsid w:val="00B922E4"/>
    <w:rsid w:val="00B92369"/>
    <w:rsid w:val="00B92382"/>
    <w:rsid w:val="00B925FA"/>
    <w:rsid w:val="00B928B7"/>
    <w:rsid w:val="00B92B29"/>
    <w:rsid w:val="00B93142"/>
    <w:rsid w:val="00B939DC"/>
    <w:rsid w:val="00B9420C"/>
    <w:rsid w:val="00B9422D"/>
    <w:rsid w:val="00B94742"/>
    <w:rsid w:val="00B94AB9"/>
    <w:rsid w:val="00B95157"/>
    <w:rsid w:val="00B951AF"/>
    <w:rsid w:val="00B953F5"/>
    <w:rsid w:val="00B9552A"/>
    <w:rsid w:val="00B95A80"/>
    <w:rsid w:val="00B95D01"/>
    <w:rsid w:val="00B95DAA"/>
    <w:rsid w:val="00B95DCA"/>
    <w:rsid w:val="00B95EFB"/>
    <w:rsid w:val="00B96245"/>
    <w:rsid w:val="00B96627"/>
    <w:rsid w:val="00B967F2"/>
    <w:rsid w:val="00B9695A"/>
    <w:rsid w:val="00B96B70"/>
    <w:rsid w:val="00B96CBF"/>
    <w:rsid w:val="00B970F1"/>
    <w:rsid w:val="00B971AC"/>
    <w:rsid w:val="00B97971"/>
    <w:rsid w:val="00B97C6D"/>
    <w:rsid w:val="00B97F95"/>
    <w:rsid w:val="00BA0AC4"/>
    <w:rsid w:val="00BA0D13"/>
    <w:rsid w:val="00BA1911"/>
    <w:rsid w:val="00BA1B15"/>
    <w:rsid w:val="00BA1BF3"/>
    <w:rsid w:val="00BA2156"/>
    <w:rsid w:val="00BA22AB"/>
    <w:rsid w:val="00BA2E62"/>
    <w:rsid w:val="00BA3C3C"/>
    <w:rsid w:val="00BA401C"/>
    <w:rsid w:val="00BA417E"/>
    <w:rsid w:val="00BA4251"/>
    <w:rsid w:val="00BA4339"/>
    <w:rsid w:val="00BA4389"/>
    <w:rsid w:val="00BA442F"/>
    <w:rsid w:val="00BA469C"/>
    <w:rsid w:val="00BA4DBD"/>
    <w:rsid w:val="00BA50A1"/>
    <w:rsid w:val="00BA5357"/>
    <w:rsid w:val="00BA5592"/>
    <w:rsid w:val="00BA5BCD"/>
    <w:rsid w:val="00BA5D45"/>
    <w:rsid w:val="00BA5F02"/>
    <w:rsid w:val="00BA5F0F"/>
    <w:rsid w:val="00BA67C2"/>
    <w:rsid w:val="00BA6F37"/>
    <w:rsid w:val="00BA71AB"/>
    <w:rsid w:val="00BA726A"/>
    <w:rsid w:val="00BA7932"/>
    <w:rsid w:val="00BA7D39"/>
    <w:rsid w:val="00BB01F4"/>
    <w:rsid w:val="00BB0221"/>
    <w:rsid w:val="00BB03D2"/>
    <w:rsid w:val="00BB084E"/>
    <w:rsid w:val="00BB090F"/>
    <w:rsid w:val="00BB0BDE"/>
    <w:rsid w:val="00BB0CBF"/>
    <w:rsid w:val="00BB0D53"/>
    <w:rsid w:val="00BB0D99"/>
    <w:rsid w:val="00BB0DAA"/>
    <w:rsid w:val="00BB111D"/>
    <w:rsid w:val="00BB11F2"/>
    <w:rsid w:val="00BB15D8"/>
    <w:rsid w:val="00BB1ACA"/>
    <w:rsid w:val="00BB1DDC"/>
    <w:rsid w:val="00BB20D0"/>
    <w:rsid w:val="00BB2110"/>
    <w:rsid w:val="00BB2419"/>
    <w:rsid w:val="00BB2441"/>
    <w:rsid w:val="00BB276E"/>
    <w:rsid w:val="00BB286A"/>
    <w:rsid w:val="00BB287E"/>
    <w:rsid w:val="00BB2A19"/>
    <w:rsid w:val="00BB2A82"/>
    <w:rsid w:val="00BB2DBB"/>
    <w:rsid w:val="00BB3112"/>
    <w:rsid w:val="00BB39EA"/>
    <w:rsid w:val="00BB3A88"/>
    <w:rsid w:val="00BB3B2C"/>
    <w:rsid w:val="00BB3C38"/>
    <w:rsid w:val="00BB42A8"/>
    <w:rsid w:val="00BB4912"/>
    <w:rsid w:val="00BB4EFF"/>
    <w:rsid w:val="00BB51D0"/>
    <w:rsid w:val="00BB526C"/>
    <w:rsid w:val="00BB547E"/>
    <w:rsid w:val="00BB5C3E"/>
    <w:rsid w:val="00BB5FC5"/>
    <w:rsid w:val="00BB63D5"/>
    <w:rsid w:val="00BB666A"/>
    <w:rsid w:val="00BB6686"/>
    <w:rsid w:val="00BB69E8"/>
    <w:rsid w:val="00BB6B19"/>
    <w:rsid w:val="00BB6CC6"/>
    <w:rsid w:val="00BB6D49"/>
    <w:rsid w:val="00BB6DE1"/>
    <w:rsid w:val="00BB6EE1"/>
    <w:rsid w:val="00BB71A7"/>
    <w:rsid w:val="00BB71AD"/>
    <w:rsid w:val="00BB746F"/>
    <w:rsid w:val="00BB7494"/>
    <w:rsid w:val="00BB7832"/>
    <w:rsid w:val="00BB7982"/>
    <w:rsid w:val="00BB79D0"/>
    <w:rsid w:val="00BB7AAA"/>
    <w:rsid w:val="00BB7AFE"/>
    <w:rsid w:val="00BC05FC"/>
    <w:rsid w:val="00BC06CD"/>
    <w:rsid w:val="00BC0785"/>
    <w:rsid w:val="00BC0839"/>
    <w:rsid w:val="00BC0965"/>
    <w:rsid w:val="00BC0FE2"/>
    <w:rsid w:val="00BC101A"/>
    <w:rsid w:val="00BC11D9"/>
    <w:rsid w:val="00BC172F"/>
    <w:rsid w:val="00BC1830"/>
    <w:rsid w:val="00BC1ED7"/>
    <w:rsid w:val="00BC2DDD"/>
    <w:rsid w:val="00BC2F5D"/>
    <w:rsid w:val="00BC36C0"/>
    <w:rsid w:val="00BC37BD"/>
    <w:rsid w:val="00BC3C4A"/>
    <w:rsid w:val="00BC44E3"/>
    <w:rsid w:val="00BC4819"/>
    <w:rsid w:val="00BC4836"/>
    <w:rsid w:val="00BC494D"/>
    <w:rsid w:val="00BC4BAA"/>
    <w:rsid w:val="00BC4CAC"/>
    <w:rsid w:val="00BC4E39"/>
    <w:rsid w:val="00BC5373"/>
    <w:rsid w:val="00BC58D1"/>
    <w:rsid w:val="00BC5A18"/>
    <w:rsid w:val="00BC5D43"/>
    <w:rsid w:val="00BC5E8F"/>
    <w:rsid w:val="00BC5F50"/>
    <w:rsid w:val="00BC6308"/>
    <w:rsid w:val="00BC6814"/>
    <w:rsid w:val="00BC6976"/>
    <w:rsid w:val="00BC6BB5"/>
    <w:rsid w:val="00BC6C8A"/>
    <w:rsid w:val="00BC6EB2"/>
    <w:rsid w:val="00BC7819"/>
    <w:rsid w:val="00BC7950"/>
    <w:rsid w:val="00BC79C2"/>
    <w:rsid w:val="00BC7CC2"/>
    <w:rsid w:val="00BC7F38"/>
    <w:rsid w:val="00BD07FC"/>
    <w:rsid w:val="00BD099F"/>
    <w:rsid w:val="00BD0F69"/>
    <w:rsid w:val="00BD0F8F"/>
    <w:rsid w:val="00BD11D8"/>
    <w:rsid w:val="00BD1794"/>
    <w:rsid w:val="00BD1852"/>
    <w:rsid w:val="00BD18D7"/>
    <w:rsid w:val="00BD19E4"/>
    <w:rsid w:val="00BD19ED"/>
    <w:rsid w:val="00BD1D05"/>
    <w:rsid w:val="00BD1FA4"/>
    <w:rsid w:val="00BD2906"/>
    <w:rsid w:val="00BD29C5"/>
    <w:rsid w:val="00BD2B9F"/>
    <w:rsid w:val="00BD2CD2"/>
    <w:rsid w:val="00BD2D61"/>
    <w:rsid w:val="00BD2EC8"/>
    <w:rsid w:val="00BD2EF5"/>
    <w:rsid w:val="00BD30E9"/>
    <w:rsid w:val="00BD311B"/>
    <w:rsid w:val="00BD3262"/>
    <w:rsid w:val="00BD473D"/>
    <w:rsid w:val="00BD4898"/>
    <w:rsid w:val="00BD48E2"/>
    <w:rsid w:val="00BD4AA8"/>
    <w:rsid w:val="00BD51DB"/>
    <w:rsid w:val="00BD52C5"/>
    <w:rsid w:val="00BD5497"/>
    <w:rsid w:val="00BD5698"/>
    <w:rsid w:val="00BD5954"/>
    <w:rsid w:val="00BD5C12"/>
    <w:rsid w:val="00BD62A9"/>
    <w:rsid w:val="00BD662F"/>
    <w:rsid w:val="00BD6908"/>
    <w:rsid w:val="00BD6941"/>
    <w:rsid w:val="00BD69F9"/>
    <w:rsid w:val="00BD6DCE"/>
    <w:rsid w:val="00BD6E4E"/>
    <w:rsid w:val="00BD717C"/>
    <w:rsid w:val="00BD7586"/>
    <w:rsid w:val="00BD75D3"/>
    <w:rsid w:val="00BE0146"/>
    <w:rsid w:val="00BE0887"/>
    <w:rsid w:val="00BE0EC1"/>
    <w:rsid w:val="00BE106C"/>
    <w:rsid w:val="00BE16EE"/>
    <w:rsid w:val="00BE21E4"/>
    <w:rsid w:val="00BE247F"/>
    <w:rsid w:val="00BE24B7"/>
    <w:rsid w:val="00BE2680"/>
    <w:rsid w:val="00BE270F"/>
    <w:rsid w:val="00BE2780"/>
    <w:rsid w:val="00BE27E5"/>
    <w:rsid w:val="00BE2967"/>
    <w:rsid w:val="00BE300D"/>
    <w:rsid w:val="00BE30F0"/>
    <w:rsid w:val="00BE3302"/>
    <w:rsid w:val="00BE347C"/>
    <w:rsid w:val="00BE37B4"/>
    <w:rsid w:val="00BE3A14"/>
    <w:rsid w:val="00BE3BB1"/>
    <w:rsid w:val="00BE3E88"/>
    <w:rsid w:val="00BE3FB5"/>
    <w:rsid w:val="00BE4624"/>
    <w:rsid w:val="00BE46BB"/>
    <w:rsid w:val="00BE4856"/>
    <w:rsid w:val="00BE5254"/>
    <w:rsid w:val="00BE58DC"/>
    <w:rsid w:val="00BE59D1"/>
    <w:rsid w:val="00BE6102"/>
    <w:rsid w:val="00BE626B"/>
    <w:rsid w:val="00BE7397"/>
    <w:rsid w:val="00BE7744"/>
    <w:rsid w:val="00BE787A"/>
    <w:rsid w:val="00BE78CE"/>
    <w:rsid w:val="00BE7AEE"/>
    <w:rsid w:val="00BE7B31"/>
    <w:rsid w:val="00BE7F24"/>
    <w:rsid w:val="00BF0751"/>
    <w:rsid w:val="00BF0BA7"/>
    <w:rsid w:val="00BF13B7"/>
    <w:rsid w:val="00BF1652"/>
    <w:rsid w:val="00BF1D9E"/>
    <w:rsid w:val="00BF1F79"/>
    <w:rsid w:val="00BF1FD4"/>
    <w:rsid w:val="00BF200B"/>
    <w:rsid w:val="00BF237B"/>
    <w:rsid w:val="00BF2B0A"/>
    <w:rsid w:val="00BF2D22"/>
    <w:rsid w:val="00BF2FC4"/>
    <w:rsid w:val="00BF30D5"/>
    <w:rsid w:val="00BF3170"/>
    <w:rsid w:val="00BF341B"/>
    <w:rsid w:val="00BF3479"/>
    <w:rsid w:val="00BF3945"/>
    <w:rsid w:val="00BF39A3"/>
    <w:rsid w:val="00BF3E6E"/>
    <w:rsid w:val="00BF3EE6"/>
    <w:rsid w:val="00BF405D"/>
    <w:rsid w:val="00BF40AC"/>
    <w:rsid w:val="00BF40BD"/>
    <w:rsid w:val="00BF470C"/>
    <w:rsid w:val="00BF4990"/>
    <w:rsid w:val="00BF4A1E"/>
    <w:rsid w:val="00BF4DEE"/>
    <w:rsid w:val="00BF505A"/>
    <w:rsid w:val="00BF517E"/>
    <w:rsid w:val="00BF56F3"/>
    <w:rsid w:val="00BF596D"/>
    <w:rsid w:val="00BF5ADD"/>
    <w:rsid w:val="00BF5EC3"/>
    <w:rsid w:val="00BF6733"/>
    <w:rsid w:val="00BF7A6B"/>
    <w:rsid w:val="00C00730"/>
    <w:rsid w:val="00C00DEA"/>
    <w:rsid w:val="00C010C1"/>
    <w:rsid w:val="00C01101"/>
    <w:rsid w:val="00C013AD"/>
    <w:rsid w:val="00C01852"/>
    <w:rsid w:val="00C01C09"/>
    <w:rsid w:val="00C02190"/>
    <w:rsid w:val="00C02229"/>
    <w:rsid w:val="00C023F0"/>
    <w:rsid w:val="00C0350C"/>
    <w:rsid w:val="00C0360B"/>
    <w:rsid w:val="00C03992"/>
    <w:rsid w:val="00C03D30"/>
    <w:rsid w:val="00C041CD"/>
    <w:rsid w:val="00C041E3"/>
    <w:rsid w:val="00C042BF"/>
    <w:rsid w:val="00C04654"/>
    <w:rsid w:val="00C04AC8"/>
    <w:rsid w:val="00C05150"/>
    <w:rsid w:val="00C054F7"/>
    <w:rsid w:val="00C0571C"/>
    <w:rsid w:val="00C058DB"/>
    <w:rsid w:val="00C059AD"/>
    <w:rsid w:val="00C05BFA"/>
    <w:rsid w:val="00C05E8A"/>
    <w:rsid w:val="00C06074"/>
    <w:rsid w:val="00C06248"/>
    <w:rsid w:val="00C065BD"/>
    <w:rsid w:val="00C066D2"/>
    <w:rsid w:val="00C06C73"/>
    <w:rsid w:val="00C06D25"/>
    <w:rsid w:val="00C06E62"/>
    <w:rsid w:val="00C07559"/>
    <w:rsid w:val="00C07CAB"/>
    <w:rsid w:val="00C07F99"/>
    <w:rsid w:val="00C07FC8"/>
    <w:rsid w:val="00C1027C"/>
    <w:rsid w:val="00C102D5"/>
    <w:rsid w:val="00C108BF"/>
    <w:rsid w:val="00C108CA"/>
    <w:rsid w:val="00C10A22"/>
    <w:rsid w:val="00C10BFD"/>
    <w:rsid w:val="00C10C78"/>
    <w:rsid w:val="00C10E49"/>
    <w:rsid w:val="00C10E93"/>
    <w:rsid w:val="00C10F83"/>
    <w:rsid w:val="00C110D0"/>
    <w:rsid w:val="00C110E3"/>
    <w:rsid w:val="00C1113E"/>
    <w:rsid w:val="00C11922"/>
    <w:rsid w:val="00C11A96"/>
    <w:rsid w:val="00C11FA5"/>
    <w:rsid w:val="00C1201F"/>
    <w:rsid w:val="00C120C5"/>
    <w:rsid w:val="00C12439"/>
    <w:rsid w:val="00C12857"/>
    <w:rsid w:val="00C12A05"/>
    <w:rsid w:val="00C130AB"/>
    <w:rsid w:val="00C1328E"/>
    <w:rsid w:val="00C135D0"/>
    <w:rsid w:val="00C13730"/>
    <w:rsid w:val="00C137BA"/>
    <w:rsid w:val="00C139B1"/>
    <w:rsid w:val="00C13B47"/>
    <w:rsid w:val="00C13C6A"/>
    <w:rsid w:val="00C141E6"/>
    <w:rsid w:val="00C1449C"/>
    <w:rsid w:val="00C14642"/>
    <w:rsid w:val="00C147AD"/>
    <w:rsid w:val="00C14AC4"/>
    <w:rsid w:val="00C14D0C"/>
    <w:rsid w:val="00C15010"/>
    <w:rsid w:val="00C154EE"/>
    <w:rsid w:val="00C155F4"/>
    <w:rsid w:val="00C1568A"/>
    <w:rsid w:val="00C15D3B"/>
    <w:rsid w:val="00C15F45"/>
    <w:rsid w:val="00C1601D"/>
    <w:rsid w:val="00C161C0"/>
    <w:rsid w:val="00C162CC"/>
    <w:rsid w:val="00C163EB"/>
    <w:rsid w:val="00C16B26"/>
    <w:rsid w:val="00C16B80"/>
    <w:rsid w:val="00C16BC0"/>
    <w:rsid w:val="00C16DC3"/>
    <w:rsid w:val="00C173D3"/>
    <w:rsid w:val="00C17767"/>
    <w:rsid w:val="00C17B0E"/>
    <w:rsid w:val="00C17E36"/>
    <w:rsid w:val="00C2048A"/>
    <w:rsid w:val="00C20A88"/>
    <w:rsid w:val="00C2144E"/>
    <w:rsid w:val="00C21530"/>
    <w:rsid w:val="00C2154C"/>
    <w:rsid w:val="00C215D0"/>
    <w:rsid w:val="00C216E0"/>
    <w:rsid w:val="00C216FC"/>
    <w:rsid w:val="00C21899"/>
    <w:rsid w:val="00C21A07"/>
    <w:rsid w:val="00C21CF8"/>
    <w:rsid w:val="00C226D6"/>
    <w:rsid w:val="00C2330D"/>
    <w:rsid w:val="00C236E1"/>
    <w:rsid w:val="00C23915"/>
    <w:rsid w:val="00C23947"/>
    <w:rsid w:val="00C239F9"/>
    <w:rsid w:val="00C23A0E"/>
    <w:rsid w:val="00C23DA9"/>
    <w:rsid w:val="00C23EBC"/>
    <w:rsid w:val="00C243E0"/>
    <w:rsid w:val="00C24565"/>
    <w:rsid w:val="00C24793"/>
    <w:rsid w:val="00C2482D"/>
    <w:rsid w:val="00C24899"/>
    <w:rsid w:val="00C248F2"/>
    <w:rsid w:val="00C2490C"/>
    <w:rsid w:val="00C2496C"/>
    <w:rsid w:val="00C25070"/>
    <w:rsid w:val="00C25440"/>
    <w:rsid w:val="00C2546B"/>
    <w:rsid w:val="00C255A8"/>
    <w:rsid w:val="00C257C3"/>
    <w:rsid w:val="00C257F1"/>
    <w:rsid w:val="00C25D5F"/>
    <w:rsid w:val="00C261C5"/>
    <w:rsid w:val="00C2641C"/>
    <w:rsid w:val="00C2644A"/>
    <w:rsid w:val="00C266B0"/>
    <w:rsid w:val="00C268EE"/>
    <w:rsid w:val="00C26A9B"/>
    <w:rsid w:val="00C26EB4"/>
    <w:rsid w:val="00C26FD7"/>
    <w:rsid w:val="00C2728C"/>
    <w:rsid w:val="00C2781D"/>
    <w:rsid w:val="00C27A73"/>
    <w:rsid w:val="00C27ED8"/>
    <w:rsid w:val="00C300D2"/>
    <w:rsid w:val="00C303D9"/>
    <w:rsid w:val="00C305D2"/>
    <w:rsid w:val="00C30698"/>
    <w:rsid w:val="00C308FC"/>
    <w:rsid w:val="00C30937"/>
    <w:rsid w:val="00C30E76"/>
    <w:rsid w:val="00C30F24"/>
    <w:rsid w:val="00C3150A"/>
    <w:rsid w:val="00C315EB"/>
    <w:rsid w:val="00C316CA"/>
    <w:rsid w:val="00C31713"/>
    <w:rsid w:val="00C31B38"/>
    <w:rsid w:val="00C31DB3"/>
    <w:rsid w:val="00C32218"/>
    <w:rsid w:val="00C32344"/>
    <w:rsid w:val="00C32579"/>
    <w:rsid w:val="00C32934"/>
    <w:rsid w:val="00C32B62"/>
    <w:rsid w:val="00C32BCF"/>
    <w:rsid w:val="00C32C90"/>
    <w:rsid w:val="00C32E24"/>
    <w:rsid w:val="00C33210"/>
    <w:rsid w:val="00C33289"/>
    <w:rsid w:val="00C33AFB"/>
    <w:rsid w:val="00C33F1D"/>
    <w:rsid w:val="00C34098"/>
    <w:rsid w:val="00C343CF"/>
    <w:rsid w:val="00C344BE"/>
    <w:rsid w:val="00C345E0"/>
    <w:rsid w:val="00C34B28"/>
    <w:rsid w:val="00C35599"/>
    <w:rsid w:val="00C35770"/>
    <w:rsid w:val="00C35795"/>
    <w:rsid w:val="00C35816"/>
    <w:rsid w:val="00C35A01"/>
    <w:rsid w:val="00C363CF"/>
    <w:rsid w:val="00C3647A"/>
    <w:rsid w:val="00C36592"/>
    <w:rsid w:val="00C365F9"/>
    <w:rsid w:val="00C36750"/>
    <w:rsid w:val="00C36E1E"/>
    <w:rsid w:val="00C3744C"/>
    <w:rsid w:val="00C376C4"/>
    <w:rsid w:val="00C37BD0"/>
    <w:rsid w:val="00C40095"/>
    <w:rsid w:val="00C40B88"/>
    <w:rsid w:val="00C410AE"/>
    <w:rsid w:val="00C41241"/>
    <w:rsid w:val="00C413EF"/>
    <w:rsid w:val="00C41644"/>
    <w:rsid w:val="00C41687"/>
    <w:rsid w:val="00C417B6"/>
    <w:rsid w:val="00C41C0E"/>
    <w:rsid w:val="00C421CB"/>
    <w:rsid w:val="00C423F3"/>
    <w:rsid w:val="00C4288B"/>
    <w:rsid w:val="00C42B76"/>
    <w:rsid w:val="00C42F7D"/>
    <w:rsid w:val="00C43107"/>
    <w:rsid w:val="00C43255"/>
    <w:rsid w:val="00C437E0"/>
    <w:rsid w:val="00C438E5"/>
    <w:rsid w:val="00C43D4D"/>
    <w:rsid w:val="00C43D9C"/>
    <w:rsid w:val="00C440D5"/>
    <w:rsid w:val="00C44216"/>
    <w:rsid w:val="00C44247"/>
    <w:rsid w:val="00C4443C"/>
    <w:rsid w:val="00C44484"/>
    <w:rsid w:val="00C447D4"/>
    <w:rsid w:val="00C451EB"/>
    <w:rsid w:val="00C45FA3"/>
    <w:rsid w:val="00C46012"/>
    <w:rsid w:val="00C46095"/>
    <w:rsid w:val="00C46437"/>
    <w:rsid w:val="00C46A02"/>
    <w:rsid w:val="00C46B76"/>
    <w:rsid w:val="00C46C25"/>
    <w:rsid w:val="00C476C2"/>
    <w:rsid w:val="00C47E4C"/>
    <w:rsid w:val="00C47FD1"/>
    <w:rsid w:val="00C504C4"/>
    <w:rsid w:val="00C50A17"/>
    <w:rsid w:val="00C50ACD"/>
    <w:rsid w:val="00C51526"/>
    <w:rsid w:val="00C515B3"/>
    <w:rsid w:val="00C517B8"/>
    <w:rsid w:val="00C51831"/>
    <w:rsid w:val="00C51BED"/>
    <w:rsid w:val="00C525AE"/>
    <w:rsid w:val="00C525E7"/>
    <w:rsid w:val="00C5284D"/>
    <w:rsid w:val="00C52866"/>
    <w:rsid w:val="00C529DC"/>
    <w:rsid w:val="00C52BD3"/>
    <w:rsid w:val="00C53043"/>
    <w:rsid w:val="00C5313A"/>
    <w:rsid w:val="00C5318D"/>
    <w:rsid w:val="00C53280"/>
    <w:rsid w:val="00C5365E"/>
    <w:rsid w:val="00C538A6"/>
    <w:rsid w:val="00C53C55"/>
    <w:rsid w:val="00C53D6A"/>
    <w:rsid w:val="00C53DC8"/>
    <w:rsid w:val="00C54595"/>
    <w:rsid w:val="00C54FBD"/>
    <w:rsid w:val="00C554DD"/>
    <w:rsid w:val="00C55A41"/>
    <w:rsid w:val="00C55BEC"/>
    <w:rsid w:val="00C561D0"/>
    <w:rsid w:val="00C563AD"/>
    <w:rsid w:val="00C572CC"/>
    <w:rsid w:val="00C573F0"/>
    <w:rsid w:val="00C5753C"/>
    <w:rsid w:val="00C5761E"/>
    <w:rsid w:val="00C57D4C"/>
    <w:rsid w:val="00C57EB1"/>
    <w:rsid w:val="00C57FF0"/>
    <w:rsid w:val="00C6000D"/>
    <w:rsid w:val="00C60158"/>
    <w:rsid w:val="00C60823"/>
    <w:rsid w:val="00C60E5F"/>
    <w:rsid w:val="00C61028"/>
    <w:rsid w:val="00C61329"/>
    <w:rsid w:val="00C614E1"/>
    <w:rsid w:val="00C61FA9"/>
    <w:rsid w:val="00C62221"/>
    <w:rsid w:val="00C62526"/>
    <w:rsid w:val="00C62658"/>
    <w:rsid w:val="00C62778"/>
    <w:rsid w:val="00C62861"/>
    <w:rsid w:val="00C62928"/>
    <w:rsid w:val="00C62AAA"/>
    <w:rsid w:val="00C62AF9"/>
    <w:rsid w:val="00C62ED4"/>
    <w:rsid w:val="00C6318A"/>
    <w:rsid w:val="00C63804"/>
    <w:rsid w:val="00C6394C"/>
    <w:rsid w:val="00C63BA8"/>
    <w:rsid w:val="00C63D32"/>
    <w:rsid w:val="00C63F02"/>
    <w:rsid w:val="00C63FCB"/>
    <w:rsid w:val="00C64460"/>
    <w:rsid w:val="00C64506"/>
    <w:rsid w:val="00C64757"/>
    <w:rsid w:val="00C64FD2"/>
    <w:rsid w:val="00C650EB"/>
    <w:rsid w:val="00C65226"/>
    <w:rsid w:val="00C6593A"/>
    <w:rsid w:val="00C66514"/>
    <w:rsid w:val="00C66700"/>
    <w:rsid w:val="00C66978"/>
    <w:rsid w:val="00C66B63"/>
    <w:rsid w:val="00C66B7C"/>
    <w:rsid w:val="00C672CD"/>
    <w:rsid w:val="00C6731D"/>
    <w:rsid w:val="00C679AA"/>
    <w:rsid w:val="00C67A40"/>
    <w:rsid w:val="00C67AD7"/>
    <w:rsid w:val="00C67B95"/>
    <w:rsid w:val="00C67C97"/>
    <w:rsid w:val="00C67D52"/>
    <w:rsid w:val="00C67DB8"/>
    <w:rsid w:val="00C67FEB"/>
    <w:rsid w:val="00C70124"/>
    <w:rsid w:val="00C70B06"/>
    <w:rsid w:val="00C70B6B"/>
    <w:rsid w:val="00C70FDE"/>
    <w:rsid w:val="00C71048"/>
    <w:rsid w:val="00C710DE"/>
    <w:rsid w:val="00C71741"/>
    <w:rsid w:val="00C718DC"/>
    <w:rsid w:val="00C71A49"/>
    <w:rsid w:val="00C71BAC"/>
    <w:rsid w:val="00C71EA1"/>
    <w:rsid w:val="00C72050"/>
    <w:rsid w:val="00C726AB"/>
    <w:rsid w:val="00C727F6"/>
    <w:rsid w:val="00C73102"/>
    <w:rsid w:val="00C7337E"/>
    <w:rsid w:val="00C7341A"/>
    <w:rsid w:val="00C7380A"/>
    <w:rsid w:val="00C744C4"/>
    <w:rsid w:val="00C74661"/>
    <w:rsid w:val="00C74813"/>
    <w:rsid w:val="00C74B80"/>
    <w:rsid w:val="00C74CB0"/>
    <w:rsid w:val="00C74FF2"/>
    <w:rsid w:val="00C750CA"/>
    <w:rsid w:val="00C750FE"/>
    <w:rsid w:val="00C7581D"/>
    <w:rsid w:val="00C75845"/>
    <w:rsid w:val="00C75BC5"/>
    <w:rsid w:val="00C75C08"/>
    <w:rsid w:val="00C761DE"/>
    <w:rsid w:val="00C762BF"/>
    <w:rsid w:val="00C76A16"/>
    <w:rsid w:val="00C76B02"/>
    <w:rsid w:val="00C76E82"/>
    <w:rsid w:val="00C771D6"/>
    <w:rsid w:val="00C77783"/>
    <w:rsid w:val="00C7794C"/>
    <w:rsid w:val="00C77B4B"/>
    <w:rsid w:val="00C77C2E"/>
    <w:rsid w:val="00C77E26"/>
    <w:rsid w:val="00C80077"/>
    <w:rsid w:val="00C804CE"/>
    <w:rsid w:val="00C80640"/>
    <w:rsid w:val="00C80BBA"/>
    <w:rsid w:val="00C80C7B"/>
    <w:rsid w:val="00C80DC3"/>
    <w:rsid w:val="00C80F10"/>
    <w:rsid w:val="00C81031"/>
    <w:rsid w:val="00C8133A"/>
    <w:rsid w:val="00C81743"/>
    <w:rsid w:val="00C81790"/>
    <w:rsid w:val="00C817A5"/>
    <w:rsid w:val="00C81AAF"/>
    <w:rsid w:val="00C81D7F"/>
    <w:rsid w:val="00C81ED6"/>
    <w:rsid w:val="00C81FC0"/>
    <w:rsid w:val="00C82678"/>
    <w:rsid w:val="00C82B9E"/>
    <w:rsid w:val="00C82E38"/>
    <w:rsid w:val="00C82E8C"/>
    <w:rsid w:val="00C834C2"/>
    <w:rsid w:val="00C83B30"/>
    <w:rsid w:val="00C83C7E"/>
    <w:rsid w:val="00C83E29"/>
    <w:rsid w:val="00C83E66"/>
    <w:rsid w:val="00C840A3"/>
    <w:rsid w:val="00C841C1"/>
    <w:rsid w:val="00C845CA"/>
    <w:rsid w:val="00C84994"/>
    <w:rsid w:val="00C84DD5"/>
    <w:rsid w:val="00C84E1D"/>
    <w:rsid w:val="00C84EDC"/>
    <w:rsid w:val="00C85243"/>
    <w:rsid w:val="00C854ED"/>
    <w:rsid w:val="00C85516"/>
    <w:rsid w:val="00C856BB"/>
    <w:rsid w:val="00C857F2"/>
    <w:rsid w:val="00C85C88"/>
    <w:rsid w:val="00C85EBF"/>
    <w:rsid w:val="00C8624A"/>
    <w:rsid w:val="00C86288"/>
    <w:rsid w:val="00C86489"/>
    <w:rsid w:val="00C86607"/>
    <w:rsid w:val="00C8665E"/>
    <w:rsid w:val="00C86FC0"/>
    <w:rsid w:val="00C872BA"/>
    <w:rsid w:val="00C874DD"/>
    <w:rsid w:val="00C8782D"/>
    <w:rsid w:val="00C87B24"/>
    <w:rsid w:val="00C87F96"/>
    <w:rsid w:val="00C903A0"/>
    <w:rsid w:val="00C90716"/>
    <w:rsid w:val="00C90D40"/>
    <w:rsid w:val="00C912A9"/>
    <w:rsid w:val="00C917A4"/>
    <w:rsid w:val="00C9191B"/>
    <w:rsid w:val="00C91E07"/>
    <w:rsid w:val="00C91F11"/>
    <w:rsid w:val="00C923EF"/>
    <w:rsid w:val="00C929EE"/>
    <w:rsid w:val="00C92AA1"/>
    <w:rsid w:val="00C92C65"/>
    <w:rsid w:val="00C92DCC"/>
    <w:rsid w:val="00C93124"/>
    <w:rsid w:val="00C935A4"/>
    <w:rsid w:val="00C936A2"/>
    <w:rsid w:val="00C937A4"/>
    <w:rsid w:val="00C93D8C"/>
    <w:rsid w:val="00C93E7D"/>
    <w:rsid w:val="00C9417B"/>
    <w:rsid w:val="00C94383"/>
    <w:rsid w:val="00C943AA"/>
    <w:rsid w:val="00C9441A"/>
    <w:rsid w:val="00C9478E"/>
    <w:rsid w:val="00C94B6D"/>
    <w:rsid w:val="00C95350"/>
    <w:rsid w:val="00C954CE"/>
    <w:rsid w:val="00C957F5"/>
    <w:rsid w:val="00C95AE5"/>
    <w:rsid w:val="00C95DF6"/>
    <w:rsid w:val="00C95F00"/>
    <w:rsid w:val="00C96441"/>
    <w:rsid w:val="00C96E56"/>
    <w:rsid w:val="00CA0124"/>
    <w:rsid w:val="00CA0185"/>
    <w:rsid w:val="00CA0552"/>
    <w:rsid w:val="00CA0A97"/>
    <w:rsid w:val="00CA0BF4"/>
    <w:rsid w:val="00CA0FCE"/>
    <w:rsid w:val="00CA1874"/>
    <w:rsid w:val="00CA18C7"/>
    <w:rsid w:val="00CA1A4B"/>
    <w:rsid w:val="00CA1D1A"/>
    <w:rsid w:val="00CA20DB"/>
    <w:rsid w:val="00CA25E0"/>
    <w:rsid w:val="00CA2671"/>
    <w:rsid w:val="00CA2AA2"/>
    <w:rsid w:val="00CA32BD"/>
    <w:rsid w:val="00CA34F5"/>
    <w:rsid w:val="00CA3A86"/>
    <w:rsid w:val="00CA3C12"/>
    <w:rsid w:val="00CA4894"/>
    <w:rsid w:val="00CA489B"/>
    <w:rsid w:val="00CA48FB"/>
    <w:rsid w:val="00CA4DE1"/>
    <w:rsid w:val="00CA4EA6"/>
    <w:rsid w:val="00CA4F4D"/>
    <w:rsid w:val="00CA4FDB"/>
    <w:rsid w:val="00CA505D"/>
    <w:rsid w:val="00CA529F"/>
    <w:rsid w:val="00CA543D"/>
    <w:rsid w:val="00CA5D87"/>
    <w:rsid w:val="00CA5D8A"/>
    <w:rsid w:val="00CA5DAD"/>
    <w:rsid w:val="00CA5E46"/>
    <w:rsid w:val="00CA5F7B"/>
    <w:rsid w:val="00CA62E0"/>
    <w:rsid w:val="00CA63FD"/>
    <w:rsid w:val="00CA69EE"/>
    <w:rsid w:val="00CA6CC5"/>
    <w:rsid w:val="00CA6D85"/>
    <w:rsid w:val="00CA6ED1"/>
    <w:rsid w:val="00CA7279"/>
    <w:rsid w:val="00CA73DC"/>
    <w:rsid w:val="00CA7443"/>
    <w:rsid w:val="00CA7ABF"/>
    <w:rsid w:val="00CA7C13"/>
    <w:rsid w:val="00CA7C1F"/>
    <w:rsid w:val="00CB0818"/>
    <w:rsid w:val="00CB0C90"/>
    <w:rsid w:val="00CB1381"/>
    <w:rsid w:val="00CB13A0"/>
    <w:rsid w:val="00CB1837"/>
    <w:rsid w:val="00CB1AF7"/>
    <w:rsid w:val="00CB1D8C"/>
    <w:rsid w:val="00CB1DD0"/>
    <w:rsid w:val="00CB279A"/>
    <w:rsid w:val="00CB2952"/>
    <w:rsid w:val="00CB3263"/>
    <w:rsid w:val="00CB33D9"/>
    <w:rsid w:val="00CB371D"/>
    <w:rsid w:val="00CB37F7"/>
    <w:rsid w:val="00CB393D"/>
    <w:rsid w:val="00CB3D6C"/>
    <w:rsid w:val="00CB43F3"/>
    <w:rsid w:val="00CB4547"/>
    <w:rsid w:val="00CB5318"/>
    <w:rsid w:val="00CB57E2"/>
    <w:rsid w:val="00CB5818"/>
    <w:rsid w:val="00CB6274"/>
    <w:rsid w:val="00CB6992"/>
    <w:rsid w:val="00CB69B1"/>
    <w:rsid w:val="00CB6B38"/>
    <w:rsid w:val="00CB7182"/>
    <w:rsid w:val="00CB7376"/>
    <w:rsid w:val="00CB747B"/>
    <w:rsid w:val="00CB7ABA"/>
    <w:rsid w:val="00CB7C05"/>
    <w:rsid w:val="00CB7DAA"/>
    <w:rsid w:val="00CC08B2"/>
    <w:rsid w:val="00CC09C4"/>
    <w:rsid w:val="00CC09C9"/>
    <w:rsid w:val="00CC0A03"/>
    <w:rsid w:val="00CC0D0D"/>
    <w:rsid w:val="00CC0D31"/>
    <w:rsid w:val="00CC0D83"/>
    <w:rsid w:val="00CC16AF"/>
    <w:rsid w:val="00CC1B1E"/>
    <w:rsid w:val="00CC1B31"/>
    <w:rsid w:val="00CC242B"/>
    <w:rsid w:val="00CC243D"/>
    <w:rsid w:val="00CC2519"/>
    <w:rsid w:val="00CC2DF7"/>
    <w:rsid w:val="00CC2EE1"/>
    <w:rsid w:val="00CC3005"/>
    <w:rsid w:val="00CC3348"/>
    <w:rsid w:val="00CC3562"/>
    <w:rsid w:val="00CC36E4"/>
    <w:rsid w:val="00CC37AD"/>
    <w:rsid w:val="00CC39CF"/>
    <w:rsid w:val="00CC3BC1"/>
    <w:rsid w:val="00CC425C"/>
    <w:rsid w:val="00CC496E"/>
    <w:rsid w:val="00CC4C20"/>
    <w:rsid w:val="00CC4C4B"/>
    <w:rsid w:val="00CC4C9D"/>
    <w:rsid w:val="00CC4E18"/>
    <w:rsid w:val="00CC5626"/>
    <w:rsid w:val="00CC5693"/>
    <w:rsid w:val="00CC5792"/>
    <w:rsid w:val="00CC57CC"/>
    <w:rsid w:val="00CC5B72"/>
    <w:rsid w:val="00CC5EA0"/>
    <w:rsid w:val="00CC5FFE"/>
    <w:rsid w:val="00CC60EC"/>
    <w:rsid w:val="00CC624E"/>
    <w:rsid w:val="00CC6F29"/>
    <w:rsid w:val="00CC7057"/>
    <w:rsid w:val="00CC70F3"/>
    <w:rsid w:val="00CC7367"/>
    <w:rsid w:val="00CC76F9"/>
    <w:rsid w:val="00CC7E9D"/>
    <w:rsid w:val="00CD04A2"/>
    <w:rsid w:val="00CD0C4D"/>
    <w:rsid w:val="00CD0FA0"/>
    <w:rsid w:val="00CD12CE"/>
    <w:rsid w:val="00CD15AD"/>
    <w:rsid w:val="00CD1A0A"/>
    <w:rsid w:val="00CD206F"/>
    <w:rsid w:val="00CD21A1"/>
    <w:rsid w:val="00CD235E"/>
    <w:rsid w:val="00CD23BC"/>
    <w:rsid w:val="00CD23CB"/>
    <w:rsid w:val="00CD27BF"/>
    <w:rsid w:val="00CD2B9E"/>
    <w:rsid w:val="00CD3028"/>
    <w:rsid w:val="00CD3A02"/>
    <w:rsid w:val="00CD3A9E"/>
    <w:rsid w:val="00CD3FDA"/>
    <w:rsid w:val="00CD4993"/>
    <w:rsid w:val="00CD4C7E"/>
    <w:rsid w:val="00CD51F9"/>
    <w:rsid w:val="00CD54B3"/>
    <w:rsid w:val="00CD561D"/>
    <w:rsid w:val="00CD5A83"/>
    <w:rsid w:val="00CD5EE2"/>
    <w:rsid w:val="00CD62C2"/>
    <w:rsid w:val="00CD62DC"/>
    <w:rsid w:val="00CD6C1E"/>
    <w:rsid w:val="00CD6C39"/>
    <w:rsid w:val="00CD6C40"/>
    <w:rsid w:val="00CD7032"/>
    <w:rsid w:val="00CD708A"/>
    <w:rsid w:val="00CD73F4"/>
    <w:rsid w:val="00CD77D5"/>
    <w:rsid w:val="00CD7859"/>
    <w:rsid w:val="00CD7A86"/>
    <w:rsid w:val="00CD7CAB"/>
    <w:rsid w:val="00CE0AD1"/>
    <w:rsid w:val="00CE0CDB"/>
    <w:rsid w:val="00CE0E4C"/>
    <w:rsid w:val="00CE11CC"/>
    <w:rsid w:val="00CE1616"/>
    <w:rsid w:val="00CE16A9"/>
    <w:rsid w:val="00CE1868"/>
    <w:rsid w:val="00CE1878"/>
    <w:rsid w:val="00CE1EAF"/>
    <w:rsid w:val="00CE1F4D"/>
    <w:rsid w:val="00CE1FCD"/>
    <w:rsid w:val="00CE2076"/>
    <w:rsid w:val="00CE232B"/>
    <w:rsid w:val="00CE2652"/>
    <w:rsid w:val="00CE2D69"/>
    <w:rsid w:val="00CE2F62"/>
    <w:rsid w:val="00CE3768"/>
    <w:rsid w:val="00CE394F"/>
    <w:rsid w:val="00CE39A9"/>
    <w:rsid w:val="00CE4453"/>
    <w:rsid w:val="00CE4487"/>
    <w:rsid w:val="00CE4A69"/>
    <w:rsid w:val="00CE51B1"/>
    <w:rsid w:val="00CE549F"/>
    <w:rsid w:val="00CE57FC"/>
    <w:rsid w:val="00CE5C4F"/>
    <w:rsid w:val="00CE5F37"/>
    <w:rsid w:val="00CE6B80"/>
    <w:rsid w:val="00CE6DB2"/>
    <w:rsid w:val="00CE6DEA"/>
    <w:rsid w:val="00CE6DFB"/>
    <w:rsid w:val="00CE6E6E"/>
    <w:rsid w:val="00CE6F57"/>
    <w:rsid w:val="00CE71F0"/>
    <w:rsid w:val="00CE74A4"/>
    <w:rsid w:val="00CE75F9"/>
    <w:rsid w:val="00CE7D9F"/>
    <w:rsid w:val="00CF05DF"/>
    <w:rsid w:val="00CF0CE5"/>
    <w:rsid w:val="00CF0EA5"/>
    <w:rsid w:val="00CF10E2"/>
    <w:rsid w:val="00CF1790"/>
    <w:rsid w:val="00CF1D87"/>
    <w:rsid w:val="00CF1F4C"/>
    <w:rsid w:val="00CF2082"/>
    <w:rsid w:val="00CF2A75"/>
    <w:rsid w:val="00CF2C02"/>
    <w:rsid w:val="00CF37AA"/>
    <w:rsid w:val="00CF3846"/>
    <w:rsid w:val="00CF399C"/>
    <w:rsid w:val="00CF3BB5"/>
    <w:rsid w:val="00CF3F8D"/>
    <w:rsid w:val="00CF419D"/>
    <w:rsid w:val="00CF420A"/>
    <w:rsid w:val="00CF480E"/>
    <w:rsid w:val="00CF482F"/>
    <w:rsid w:val="00CF4A30"/>
    <w:rsid w:val="00CF4DDF"/>
    <w:rsid w:val="00CF518E"/>
    <w:rsid w:val="00CF51A8"/>
    <w:rsid w:val="00CF5ADC"/>
    <w:rsid w:val="00CF5D2D"/>
    <w:rsid w:val="00CF5FCA"/>
    <w:rsid w:val="00CF65E5"/>
    <w:rsid w:val="00CF663D"/>
    <w:rsid w:val="00CF668E"/>
    <w:rsid w:val="00CF697B"/>
    <w:rsid w:val="00CF7396"/>
    <w:rsid w:val="00CF749A"/>
    <w:rsid w:val="00CF76F4"/>
    <w:rsid w:val="00CF7908"/>
    <w:rsid w:val="00CF79CC"/>
    <w:rsid w:val="00CF7B5C"/>
    <w:rsid w:val="00CF7EBB"/>
    <w:rsid w:val="00D0029A"/>
    <w:rsid w:val="00D002C5"/>
    <w:rsid w:val="00D005A6"/>
    <w:rsid w:val="00D005D8"/>
    <w:rsid w:val="00D00683"/>
    <w:rsid w:val="00D006F4"/>
    <w:rsid w:val="00D00D7C"/>
    <w:rsid w:val="00D00FF7"/>
    <w:rsid w:val="00D01337"/>
    <w:rsid w:val="00D0196D"/>
    <w:rsid w:val="00D01C70"/>
    <w:rsid w:val="00D01D35"/>
    <w:rsid w:val="00D01EA6"/>
    <w:rsid w:val="00D01EB2"/>
    <w:rsid w:val="00D0253F"/>
    <w:rsid w:val="00D02731"/>
    <w:rsid w:val="00D02931"/>
    <w:rsid w:val="00D02A11"/>
    <w:rsid w:val="00D02BCF"/>
    <w:rsid w:val="00D02D0D"/>
    <w:rsid w:val="00D02E29"/>
    <w:rsid w:val="00D02E5C"/>
    <w:rsid w:val="00D0335B"/>
    <w:rsid w:val="00D03D3A"/>
    <w:rsid w:val="00D0412E"/>
    <w:rsid w:val="00D043D3"/>
    <w:rsid w:val="00D04515"/>
    <w:rsid w:val="00D0466F"/>
    <w:rsid w:val="00D048E6"/>
    <w:rsid w:val="00D049C3"/>
    <w:rsid w:val="00D04B20"/>
    <w:rsid w:val="00D04E48"/>
    <w:rsid w:val="00D05347"/>
    <w:rsid w:val="00D05438"/>
    <w:rsid w:val="00D0592F"/>
    <w:rsid w:val="00D06302"/>
    <w:rsid w:val="00D06427"/>
    <w:rsid w:val="00D0656B"/>
    <w:rsid w:val="00D06750"/>
    <w:rsid w:val="00D06A1B"/>
    <w:rsid w:val="00D06D16"/>
    <w:rsid w:val="00D06FDC"/>
    <w:rsid w:val="00D07067"/>
    <w:rsid w:val="00D072F9"/>
    <w:rsid w:val="00D074B3"/>
    <w:rsid w:val="00D074F3"/>
    <w:rsid w:val="00D07511"/>
    <w:rsid w:val="00D0768E"/>
    <w:rsid w:val="00D07919"/>
    <w:rsid w:val="00D07C70"/>
    <w:rsid w:val="00D07F31"/>
    <w:rsid w:val="00D1027D"/>
    <w:rsid w:val="00D10734"/>
    <w:rsid w:val="00D107D3"/>
    <w:rsid w:val="00D1081F"/>
    <w:rsid w:val="00D10865"/>
    <w:rsid w:val="00D10D8E"/>
    <w:rsid w:val="00D111D7"/>
    <w:rsid w:val="00D1129C"/>
    <w:rsid w:val="00D117B8"/>
    <w:rsid w:val="00D11802"/>
    <w:rsid w:val="00D125DE"/>
    <w:rsid w:val="00D1298A"/>
    <w:rsid w:val="00D12CB4"/>
    <w:rsid w:val="00D12D37"/>
    <w:rsid w:val="00D12EB3"/>
    <w:rsid w:val="00D130CA"/>
    <w:rsid w:val="00D131A3"/>
    <w:rsid w:val="00D133FD"/>
    <w:rsid w:val="00D13665"/>
    <w:rsid w:val="00D13806"/>
    <w:rsid w:val="00D139B2"/>
    <w:rsid w:val="00D13E52"/>
    <w:rsid w:val="00D14035"/>
    <w:rsid w:val="00D140E3"/>
    <w:rsid w:val="00D14538"/>
    <w:rsid w:val="00D14784"/>
    <w:rsid w:val="00D14999"/>
    <w:rsid w:val="00D14B24"/>
    <w:rsid w:val="00D14D10"/>
    <w:rsid w:val="00D152AB"/>
    <w:rsid w:val="00D15461"/>
    <w:rsid w:val="00D156BC"/>
    <w:rsid w:val="00D15D17"/>
    <w:rsid w:val="00D15DA8"/>
    <w:rsid w:val="00D15DDC"/>
    <w:rsid w:val="00D16276"/>
    <w:rsid w:val="00D1660F"/>
    <w:rsid w:val="00D1686B"/>
    <w:rsid w:val="00D16B4F"/>
    <w:rsid w:val="00D16B59"/>
    <w:rsid w:val="00D16BCF"/>
    <w:rsid w:val="00D16CE4"/>
    <w:rsid w:val="00D16F30"/>
    <w:rsid w:val="00D17249"/>
    <w:rsid w:val="00D17327"/>
    <w:rsid w:val="00D179C8"/>
    <w:rsid w:val="00D17E78"/>
    <w:rsid w:val="00D202B9"/>
    <w:rsid w:val="00D209AC"/>
    <w:rsid w:val="00D20ECE"/>
    <w:rsid w:val="00D213AE"/>
    <w:rsid w:val="00D21454"/>
    <w:rsid w:val="00D214A3"/>
    <w:rsid w:val="00D217B2"/>
    <w:rsid w:val="00D219E3"/>
    <w:rsid w:val="00D21B8B"/>
    <w:rsid w:val="00D22152"/>
    <w:rsid w:val="00D224F1"/>
    <w:rsid w:val="00D2283F"/>
    <w:rsid w:val="00D228B3"/>
    <w:rsid w:val="00D22D5A"/>
    <w:rsid w:val="00D22DEA"/>
    <w:rsid w:val="00D22FFB"/>
    <w:rsid w:val="00D230B1"/>
    <w:rsid w:val="00D236F0"/>
    <w:rsid w:val="00D237D9"/>
    <w:rsid w:val="00D23903"/>
    <w:rsid w:val="00D23A49"/>
    <w:rsid w:val="00D23C75"/>
    <w:rsid w:val="00D244E1"/>
    <w:rsid w:val="00D246D5"/>
    <w:rsid w:val="00D24CF4"/>
    <w:rsid w:val="00D25436"/>
    <w:rsid w:val="00D25488"/>
    <w:rsid w:val="00D257D5"/>
    <w:rsid w:val="00D259B0"/>
    <w:rsid w:val="00D25C88"/>
    <w:rsid w:val="00D25DEF"/>
    <w:rsid w:val="00D2604A"/>
    <w:rsid w:val="00D261B6"/>
    <w:rsid w:val="00D2653C"/>
    <w:rsid w:val="00D26744"/>
    <w:rsid w:val="00D267E3"/>
    <w:rsid w:val="00D26D28"/>
    <w:rsid w:val="00D272CC"/>
    <w:rsid w:val="00D27375"/>
    <w:rsid w:val="00D2769C"/>
    <w:rsid w:val="00D277C2"/>
    <w:rsid w:val="00D27874"/>
    <w:rsid w:val="00D2790D"/>
    <w:rsid w:val="00D300E8"/>
    <w:rsid w:val="00D301BE"/>
    <w:rsid w:val="00D303AC"/>
    <w:rsid w:val="00D30684"/>
    <w:rsid w:val="00D306EC"/>
    <w:rsid w:val="00D307ED"/>
    <w:rsid w:val="00D30874"/>
    <w:rsid w:val="00D30BAF"/>
    <w:rsid w:val="00D30C40"/>
    <w:rsid w:val="00D30DA3"/>
    <w:rsid w:val="00D30DC1"/>
    <w:rsid w:val="00D30E12"/>
    <w:rsid w:val="00D30EED"/>
    <w:rsid w:val="00D30FD2"/>
    <w:rsid w:val="00D31044"/>
    <w:rsid w:val="00D31113"/>
    <w:rsid w:val="00D313C8"/>
    <w:rsid w:val="00D31472"/>
    <w:rsid w:val="00D316CA"/>
    <w:rsid w:val="00D31815"/>
    <w:rsid w:val="00D318A0"/>
    <w:rsid w:val="00D319A8"/>
    <w:rsid w:val="00D31C46"/>
    <w:rsid w:val="00D31ECF"/>
    <w:rsid w:val="00D323E2"/>
    <w:rsid w:val="00D32B06"/>
    <w:rsid w:val="00D32E66"/>
    <w:rsid w:val="00D33517"/>
    <w:rsid w:val="00D3354E"/>
    <w:rsid w:val="00D3361A"/>
    <w:rsid w:val="00D3390B"/>
    <w:rsid w:val="00D33B0A"/>
    <w:rsid w:val="00D33CCE"/>
    <w:rsid w:val="00D33D57"/>
    <w:rsid w:val="00D33D93"/>
    <w:rsid w:val="00D34040"/>
    <w:rsid w:val="00D34176"/>
    <w:rsid w:val="00D341BD"/>
    <w:rsid w:val="00D34532"/>
    <w:rsid w:val="00D346A1"/>
    <w:rsid w:val="00D349FA"/>
    <w:rsid w:val="00D34BA6"/>
    <w:rsid w:val="00D34C18"/>
    <w:rsid w:val="00D35457"/>
    <w:rsid w:val="00D35909"/>
    <w:rsid w:val="00D35AAA"/>
    <w:rsid w:val="00D35B49"/>
    <w:rsid w:val="00D35C7D"/>
    <w:rsid w:val="00D3618C"/>
    <w:rsid w:val="00D364B1"/>
    <w:rsid w:val="00D36B15"/>
    <w:rsid w:val="00D36D04"/>
    <w:rsid w:val="00D36DD6"/>
    <w:rsid w:val="00D370B6"/>
    <w:rsid w:val="00D37341"/>
    <w:rsid w:val="00D3756D"/>
    <w:rsid w:val="00D3796F"/>
    <w:rsid w:val="00D379D9"/>
    <w:rsid w:val="00D37FCE"/>
    <w:rsid w:val="00D4067D"/>
    <w:rsid w:val="00D40722"/>
    <w:rsid w:val="00D40880"/>
    <w:rsid w:val="00D4098C"/>
    <w:rsid w:val="00D40BA8"/>
    <w:rsid w:val="00D40FD3"/>
    <w:rsid w:val="00D41B2B"/>
    <w:rsid w:val="00D41D2D"/>
    <w:rsid w:val="00D41D40"/>
    <w:rsid w:val="00D41D5F"/>
    <w:rsid w:val="00D41F66"/>
    <w:rsid w:val="00D42254"/>
    <w:rsid w:val="00D4267E"/>
    <w:rsid w:val="00D4292C"/>
    <w:rsid w:val="00D42A57"/>
    <w:rsid w:val="00D42EA3"/>
    <w:rsid w:val="00D432F7"/>
    <w:rsid w:val="00D434F8"/>
    <w:rsid w:val="00D43625"/>
    <w:rsid w:val="00D43673"/>
    <w:rsid w:val="00D43C75"/>
    <w:rsid w:val="00D43DF1"/>
    <w:rsid w:val="00D43F2A"/>
    <w:rsid w:val="00D44182"/>
    <w:rsid w:val="00D443A5"/>
    <w:rsid w:val="00D444A4"/>
    <w:rsid w:val="00D444E9"/>
    <w:rsid w:val="00D4476A"/>
    <w:rsid w:val="00D44842"/>
    <w:rsid w:val="00D44C80"/>
    <w:rsid w:val="00D453C7"/>
    <w:rsid w:val="00D45934"/>
    <w:rsid w:val="00D45A39"/>
    <w:rsid w:val="00D45ACD"/>
    <w:rsid w:val="00D45DA4"/>
    <w:rsid w:val="00D45E6F"/>
    <w:rsid w:val="00D462EE"/>
    <w:rsid w:val="00D46BD8"/>
    <w:rsid w:val="00D46CDC"/>
    <w:rsid w:val="00D473CB"/>
    <w:rsid w:val="00D50462"/>
    <w:rsid w:val="00D504E1"/>
    <w:rsid w:val="00D50D2A"/>
    <w:rsid w:val="00D50ED4"/>
    <w:rsid w:val="00D511C0"/>
    <w:rsid w:val="00D51759"/>
    <w:rsid w:val="00D524C4"/>
    <w:rsid w:val="00D52F60"/>
    <w:rsid w:val="00D533EF"/>
    <w:rsid w:val="00D53B70"/>
    <w:rsid w:val="00D53D06"/>
    <w:rsid w:val="00D53F84"/>
    <w:rsid w:val="00D54184"/>
    <w:rsid w:val="00D5476F"/>
    <w:rsid w:val="00D54974"/>
    <w:rsid w:val="00D54D77"/>
    <w:rsid w:val="00D551C8"/>
    <w:rsid w:val="00D5550B"/>
    <w:rsid w:val="00D555D7"/>
    <w:rsid w:val="00D556E6"/>
    <w:rsid w:val="00D55B79"/>
    <w:rsid w:val="00D569BA"/>
    <w:rsid w:val="00D56C73"/>
    <w:rsid w:val="00D56D4C"/>
    <w:rsid w:val="00D56E5F"/>
    <w:rsid w:val="00D5749F"/>
    <w:rsid w:val="00D5764D"/>
    <w:rsid w:val="00D57875"/>
    <w:rsid w:val="00D57D29"/>
    <w:rsid w:val="00D57F54"/>
    <w:rsid w:val="00D6007B"/>
    <w:rsid w:val="00D60A82"/>
    <w:rsid w:val="00D61208"/>
    <w:rsid w:val="00D61258"/>
    <w:rsid w:val="00D614E2"/>
    <w:rsid w:val="00D61679"/>
    <w:rsid w:val="00D617CD"/>
    <w:rsid w:val="00D6181B"/>
    <w:rsid w:val="00D6195D"/>
    <w:rsid w:val="00D61A00"/>
    <w:rsid w:val="00D61E83"/>
    <w:rsid w:val="00D62347"/>
    <w:rsid w:val="00D628A7"/>
    <w:rsid w:val="00D62962"/>
    <w:rsid w:val="00D62D9F"/>
    <w:rsid w:val="00D62FBC"/>
    <w:rsid w:val="00D63011"/>
    <w:rsid w:val="00D635A9"/>
    <w:rsid w:val="00D637D1"/>
    <w:rsid w:val="00D63C88"/>
    <w:rsid w:val="00D642EE"/>
    <w:rsid w:val="00D644EE"/>
    <w:rsid w:val="00D645A7"/>
    <w:rsid w:val="00D646EB"/>
    <w:rsid w:val="00D64A8A"/>
    <w:rsid w:val="00D64A98"/>
    <w:rsid w:val="00D64E88"/>
    <w:rsid w:val="00D64F51"/>
    <w:rsid w:val="00D65197"/>
    <w:rsid w:val="00D6565E"/>
    <w:rsid w:val="00D6574D"/>
    <w:rsid w:val="00D6578D"/>
    <w:rsid w:val="00D6594F"/>
    <w:rsid w:val="00D65E38"/>
    <w:rsid w:val="00D662E1"/>
    <w:rsid w:val="00D66507"/>
    <w:rsid w:val="00D66AB1"/>
    <w:rsid w:val="00D673A0"/>
    <w:rsid w:val="00D673AD"/>
    <w:rsid w:val="00D67407"/>
    <w:rsid w:val="00D6769D"/>
    <w:rsid w:val="00D677F2"/>
    <w:rsid w:val="00D67B52"/>
    <w:rsid w:val="00D67FEF"/>
    <w:rsid w:val="00D702F9"/>
    <w:rsid w:val="00D70848"/>
    <w:rsid w:val="00D70948"/>
    <w:rsid w:val="00D70C9B"/>
    <w:rsid w:val="00D70FFE"/>
    <w:rsid w:val="00D71143"/>
    <w:rsid w:val="00D714CA"/>
    <w:rsid w:val="00D71506"/>
    <w:rsid w:val="00D716A1"/>
    <w:rsid w:val="00D71C14"/>
    <w:rsid w:val="00D71C48"/>
    <w:rsid w:val="00D71F65"/>
    <w:rsid w:val="00D72589"/>
    <w:rsid w:val="00D733DC"/>
    <w:rsid w:val="00D735FF"/>
    <w:rsid w:val="00D73784"/>
    <w:rsid w:val="00D739C9"/>
    <w:rsid w:val="00D73BDB"/>
    <w:rsid w:val="00D73DE7"/>
    <w:rsid w:val="00D73E73"/>
    <w:rsid w:val="00D73FB5"/>
    <w:rsid w:val="00D7408A"/>
    <w:rsid w:val="00D74795"/>
    <w:rsid w:val="00D74A61"/>
    <w:rsid w:val="00D74AFF"/>
    <w:rsid w:val="00D74ED7"/>
    <w:rsid w:val="00D74F42"/>
    <w:rsid w:val="00D750BD"/>
    <w:rsid w:val="00D7544F"/>
    <w:rsid w:val="00D754E8"/>
    <w:rsid w:val="00D7560C"/>
    <w:rsid w:val="00D75775"/>
    <w:rsid w:val="00D76105"/>
    <w:rsid w:val="00D763D0"/>
    <w:rsid w:val="00D7644B"/>
    <w:rsid w:val="00D76E8A"/>
    <w:rsid w:val="00D776AD"/>
    <w:rsid w:val="00D776BF"/>
    <w:rsid w:val="00D77B7B"/>
    <w:rsid w:val="00D77B99"/>
    <w:rsid w:val="00D77C18"/>
    <w:rsid w:val="00D77C34"/>
    <w:rsid w:val="00D77C3C"/>
    <w:rsid w:val="00D77D40"/>
    <w:rsid w:val="00D8026D"/>
    <w:rsid w:val="00D803D1"/>
    <w:rsid w:val="00D803DC"/>
    <w:rsid w:val="00D8043D"/>
    <w:rsid w:val="00D804B2"/>
    <w:rsid w:val="00D80A63"/>
    <w:rsid w:val="00D80F36"/>
    <w:rsid w:val="00D81120"/>
    <w:rsid w:val="00D815BE"/>
    <w:rsid w:val="00D81C45"/>
    <w:rsid w:val="00D81E84"/>
    <w:rsid w:val="00D8203D"/>
    <w:rsid w:val="00D82219"/>
    <w:rsid w:val="00D82287"/>
    <w:rsid w:val="00D8269E"/>
    <w:rsid w:val="00D827FD"/>
    <w:rsid w:val="00D82E40"/>
    <w:rsid w:val="00D82F34"/>
    <w:rsid w:val="00D838C1"/>
    <w:rsid w:val="00D83B15"/>
    <w:rsid w:val="00D8408E"/>
    <w:rsid w:val="00D84137"/>
    <w:rsid w:val="00D84430"/>
    <w:rsid w:val="00D8479F"/>
    <w:rsid w:val="00D8492B"/>
    <w:rsid w:val="00D8494E"/>
    <w:rsid w:val="00D85021"/>
    <w:rsid w:val="00D8523D"/>
    <w:rsid w:val="00D85710"/>
    <w:rsid w:val="00D857C7"/>
    <w:rsid w:val="00D85D08"/>
    <w:rsid w:val="00D85EEE"/>
    <w:rsid w:val="00D85FF0"/>
    <w:rsid w:val="00D866E3"/>
    <w:rsid w:val="00D86721"/>
    <w:rsid w:val="00D867E4"/>
    <w:rsid w:val="00D86A7E"/>
    <w:rsid w:val="00D86DFB"/>
    <w:rsid w:val="00D86EDF"/>
    <w:rsid w:val="00D86F9C"/>
    <w:rsid w:val="00D872B0"/>
    <w:rsid w:val="00D87AC9"/>
    <w:rsid w:val="00D87D36"/>
    <w:rsid w:val="00D87DA9"/>
    <w:rsid w:val="00D87E7E"/>
    <w:rsid w:val="00D87EA0"/>
    <w:rsid w:val="00D90388"/>
    <w:rsid w:val="00D903F8"/>
    <w:rsid w:val="00D90733"/>
    <w:rsid w:val="00D90B79"/>
    <w:rsid w:val="00D90DB7"/>
    <w:rsid w:val="00D90FA0"/>
    <w:rsid w:val="00D90FA6"/>
    <w:rsid w:val="00D91382"/>
    <w:rsid w:val="00D91A91"/>
    <w:rsid w:val="00D92104"/>
    <w:rsid w:val="00D9276D"/>
    <w:rsid w:val="00D92BA4"/>
    <w:rsid w:val="00D92E92"/>
    <w:rsid w:val="00D93302"/>
    <w:rsid w:val="00D9368E"/>
    <w:rsid w:val="00D939F8"/>
    <w:rsid w:val="00D93B0D"/>
    <w:rsid w:val="00D93DAC"/>
    <w:rsid w:val="00D93E9E"/>
    <w:rsid w:val="00D9424D"/>
    <w:rsid w:val="00D9438E"/>
    <w:rsid w:val="00D9443A"/>
    <w:rsid w:val="00D946C4"/>
    <w:rsid w:val="00D94806"/>
    <w:rsid w:val="00D948A7"/>
    <w:rsid w:val="00D94AA6"/>
    <w:rsid w:val="00D950AC"/>
    <w:rsid w:val="00D9530A"/>
    <w:rsid w:val="00D95547"/>
    <w:rsid w:val="00D95CA1"/>
    <w:rsid w:val="00D960D9"/>
    <w:rsid w:val="00D9673D"/>
    <w:rsid w:val="00D968DE"/>
    <w:rsid w:val="00D96EFB"/>
    <w:rsid w:val="00D9706E"/>
    <w:rsid w:val="00D970F0"/>
    <w:rsid w:val="00D97408"/>
    <w:rsid w:val="00D97756"/>
    <w:rsid w:val="00D97ABE"/>
    <w:rsid w:val="00D97B78"/>
    <w:rsid w:val="00D97B93"/>
    <w:rsid w:val="00D97E6C"/>
    <w:rsid w:val="00DA0108"/>
    <w:rsid w:val="00DA0390"/>
    <w:rsid w:val="00DA054E"/>
    <w:rsid w:val="00DA0FFC"/>
    <w:rsid w:val="00DA108C"/>
    <w:rsid w:val="00DA111B"/>
    <w:rsid w:val="00DA126E"/>
    <w:rsid w:val="00DA14E7"/>
    <w:rsid w:val="00DA17ED"/>
    <w:rsid w:val="00DA18F8"/>
    <w:rsid w:val="00DA1EA8"/>
    <w:rsid w:val="00DA2AB3"/>
    <w:rsid w:val="00DA2B5B"/>
    <w:rsid w:val="00DA2D2B"/>
    <w:rsid w:val="00DA2E9A"/>
    <w:rsid w:val="00DA2F2F"/>
    <w:rsid w:val="00DA2F8D"/>
    <w:rsid w:val="00DA370B"/>
    <w:rsid w:val="00DA3799"/>
    <w:rsid w:val="00DA38A4"/>
    <w:rsid w:val="00DA3CBB"/>
    <w:rsid w:val="00DA41D8"/>
    <w:rsid w:val="00DA4318"/>
    <w:rsid w:val="00DA4487"/>
    <w:rsid w:val="00DA4A40"/>
    <w:rsid w:val="00DA5052"/>
    <w:rsid w:val="00DA50A3"/>
    <w:rsid w:val="00DA5160"/>
    <w:rsid w:val="00DA517D"/>
    <w:rsid w:val="00DA54F2"/>
    <w:rsid w:val="00DA5541"/>
    <w:rsid w:val="00DA5665"/>
    <w:rsid w:val="00DA5893"/>
    <w:rsid w:val="00DA5927"/>
    <w:rsid w:val="00DA59BF"/>
    <w:rsid w:val="00DA5A0B"/>
    <w:rsid w:val="00DA5E57"/>
    <w:rsid w:val="00DA60E5"/>
    <w:rsid w:val="00DA6329"/>
    <w:rsid w:val="00DA6401"/>
    <w:rsid w:val="00DA66FE"/>
    <w:rsid w:val="00DA67DA"/>
    <w:rsid w:val="00DA67E7"/>
    <w:rsid w:val="00DA6834"/>
    <w:rsid w:val="00DA6D8F"/>
    <w:rsid w:val="00DA6DFD"/>
    <w:rsid w:val="00DA6FE9"/>
    <w:rsid w:val="00DA70A6"/>
    <w:rsid w:val="00DA732A"/>
    <w:rsid w:val="00DA7384"/>
    <w:rsid w:val="00DA7832"/>
    <w:rsid w:val="00DA7E43"/>
    <w:rsid w:val="00DA7F13"/>
    <w:rsid w:val="00DB0A73"/>
    <w:rsid w:val="00DB0C6C"/>
    <w:rsid w:val="00DB1CF2"/>
    <w:rsid w:val="00DB1D07"/>
    <w:rsid w:val="00DB2035"/>
    <w:rsid w:val="00DB2B8D"/>
    <w:rsid w:val="00DB36E0"/>
    <w:rsid w:val="00DB38B0"/>
    <w:rsid w:val="00DB38DE"/>
    <w:rsid w:val="00DB40C4"/>
    <w:rsid w:val="00DB42F6"/>
    <w:rsid w:val="00DB45EE"/>
    <w:rsid w:val="00DB4C7F"/>
    <w:rsid w:val="00DB56EE"/>
    <w:rsid w:val="00DB5C93"/>
    <w:rsid w:val="00DB6597"/>
    <w:rsid w:val="00DB6D5A"/>
    <w:rsid w:val="00DB6F4D"/>
    <w:rsid w:val="00DB7B03"/>
    <w:rsid w:val="00DB7C07"/>
    <w:rsid w:val="00DC0317"/>
    <w:rsid w:val="00DC0416"/>
    <w:rsid w:val="00DC05BF"/>
    <w:rsid w:val="00DC06EA"/>
    <w:rsid w:val="00DC0E8A"/>
    <w:rsid w:val="00DC0F26"/>
    <w:rsid w:val="00DC0F77"/>
    <w:rsid w:val="00DC171D"/>
    <w:rsid w:val="00DC1829"/>
    <w:rsid w:val="00DC19FF"/>
    <w:rsid w:val="00DC1AC5"/>
    <w:rsid w:val="00DC225A"/>
    <w:rsid w:val="00DC25E6"/>
    <w:rsid w:val="00DC26E9"/>
    <w:rsid w:val="00DC28FD"/>
    <w:rsid w:val="00DC2923"/>
    <w:rsid w:val="00DC2C5C"/>
    <w:rsid w:val="00DC2D9C"/>
    <w:rsid w:val="00DC2F61"/>
    <w:rsid w:val="00DC361A"/>
    <w:rsid w:val="00DC3B1E"/>
    <w:rsid w:val="00DC4105"/>
    <w:rsid w:val="00DC43A7"/>
    <w:rsid w:val="00DC4575"/>
    <w:rsid w:val="00DC4763"/>
    <w:rsid w:val="00DC48EA"/>
    <w:rsid w:val="00DC4A3D"/>
    <w:rsid w:val="00DC4E48"/>
    <w:rsid w:val="00DC516A"/>
    <w:rsid w:val="00DC517A"/>
    <w:rsid w:val="00DC518A"/>
    <w:rsid w:val="00DC57D9"/>
    <w:rsid w:val="00DC59B2"/>
    <w:rsid w:val="00DC5BF4"/>
    <w:rsid w:val="00DC5D3A"/>
    <w:rsid w:val="00DC6205"/>
    <w:rsid w:val="00DC64B5"/>
    <w:rsid w:val="00DC6519"/>
    <w:rsid w:val="00DC717A"/>
    <w:rsid w:val="00DC7552"/>
    <w:rsid w:val="00DC7E57"/>
    <w:rsid w:val="00DC7E6F"/>
    <w:rsid w:val="00DC7E95"/>
    <w:rsid w:val="00DD02F1"/>
    <w:rsid w:val="00DD047E"/>
    <w:rsid w:val="00DD0852"/>
    <w:rsid w:val="00DD0A0B"/>
    <w:rsid w:val="00DD0B45"/>
    <w:rsid w:val="00DD151D"/>
    <w:rsid w:val="00DD190E"/>
    <w:rsid w:val="00DD1D5A"/>
    <w:rsid w:val="00DD23A5"/>
    <w:rsid w:val="00DD24BA"/>
    <w:rsid w:val="00DD255F"/>
    <w:rsid w:val="00DD281F"/>
    <w:rsid w:val="00DD29BB"/>
    <w:rsid w:val="00DD2BA5"/>
    <w:rsid w:val="00DD2CEF"/>
    <w:rsid w:val="00DD2E31"/>
    <w:rsid w:val="00DD2F52"/>
    <w:rsid w:val="00DD2F86"/>
    <w:rsid w:val="00DD3073"/>
    <w:rsid w:val="00DD33B0"/>
    <w:rsid w:val="00DD343B"/>
    <w:rsid w:val="00DD3511"/>
    <w:rsid w:val="00DD3599"/>
    <w:rsid w:val="00DD38FF"/>
    <w:rsid w:val="00DD3F10"/>
    <w:rsid w:val="00DD4069"/>
    <w:rsid w:val="00DD4497"/>
    <w:rsid w:val="00DD4699"/>
    <w:rsid w:val="00DD4771"/>
    <w:rsid w:val="00DD48F1"/>
    <w:rsid w:val="00DD4BE1"/>
    <w:rsid w:val="00DD4DAE"/>
    <w:rsid w:val="00DD4F93"/>
    <w:rsid w:val="00DD515D"/>
    <w:rsid w:val="00DD5172"/>
    <w:rsid w:val="00DD530F"/>
    <w:rsid w:val="00DD548B"/>
    <w:rsid w:val="00DD557C"/>
    <w:rsid w:val="00DD5933"/>
    <w:rsid w:val="00DD5B50"/>
    <w:rsid w:val="00DD5C04"/>
    <w:rsid w:val="00DD60FE"/>
    <w:rsid w:val="00DD6152"/>
    <w:rsid w:val="00DD6327"/>
    <w:rsid w:val="00DD690C"/>
    <w:rsid w:val="00DD6923"/>
    <w:rsid w:val="00DD6A5F"/>
    <w:rsid w:val="00DD6A99"/>
    <w:rsid w:val="00DD6C96"/>
    <w:rsid w:val="00DD6FBF"/>
    <w:rsid w:val="00DD78A6"/>
    <w:rsid w:val="00DD7BF3"/>
    <w:rsid w:val="00DE078C"/>
    <w:rsid w:val="00DE0798"/>
    <w:rsid w:val="00DE0C2F"/>
    <w:rsid w:val="00DE1859"/>
    <w:rsid w:val="00DE1B61"/>
    <w:rsid w:val="00DE2138"/>
    <w:rsid w:val="00DE2240"/>
    <w:rsid w:val="00DE22B9"/>
    <w:rsid w:val="00DE2397"/>
    <w:rsid w:val="00DE24FB"/>
    <w:rsid w:val="00DE28A2"/>
    <w:rsid w:val="00DE2DD5"/>
    <w:rsid w:val="00DE2EAB"/>
    <w:rsid w:val="00DE2F00"/>
    <w:rsid w:val="00DE2FD4"/>
    <w:rsid w:val="00DE3070"/>
    <w:rsid w:val="00DE313D"/>
    <w:rsid w:val="00DE3166"/>
    <w:rsid w:val="00DE361A"/>
    <w:rsid w:val="00DE39F6"/>
    <w:rsid w:val="00DE3D03"/>
    <w:rsid w:val="00DE3DC7"/>
    <w:rsid w:val="00DE3FAD"/>
    <w:rsid w:val="00DE40F6"/>
    <w:rsid w:val="00DE4186"/>
    <w:rsid w:val="00DE41F0"/>
    <w:rsid w:val="00DE42B7"/>
    <w:rsid w:val="00DE4651"/>
    <w:rsid w:val="00DE48DD"/>
    <w:rsid w:val="00DE5007"/>
    <w:rsid w:val="00DE5382"/>
    <w:rsid w:val="00DE54BB"/>
    <w:rsid w:val="00DE54C6"/>
    <w:rsid w:val="00DE5619"/>
    <w:rsid w:val="00DE5790"/>
    <w:rsid w:val="00DE595B"/>
    <w:rsid w:val="00DE59BA"/>
    <w:rsid w:val="00DE5B36"/>
    <w:rsid w:val="00DE5EC9"/>
    <w:rsid w:val="00DE5FC1"/>
    <w:rsid w:val="00DE633A"/>
    <w:rsid w:val="00DE72C1"/>
    <w:rsid w:val="00DE7CF3"/>
    <w:rsid w:val="00DE7F28"/>
    <w:rsid w:val="00DE7F52"/>
    <w:rsid w:val="00DF004F"/>
    <w:rsid w:val="00DF0205"/>
    <w:rsid w:val="00DF0322"/>
    <w:rsid w:val="00DF07D8"/>
    <w:rsid w:val="00DF124D"/>
    <w:rsid w:val="00DF13B4"/>
    <w:rsid w:val="00DF13C1"/>
    <w:rsid w:val="00DF1657"/>
    <w:rsid w:val="00DF19B9"/>
    <w:rsid w:val="00DF1A33"/>
    <w:rsid w:val="00DF1EFD"/>
    <w:rsid w:val="00DF2589"/>
    <w:rsid w:val="00DF26DD"/>
    <w:rsid w:val="00DF36B0"/>
    <w:rsid w:val="00DF3767"/>
    <w:rsid w:val="00DF3777"/>
    <w:rsid w:val="00DF386E"/>
    <w:rsid w:val="00DF39A5"/>
    <w:rsid w:val="00DF3B29"/>
    <w:rsid w:val="00DF400A"/>
    <w:rsid w:val="00DF491C"/>
    <w:rsid w:val="00DF4BCB"/>
    <w:rsid w:val="00DF4CFE"/>
    <w:rsid w:val="00DF4DAB"/>
    <w:rsid w:val="00DF4E49"/>
    <w:rsid w:val="00DF4E52"/>
    <w:rsid w:val="00DF5069"/>
    <w:rsid w:val="00DF506E"/>
    <w:rsid w:val="00DF52DC"/>
    <w:rsid w:val="00DF55E4"/>
    <w:rsid w:val="00DF5695"/>
    <w:rsid w:val="00DF59BF"/>
    <w:rsid w:val="00DF5A14"/>
    <w:rsid w:val="00DF63EF"/>
    <w:rsid w:val="00DF65E4"/>
    <w:rsid w:val="00DF6738"/>
    <w:rsid w:val="00DF6B91"/>
    <w:rsid w:val="00DF724A"/>
    <w:rsid w:val="00DF7D40"/>
    <w:rsid w:val="00DF7F73"/>
    <w:rsid w:val="00E005F3"/>
    <w:rsid w:val="00E007DB"/>
    <w:rsid w:val="00E012C0"/>
    <w:rsid w:val="00E0165C"/>
    <w:rsid w:val="00E01723"/>
    <w:rsid w:val="00E017E1"/>
    <w:rsid w:val="00E01988"/>
    <w:rsid w:val="00E01BB4"/>
    <w:rsid w:val="00E01F8C"/>
    <w:rsid w:val="00E02232"/>
    <w:rsid w:val="00E0269B"/>
    <w:rsid w:val="00E02B3B"/>
    <w:rsid w:val="00E03325"/>
    <w:rsid w:val="00E03347"/>
    <w:rsid w:val="00E03594"/>
    <w:rsid w:val="00E03F37"/>
    <w:rsid w:val="00E03FA6"/>
    <w:rsid w:val="00E041DC"/>
    <w:rsid w:val="00E0424A"/>
    <w:rsid w:val="00E0435B"/>
    <w:rsid w:val="00E04601"/>
    <w:rsid w:val="00E048FA"/>
    <w:rsid w:val="00E04934"/>
    <w:rsid w:val="00E0500B"/>
    <w:rsid w:val="00E0521E"/>
    <w:rsid w:val="00E05295"/>
    <w:rsid w:val="00E05977"/>
    <w:rsid w:val="00E05AFA"/>
    <w:rsid w:val="00E05C15"/>
    <w:rsid w:val="00E05C88"/>
    <w:rsid w:val="00E05DAA"/>
    <w:rsid w:val="00E05EAE"/>
    <w:rsid w:val="00E05F9C"/>
    <w:rsid w:val="00E06059"/>
    <w:rsid w:val="00E061AB"/>
    <w:rsid w:val="00E066C0"/>
    <w:rsid w:val="00E068E5"/>
    <w:rsid w:val="00E06B3F"/>
    <w:rsid w:val="00E06E04"/>
    <w:rsid w:val="00E06EB0"/>
    <w:rsid w:val="00E07149"/>
    <w:rsid w:val="00E071B6"/>
    <w:rsid w:val="00E0781C"/>
    <w:rsid w:val="00E07CB4"/>
    <w:rsid w:val="00E07E96"/>
    <w:rsid w:val="00E10152"/>
    <w:rsid w:val="00E104D0"/>
    <w:rsid w:val="00E10557"/>
    <w:rsid w:val="00E11373"/>
    <w:rsid w:val="00E11624"/>
    <w:rsid w:val="00E1195F"/>
    <w:rsid w:val="00E11D54"/>
    <w:rsid w:val="00E12072"/>
    <w:rsid w:val="00E12099"/>
    <w:rsid w:val="00E120BC"/>
    <w:rsid w:val="00E121D1"/>
    <w:rsid w:val="00E12502"/>
    <w:rsid w:val="00E12C76"/>
    <w:rsid w:val="00E13C11"/>
    <w:rsid w:val="00E13D26"/>
    <w:rsid w:val="00E143FE"/>
    <w:rsid w:val="00E15246"/>
    <w:rsid w:val="00E1535C"/>
    <w:rsid w:val="00E1582D"/>
    <w:rsid w:val="00E15BAE"/>
    <w:rsid w:val="00E15BC1"/>
    <w:rsid w:val="00E15DD1"/>
    <w:rsid w:val="00E15FC6"/>
    <w:rsid w:val="00E1629B"/>
    <w:rsid w:val="00E16F14"/>
    <w:rsid w:val="00E173A7"/>
    <w:rsid w:val="00E1793E"/>
    <w:rsid w:val="00E17B7A"/>
    <w:rsid w:val="00E17C99"/>
    <w:rsid w:val="00E20164"/>
    <w:rsid w:val="00E20452"/>
    <w:rsid w:val="00E20564"/>
    <w:rsid w:val="00E20E54"/>
    <w:rsid w:val="00E212CC"/>
    <w:rsid w:val="00E213A6"/>
    <w:rsid w:val="00E215BE"/>
    <w:rsid w:val="00E219A4"/>
    <w:rsid w:val="00E21DFB"/>
    <w:rsid w:val="00E21E55"/>
    <w:rsid w:val="00E223A7"/>
    <w:rsid w:val="00E22652"/>
    <w:rsid w:val="00E227AF"/>
    <w:rsid w:val="00E22877"/>
    <w:rsid w:val="00E22EF8"/>
    <w:rsid w:val="00E22EF9"/>
    <w:rsid w:val="00E23050"/>
    <w:rsid w:val="00E23238"/>
    <w:rsid w:val="00E23378"/>
    <w:rsid w:val="00E23B56"/>
    <w:rsid w:val="00E23D3A"/>
    <w:rsid w:val="00E23FC8"/>
    <w:rsid w:val="00E241CC"/>
    <w:rsid w:val="00E24616"/>
    <w:rsid w:val="00E247C7"/>
    <w:rsid w:val="00E25153"/>
    <w:rsid w:val="00E251B8"/>
    <w:rsid w:val="00E257D2"/>
    <w:rsid w:val="00E25A65"/>
    <w:rsid w:val="00E26040"/>
    <w:rsid w:val="00E2605F"/>
    <w:rsid w:val="00E268B2"/>
    <w:rsid w:val="00E26AC0"/>
    <w:rsid w:val="00E26C97"/>
    <w:rsid w:val="00E26EB7"/>
    <w:rsid w:val="00E27B40"/>
    <w:rsid w:val="00E27FA3"/>
    <w:rsid w:val="00E3038F"/>
    <w:rsid w:val="00E303F0"/>
    <w:rsid w:val="00E30580"/>
    <w:rsid w:val="00E30BE9"/>
    <w:rsid w:val="00E310C6"/>
    <w:rsid w:val="00E313F9"/>
    <w:rsid w:val="00E3191C"/>
    <w:rsid w:val="00E31A12"/>
    <w:rsid w:val="00E31CFC"/>
    <w:rsid w:val="00E31DD2"/>
    <w:rsid w:val="00E31EBD"/>
    <w:rsid w:val="00E32103"/>
    <w:rsid w:val="00E32685"/>
    <w:rsid w:val="00E32918"/>
    <w:rsid w:val="00E32A6A"/>
    <w:rsid w:val="00E32CB0"/>
    <w:rsid w:val="00E33397"/>
    <w:rsid w:val="00E334B4"/>
    <w:rsid w:val="00E33543"/>
    <w:rsid w:val="00E3395A"/>
    <w:rsid w:val="00E33D17"/>
    <w:rsid w:val="00E33D62"/>
    <w:rsid w:val="00E3400C"/>
    <w:rsid w:val="00E34159"/>
    <w:rsid w:val="00E34248"/>
    <w:rsid w:val="00E342E3"/>
    <w:rsid w:val="00E346AD"/>
    <w:rsid w:val="00E34C38"/>
    <w:rsid w:val="00E34CA8"/>
    <w:rsid w:val="00E34E40"/>
    <w:rsid w:val="00E34FFA"/>
    <w:rsid w:val="00E3509D"/>
    <w:rsid w:val="00E35316"/>
    <w:rsid w:val="00E359A6"/>
    <w:rsid w:val="00E35AFA"/>
    <w:rsid w:val="00E36539"/>
    <w:rsid w:val="00E36780"/>
    <w:rsid w:val="00E368DA"/>
    <w:rsid w:val="00E36B9B"/>
    <w:rsid w:val="00E3782D"/>
    <w:rsid w:val="00E378EF"/>
    <w:rsid w:val="00E379EE"/>
    <w:rsid w:val="00E37A44"/>
    <w:rsid w:val="00E37B7C"/>
    <w:rsid w:val="00E404A2"/>
    <w:rsid w:val="00E405A1"/>
    <w:rsid w:val="00E40641"/>
    <w:rsid w:val="00E40B46"/>
    <w:rsid w:val="00E40C46"/>
    <w:rsid w:val="00E40EC9"/>
    <w:rsid w:val="00E41039"/>
    <w:rsid w:val="00E41393"/>
    <w:rsid w:val="00E41576"/>
    <w:rsid w:val="00E41919"/>
    <w:rsid w:val="00E41C07"/>
    <w:rsid w:val="00E41F25"/>
    <w:rsid w:val="00E41FBE"/>
    <w:rsid w:val="00E42180"/>
    <w:rsid w:val="00E423C5"/>
    <w:rsid w:val="00E425D9"/>
    <w:rsid w:val="00E4274E"/>
    <w:rsid w:val="00E4286E"/>
    <w:rsid w:val="00E433D9"/>
    <w:rsid w:val="00E43797"/>
    <w:rsid w:val="00E4381C"/>
    <w:rsid w:val="00E44098"/>
    <w:rsid w:val="00E440F4"/>
    <w:rsid w:val="00E44195"/>
    <w:rsid w:val="00E444A9"/>
    <w:rsid w:val="00E44C3D"/>
    <w:rsid w:val="00E452FB"/>
    <w:rsid w:val="00E454FC"/>
    <w:rsid w:val="00E458AB"/>
    <w:rsid w:val="00E45AE8"/>
    <w:rsid w:val="00E45BAD"/>
    <w:rsid w:val="00E45BFC"/>
    <w:rsid w:val="00E4601D"/>
    <w:rsid w:val="00E4623A"/>
    <w:rsid w:val="00E46301"/>
    <w:rsid w:val="00E46572"/>
    <w:rsid w:val="00E4669B"/>
    <w:rsid w:val="00E46761"/>
    <w:rsid w:val="00E46C7D"/>
    <w:rsid w:val="00E4722F"/>
    <w:rsid w:val="00E472AD"/>
    <w:rsid w:val="00E47451"/>
    <w:rsid w:val="00E47462"/>
    <w:rsid w:val="00E50023"/>
    <w:rsid w:val="00E500CC"/>
    <w:rsid w:val="00E501EB"/>
    <w:rsid w:val="00E502CE"/>
    <w:rsid w:val="00E5050A"/>
    <w:rsid w:val="00E507A5"/>
    <w:rsid w:val="00E50930"/>
    <w:rsid w:val="00E50A6A"/>
    <w:rsid w:val="00E50DD4"/>
    <w:rsid w:val="00E50F14"/>
    <w:rsid w:val="00E50FFA"/>
    <w:rsid w:val="00E510E6"/>
    <w:rsid w:val="00E5151A"/>
    <w:rsid w:val="00E515AB"/>
    <w:rsid w:val="00E5175D"/>
    <w:rsid w:val="00E517EE"/>
    <w:rsid w:val="00E51E3E"/>
    <w:rsid w:val="00E51E9F"/>
    <w:rsid w:val="00E51F80"/>
    <w:rsid w:val="00E52377"/>
    <w:rsid w:val="00E52471"/>
    <w:rsid w:val="00E52491"/>
    <w:rsid w:val="00E524A6"/>
    <w:rsid w:val="00E52667"/>
    <w:rsid w:val="00E526F7"/>
    <w:rsid w:val="00E5275F"/>
    <w:rsid w:val="00E5297E"/>
    <w:rsid w:val="00E5338D"/>
    <w:rsid w:val="00E533DB"/>
    <w:rsid w:val="00E538B7"/>
    <w:rsid w:val="00E53A3E"/>
    <w:rsid w:val="00E5402D"/>
    <w:rsid w:val="00E54379"/>
    <w:rsid w:val="00E54641"/>
    <w:rsid w:val="00E54A0B"/>
    <w:rsid w:val="00E54CC7"/>
    <w:rsid w:val="00E555EB"/>
    <w:rsid w:val="00E5571E"/>
    <w:rsid w:val="00E55720"/>
    <w:rsid w:val="00E55B04"/>
    <w:rsid w:val="00E56286"/>
    <w:rsid w:val="00E56AE6"/>
    <w:rsid w:val="00E56EF9"/>
    <w:rsid w:val="00E574A7"/>
    <w:rsid w:val="00E5781A"/>
    <w:rsid w:val="00E57907"/>
    <w:rsid w:val="00E57A9C"/>
    <w:rsid w:val="00E57D13"/>
    <w:rsid w:val="00E57DB8"/>
    <w:rsid w:val="00E57DF3"/>
    <w:rsid w:val="00E6016C"/>
    <w:rsid w:val="00E60800"/>
    <w:rsid w:val="00E60889"/>
    <w:rsid w:val="00E60CAC"/>
    <w:rsid w:val="00E60D59"/>
    <w:rsid w:val="00E61057"/>
    <w:rsid w:val="00E6130C"/>
    <w:rsid w:val="00E6146E"/>
    <w:rsid w:val="00E61BB2"/>
    <w:rsid w:val="00E61D6B"/>
    <w:rsid w:val="00E61D93"/>
    <w:rsid w:val="00E61DAB"/>
    <w:rsid w:val="00E621BE"/>
    <w:rsid w:val="00E62332"/>
    <w:rsid w:val="00E6241F"/>
    <w:rsid w:val="00E6286D"/>
    <w:rsid w:val="00E62947"/>
    <w:rsid w:val="00E62C18"/>
    <w:rsid w:val="00E63714"/>
    <w:rsid w:val="00E6384A"/>
    <w:rsid w:val="00E63923"/>
    <w:rsid w:val="00E63BFF"/>
    <w:rsid w:val="00E63C39"/>
    <w:rsid w:val="00E63C51"/>
    <w:rsid w:val="00E64710"/>
    <w:rsid w:val="00E64B87"/>
    <w:rsid w:val="00E64BF8"/>
    <w:rsid w:val="00E64F55"/>
    <w:rsid w:val="00E65211"/>
    <w:rsid w:val="00E652E2"/>
    <w:rsid w:val="00E652FB"/>
    <w:rsid w:val="00E65888"/>
    <w:rsid w:val="00E658C5"/>
    <w:rsid w:val="00E65B67"/>
    <w:rsid w:val="00E65C6E"/>
    <w:rsid w:val="00E65E2E"/>
    <w:rsid w:val="00E66201"/>
    <w:rsid w:val="00E66469"/>
    <w:rsid w:val="00E668D2"/>
    <w:rsid w:val="00E66972"/>
    <w:rsid w:val="00E66A8D"/>
    <w:rsid w:val="00E66D71"/>
    <w:rsid w:val="00E674C6"/>
    <w:rsid w:val="00E677C2"/>
    <w:rsid w:val="00E67D50"/>
    <w:rsid w:val="00E701DA"/>
    <w:rsid w:val="00E7028A"/>
    <w:rsid w:val="00E705C4"/>
    <w:rsid w:val="00E705FB"/>
    <w:rsid w:val="00E70857"/>
    <w:rsid w:val="00E70DF9"/>
    <w:rsid w:val="00E71429"/>
    <w:rsid w:val="00E71B0F"/>
    <w:rsid w:val="00E71BD4"/>
    <w:rsid w:val="00E71E35"/>
    <w:rsid w:val="00E71F80"/>
    <w:rsid w:val="00E72146"/>
    <w:rsid w:val="00E721B7"/>
    <w:rsid w:val="00E7346B"/>
    <w:rsid w:val="00E736BA"/>
    <w:rsid w:val="00E7390E"/>
    <w:rsid w:val="00E739A5"/>
    <w:rsid w:val="00E73A06"/>
    <w:rsid w:val="00E74083"/>
    <w:rsid w:val="00E7454D"/>
    <w:rsid w:val="00E746AE"/>
    <w:rsid w:val="00E74AC5"/>
    <w:rsid w:val="00E74CC2"/>
    <w:rsid w:val="00E74CD1"/>
    <w:rsid w:val="00E75116"/>
    <w:rsid w:val="00E75312"/>
    <w:rsid w:val="00E76161"/>
    <w:rsid w:val="00E761E1"/>
    <w:rsid w:val="00E763FB"/>
    <w:rsid w:val="00E767B3"/>
    <w:rsid w:val="00E769B2"/>
    <w:rsid w:val="00E76C06"/>
    <w:rsid w:val="00E77345"/>
    <w:rsid w:val="00E776BE"/>
    <w:rsid w:val="00E77886"/>
    <w:rsid w:val="00E77C61"/>
    <w:rsid w:val="00E8036F"/>
    <w:rsid w:val="00E809D0"/>
    <w:rsid w:val="00E80AA6"/>
    <w:rsid w:val="00E80D1B"/>
    <w:rsid w:val="00E80F6A"/>
    <w:rsid w:val="00E811B7"/>
    <w:rsid w:val="00E811BF"/>
    <w:rsid w:val="00E812D2"/>
    <w:rsid w:val="00E815E1"/>
    <w:rsid w:val="00E81FE4"/>
    <w:rsid w:val="00E82467"/>
    <w:rsid w:val="00E824D6"/>
    <w:rsid w:val="00E828B1"/>
    <w:rsid w:val="00E82933"/>
    <w:rsid w:val="00E8296D"/>
    <w:rsid w:val="00E83820"/>
    <w:rsid w:val="00E83B47"/>
    <w:rsid w:val="00E84053"/>
    <w:rsid w:val="00E84106"/>
    <w:rsid w:val="00E8435F"/>
    <w:rsid w:val="00E84572"/>
    <w:rsid w:val="00E847F3"/>
    <w:rsid w:val="00E849E7"/>
    <w:rsid w:val="00E84ED6"/>
    <w:rsid w:val="00E851AB"/>
    <w:rsid w:val="00E861C8"/>
    <w:rsid w:val="00E863A5"/>
    <w:rsid w:val="00E865FF"/>
    <w:rsid w:val="00E866E5"/>
    <w:rsid w:val="00E869A6"/>
    <w:rsid w:val="00E86CD4"/>
    <w:rsid w:val="00E8739E"/>
    <w:rsid w:val="00E87F47"/>
    <w:rsid w:val="00E9040E"/>
    <w:rsid w:val="00E9051A"/>
    <w:rsid w:val="00E90A6E"/>
    <w:rsid w:val="00E90D71"/>
    <w:rsid w:val="00E90F29"/>
    <w:rsid w:val="00E911BF"/>
    <w:rsid w:val="00E915C7"/>
    <w:rsid w:val="00E92615"/>
    <w:rsid w:val="00E92EDF"/>
    <w:rsid w:val="00E930CA"/>
    <w:rsid w:val="00E932E9"/>
    <w:rsid w:val="00E933ED"/>
    <w:rsid w:val="00E934C3"/>
    <w:rsid w:val="00E936CA"/>
    <w:rsid w:val="00E937CF"/>
    <w:rsid w:val="00E93E9E"/>
    <w:rsid w:val="00E9414A"/>
    <w:rsid w:val="00E942DB"/>
    <w:rsid w:val="00E9447B"/>
    <w:rsid w:val="00E94927"/>
    <w:rsid w:val="00E94BA3"/>
    <w:rsid w:val="00E94C21"/>
    <w:rsid w:val="00E94F36"/>
    <w:rsid w:val="00E950D9"/>
    <w:rsid w:val="00E95317"/>
    <w:rsid w:val="00E954DA"/>
    <w:rsid w:val="00E958DA"/>
    <w:rsid w:val="00E95C77"/>
    <w:rsid w:val="00E95E3E"/>
    <w:rsid w:val="00E961DE"/>
    <w:rsid w:val="00E9663F"/>
    <w:rsid w:val="00E966BB"/>
    <w:rsid w:val="00E96DFA"/>
    <w:rsid w:val="00E96DFB"/>
    <w:rsid w:val="00E97028"/>
    <w:rsid w:val="00E97524"/>
    <w:rsid w:val="00E977C9"/>
    <w:rsid w:val="00E97A4F"/>
    <w:rsid w:val="00E97A5B"/>
    <w:rsid w:val="00E97AA5"/>
    <w:rsid w:val="00E97B35"/>
    <w:rsid w:val="00E97BAF"/>
    <w:rsid w:val="00E97F26"/>
    <w:rsid w:val="00EA0336"/>
    <w:rsid w:val="00EA04DA"/>
    <w:rsid w:val="00EA0536"/>
    <w:rsid w:val="00EA0901"/>
    <w:rsid w:val="00EA0A39"/>
    <w:rsid w:val="00EA0F6B"/>
    <w:rsid w:val="00EA1211"/>
    <w:rsid w:val="00EA160F"/>
    <w:rsid w:val="00EA1A80"/>
    <w:rsid w:val="00EA1A9A"/>
    <w:rsid w:val="00EA1C54"/>
    <w:rsid w:val="00EA1DDD"/>
    <w:rsid w:val="00EA22CB"/>
    <w:rsid w:val="00EA2894"/>
    <w:rsid w:val="00EA2A4E"/>
    <w:rsid w:val="00EA2D78"/>
    <w:rsid w:val="00EA2E67"/>
    <w:rsid w:val="00EA30C2"/>
    <w:rsid w:val="00EA32EC"/>
    <w:rsid w:val="00EA3469"/>
    <w:rsid w:val="00EA39C2"/>
    <w:rsid w:val="00EA3CEF"/>
    <w:rsid w:val="00EA3F1C"/>
    <w:rsid w:val="00EA40C0"/>
    <w:rsid w:val="00EA4EBB"/>
    <w:rsid w:val="00EA525F"/>
    <w:rsid w:val="00EA5DB6"/>
    <w:rsid w:val="00EA5FF3"/>
    <w:rsid w:val="00EA619A"/>
    <w:rsid w:val="00EA62DC"/>
    <w:rsid w:val="00EA6AF0"/>
    <w:rsid w:val="00EA6C8E"/>
    <w:rsid w:val="00EA6E79"/>
    <w:rsid w:val="00EA6F52"/>
    <w:rsid w:val="00EA71E9"/>
    <w:rsid w:val="00EA76B8"/>
    <w:rsid w:val="00EA7B61"/>
    <w:rsid w:val="00EA7D1E"/>
    <w:rsid w:val="00EA7ED9"/>
    <w:rsid w:val="00EB0D82"/>
    <w:rsid w:val="00EB186B"/>
    <w:rsid w:val="00EB1AA7"/>
    <w:rsid w:val="00EB25B4"/>
    <w:rsid w:val="00EB2981"/>
    <w:rsid w:val="00EB2A31"/>
    <w:rsid w:val="00EB2E0E"/>
    <w:rsid w:val="00EB32BF"/>
    <w:rsid w:val="00EB33C2"/>
    <w:rsid w:val="00EB341A"/>
    <w:rsid w:val="00EB3628"/>
    <w:rsid w:val="00EB3E66"/>
    <w:rsid w:val="00EB40FF"/>
    <w:rsid w:val="00EB4140"/>
    <w:rsid w:val="00EB4165"/>
    <w:rsid w:val="00EB44DB"/>
    <w:rsid w:val="00EB4C09"/>
    <w:rsid w:val="00EB4E94"/>
    <w:rsid w:val="00EB4F92"/>
    <w:rsid w:val="00EB4FC7"/>
    <w:rsid w:val="00EB5088"/>
    <w:rsid w:val="00EB56DE"/>
    <w:rsid w:val="00EB5965"/>
    <w:rsid w:val="00EB5CFE"/>
    <w:rsid w:val="00EB5D9D"/>
    <w:rsid w:val="00EB5DE2"/>
    <w:rsid w:val="00EB60BF"/>
    <w:rsid w:val="00EB664E"/>
    <w:rsid w:val="00EB6B23"/>
    <w:rsid w:val="00EB6DFB"/>
    <w:rsid w:val="00EB723C"/>
    <w:rsid w:val="00EB7975"/>
    <w:rsid w:val="00EC0293"/>
    <w:rsid w:val="00EC03DF"/>
    <w:rsid w:val="00EC05F9"/>
    <w:rsid w:val="00EC0645"/>
    <w:rsid w:val="00EC0D0D"/>
    <w:rsid w:val="00EC0D30"/>
    <w:rsid w:val="00EC0D97"/>
    <w:rsid w:val="00EC11AF"/>
    <w:rsid w:val="00EC161C"/>
    <w:rsid w:val="00EC18AA"/>
    <w:rsid w:val="00EC1B4C"/>
    <w:rsid w:val="00EC1B6F"/>
    <w:rsid w:val="00EC25B0"/>
    <w:rsid w:val="00EC26E5"/>
    <w:rsid w:val="00EC39AF"/>
    <w:rsid w:val="00EC4294"/>
    <w:rsid w:val="00EC455B"/>
    <w:rsid w:val="00EC45FB"/>
    <w:rsid w:val="00EC4676"/>
    <w:rsid w:val="00EC46C9"/>
    <w:rsid w:val="00EC4C6E"/>
    <w:rsid w:val="00EC5494"/>
    <w:rsid w:val="00EC5722"/>
    <w:rsid w:val="00EC63E1"/>
    <w:rsid w:val="00EC6656"/>
    <w:rsid w:val="00EC6A58"/>
    <w:rsid w:val="00EC6D2B"/>
    <w:rsid w:val="00EC6EA9"/>
    <w:rsid w:val="00EC6EBF"/>
    <w:rsid w:val="00EC72ED"/>
    <w:rsid w:val="00EC75C2"/>
    <w:rsid w:val="00EC7636"/>
    <w:rsid w:val="00EC7644"/>
    <w:rsid w:val="00EC7A61"/>
    <w:rsid w:val="00EC7B88"/>
    <w:rsid w:val="00EC7D7C"/>
    <w:rsid w:val="00ED03D6"/>
    <w:rsid w:val="00ED0564"/>
    <w:rsid w:val="00ED065C"/>
    <w:rsid w:val="00ED066A"/>
    <w:rsid w:val="00ED06A2"/>
    <w:rsid w:val="00ED098C"/>
    <w:rsid w:val="00ED0EA0"/>
    <w:rsid w:val="00ED13DE"/>
    <w:rsid w:val="00ED1B2D"/>
    <w:rsid w:val="00ED1B2F"/>
    <w:rsid w:val="00ED1C06"/>
    <w:rsid w:val="00ED1F72"/>
    <w:rsid w:val="00ED21B3"/>
    <w:rsid w:val="00ED279A"/>
    <w:rsid w:val="00ED2B6D"/>
    <w:rsid w:val="00ED2CC7"/>
    <w:rsid w:val="00ED2F72"/>
    <w:rsid w:val="00ED30A0"/>
    <w:rsid w:val="00ED3418"/>
    <w:rsid w:val="00ED34B4"/>
    <w:rsid w:val="00ED376A"/>
    <w:rsid w:val="00ED37B7"/>
    <w:rsid w:val="00ED3AFD"/>
    <w:rsid w:val="00ED3B5E"/>
    <w:rsid w:val="00ED3CFA"/>
    <w:rsid w:val="00ED3D16"/>
    <w:rsid w:val="00ED3E89"/>
    <w:rsid w:val="00ED433D"/>
    <w:rsid w:val="00ED43AF"/>
    <w:rsid w:val="00ED45FE"/>
    <w:rsid w:val="00ED54F4"/>
    <w:rsid w:val="00ED5894"/>
    <w:rsid w:val="00ED5AA0"/>
    <w:rsid w:val="00ED6150"/>
    <w:rsid w:val="00ED6422"/>
    <w:rsid w:val="00ED664A"/>
    <w:rsid w:val="00ED669F"/>
    <w:rsid w:val="00ED6A56"/>
    <w:rsid w:val="00ED758D"/>
    <w:rsid w:val="00ED75AF"/>
    <w:rsid w:val="00ED779F"/>
    <w:rsid w:val="00ED7864"/>
    <w:rsid w:val="00ED7E49"/>
    <w:rsid w:val="00ED7EBF"/>
    <w:rsid w:val="00EE0089"/>
    <w:rsid w:val="00EE014F"/>
    <w:rsid w:val="00EE084D"/>
    <w:rsid w:val="00EE0953"/>
    <w:rsid w:val="00EE0E9F"/>
    <w:rsid w:val="00EE1277"/>
    <w:rsid w:val="00EE1300"/>
    <w:rsid w:val="00EE1430"/>
    <w:rsid w:val="00EE1477"/>
    <w:rsid w:val="00EE16AE"/>
    <w:rsid w:val="00EE176E"/>
    <w:rsid w:val="00EE199E"/>
    <w:rsid w:val="00EE2146"/>
    <w:rsid w:val="00EE235D"/>
    <w:rsid w:val="00EE2467"/>
    <w:rsid w:val="00EE251F"/>
    <w:rsid w:val="00EE2626"/>
    <w:rsid w:val="00EE265C"/>
    <w:rsid w:val="00EE2877"/>
    <w:rsid w:val="00EE2898"/>
    <w:rsid w:val="00EE2E0C"/>
    <w:rsid w:val="00EE3177"/>
    <w:rsid w:val="00EE3592"/>
    <w:rsid w:val="00EE36C8"/>
    <w:rsid w:val="00EE3AA6"/>
    <w:rsid w:val="00EE43F6"/>
    <w:rsid w:val="00EE48E2"/>
    <w:rsid w:val="00EE5179"/>
    <w:rsid w:val="00EE51B6"/>
    <w:rsid w:val="00EE54A9"/>
    <w:rsid w:val="00EE554F"/>
    <w:rsid w:val="00EE58B5"/>
    <w:rsid w:val="00EE5BFF"/>
    <w:rsid w:val="00EE5F76"/>
    <w:rsid w:val="00EE60E5"/>
    <w:rsid w:val="00EE6300"/>
    <w:rsid w:val="00EE63B0"/>
    <w:rsid w:val="00EE66E8"/>
    <w:rsid w:val="00EE683A"/>
    <w:rsid w:val="00EE691E"/>
    <w:rsid w:val="00EE69BA"/>
    <w:rsid w:val="00EE6AA1"/>
    <w:rsid w:val="00EE6B7D"/>
    <w:rsid w:val="00EE6DDA"/>
    <w:rsid w:val="00EE75F9"/>
    <w:rsid w:val="00EE7A82"/>
    <w:rsid w:val="00EE7AE6"/>
    <w:rsid w:val="00EE7D5A"/>
    <w:rsid w:val="00EF01DA"/>
    <w:rsid w:val="00EF04C2"/>
    <w:rsid w:val="00EF0894"/>
    <w:rsid w:val="00EF09A2"/>
    <w:rsid w:val="00EF1022"/>
    <w:rsid w:val="00EF103F"/>
    <w:rsid w:val="00EF1496"/>
    <w:rsid w:val="00EF1597"/>
    <w:rsid w:val="00EF1939"/>
    <w:rsid w:val="00EF19A3"/>
    <w:rsid w:val="00EF1A21"/>
    <w:rsid w:val="00EF1BD9"/>
    <w:rsid w:val="00EF1C8F"/>
    <w:rsid w:val="00EF22D3"/>
    <w:rsid w:val="00EF2402"/>
    <w:rsid w:val="00EF2BC4"/>
    <w:rsid w:val="00EF2CA3"/>
    <w:rsid w:val="00EF354D"/>
    <w:rsid w:val="00EF3606"/>
    <w:rsid w:val="00EF3861"/>
    <w:rsid w:val="00EF389B"/>
    <w:rsid w:val="00EF398C"/>
    <w:rsid w:val="00EF3B10"/>
    <w:rsid w:val="00EF3DE8"/>
    <w:rsid w:val="00EF3DFF"/>
    <w:rsid w:val="00EF41A5"/>
    <w:rsid w:val="00EF473D"/>
    <w:rsid w:val="00EF4E9A"/>
    <w:rsid w:val="00EF52EC"/>
    <w:rsid w:val="00EF5516"/>
    <w:rsid w:val="00EF553F"/>
    <w:rsid w:val="00EF5824"/>
    <w:rsid w:val="00EF5E1D"/>
    <w:rsid w:val="00EF6491"/>
    <w:rsid w:val="00EF662C"/>
    <w:rsid w:val="00EF695F"/>
    <w:rsid w:val="00EF6AE9"/>
    <w:rsid w:val="00EF70A1"/>
    <w:rsid w:val="00EF7BD3"/>
    <w:rsid w:val="00EF7E9A"/>
    <w:rsid w:val="00EF7EDE"/>
    <w:rsid w:val="00F0010B"/>
    <w:rsid w:val="00F00225"/>
    <w:rsid w:val="00F003E0"/>
    <w:rsid w:val="00F0053B"/>
    <w:rsid w:val="00F01210"/>
    <w:rsid w:val="00F015C8"/>
    <w:rsid w:val="00F01A64"/>
    <w:rsid w:val="00F01A79"/>
    <w:rsid w:val="00F01A7A"/>
    <w:rsid w:val="00F01AA7"/>
    <w:rsid w:val="00F02342"/>
    <w:rsid w:val="00F02659"/>
    <w:rsid w:val="00F02725"/>
    <w:rsid w:val="00F03139"/>
    <w:rsid w:val="00F03166"/>
    <w:rsid w:val="00F03276"/>
    <w:rsid w:val="00F0359F"/>
    <w:rsid w:val="00F036C2"/>
    <w:rsid w:val="00F03D62"/>
    <w:rsid w:val="00F03E3B"/>
    <w:rsid w:val="00F03EEF"/>
    <w:rsid w:val="00F04005"/>
    <w:rsid w:val="00F04507"/>
    <w:rsid w:val="00F0492D"/>
    <w:rsid w:val="00F04EC6"/>
    <w:rsid w:val="00F05477"/>
    <w:rsid w:val="00F05578"/>
    <w:rsid w:val="00F05710"/>
    <w:rsid w:val="00F05748"/>
    <w:rsid w:val="00F057B4"/>
    <w:rsid w:val="00F05D21"/>
    <w:rsid w:val="00F05EA1"/>
    <w:rsid w:val="00F05FC6"/>
    <w:rsid w:val="00F0603A"/>
    <w:rsid w:val="00F063C8"/>
    <w:rsid w:val="00F06503"/>
    <w:rsid w:val="00F06615"/>
    <w:rsid w:val="00F0685E"/>
    <w:rsid w:val="00F068E2"/>
    <w:rsid w:val="00F07072"/>
    <w:rsid w:val="00F0728C"/>
    <w:rsid w:val="00F07A16"/>
    <w:rsid w:val="00F07B1B"/>
    <w:rsid w:val="00F07BE9"/>
    <w:rsid w:val="00F07FB3"/>
    <w:rsid w:val="00F1021B"/>
    <w:rsid w:val="00F10531"/>
    <w:rsid w:val="00F10615"/>
    <w:rsid w:val="00F10C9D"/>
    <w:rsid w:val="00F10D72"/>
    <w:rsid w:val="00F10E19"/>
    <w:rsid w:val="00F114C2"/>
    <w:rsid w:val="00F11875"/>
    <w:rsid w:val="00F12079"/>
    <w:rsid w:val="00F12422"/>
    <w:rsid w:val="00F12DC9"/>
    <w:rsid w:val="00F12E6E"/>
    <w:rsid w:val="00F12ECC"/>
    <w:rsid w:val="00F1307C"/>
    <w:rsid w:val="00F13420"/>
    <w:rsid w:val="00F1346A"/>
    <w:rsid w:val="00F13B4B"/>
    <w:rsid w:val="00F13B50"/>
    <w:rsid w:val="00F13F61"/>
    <w:rsid w:val="00F141F5"/>
    <w:rsid w:val="00F14238"/>
    <w:rsid w:val="00F142B7"/>
    <w:rsid w:val="00F143A0"/>
    <w:rsid w:val="00F14995"/>
    <w:rsid w:val="00F149AE"/>
    <w:rsid w:val="00F151FB"/>
    <w:rsid w:val="00F1562F"/>
    <w:rsid w:val="00F157C2"/>
    <w:rsid w:val="00F15A6D"/>
    <w:rsid w:val="00F15D29"/>
    <w:rsid w:val="00F1617C"/>
    <w:rsid w:val="00F1631D"/>
    <w:rsid w:val="00F16341"/>
    <w:rsid w:val="00F164A8"/>
    <w:rsid w:val="00F16643"/>
    <w:rsid w:val="00F16C6F"/>
    <w:rsid w:val="00F16C71"/>
    <w:rsid w:val="00F1712F"/>
    <w:rsid w:val="00F17892"/>
    <w:rsid w:val="00F17B3C"/>
    <w:rsid w:val="00F17C88"/>
    <w:rsid w:val="00F2037D"/>
    <w:rsid w:val="00F203AD"/>
    <w:rsid w:val="00F2043E"/>
    <w:rsid w:val="00F2072E"/>
    <w:rsid w:val="00F20877"/>
    <w:rsid w:val="00F20B84"/>
    <w:rsid w:val="00F212CF"/>
    <w:rsid w:val="00F21345"/>
    <w:rsid w:val="00F216BC"/>
    <w:rsid w:val="00F21727"/>
    <w:rsid w:val="00F21803"/>
    <w:rsid w:val="00F21981"/>
    <w:rsid w:val="00F21D21"/>
    <w:rsid w:val="00F21DCC"/>
    <w:rsid w:val="00F221C1"/>
    <w:rsid w:val="00F22586"/>
    <w:rsid w:val="00F23697"/>
    <w:rsid w:val="00F23E2F"/>
    <w:rsid w:val="00F23E60"/>
    <w:rsid w:val="00F23E89"/>
    <w:rsid w:val="00F241FD"/>
    <w:rsid w:val="00F2469F"/>
    <w:rsid w:val="00F24EAA"/>
    <w:rsid w:val="00F252B6"/>
    <w:rsid w:val="00F252ED"/>
    <w:rsid w:val="00F26424"/>
    <w:rsid w:val="00F2694C"/>
    <w:rsid w:val="00F26B14"/>
    <w:rsid w:val="00F26C95"/>
    <w:rsid w:val="00F27B2D"/>
    <w:rsid w:val="00F30315"/>
    <w:rsid w:val="00F30C92"/>
    <w:rsid w:val="00F30FEB"/>
    <w:rsid w:val="00F31523"/>
    <w:rsid w:val="00F31AEC"/>
    <w:rsid w:val="00F31C3C"/>
    <w:rsid w:val="00F323C6"/>
    <w:rsid w:val="00F324B2"/>
    <w:rsid w:val="00F32A58"/>
    <w:rsid w:val="00F32A6B"/>
    <w:rsid w:val="00F32B1B"/>
    <w:rsid w:val="00F32F69"/>
    <w:rsid w:val="00F32FBF"/>
    <w:rsid w:val="00F3302D"/>
    <w:rsid w:val="00F331D2"/>
    <w:rsid w:val="00F33831"/>
    <w:rsid w:val="00F33AB2"/>
    <w:rsid w:val="00F33BAC"/>
    <w:rsid w:val="00F33DA0"/>
    <w:rsid w:val="00F34234"/>
    <w:rsid w:val="00F34311"/>
    <w:rsid w:val="00F34960"/>
    <w:rsid w:val="00F34AAE"/>
    <w:rsid w:val="00F3512A"/>
    <w:rsid w:val="00F355B2"/>
    <w:rsid w:val="00F3561C"/>
    <w:rsid w:val="00F35C4D"/>
    <w:rsid w:val="00F35D6C"/>
    <w:rsid w:val="00F35E41"/>
    <w:rsid w:val="00F362E9"/>
    <w:rsid w:val="00F36300"/>
    <w:rsid w:val="00F3665C"/>
    <w:rsid w:val="00F369A3"/>
    <w:rsid w:val="00F36D28"/>
    <w:rsid w:val="00F37136"/>
    <w:rsid w:val="00F3715F"/>
    <w:rsid w:val="00F37507"/>
    <w:rsid w:val="00F3784A"/>
    <w:rsid w:val="00F37891"/>
    <w:rsid w:val="00F37C41"/>
    <w:rsid w:val="00F37D6B"/>
    <w:rsid w:val="00F37E18"/>
    <w:rsid w:val="00F37EB6"/>
    <w:rsid w:val="00F37FFC"/>
    <w:rsid w:val="00F400BC"/>
    <w:rsid w:val="00F400ED"/>
    <w:rsid w:val="00F4056A"/>
    <w:rsid w:val="00F40769"/>
    <w:rsid w:val="00F40D17"/>
    <w:rsid w:val="00F41321"/>
    <w:rsid w:val="00F413FE"/>
    <w:rsid w:val="00F42641"/>
    <w:rsid w:val="00F427BA"/>
    <w:rsid w:val="00F429A0"/>
    <w:rsid w:val="00F42A4F"/>
    <w:rsid w:val="00F42EB1"/>
    <w:rsid w:val="00F430E2"/>
    <w:rsid w:val="00F431C5"/>
    <w:rsid w:val="00F444EC"/>
    <w:rsid w:val="00F44ADA"/>
    <w:rsid w:val="00F45A8F"/>
    <w:rsid w:val="00F45F98"/>
    <w:rsid w:val="00F46141"/>
    <w:rsid w:val="00F46195"/>
    <w:rsid w:val="00F4643F"/>
    <w:rsid w:val="00F4671B"/>
    <w:rsid w:val="00F4698B"/>
    <w:rsid w:val="00F46BF6"/>
    <w:rsid w:val="00F46CD7"/>
    <w:rsid w:val="00F46F3D"/>
    <w:rsid w:val="00F47151"/>
    <w:rsid w:val="00F4767C"/>
    <w:rsid w:val="00F47977"/>
    <w:rsid w:val="00F47992"/>
    <w:rsid w:val="00F47AEA"/>
    <w:rsid w:val="00F47CE9"/>
    <w:rsid w:val="00F47FDD"/>
    <w:rsid w:val="00F47FF6"/>
    <w:rsid w:val="00F501D7"/>
    <w:rsid w:val="00F5028D"/>
    <w:rsid w:val="00F502A0"/>
    <w:rsid w:val="00F50715"/>
    <w:rsid w:val="00F50CF7"/>
    <w:rsid w:val="00F512E4"/>
    <w:rsid w:val="00F5149D"/>
    <w:rsid w:val="00F51649"/>
    <w:rsid w:val="00F516A0"/>
    <w:rsid w:val="00F51CA1"/>
    <w:rsid w:val="00F51DBC"/>
    <w:rsid w:val="00F51DE2"/>
    <w:rsid w:val="00F51FBD"/>
    <w:rsid w:val="00F520CE"/>
    <w:rsid w:val="00F52773"/>
    <w:rsid w:val="00F5278C"/>
    <w:rsid w:val="00F52E2D"/>
    <w:rsid w:val="00F533B8"/>
    <w:rsid w:val="00F53550"/>
    <w:rsid w:val="00F53802"/>
    <w:rsid w:val="00F53E1B"/>
    <w:rsid w:val="00F5436C"/>
    <w:rsid w:val="00F546DF"/>
    <w:rsid w:val="00F547F9"/>
    <w:rsid w:val="00F549B4"/>
    <w:rsid w:val="00F549DF"/>
    <w:rsid w:val="00F54B10"/>
    <w:rsid w:val="00F54CE5"/>
    <w:rsid w:val="00F54D9A"/>
    <w:rsid w:val="00F54F5A"/>
    <w:rsid w:val="00F54F5D"/>
    <w:rsid w:val="00F5563A"/>
    <w:rsid w:val="00F5566A"/>
    <w:rsid w:val="00F55876"/>
    <w:rsid w:val="00F559D5"/>
    <w:rsid w:val="00F559FE"/>
    <w:rsid w:val="00F56000"/>
    <w:rsid w:val="00F56262"/>
    <w:rsid w:val="00F56592"/>
    <w:rsid w:val="00F566C6"/>
    <w:rsid w:val="00F56809"/>
    <w:rsid w:val="00F56A94"/>
    <w:rsid w:val="00F56B62"/>
    <w:rsid w:val="00F56BBF"/>
    <w:rsid w:val="00F57234"/>
    <w:rsid w:val="00F57303"/>
    <w:rsid w:val="00F57462"/>
    <w:rsid w:val="00F57A67"/>
    <w:rsid w:val="00F57C03"/>
    <w:rsid w:val="00F6004A"/>
    <w:rsid w:val="00F60233"/>
    <w:rsid w:val="00F60560"/>
    <w:rsid w:val="00F60A5A"/>
    <w:rsid w:val="00F60AA9"/>
    <w:rsid w:val="00F60BC0"/>
    <w:rsid w:val="00F60DD9"/>
    <w:rsid w:val="00F60E88"/>
    <w:rsid w:val="00F61169"/>
    <w:rsid w:val="00F61513"/>
    <w:rsid w:val="00F61F4D"/>
    <w:rsid w:val="00F61FA3"/>
    <w:rsid w:val="00F62346"/>
    <w:rsid w:val="00F62380"/>
    <w:rsid w:val="00F623E4"/>
    <w:rsid w:val="00F6258E"/>
    <w:rsid w:val="00F626DD"/>
    <w:rsid w:val="00F62BE9"/>
    <w:rsid w:val="00F62F3A"/>
    <w:rsid w:val="00F631AB"/>
    <w:rsid w:val="00F63323"/>
    <w:rsid w:val="00F63A6A"/>
    <w:rsid w:val="00F63F67"/>
    <w:rsid w:val="00F64031"/>
    <w:rsid w:val="00F64350"/>
    <w:rsid w:val="00F64574"/>
    <w:rsid w:val="00F64CAF"/>
    <w:rsid w:val="00F64CEA"/>
    <w:rsid w:val="00F64F97"/>
    <w:rsid w:val="00F652E1"/>
    <w:rsid w:val="00F6599C"/>
    <w:rsid w:val="00F659FD"/>
    <w:rsid w:val="00F65B1C"/>
    <w:rsid w:val="00F65CA9"/>
    <w:rsid w:val="00F65E5B"/>
    <w:rsid w:val="00F66495"/>
    <w:rsid w:val="00F666E5"/>
    <w:rsid w:val="00F66748"/>
    <w:rsid w:val="00F66756"/>
    <w:rsid w:val="00F66D21"/>
    <w:rsid w:val="00F66D5C"/>
    <w:rsid w:val="00F675ED"/>
    <w:rsid w:val="00F70133"/>
    <w:rsid w:val="00F70C7C"/>
    <w:rsid w:val="00F70CA3"/>
    <w:rsid w:val="00F70F8F"/>
    <w:rsid w:val="00F71197"/>
    <w:rsid w:val="00F714BF"/>
    <w:rsid w:val="00F71A39"/>
    <w:rsid w:val="00F71CE2"/>
    <w:rsid w:val="00F72BE4"/>
    <w:rsid w:val="00F72E96"/>
    <w:rsid w:val="00F738B3"/>
    <w:rsid w:val="00F73B7A"/>
    <w:rsid w:val="00F73B92"/>
    <w:rsid w:val="00F73C51"/>
    <w:rsid w:val="00F742F0"/>
    <w:rsid w:val="00F74505"/>
    <w:rsid w:val="00F748D0"/>
    <w:rsid w:val="00F74D77"/>
    <w:rsid w:val="00F74FCC"/>
    <w:rsid w:val="00F750B0"/>
    <w:rsid w:val="00F757F5"/>
    <w:rsid w:val="00F75A4E"/>
    <w:rsid w:val="00F75AFB"/>
    <w:rsid w:val="00F75BC1"/>
    <w:rsid w:val="00F75C8F"/>
    <w:rsid w:val="00F75E2C"/>
    <w:rsid w:val="00F7625F"/>
    <w:rsid w:val="00F762EB"/>
    <w:rsid w:val="00F76577"/>
    <w:rsid w:val="00F767D1"/>
    <w:rsid w:val="00F76A4F"/>
    <w:rsid w:val="00F7733A"/>
    <w:rsid w:val="00F7751B"/>
    <w:rsid w:val="00F77737"/>
    <w:rsid w:val="00F77AA2"/>
    <w:rsid w:val="00F800E0"/>
    <w:rsid w:val="00F80B5C"/>
    <w:rsid w:val="00F81011"/>
    <w:rsid w:val="00F81C3F"/>
    <w:rsid w:val="00F81E71"/>
    <w:rsid w:val="00F81EB2"/>
    <w:rsid w:val="00F821FF"/>
    <w:rsid w:val="00F8220B"/>
    <w:rsid w:val="00F826D5"/>
    <w:rsid w:val="00F8278D"/>
    <w:rsid w:val="00F83007"/>
    <w:rsid w:val="00F8307C"/>
    <w:rsid w:val="00F831ED"/>
    <w:rsid w:val="00F83438"/>
    <w:rsid w:val="00F8384B"/>
    <w:rsid w:val="00F83C80"/>
    <w:rsid w:val="00F83E8C"/>
    <w:rsid w:val="00F8427C"/>
    <w:rsid w:val="00F84406"/>
    <w:rsid w:val="00F845DA"/>
    <w:rsid w:val="00F84DEB"/>
    <w:rsid w:val="00F84ECA"/>
    <w:rsid w:val="00F8509A"/>
    <w:rsid w:val="00F854EB"/>
    <w:rsid w:val="00F8593E"/>
    <w:rsid w:val="00F85B73"/>
    <w:rsid w:val="00F85C7A"/>
    <w:rsid w:val="00F85CD4"/>
    <w:rsid w:val="00F8612B"/>
    <w:rsid w:val="00F8631F"/>
    <w:rsid w:val="00F86696"/>
    <w:rsid w:val="00F86A1B"/>
    <w:rsid w:val="00F86B14"/>
    <w:rsid w:val="00F872EA"/>
    <w:rsid w:val="00F87311"/>
    <w:rsid w:val="00F87393"/>
    <w:rsid w:val="00F875B0"/>
    <w:rsid w:val="00F875CF"/>
    <w:rsid w:val="00F87DCE"/>
    <w:rsid w:val="00F87EB8"/>
    <w:rsid w:val="00F901FC"/>
    <w:rsid w:val="00F9025D"/>
    <w:rsid w:val="00F903A3"/>
    <w:rsid w:val="00F90547"/>
    <w:rsid w:val="00F90781"/>
    <w:rsid w:val="00F90A37"/>
    <w:rsid w:val="00F90A95"/>
    <w:rsid w:val="00F90B0B"/>
    <w:rsid w:val="00F91658"/>
    <w:rsid w:val="00F91752"/>
    <w:rsid w:val="00F91960"/>
    <w:rsid w:val="00F91C61"/>
    <w:rsid w:val="00F91F0D"/>
    <w:rsid w:val="00F91FE1"/>
    <w:rsid w:val="00F921C0"/>
    <w:rsid w:val="00F92283"/>
    <w:rsid w:val="00F922A1"/>
    <w:rsid w:val="00F9245E"/>
    <w:rsid w:val="00F92C5C"/>
    <w:rsid w:val="00F92CB6"/>
    <w:rsid w:val="00F92E4D"/>
    <w:rsid w:val="00F92F05"/>
    <w:rsid w:val="00F92F83"/>
    <w:rsid w:val="00F93021"/>
    <w:rsid w:val="00F932F6"/>
    <w:rsid w:val="00F939FD"/>
    <w:rsid w:val="00F93AB7"/>
    <w:rsid w:val="00F93E26"/>
    <w:rsid w:val="00F948F7"/>
    <w:rsid w:val="00F94CC3"/>
    <w:rsid w:val="00F94DB3"/>
    <w:rsid w:val="00F94F3E"/>
    <w:rsid w:val="00F957D0"/>
    <w:rsid w:val="00F95A8F"/>
    <w:rsid w:val="00F95BC9"/>
    <w:rsid w:val="00F95D5F"/>
    <w:rsid w:val="00F9602B"/>
    <w:rsid w:val="00F960B1"/>
    <w:rsid w:val="00F963D3"/>
    <w:rsid w:val="00F965D3"/>
    <w:rsid w:val="00F967EB"/>
    <w:rsid w:val="00F967F9"/>
    <w:rsid w:val="00F96DE0"/>
    <w:rsid w:val="00F96F78"/>
    <w:rsid w:val="00F96FC5"/>
    <w:rsid w:val="00F97010"/>
    <w:rsid w:val="00F97016"/>
    <w:rsid w:val="00F97103"/>
    <w:rsid w:val="00F97178"/>
    <w:rsid w:val="00F973DD"/>
    <w:rsid w:val="00F97571"/>
    <w:rsid w:val="00FA0103"/>
    <w:rsid w:val="00FA0753"/>
    <w:rsid w:val="00FA08C3"/>
    <w:rsid w:val="00FA0DE0"/>
    <w:rsid w:val="00FA103C"/>
    <w:rsid w:val="00FA14B1"/>
    <w:rsid w:val="00FA17F0"/>
    <w:rsid w:val="00FA1861"/>
    <w:rsid w:val="00FA196C"/>
    <w:rsid w:val="00FA19CD"/>
    <w:rsid w:val="00FA1D2D"/>
    <w:rsid w:val="00FA1F2C"/>
    <w:rsid w:val="00FA2125"/>
    <w:rsid w:val="00FA21B4"/>
    <w:rsid w:val="00FA2668"/>
    <w:rsid w:val="00FA2728"/>
    <w:rsid w:val="00FA27CF"/>
    <w:rsid w:val="00FA2BB6"/>
    <w:rsid w:val="00FA2D05"/>
    <w:rsid w:val="00FA324C"/>
    <w:rsid w:val="00FA35BC"/>
    <w:rsid w:val="00FA3A13"/>
    <w:rsid w:val="00FA3B1D"/>
    <w:rsid w:val="00FA3C25"/>
    <w:rsid w:val="00FA42E7"/>
    <w:rsid w:val="00FA4668"/>
    <w:rsid w:val="00FA4AE1"/>
    <w:rsid w:val="00FA4B77"/>
    <w:rsid w:val="00FA4F3E"/>
    <w:rsid w:val="00FA4FDA"/>
    <w:rsid w:val="00FA517F"/>
    <w:rsid w:val="00FA53EC"/>
    <w:rsid w:val="00FA59F5"/>
    <w:rsid w:val="00FA628E"/>
    <w:rsid w:val="00FA637E"/>
    <w:rsid w:val="00FA64D0"/>
    <w:rsid w:val="00FA653E"/>
    <w:rsid w:val="00FA656F"/>
    <w:rsid w:val="00FA6CF2"/>
    <w:rsid w:val="00FA6E14"/>
    <w:rsid w:val="00FA6E74"/>
    <w:rsid w:val="00FA7170"/>
    <w:rsid w:val="00FA74A1"/>
    <w:rsid w:val="00FA753F"/>
    <w:rsid w:val="00FA75C2"/>
    <w:rsid w:val="00FA792D"/>
    <w:rsid w:val="00FA7985"/>
    <w:rsid w:val="00FA7DC6"/>
    <w:rsid w:val="00FB01AE"/>
    <w:rsid w:val="00FB01E5"/>
    <w:rsid w:val="00FB04E3"/>
    <w:rsid w:val="00FB097F"/>
    <w:rsid w:val="00FB0AAB"/>
    <w:rsid w:val="00FB0CD7"/>
    <w:rsid w:val="00FB0D14"/>
    <w:rsid w:val="00FB0FF7"/>
    <w:rsid w:val="00FB1636"/>
    <w:rsid w:val="00FB16E2"/>
    <w:rsid w:val="00FB191E"/>
    <w:rsid w:val="00FB1DA5"/>
    <w:rsid w:val="00FB1FB8"/>
    <w:rsid w:val="00FB2585"/>
    <w:rsid w:val="00FB25BE"/>
    <w:rsid w:val="00FB2A32"/>
    <w:rsid w:val="00FB2C85"/>
    <w:rsid w:val="00FB2FBD"/>
    <w:rsid w:val="00FB31B7"/>
    <w:rsid w:val="00FB33B4"/>
    <w:rsid w:val="00FB39C3"/>
    <w:rsid w:val="00FB39F2"/>
    <w:rsid w:val="00FB3BD0"/>
    <w:rsid w:val="00FB3E3F"/>
    <w:rsid w:val="00FB3E4B"/>
    <w:rsid w:val="00FB3EF4"/>
    <w:rsid w:val="00FB3EF7"/>
    <w:rsid w:val="00FB3F38"/>
    <w:rsid w:val="00FB400A"/>
    <w:rsid w:val="00FB4104"/>
    <w:rsid w:val="00FB48F3"/>
    <w:rsid w:val="00FB49CF"/>
    <w:rsid w:val="00FB4A55"/>
    <w:rsid w:val="00FB4D91"/>
    <w:rsid w:val="00FB4E0C"/>
    <w:rsid w:val="00FB4F99"/>
    <w:rsid w:val="00FB500C"/>
    <w:rsid w:val="00FB55A3"/>
    <w:rsid w:val="00FB5792"/>
    <w:rsid w:val="00FB5EA8"/>
    <w:rsid w:val="00FB6019"/>
    <w:rsid w:val="00FB63C9"/>
    <w:rsid w:val="00FB66BC"/>
    <w:rsid w:val="00FB6AA1"/>
    <w:rsid w:val="00FB6C37"/>
    <w:rsid w:val="00FB6D88"/>
    <w:rsid w:val="00FB6F77"/>
    <w:rsid w:val="00FB6FD5"/>
    <w:rsid w:val="00FB71A3"/>
    <w:rsid w:val="00FB7263"/>
    <w:rsid w:val="00FB785D"/>
    <w:rsid w:val="00FB7A8C"/>
    <w:rsid w:val="00FB7D60"/>
    <w:rsid w:val="00FC00D4"/>
    <w:rsid w:val="00FC078E"/>
    <w:rsid w:val="00FC097E"/>
    <w:rsid w:val="00FC09F6"/>
    <w:rsid w:val="00FC0A3E"/>
    <w:rsid w:val="00FC0AD0"/>
    <w:rsid w:val="00FC0BF5"/>
    <w:rsid w:val="00FC0D3C"/>
    <w:rsid w:val="00FC1510"/>
    <w:rsid w:val="00FC17AB"/>
    <w:rsid w:val="00FC1DFC"/>
    <w:rsid w:val="00FC1EE9"/>
    <w:rsid w:val="00FC21FA"/>
    <w:rsid w:val="00FC31C8"/>
    <w:rsid w:val="00FC3387"/>
    <w:rsid w:val="00FC36B2"/>
    <w:rsid w:val="00FC3985"/>
    <w:rsid w:val="00FC398E"/>
    <w:rsid w:val="00FC3D6E"/>
    <w:rsid w:val="00FC3E3E"/>
    <w:rsid w:val="00FC442B"/>
    <w:rsid w:val="00FC4DC4"/>
    <w:rsid w:val="00FC5105"/>
    <w:rsid w:val="00FC5301"/>
    <w:rsid w:val="00FC544B"/>
    <w:rsid w:val="00FC5CFA"/>
    <w:rsid w:val="00FC639F"/>
    <w:rsid w:val="00FC63E5"/>
    <w:rsid w:val="00FC65FE"/>
    <w:rsid w:val="00FC6C36"/>
    <w:rsid w:val="00FC6C90"/>
    <w:rsid w:val="00FC6DFF"/>
    <w:rsid w:val="00FC77AF"/>
    <w:rsid w:val="00FC7900"/>
    <w:rsid w:val="00FC79E1"/>
    <w:rsid w:val="00FC7C2F"/>
    <w:rsid w:val="00FC7D27"/>
    <w:rsid w:val="00FC7D38"/>
    <w:rsid w:val="00FD0162"/>
    <w:rsid w:val="00FD05FA"/>
    <w:rsid w:val="00FD0BDF"/>
    <w:rsid w:val="00FD1622"/>
    <w:rsid w:val="00FD1B90"/>
    <w:rsid w:val="00FD1C6B"/>
    <w:rsid w:val="00FD20DA"/>
    <w:rsid w:val="00FD2121"/>
    <w:rsid w:val="00FD25B9"/>
    <w:rsid w:val="00FD27DE"/>
    <w:rsid w:val="00FD2A41"/>
    <w:rsid w:val="00FD2C74"/>
    <w:rsid w:val="00FD2E08"/>
    <w:rsid w:val="00FD2F37"/>
    <w:rsid w:val="00FD31E9"/>
    <w:rsid w:val="00FD3C73"/>
    <w:rsid w:val="00FD3E5D"/>
    <w:rsid w:val="00FD3EBC"/>
    <w:rsid w:val="00FD416B"/>
    <w:rsid w:val="00FD4785"/>
    <w:rsid w:val="00FD4C4E"/>
    <w:rsid w:val="00FD5566"/>
    <w:rsid w:val="00FD5D5A"/>
    <w:rsid w:val="00FD5EFA"/>
    <w:rsid w:val="00FD6131"/>
    <w:rsid w:val="00FD6340"/>
    <w:rsid w:val="00FD64A8"/>
    <w:rsid w:val="00FD6E41"/>
    <w:rsid w:val="00FD6E79"/>
    <w:rsid w:val="00FD6F95"/>
    <w:rsid w:val="00FD7075"/>
    <w:rsid w:val="00FD737B"/>
    <w:rsid w:val="00FD74EA"/>
    <w:rsid w:val="00FD7858"/>
    <w:rsid w:val="00FE0104"/>
    <w:rsid w:val="00FE018B"/>
    <w:rsid w:val="00FE0366"/>
    <w:rsid w:val="00FE06FA"/>
    <w:rsid w:val="00FE0C6D"/>
    <w:rsid w:val="00FE0E0A"/>
    <w:rsid w:val="00FE19FA"/>
    <w:rsid w:val="00FE1B73"/>
    <w:rsid w:val="00FE1E94"/>
    <w:rsid w:val="00FE258F"/>
    <w:rsid w:val="00FE28C5"/>
    <w:rsid w:val="00FE2B5E"/>
    <w:rsid w:val="00FE2F56"/>
    <w:rsid w:val="00FE328B"/>
    <w:rsid w:val="00FE3849"/>
    <w:rsid w:val="00FE3C83"/>
    <w:rsid w:val="00FE3F5B"/>
    <w:rsid w:val="00FE4350"/>
    <w:rsid w:val="00FE48FF"/>
    <w:rsid w:val="00FE4CAA"/>
    <w:rsid w:val="00FE5239"/>
    <w:rsid w:val="00FE528F"/>
    <w:rsid w:val="00FE5949"/>
    <w:rsid w:val="00FE5E21"/>
    <w:rsid w:val="00FE5E38"/>
    <w:rsid w:val="00FE5FDD"/>
    <w:rsid w:val="00FE6304"/>
    <w:rsid w:val="00FE6540"/>
    <w:rsid w:val="00FE6AB8"/>
    <w:rsid w:val="00FE6AB9"/>
    <w:rsid w:val="00FE6BAA"/>
    <w:rsid w:val="00FE6F79"/>
    <w:rsid w:val="00FE6FA6"/>
    <w:rsid w:val="00FE711E"/>
    <w:rsid w:val="00FE758A"/>
    <w:rsid w:val="00FE760B"/>
    <w:rsid w:val="00FE789D"/>
    <w:rsid w:val="00FE7CE3"/>
    <w:rsid w:val="00FF001E"/>
    <w:rsid w:val="00FF04FB"/>
    <w:rsid w:val="00FF06CA"/>
    <w:rsid w:val="00FF09DF"/>
    <w:rsid w:val="00FF0BCD"/>
    <w:rsid w:val="00FF0C17"/>
    <w:rsid w:val="00FF0D53"/>
    <w:rsid w:val="00FF1613"/>
    <w:rsid w:val="00FF1A7B"/>
    <w:rsid w:val="00FF1F7F"/>
    <w:rsid w:val="00FF2572"/>
    <w:rsid w:val="00FF2C22"/>
    <w:rsid w:val="00FF2C58"/>
    <w:rsid w:val="00FF2EBA"/>
    <w:rsid w:val="00FF30FE"/>
    <w:rsid w:val="00FF3294"/>
    <w:rsid w:val="00FF34AD"/>
    <w:rsid w:val="00FF37AB"/>
    <w:rsid w:val="00FF4B85"/>
    <w:rsid w:val="00FF4C10"/>
    <w:rsid w:val="00FF4F3C"/>
    <w:rsid w:val="00FF4FC7"/>
    <w:rsid w:val="00FF517E"/>
    <w:rsid w:val="00FF5347"/>
    <w:rsid w:val="00FF562B"/>
    <w:rsid w:val="00FF5845"/>
    <w:rsid w:val="00FF59F7"/>
    <w:rsid w:val="00FF5B6E"/>
    <w:rsid w:val="00FF5C6B"/>
    <w:rsid w:val="00FF5C71"/>
    <w:rsid w:val="00FF5D24"/>
    <w:rsid w:val="00FF5FF1"/>
    <w:rsid w:val="00FF63BC"/>
    <w:rsid w:val="00FF6A8D"/>
    <w:rsid w:val="00FF6AB5"/>
    <w:rsid w:val="00FF6D3C"/>
    <w:rsid w:val="00FF6EDD"/>
    <w:rsid w:val="00FF701D"/>
    <w:rsid w:val="00FF714F"/>
    <w:rsid w:val="00FF7458"/>
    <w:rsid w:val="00FF752E"/>
    <w:rsid w:val="00FF755A"/>
    <w:rsid w:val="00FF790D"/>
    <w:rsid w:val="02EC2D57"/>
    <w:rsid w:val="04753057"/>
    <w:rsid w:val="048AB378"/>
    <w:rsid w:val="06506801"/>
    <w:rsid w:val="065196F1"/>
    <w:rsid w:val="0C19627F"/>
    <w:rsid w:val="0D4AC653"/>
    <w:rsid w:val="14865025"/>
    <w:rsid w:val="17CF47D5"/>
    <w:rsid w:val="1AA4F935"/>
    <w:rsid w:val="1B5EDB14"/>
    <w:rsid w:val="1C17BFAD"/>
    <w:rsid w:val="1CBE42B4"/>
    <w:rsid w:val="1E8C8185"/>
    <w:rsid w:val="1F3EEEE6"/>
    <w:rsid w:val="22C1A1AD"/>
    <w:rsid w:val="230F8D4E"/>
    <w:rsid w:val="25E7CE50"/>
    <w:rsid w:val="260269F2"/>
    <w:rsid w:val="2724BDFE"/>
    <w:rsid w:val="29A27E08"/>
    <w:rsid w:val="29EB7B9E"/>
    <w:rsid w:val="2C138C2A"/>
    <w:rsid w:val="2F54AE09"/>
    <w:rsid w:val="2FA1C454"/>
    <w:rsid w:val="30CD0BA2"/>
    <w:rsid w:val="315E9707"/>
    <w:rsid w:val="31A0267D"/>
    <w:rsid w:val="35855192"/>
    <w:rsid w:val="35A30C7B"/>
    <w:rsid w:val="385274AD"/>
    <w:rsid w:val="38685425"/>
    <w:rsid w:val="391FA42C"/>
    <w:rsid w:val="3C2E5D4D"/>
    <w:rsid w:val="3E1CEBA3"/>
    <w:rsid w:val="3E3B7A97"/>
    <w:rsid w:val="3EE20085"/>
    <w:rsid w:val="468013D6"/>
    <w:rsid w:val="4BFB4271"/>
    <w:rsid w:val="4C1865E2"/>
    <w:rsid w:val="50035447"/>
    <w:rsid w:val="504D0C88"/>
    <w:rsid w:val="50F42932"/>
    <w:rsid w:val="54066422"/>
    <w:rsid w:val="541F21A9"/>
    <w:rsid w:val="549943DC"/>
    <w:rsid w:val="5676CB00"/>
    <w:rsid w:val="58AB3460"/>
    <w:rsid w:val="5D657BB6"/>
    <w:rsid w:val="5D941E0B"/>
    <w:rsid w:val="5F0736D8"/>
    <w:rsid w:val="5F805982"/>
    <w:rsid w:val="645724A4"/>
    <w:rsid w:val="650B9097"/>
    <w:rsid w:val="6C4A3D1C"/>
    <w:rsid w:val="6F3C020F"/>
    <w:rsid w:val="726FE740"/>
    <w:rsid w:val="74D1A12A"/>
    <w:rsid w:val="75254855"/>
    <w:rsid w:val="7942BA5F"/>
    <w:rsid w:val="7A26D45E"/>
    <w:rsid w:val="7CF7F4E3"/>
    <w:rsid w:val="7D6F4C84"/>
    <w:rsid w:val="7E484B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578F4C"/>
  <w15:chartTrackingRefBased/>
  <w15:docId w15:val="{F25FA79C-3709-408F-AC57-247BA057E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53D8"/>
    <w:pPr>
      <w:spacing w:after="120"/>
      <w:jc w:val="both"/>
    </w:pPr>
    <w:rPr>
      <w:sz w:val="24"/>
      <w:lang w:val="en-US" w:eastAsia="en-US"/>
    </w:rPr>
  </w:style>
  <w:style w:type="paragraph" w:styleId="Heading1">
    <w:name w:val="heading 1"/>
    <w:basedOn w:val="Normal"/>
    <w:next w:val="BodyText"/>
    <w:qFormat/>
    <w:pPr>
      <w:keepNext/>
      <w:numPr>
        <w:numId w:val="21"/>
      </w:numPr>
      <w:spacing w:after="240"/>
      <w:outlineLvl w:val="0"/>
    </w:pPr>
    <w:rPr>
      <w:b/>
      <w:kern w:val="28"/>
    </w:rPr>
  </w:style>
  <w:style w:type="paragraph" w:styleId="Heading2">
    <w:name w:val="heading 2"/>
    <w:basedOn w:val="Normal"/>
    <w:link w:val="Heading2Char"/>
    <w:qFormat/>
    <w:pPr>
      <w:keepNext/>
      <w:numPr>
        <w:ilvl w:val="1"/>
        <w:numId w:val="21"/>
      </w:numPr>
      <w:spacing w:after="240"/>
      <w:outlineLvl w:val="1"/>
    </w:pPr>
  </w:style>
  <w:style w:type="paragraph" w:styleId="Heading3">
    <w:name w:val="heading 3"/>
    <w:basedOn w:val="Normal"/>
    <w:qFormat/>
    <w:pPr>
      <w:keepNext/>
      <w:numPr>
        <w:ilvl w:val="2"/>
        <w:numId w:val="21"/>
      </w:numPr>
      <w:outlineLvl w:val="2"/>
    </w:pPr>
  </w:style>
  <w:style w:type="paragraph" w:styleId="Heading4">
    <w:name w:val="heading 4"/>
    <w:aliases w:val="Char Char,Char,Heading 41,Char Char1,Char1,Char2,Char Char2,Char Char1 Char,Char1 Char,Char2 Char,Char Char Char, Char Char, Char, Char Char1, Char1, Char2, Char Char Char,Char Char Char Char"/>
    <w:basedOn w:val="Normal"/>
    <w:next w:val="Normal"/>
    <w:qFormat/>
    <w:pPr>
      <w:keepNext/>
      <w:numPr>
        <w:ilvl w:val="3"/>
        <w:numId w:val="21"/>
      </w:numPr>
      <w:spacing w:after="240"/>
      <w:outlineLvl w:val="3"/>
    </w:pPr>
  </w:style>
  <w:style w:type="paragraph" w:styleId="Heading5">
    <w:name w:val="heading 5"/>
    <w:basedOn w:val="Normal"/>
    <w:next w:val="Normal"/>
    <w:link w:val="Heading5Char"/>
    <w:qFormat/>
    <w:pPr>
      <w:numPr>
        <w:ilvl w:val="4"/>
        <w:numId w:val="21"/>
      </w:numPr>
      <w:spacing w:after="240"/>
      <w:outlineLvl w:val="4"/>
    </w:pPr>
    <w:rPr>
      <w:sz w:val="22"/>
    </w:rPr>
  </w:style>
  <w:style w:type="paragraph" w:styleId="Heading6">
    <w:name w:val="heading 6"/>
    <w:basedOn w:val="Normal"/>
    <w:next w:val="Normal"/>
    <w:qFormat/>
    <w:pPr>
      <w:numPr>
        <w:ilvl w:val="5"/>
        <w:numId w:val="21"/>
      </w:numPr>
      <w:spacing w:after="240"/>
      <w:outlineLvl w:val="5"/>
    </w:pPr>
    <w:rPr>
      <w:i/>
      <w:sz w:val="22"/>
    </w:rPr>
  </w:style>
  <w:style w:type="paragraph" w:styleId="Heading7">
    <w:name w:val="heading 7"/>
    <w:basedOn w:val="Normal"/>
    <w:next w:val="Normal"/>
    <w:qFormat/>
    <w:pPr>
      <w:numPr>
        <w:ilvl w:val="6"/>
        <w:numId w:val="21"/>
      </w:numPr>
      <w:spacing w:after="240"/>
      <w:outlineLvl w:val="6"/>
    </w:pPr>
    <w:rPr>
      <w:rFonts w:ascii="Arial" w:hAnsi="Arial"/>
      <w:sz w:val="20"/>
    </w:rPr>
  </w:style>
  <w:style w:type="paragraph" w:styleId="Heading8">
    <w:name w:val="heading 8"/>
    <w:basedOn w:val="Normal"/>
    <w:next w:val="Normal"/>
    <w:qFormat/>
    <w:pPr>
      <w:numPr>
        <w:ilvl w:val="7"/>
        <w:numId w:val="21"/>
      </w:numPr>
      <w:spacing w:after="240"/>
      <w:outlineLvl w:val="7"/>
    </w:pPr>
    <w:rPr>
      <w:rFonts w:ascii="Arial" w:hAnsi="Arial"/>
      <w:i/>
      <w:sz w:val="20"/>
    </w:rPr>
  </w:style>
  <w:style w:type="paragraph" w:styleId="Heading9">
    <w:name w:val="heading 9"/>
    <w:basedOn w:val="Normal"/>
    <w:next w:val="Normal"/>
    <w:qFormat/>
    <w:pPr>
      <w:numPr>
        <w:ilvl w:val="8"/>
        <w:numId w:val="21"/>
      </w:numPr>
      <w:spacing w:after="240"/>
      <w:outlineLvl w:val="8"/>
    </w:pPr>
    <w:rPr>
      <w:rFonts w:ascii="Arial" w:hAnsi="Arial"/>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40"/>
      <w:ind w:left="720"/>
    </w:pPr>
    <w:rPr>
      <w:snapToGrid w:val="0"/>
    </w:rPr>
  </w:style>
  <w:style w:type="paragraph" w:customStyle="1" w:styleId="TableText">
    <w:name w:val="Table Text"/>
    <w:basedOn w:val="Normal"/>
    <w:pPr>
      <w:spacing w:before="120"/>
      <w:jc w:val="left"/>
    </w:pPr>
    <w:rPr>
      <w:b/>
    </w:rPr>
  </w:style>
  <w:style w:type="paragraph" w:styleId="NormalIndent">
    <w:name w:val="Normal Indent"/>
    <w:basedOn w:val="Normal"/>
    <w:pPr>
      <w:ind w:left="720"/>
    </w:pPr>
  </w:style>
  <w:style w:type="paragraph" w:customStyle="1" w:styleId="BodySingle">
    <w:name w:val="Body Single"/>
    <w:pPr>
      <w:ind w:left="720"/>
      <w:jc w:val="both"/>
    </w:pPr>
    <w:rPr>
      <w:snapToGrid w:val="0"/>
      <w:color w:val="000000"/>
      <w:sz w:val="24"/>
      <w:lang w:val="en-US" w:eastAsia="en-US"/>
    </w:rPr>
  </w:style>
  <w:style w:type="paragraph" w:customStyle="1" w:styleId="ListRoman">
    <w:name w:val="List Roman"/>
    <w:basedOn w:val="List"/>
    <w:pPr>
      <w:numPr>
        <w:numId w:val="3"/>
      </w:numPr>
      <w:spacing w:after="240"/>
    </w:pPr>
  </w:style>
  <w:style w:type="paragraph" w:customStyle="1" w:styleId="Bullets">
    <w:name w:val="Bullets"/>
    <w:basedOn w:val="Normal"/>
    <w:pPr>
      <w:numPr>
        <w:numId w:val="2"/>
      </w:numPr>
      <w:spacing w:after="240"/>
    </w:pPr>
  </w:style>
  <w:style w:type="paragraph" w:styleId="List">
    <w:name w:val="List"/>
    <w:basedOn w:val="Normal"/>
    <w:pPr>
      <w:ind w:left="283" w:hanging="283"/>
    </w:pPr>
  </w:style>
  <w:style w:type="paragraph" w:customStyle="1" w:styleId="Recommendation">
    <w:name w:val="Recommendation"/>
    <w:next w:val="Recpoint"/>
    <w:pPr>
      <w:spacing w:after="240"/>
      <w:jc w:val="both"/>
    </w:pPr>
    <w:rPr>
      <w:b/>
      <w:noProof/>
      <w:sz w:val="24"/>
      <w:lang w:val="en-US" w:eastAsia="en-US"/>
    </w:rPr>
  </w:style>
  <w:style w:type="paragraph" w:customStyle="1" w:styleId="Recpoint">
    <w:name w:val="Recpoint"/>
    <w:pPr>
      <w:numPr>
        <w:numId w:val="1"/>
      </w:numPr>
      <w:spacing w:after="240"/>
      <w:jc w:val="both"/>
    </w:pPr>
    <w:rPr>
      <w:noProof/>
      <w:sz w:val="24"/>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alloonText">
    <w:name w:val="Balloon Text"/>
    <w:basedOn w:val="Normal"/>
    <w:semiHidden/>
    <w:rsid w:val="003E5723"/>
    <w:rPr>
      <w:rFonts w:ascii="Tahoma" w:hAnsi="Tahoma" w:cs="Tahoma"/>
      <w:sz w:val="16"/>
      <w:szCs w:val="16"/>
    </w:rPr>
  </w:style>
  <w:style w:type="character" w:styleId="CommentReference">
    <w:name w:val="annotation reference"/>
    <w:semiHidden/>
    <w:rsid w:val="00770DE8"/>
    <w:rPr>
      <w:sz w:val="16"/>
      <w:szCs w:val="16"/>
    </w:rPr>
  </w:style>
  <w:style w:type="paragraph" w:styleId="CommentText">
    <w:name w:val="annotation text"/>
    <w:basedOn w:val="Normal"/>
    <w:semiHidden/>
    <w:rsid w:val="00770DE8"/>
    <w:rPr>
      <w:sz w:val="20"/>
    </w:rPr>
  </w:style>
  <w:style w:type="paragraph" w:styleId="CommentSubject">
    <w:name w:val="annotation subject"/>
    <w:basedOn w:val="CommentText"/>
    <w:next w:val="CommentText"/>
    <w:semiHidden/>
    <w:rsid w:val="00770DE8"/>
    <w:rPr>
      <w:b/>
      <w:bCs/>
    </w:rPr>
  </w:style>
  <w:style w:type="table" w:styleId="TableGrid">
    <w:name w:val="Table Grid"/>
    <w:basedOn w:val="TableNormal"/>
    <w:uiPriority w:val="59"/>
    <w:rsid w:val="00FB400A"/>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418A8"/>
    <w:rPr>
      <w:color w:val="0000FF"/>
      <w:u w:val="single"/>
    </w:rPr>
  </w:style>
  <w:style w:type="character" w:styleId="FollowedHyperlink">
    <w:name w:val="FollowedHyperlink"/>
    <w:rsid w:val="00A418A8"/>
    <w:rPr>
      <w:color w:val="800080"/>
      <w:u w:val="single"/>
    </w:rPr>
  </w:style>
  <w:style w:type="paragraph" w:styleId="ListNumber">
    <w:name w:val="List Number"/>
    <w:basedOn w:val="Normal"/>
    <w:rsid w:val="001F133E"/>
    <w:pPr>
      <w:numPr>
        <w:numId w:val="4"/>
      </w:numPr>
    </w:pPr>
  </w:style>
  <w:style w:type="character" w:styleId="Strong">
    <w:name w:val="Strong"/>
    <w:qFormat/>
    <w:rsid w:val="00EC39AF"/>
    <w:rPr>
      <w:b/>
      <w:bCs/>
    </w:rPr>
  </w:style>
  <w:style w:type="paragraph" w:styleId="ListBullet">
    <w:name w:val="List Bullet"/>
    <w:basedOn w:val="Normal"/>
    <w:rsid w:val="000A524F"/>
    <w:pPr>
      <w:numPr>
        <w:numId w:val="5"/>
      </w:numPr>
      <w:jc w:val="left"/>
    </w:pPr>
    <w:rPr>
      <w:rFonts w:ascii="Garamond" w:hAnsi="Garamond"/>
    </w:rPr>
  </w:style>
  <w:style w:type="paragraph" w:styleId="DocumentMap">
    <w:name w:val="Document Map"/>
    <w:basedOn w:val="Normal"/>
    <w:semiHidden/>
    <w:rsid w:val="00C53DC8"/>
    <w:pPr>
      <w:shd w:val="clear" w:color="auto" w:fill="000080"/>
    </w:pPr>
    <w:rPr>
      <w:rFonts w:ascii="Tahoma" w:hAnsi="Tahoma" w:cs="Tahoma"/>
      <w:sz w:val="20"/>
    </w:rPr>
  </w:style>
  <w:style w:type="paragraph" w:styleId="EndnoteText">
    <w:name w:val="endnote text"/>
    <w:basedOn w:val="Normal"/>
    <w:link w:val="EndnoteTextChar"/>
    <w:semiHidden/>
    <w:rsid w:val="00A87BE6"/>
    <w:pPr>
      <w:spacing w:after="0"/>
      <w:jc w:val="left"/>
    </w:pPr>
    <w:rPr>
      <w:sz w:val="20"/>
    </w:rPr>
  </w:style>
  <w:style w:type="paragraph" w:customStyle="1" w:styleId="Default">
    <w:name w:val="Default"/>
    <w:rsid w:val="00CD0C4D"/>
    <w:pPr>
      <w:autoSpaceDE w:val="0"/>
      <w:autoSpaceDN w:val="0"/>
      <w:adjustRightInd w:val="0"/>
    </w:pPr>
    <w:rPr>
      <w:rFonts w:ascii="Arial" w:eastAsia="MS Mincho" w:hAnsi="Arial" w:cs="Arial"/>
      <w:color w:val="000000"/>
      <w:sz w:val="24"/>
      <w:szCs w:val="24"/>
      <w:lang w:val="en-US" w:eastAsia="ja-JP"/>
    </w:rPr>
  </w:style>
  <w:style w:type="paragraph" w:styleId="FootnoteText">
    <w:name w:val="footnote text"/>
    <w:basedOn w:val="Normal"/>
    <w:link w:val="FootnoteTextChar"/>
    <w:rsid w:val="000C6822"/>
    <w:rPr>
      <w:sz w:val="20"/>
    </w:rPr>
  </w:style>
  <w:style w:type="character" w:customStyle="1" w:styleId="FootnoteTextChar">
    <w:name w:val="Footnote Text Char"/>
    <w:link w:val="FootnoteText"/>
    <w:rsid w:val="000C6822"/>
    <w:rPr>
      <w:lang w:eastAsia="en-US"/>
    </w:rPr>
  </w:style>
  <w:style w:type="character" w:styleId="FootnoteReference">
    <w:name w:val="footnote reference"/>
    <w:rsid w:val="000C6822"/>
    <w:rPr>
      <w:vertAlign w:val="superscript"/>
    </w:rPr>
  </w:style>
  <w:style w:type="table" w:customStyle="1" w:styleId="TableGrid1">
    <w:name w:val="Table Grid1"/>
    <w:basedOn w:val="TableNormal"/>
    <w:next w:val="TableGrid"/>
    <w:uiPriority w:val="59"/>
    <w:rsid w:val="004425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003CD2"/>
    <w:rPr>
      <w:sz w:val="24"/>
      <w:lang w:eastAsia="en-US"/>
    </w:rPr>
  </w:style>
  <w:style w:type="character" w:customStyle="1" w:styleId="FooterChar">
    <w:name w:val="Footer Char"/>
    <w:link w:val="Footer"/>
    <w:uiPriority w:val="99"/>
    <w:rsid w:val="00050698"/>
    <w:rPr>
      <w:sz w:val="24"/>
      <w:lang w:eastAsia="en-US"/>
    </w:rPr>
  </w:style>
  <w:style w:type="paragraph" w:styleId="NormalWeb">
    <w:name w:val="Normal (Web)"/>
    <w:basedOn w:val="Normal"/>
    <w:uiPriority w:val="99"/>
    <w:unhideWhenUsed/>
    <w:rsid w:val="003A4AC4"/>
    <w:pPr>
      <w:spacing w:before="100" w:beforeAutospacing="1" w:after="100" w:afterAutospacing="1"/>
      <w:jc w:val="left"/>
    </w:pPr>
    <w:rPr>
      <w:szCs w:val="24"/>
      <w:lang w:eastAsia="en-GB"/>
    </w:rPr>
  </w:style>
  <w:style w:type="table" w:customStyle="1" w:styleId="TableGrid2">
    <w:name w:val="Table Grid2"/>
    <w:basedOn w:val="TableNormal"/>
    <w:next w:val="TableGrid"/>
    <w:rsid w:val="00C120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locked/>
    <w:rsid w:val="00885260"/>
    <w:rPr>
      <w:sz w:val="24"/>
      <w:lang w:eastAsia="en-US"/>
    </w:rPr>
  </w:style>
  <w:style w:type="paragraph" w:styleId="ListParagraph">
    <w:name w:val="List Paragraph"/>
    <w:aliases w:val="Dot pt,No Spacing1,List Paragraph Char Char Char,Indicator Text,Numbered Para 1,Bullet 1,F5 List Paragraph,Bullet Points,MAIN CONTENT,List Paragraph12,Bullet Style,Colorful List - Accent 11,Normal numbered,List Paragraph2,List Paragraph11"/>
    <w:basedOn w:val="Normal"/>
    <w:link w:val="ListParagraphChar"/>
    <w:uiPriority w:val="34"/>
    <w:qFormat/>
    <w:rsid w:val="0027274E"/>
    <w:pPr>
      <w:spacing w:after="0"/>
      <w:ind w:left="720"/>
      <w:jc w:val="left"/>
    </w:pPr>
    <w:rPr>
      <w:rFonts w:ascii="Calibri" w:eastAsia="Calibri" w:hAnsi="Calibri" w:cs="Calibri"/>
      <w:sz w:val="22"/>
      <w:szCs w:val="22"/>
      <w:lang w:eastAsia="en-GB"/>
    </w:rPr>
  </w:style>
  <w:style w:type="character" w:customStyle="1" w:styleId="EndnoteTextChar">
    <w:name w:val="Endnote Text Char"/>
    <w:link w:val="EndnoteText"/>
    <w:semiHidden/>
    <w:rsid w:val="00971FFC"/>
    <w:rPr>
      <w:lang w:eastAsia="en-US"/>
    </w:rPr>
  </w:style>
  <w:style w:type="numbering" w:customStyle="1" w:styleId="LFO25">
    <w:name w:val="LFO25"/>
    <w:basedOn w:val="NoList"/>
    <w:rsid w:val="00B36991"/>
    <w:pPr>
      <w:numPr>
        <w:numId w:val="7"/>
      </w:numPr>
    </w:pPr>
  </w:style>
  <w:style w:type="character" w:customStyle="1" w:styleId="Heading4Char">
    <w:name w:val="Heading 4 Char"/>
    <w:rsid w:val="00686F49"/>
    <w:rPr>
      <w:b/>
      <w:bCs/>
      <w:color w:val="104F75"/>
      <w:sz w:val="24"/>
      <w:szCs w:val="28"/>
    </w:rPr>
  </w:style>
  <w:style w:type="character" w:customStyle="1" w:styleId="normaltextrun">
    <w:name w:val="normaltextrun"/>
    <w:rsid w:val="007F0ADD"/>
  </w:style>
  <w:style w:type="character" w:customStyle="1" w:styleId="eop">
    <w:name w:val="eop"/>
    <w:rsid w:val="007F0ADD"/>
  </w:style>
  <w:style w:type="character" w:customStyle="1" w:styleId="Heading5Char">
    <w:name w:val="Heading 5 Char"/>
    <w:link w:val="Heading5"/>
    <w:rsid w:val="00C744C4"/>
    <w:rPr>
      <w:sz w:val="22"/>
      <w:lang w:eastAsia="en-US"/>
    </w:rPr>
  </w:style>
  <w:style w:type="paragraph" w:customStyle="1" w:styleId="DfESOutNumbered1">
    <w:name w:val="DfESOutNumbered1"/>
    <w:basedOn w:val="Normal"/>
    <w:qFormat/>
    <w:rsid w:val="00C744C4"/>
    <w:pPr>
      <w:numPr>
        <w:numId w:val="8"/>
      </w:numPr>
      <w:tabs>
        <w:tab w:val="num" w:pos="360"/>
      </w:tabs>
      <w:spacing w:after="240" w:line="288" w:lineRule="auto"/>
      <w:jc w:val="left"/>
    </w:pPr>
    <w:rPr>
      <w:rFonts w:ascii="Arial" w:hAnsi="Arial"/>
      <w:color w:val="0D0D0D"/>
      <w:szCs w:val="24"/>
      <w:lang w:eastAsia="en-GB"/>
    </w:rPr>
  </w:style>
  <w:style w:type="character" w:customStyle="1" w:styleId="ListParagraphChar">
    <w:name w:val="List Paragraph Char"/>
    <w:aliases w:val="Dot pt Char,No Spacing1 Char,List Paragraph Char Char Char Char,Indicator Text Char,Numbered Para 1 Char,Bullet 1 Char,F5 List Paragraph Char,Bullet Points Char,MAIN CONTENT Char,List Paragraph12 Char,Bullet Style Char"/>
    <w:link w:val="ListParagraph"/>
    <w:uiPriority w:val="34"/>
    <w:qFormat/>
    <w:rsid w:val="00C744C4"/>
    <w:rPr>
      <w:rFonts w:ascii="Calibri" w:eastAsia="Calibri" w:hAnsi="Calibri" w:cs="Calibri"/>
      <w:sz w:val="22"/>
      <w:szCs w:val="22"/>
    </w:rPr>
  </w:style>
  <w:style w:type="character" w:styleId="UnresolvedMention">
    <w:name w:val="Unresolved Mention"/>
    <w:uiPriority w:val="99"/>
    <w:semiHidden/>
    <w:unhideWhenUsed/>
    <w:rsid w:val="009D7C49"/>
    <w:rPr>
      <w:color w:val="605E5C"/>
      <w:shd w:val="clear" w:color="auto" w:fill="E1DFDD"/>
    </w:rPr>
  </w:style>
  <w:style w:type="character" w:styleId="Mention">
    <w:name w:val="Mention"/>
    <w:basedOn w:val="DefaultParagraphFont"/>
    <w:uiPriority w:val="99"/>
    <w:unhideWhenUsed/>
    <w:rsid w:val="00065049"/>
    <w:rPr>
      <w:color w:val="2B579A"/>
      <w:shd w:val="clear" w:color="auto" w:fill="E1DFDD"/>
    </w:rPr>
  </w:style>
  <w:style w:type="paragraph" w:styleId="Revision">
    <w:name w:val="Revision"/>
    <w:hidden/>
    <w:uiPriority w:val="99"/>
    <w:semiHidden/>
    <w:rsid w:val="00B568FC"/>
    <w:rPr>
      <w:sz w:val="24"/>
      <w:lang w:val="en-US" w:eastAsia="en-US"/>
    </w:rPr>
  </w:style>
  <w:style w:type="paragraph" w:customStyle="1" w:styleId="StyleHeading4Italic">
    <w:name w:val="Style Heading 4 + Italic"/>
    <w:basedOn w:val="Heading4"/>
    <w:next w:val="Heading4"/>
    <w:rsid w:val="00B0601C"/>
    <w:pPr>
      <w:keepNext w:val="0"/>
      <w:numPr>
        <w:ilvl w:val="0"/>
        <w:numId w:val="0"/>
      </w:numPr>
      <w:tabs>
        <w:tab w:val="num" w:pos="1144"/>
      </w:tabs>
      <w:spacing w:before="120" w:after="120"/>
      <w:ind w:left="1144" w:hanging="576"/>
      <w:jc w:val="left"/>
    </w:pPr>
    <w:rPr>
      <w:rFonts w:ascii="Arial" w:hAnsi="Arial" w:cs="Arial"/>
      <w:i/>
      <w:iCs/>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13246">
      <w:bodyDiv w:val="1"/>
      <w:marLeft w:val="0"/>
      <w:marRight w:val="0"/>
      <w:marTop w:val="0"/>
      <w:marBottom w:val="0"/>
      <w:divBdr>
        <w:top w:val="none" w:sz="0" w:space="0" w:color="auto"/>
        <w:left w:val="none" w:sz="0" w:space="0" w:color="auto"/>
        <w:bottom w:val="none" w:sz="0" w:space="0" w:color="auto"/>
        <w:right w:val="none" w:sz="0" w:space="0" w:color="auto"/>
      </w:divBdr>
    </w:div>
    <w:div w:id="19088902">
      <w:bodyDiv w:val="1"/>
      <w:marLeft w:val="0"/>
      <w:marRight w:val="0"/>
      <w:marTop w:val="0"/>
      <w:marBottom w:val="0"/>
      <w:divBdr>
        <w:top w:val="none" w:sz="0" w:space="0" w:color="auto"/>
        <w:left w:val="none" w:sz="0" w:space="0" w:color="auto"/>
        <w:bottom w:val="none" w:sz="0" w:space="0" w:color="auto"/>
        <w:right w:val="none" w:sz="0" w:space="0" w:color="auto"/>
      </w:divBdr>
    </w:div>
    <w:div w:id="41878037">
      <w:bodyDiv w:val="1"/>
      <w:marLeft w:val="0"/>
      <w:marRight w:val="0"/>
      <w:marTop w:val="0"/>
      <w:marBottom w:val="0"/>
      <w:divBdr>
        <w:top w:val="none" w:sz="0" w:space="0" w:color="auto"/>
        <w:left w:val="none" w:sz="0" w:space="0" w:color="auto"/>
        <w:bottom w:val="none" w:sz="0" w:space="0" w:color="auto"/>
        <w:right w:val="none" w:sz="0" w:space="0" w:color="auto"/>
      </w:divBdr>
    </w:div>
    <w:div w:id="46808916">
      <w:bodyDiv w:val="1"/>
      <w:marLeft w:val="0"/>
      <w:marRight w:val="0"/>
      <w:marTop w:val="0"/>
      <w:marBottom w:val="0"/>
      <w:divBdr>
        <w:top w:val="none" w:sz="0" w:space="0" w:color="auto"/>
        <w:left w:val="none" w:sz="0" w:space="0" w:color="auto"/>
        <w:bottom w:val="none" w:sz="0" w:space="0" w:color="auto"/>
        <w:right w:val="none" w:sz="0" w:space="0" w:color="auto"/>
      </w:divBdr>
    </w:div>
    <w:div w:id="87965927">
      <w:bodyDiv w:val="1"/>
      <w:marLeft w:val="0"/>
      <w:marRight w:val="0"/>
      <w:marTop w:val="0"/>
      <w:marBottom w:val="0"/>
      <w:divBdr>
        <w:top w:val="none" w:sz="0" w:space="0" w:color="auto"/>
        <w:left w:val="none" w:sz="0" w:space="0" w:color="auto"/>
        <w:bottom w:val="none" w:sz="0" w:space="0" w:color="auto"/>
        <w:right w:val="none" w:sz="0" w:space="0" w:color="auto"/>
      </w:divBdr>
    </w:div>
    <w:div w:id="114104224">
      <w:bodyDiv w:val="1"/>
      <w:marLeft w:val="0"/>
      <w:marRight w:val="0"/>
      <w:marTop w:val="0"/>
      <w:marBottom w:val="0"/>
      <w:divBdr>
        <w:top w:val="none" w:sz="0" w:space="0" w:color="auto"/>
        <w:left w:val="none" w:sz="0" w:space="0" w:color="auto"/>
        <w:bottom w:val="none" w:sz="0" w:space="0" w:color="auto"/>
        <w:right w:val="none" w:sz="0" w:space="0" w:color="auto"/>
      </w:divBdr>
    </w:div>
    <w:div w:id="134372789">
      <w:bodyDiv w:val="1"/>
      <w:marLeft w:val="0"/>
      <w:marRight w:val="0"/>
      <w:marTop w:val="0"/>
      <w:marBottom w:val="0"/>
      <w:divBdr>
        <w:top w:val="none" w:sz="0" w:space="0" w:color="auto"/>
        <w:left w:val="none" w:sz="0" w:space="0" w:color="auto"/>
        <w:bottom w:val="none" w:sz="0" w:space="0" w:color="auto"/>
        <w:right w:val="none" w:sz="0" w:space="0" w:color="auto"/>
      </w:divBdr>
    </w:div>
    <w:div w:id="147401929">
      <w:bodyDiv w:val="1"/>
      <w:marLeft w:val="0"/>
      <w:marRight w:val="0"/>
      <w:marTop w:val="0"/>
      <w:marBottom w:val="0"/>
      <w:divBdr>
        <w:top w:val="none" w:sz="0" w:space="0" w:color="auto"/>
        <w:left w:val="none" w:sz="0" w:space="0" w:color="auto"/>
        <w:bottom w:val="none" w:sz="0" w:space="0" w:color="auto"/>
        <w:right w:val="none" w:sz="0" w:space="0" w:color="auto"/>
      </w:divBdr>
    </w:div>
    <w:div w:id="149833000">
      <w:bodyDiv w:val="1"/>
      <w:marLeft w:val="0"/>
      <w:marRight w:val="0"/>
      <w:marTop w:val="0"/>
      <w:marBottom w:val="0"/>
      <w:divBdr>
        <w:top w:val="none" w:sz="0" w:space="0" w:color="auto"/>
        <w:left w:val="none" w:sz="0" w:space="0" w:color="auto"/>
        <w:bottom w:val="none" w:sz="0" w:space="0" w:color="auto"/>
        <w:right w:val="none" w:sz="0" w:space="0" w:color="auto"/>
      </w:divBdr>
    </w:div>
    <w:div w:id="158082775">
      <w:bodyDiv w:val="1"/>
      <w:marLeft w:val="0"/>
      <w:marRight w:val="0"/>
      <w:marTop w:val="0"/>
      <w:marBottom w:val="0"/>
      <w:divBdr>
        <w:top w:val="none" w:sz="0" w:space="0" w:color="auto"/>
        <w:left w:val="none" w:sz="0" w:space="0" w:color="auto"/>
        <w:bottom w:val="none" w:sz="0" w:space="0" w:color="auto"/>
        <w:right w:val="none" w:sz="0" w:space="0" w:color="auto"/>
      </w:divBdr>
    </w:div>
    <w:div w:id="161118011">
      <w:bodyDiv w:val="1"/>
      <w:marLeft w:val="0"/>
      <w:marRight w:val="0"/>
      <w:marTop w:val="0"/>
      <w:marBottom w:val="0"/>
      <w:divBdr>
        <w:top w:val="none" w:sz="0" w:space="0" w:color="auto"/>
        <w:left w:val="none" w:sz="0" w:space="0" w:color="auto"/>
        <w:bottom w:val="none" w:sz="0" w:space="0" w:color="auto"/>
        <w:right w:val="none" w:sz="0" w:space="0" w:color="auto"/>
      </w:divBdr>
    </w:div>
    <w:div w:id="194275439">
      <w:bodyDiv w:val="1"/>
      <w:marLeft w:val="0"/>
      <w:marRight w:val="0"/>
      <w:marTop w:val="0"/>
      <w:marBottom w:val="0"/>
      <w:divBdr>
        <w:top w:val="none" w:sz="0" w:space="0" w:color="auto"/>
        <w:left w:val="none" w:sz="0" w:space="0" w:color="auto"/>
        <w:bottom w:val="none" w:sz="0" w:space="0" w:color="auto"/>
        <w:right w:val="none" w:sz="0" w:space="0" w:color="auto"/>
      </w:divBdr>
    </w:div>
    <w:div w:id="268860328">
      <w:bodyDiv w:val="1"/>
      <w:marLeft w:val="0"/>
      <w:marRight w:val="0"/>
      <w:marTop w:val="0"/>
      <w:marBottom w:val="0"/>
      <w:divBdr>
        <w:top w:val="none" w:sz="0" w:space="0" w:color="auto"/>
        <w:left w:val="none" w:sz="0" w:space="0" w:color="auto"/>
        <w:bottom w:val="none" w:sz="0" w:space="0" w:color="auto"/>
        <w:right w:val="none" w:sz="0" w:space="0" w:color="auto"/>
      </w:divBdr>
    </w:div>
    <w:div w:id="287005751">
      <w:bodyDiv w:val="1"/>
      <w:marLeft w:val="0"/>
      <w:marRight w:val="0"/>
      <w:marTop w:val="0"/>
      <w:marBottom w:val="0"/>
      <w:divBdr>
        <w:top w:val="none" w:sz="0" w:space="0" w:color="auto"/>
        <w:left w:val="none" w:sz="0" w:space="0" w:color="auto"/>
        <w:bottom w:val="none" w:sz="0" w:space="0" w:color="auto"/>
        <w:right w:val="none" w:sz="0" w:space="0" w:color="auto"/>
      </w:divBdr>
    </w:div>
    <w:div w:id="336887803">
      <w:bodyDiv w:val="1"/>
      <w:marLeft w:val="0"/>
      <w:marRight w:val="0"/>
      <w:marTop w:val="0"/>
      <w:marBottom w:val="0"/>
      <w:divBdr>
        <w:top w:val="none" w:sz="0" w:space="0" w:color="auto"/>
        <w:left w:val="none" w:sz="0" w:space="0" w:color="auto"/>
        <w:bottom w:val="none" w:sz="0" w:space="0" w:color="auto"/>
        <w:right w:val="none" w:sz="0" w:space="0" w:color="auto"/>
      </w:divBdr>
    </w:div>
    <w:div w:id="407390411">
      <w:bodyDiv w:val="1"/>
      <w:marLeft w:val="0"/>
      <w:marRight w:val="0"/>
      <w:marTop w:val="0"/>
      <w:marBottom w:val="0"/>
      <w:divBdr>
        <w:top w:val="none" w:sz="0" w:space="0" w:color="auto"/>
        <w:left w:val="none" w:sz="0" w:space="0" w:color="auto"/>
        <w:bottom w:val="none" w:sz="0" w:space="0" w:color="auto"/>
        <w:right w:val="none" w:sz="0" w:space="0" w:color="auto"/>
      </w:divBdr>
    </w:div>
    <w:div w:id="412898786">
      <w:bodyDiv w:val="1"/>
      <w:marLeft w:val="0"/>
      <w:marRight w:val="0"/>
      <w:marTop w:val="0"/>
      <w:marBottom w:val="0"/>
      <w:divBdr>
        <w:top w:val="none" w:sz="0" w:space="0" w:color="auto"/>
        <w:left w:val="none" w:sz="0" w:space="0" w:color="auto"/>
        <w:bottom w:val="none" w:sz="0" w:space="0" w:color="auto"/>
        <w:right w:val="none" w:sz="0" w:space="0" w:color="auto"/>
      </w:divBdr>
    </w:div>
    <w:div w:id="427696929">
      <w:bodyDiv w:val="1"/>
      <w:marLeft w:val="0"/>
      <w:marRight w:val="0"/>
      <w:marTop w:val="0"/>
      <w:marBottom w:val="0"/>
      <w:divBdr>
        <w:top w:val="none" w:sz="0" w:space="0" w:color="auto"/>
        <w:left w:val="none" w:sz="0" w:space="0" w:color="auto"/>
        <w:bottom w:val="none" w:sz="0" w:space="0" w:color="auto"/>
        <w:right w:val="none" w:sz="0" w:space="0" w:color="auto"/>
      </w:divBdr>
    </w:div>
    <w:div w:id="456875091">
      <w:bodyDiv w:val="1"/>
      <w:marLeft w:val="0"/>
      <w:marRight w:val="0"/>
      <w:marTop w:val="0"/>
      <w:marBottom w:val="0"/>
      <w:divBdr>
        <w:top w:val="none" w:sz="0" w:space="0" w:color="auto"/>
        <w:left w:val="none" w:sz="0" w:space="0" w:color="auto"/>
        <w:bottom w:val="none" w:sz="0" w:space="0" w:color="auto"/>
        <w:right w:val="none" w:sz="0" w:space="0" w:color="auto"/>
      </w:divBdr>
    </w:div>
    <w:div w:id="464733552">
      <w:bodyDiv w:val="1"/>
      <w:marLeft w:val="0"/>
      <w:marRight w:val="0"/>
      <w:marTop w:val="0"/>
      <w:marBottom w:val="0"/>
      <w:divBdr>
        <w:top w:val="none" w:sz="0" w:space="0" w:color="auto"/>
        <w:left w:val="none" w:sz="0" w:space="0" w:color="auto"/>
        <w:bottom w:val="none" w:sz="0" w:space="0" w:color="auto"/>
        <w:right w:val="none" w:sz="0" w:space="0" w:color="auto"/>
      </w:divBdr>
    </w:div>
    <w:div w:id="487670922">
      <w:bodyDiv w:val="1"/>
      <w:marLeft w:val="0"/>
      <w:marRight w:val="0"/>
      <w:marTop w:val="0"/>
      <w:marBottom w:val="0"/>
      <w:divBdr>
        <w:top w:val="none" w:sz="0" w:space="0" w:color="auto"/>
        <w:left w:val="none" w:sz="0" w:space="0" w:color="auto"/>
        <w:bottom w:val="none" w:sz="0" w:space="0" w:color="auto"/>
        <w:right w:val="none" w:sz="0" w:space="0" w:color="auto"/>
      </w:divBdr>
    </w:div>
    <w:div w:id="515652198">
      <w:bodyDiv w:val="1"/>
      <w:marLeft w:val="0"/>
      <w:marRight w:val="0"/>
      <w:marTop w:val="0"/>
      <w:marBottom w:val="0"/>
      <w:divBdr>
        <w:top w:val="none" w:sz="0" w:space="0" w:color="auto"/>
        <w:left w:val="none" w:sz="0" w:space="0" w:color="auto"/>
        <w:bottom w:val="none" w:sz="0" w:space="0" w:color="auto"/>
        <w:right w:val="none" w:sz="0" w:space="0" w:color="auto"/>
      </w:divBdr>
      <w:divsChild>
        <w:div w:id="680274903">
          <w:marLeft w:val="0"/>
          <w:marRight w:val="0"/>
          <w:marTop w:val="0"/>
          <w:marBottom w:val="0"/>
          <w:divBdr>
            <w:top w:val="none" w:sz="0" w:space="0" w:color="auto"/>
            <w:left w:val="none" w:sz="0" w:space="0" w:color="auto"/>
            <w:bottom w:val="none" w:sz="0" w:space="0" w:color="auto"/>
            <w:right w:val="none" w:sz="0" w:space="0" w:color="auto"/>
          </w:divBdr>
        </w:div>
        <w:div w:id="2125727365">
          <w:marLeft w:val="0"/>
          <w:marRight w:val="0"/>
          <w:marTop w:val="0"/>
          <w:marBottom w:val="0"/>
          <w:divBdr>
            <w:top w:val="none" w:sz="0" w:space="0" w:color="auto"/>
            <w:left w:val="none" w:sz="0" w:space="0" w:color="auto"/>
            <w:bottom w:val="none" w:sz="0" w:space="0" w:color="auto"/>
            <w:right w:val="none" w:sz="0" w:space="0" w:color="auto"/>
          </w:divBdr>
        </w:div>
      </w:divsChild>
    </w:div>
    <w:div w:id="520972338">
      <w:bodyDiv w:val="1"/>
      <w:marLeft w:val="0"/>
      <w:marRight w:val="0"/>
      <w:marTop w:val="0"/>
      <w:marBottom w:val="0"/>
      <w:divBdr>
        <w:top w:val="none" w:sz="0" w:space="0" w:color="auto"/>
        <w:left w:val="none" w:sz="0" w:space="0" w:color="auto"/>
        <w:bottom w:val="none" w:sz="0" w:space="0" w:color="auto"/>
        <w:right w:val="none" w:sz="0" w:space="0" w:color="auto"/>
      </w:divBdr>
    </w:div>
    <w:div w:id="561058662">
      <w:bodyDiv w:val="1"/>
      <w:marLeft w:val="0"/>
      <w:marRight w:val="0"/>
      <w:marTop w:val="0"/>
      <w:marBottom w:val="0"/>
      <w:divBdr>
        <w:top w:val="none" w:sz="0" w:space="0" w:color="auto"/>
        <w:left w:val="none" w:sz="0" w:space="0" w:color="auto"/>
        <w:bottom w:val="none" w:sz="0" w:space="0" w:color="auto"/>
        <w:right w:val="none" w:sz="0" w:space="0" w:color="auto"/>
      </w:divBdr>
    </w:div>
    <w:div w:id="563806906">
      <w:bodyDiv w:val="1"/>
      <w:marLeft w:val="0"/>
      <w:marRight w:val="0"/>
      <w:marTop w:val="0"/>
      <w:marBottom w:val="0"/>
      <w:divBdr>
        <w:top w:val="none" w:sz="0" w:space="0" w:color="auto"/>
        <w:left w:val="none" w:sz="0" w:space="0" w:color="auto"/>
        <w:bottom w:val="none" w:sz="0" w:space="0" w:color="auto"/>
        <w:right w:val="none" w:sz="0" w:space="0" w:color="auto"/>
      </w:divBdr>
    </w:div>
    <w:div w:id="572349034">
      <w:bodyDiv w:val="1"/>
      <w:marLeft w:val="0"/>
      <w:marRight w:val="0"/>
      <w:marTop w:val="0"/>
      <w:marBottom w:val="0"/>
      <w:divBdr>
        <w:top w:val="none" w:sz="0" w:space="0" w:color="auto"/>
        <w:left w:val="none" w:sz="0" w:space="0" w:color="auto"/>
        <w:bottom w:val="none" w:sz="0" w:space="0" w:color="auto"/>
        <w:right w:val="none" w:sz="0" w:space="0" w:color="auto"/>
      </w:divBdr>
    </w:div>
    <w:div w:id="593628465">
      <w:bodyDiv w:val="1"/>
      <w:marLeft w:val="0"/>
      <w:marRight w:val="0"/>
      <w:marTop w:val="0"/>
      <w:marBottom w:val="0"/>
      <w:divBdr>
        <w:top w:val="none" w:sz="0" w:space="0" w:color="auto"/>
        <w:left w:val="none" w:sz="0" w:space="0" w:color="auto"/>
        <w:bottom w:val="none" w:sz="0" w:space="0" w:color="auto"/>
        <w:right w:val="none" w:sz="0" w:space="0" w:color="auto"/>
      </w:divBdr>
    </w:div>
    <w:div w:id="599994527">
      <w:bodyDiv w:val="1"/>
      <w:marLeft w:val="0"/>
      <w:marRight w:val="0"/>
      <w:marTop w:val="0"/>
      <w:marBottom w:val="0"/>
      <w:divBdr>
        <w:top w:val="none" w:sz="0" w:space="0" w:color="auto"/>
        <w:left w:val="none" w:sz="0" w:space="0" w:color="auto"/>
        <w:bottom w:val="none" w:sz="0" w:space="0" w:color="auto"/>
        <w:right w:val="none" w:sz="0" w:space="0" w:color="auto"/>
      </w:divBdr>
    </w:div>
    <w:div w:id="622736515">
      <w:bodyDiv w:val="1"/>
      <w:marLeft w:val="0"/>
      <w:marRight w:val="0"/>
      <w:marTop w:val="0"/>
      <w:marBottom w:val="0"/>
      <w:divBdr>
        <w:top w:val="none" w:sz="0" w:space="0" w:color="auto"/>
        <w:left w:val="none" w:sz="0" w:space="0" w:color="auto"/>
        <w:bottom w:val="none" w:sz="0" w:space="0" w:color="auto"/>
        <w:right w:val="none" w:sz="0" w:space="0" w:color="auto"/>
      </w:divBdr>
    </w:div>
    <w:div w:id="627009892">
      <w:bodyDiv w:val="1"/>
      <w:marLeft w:val="0"/>
      <w:marRight w:val="0"/>
      <w:marTop w:val="0"/>
      <w:marBottom w:val="0"/>
      <w:divBdr>
        <w:top w:val="none" w:sz="0" w:space="0" w:color="auto"/>
        <w:left w:val="none" w:sz="0" w:space="0" w:color="auto"/>
        <w:bottom w:val="none" w:sz="0" w:space="0" w:color="auto"/>
        <w:right w:val="none" w:sz="0" w:space="0" w:color="auto"/>
      </w:divBdr>
    </w:div>
    <w:div w:id="671686297">
      <w:bodyDiv w:val="1"/>
      <w:marLeft w:val="0"/>
      <w:marRight w:val="0"/>
      <w:marTop w:val="0"/>
      <w:marBottom w:val="0"/>
      <w:divBdr>
        <w:top w:val="none" w:sz="0" w:space="0" w:color="auto"/>
        <w:left w:val="none" w:sz="0" w:space="0" w:color="auto"/>
        <w:bottom w:val="none" w:sz="0" w:space="0" w:color="auto"/>
        <w:right w:val="none" w:sz="0" w:space="0" w:color="auto"/>
      </w:divBdr>
    </w:div>
    <w:div w:id="704719515">
      <w:bodyDiv w:val="1"/>
      <w:marLeft w:val="0"/>
      <w:marRight w:val="0"/>
      <w:marTop w:val="0"/>
      <w:marBottom w:val="0"/>
      <w:divBdr>
        <w:top w:val="none" w:sz="0" w:space="0" w:color="auto"/>
        <w:left w:val="none" w:sz="0" w:space="0" w:color="auto"/>
        <w:bottom w:val="none" w:sz="0" w:space="0" w:color="auto"/>
        <w:right w:val="none" w:sz="0" w:space="0" w:color="auto"/>
      </w:divBdr>
    </w:div>
    <w:div w:id="706025933">
      <w:bodyDiv w:val="1"/>
      <w:marLeft w:val="0"/>
      <w:marRight w:val="0"/>
      <w:marTop w:val="0"/>
      <w:marBottom w:val="0"/>
      <w:divBdr>
        <w:top w:val="none" w:sz="0" w:space="0" w:color="auto"/>
        <w:left w:val="none" w:sz="0" w:space="0" w:color="auto"/>
        <w:bottom w:val="none" w:sz="0" w:space="0" w:color="auto"/>
        <w:right w:val="none" w:sz="0" w:space="0" w:color="auto"/>
      </w:divBdr>
    </w:div>
    <w:div w:id="709763801">
      <w:bodyDiv w:val="1"/>
      <w:marLeft w:val="0"/>
      <w:marRight w:val="0"/>
      <w:marTop w:val="0"/>
      <w:marBottom w:val="0"/>
      <w:divBdr>
        <w:top w:val="none" w:sz="0" w:space="0" w:color="auto"/>
        <w:left w:val="none" w:sz="0" w:space="0" w:color="auto"/>
        <w:bottom w:val="none" w:sz="0" w:space="0" w:color="auto"/>
        <w:right w:val="none" w:sz="0" w:space="0" w:color="auto"/>
      </w:divBdr>
    </w:div>
    <w:div w:id="726298407">
      <w:bodyDiv w:val="1"/>
      <w:marLeft w:val="0"/>
      <w:marRight w:val="0"/>
      <w:marTop w:val="0"/>
      <w:marBottom w:val="0"/>
      <w:divBdr>
        <w:top w:val="none" w:sz="0" w:space="0" w:color="auto"/>
        <w:left w:val="none" w:sz="0" w:space="0" w:color="auto"/>
        <w:bottom w:val="none" w:sz="0" w:space="0" w:color="auto"/>
        <w:right w:val="none" w:sz="0" w:space="0" w:color="auto"/>
      </w:divBdr>
      <w:divsChild>
        <w:div w:id="377095776">
          <w:marLeft w:val="0"/>
          <w:marRight w:val="0"/>
          <w:marTop w:val="0"/>
          <w:marBottom w:val="0"/>
          <w:divBdr>
            <w:top w:val="none" w:sz="0" w:space="0" w:color="auto"/>
            <w:left w:val="none" w:sz="0" w:space="0" w:color="auto"/>
            <w:bottom w:val="none" w:sz="0" w:space="0" w:color="auto"/>
            <w:right w:val="none" w:sz="0" w:space="0" w:color="auto"/>
          </w:divBdr>
          <w:divsChild>
            <w:div w:id="1213620805">
              <w:marLeft w:val="0"/>
              <w:marRight w:val="0"/>
              <w:marTop w:val="0"/>
              <w:marBottom w:val="0"/>
              <w:divBdr>
                <w:top w:val="none" w:sz="0" w:space="0" w:color="auto"/>
                <w:left w:val="none" w:sz="0" w:space="0" w:color="auto"/>
                <w:bottom w:val="none" w:sz="0" w:space="0" w:color="auto"/>
                <w:right w:val="none" w:sz="0" w:space="0" w:color="auto"/>
              </w:divBdr>
              <w:divsChild>
                <w:div w:id="266042659">
                  <w:marLeft w:val="0"/>
                  <w:marRight w:val="0"/>
                  <w:marTop w:val="0"/>
                  <w:marBottom w:val="0"/>
                  <w:divBdr>
                    <w:top w:val="none" w:sz="0" w:space="0" w:color="auto"/>
                    <w:left w:val="none" w:sz="0" w:space="0" w:color="auto"/>
                    <w:bottom w:val="none" w:sz="0" w:space="0" w:color="auto"/>
                    <w:right w:val="none" w:sz="0" w:space="0" w:color="auto"/>
                  </w:divBdr>
                  <w:divsChild>
                    <w:div w:id="1687901490">
                      <w:marLeft w:val="0"/>
                      <w:marRight w:val="0"/>
                      <w:marTop w:val="0"/>
                      <w:marBottom w:val="0"/>
                      <w:divBdr>
                        <w:top w:val="none" w:sz="0" w:space="0" w:color="auto"/>
                        <w:left w:val="none" w:sz="0" w:space="0" w:color="auto"/>
                        <w:bottom w:val="none" w:sz="0" w:space="0" w:color="auto"/>
                        <w:right w:val="none" w:sz="0" w:space="0" w:color="auto"/>
                      </w:divBdr>
                      <w:divsChild>
                        <w:div w:id="567155603">
                          <w:marLeft w:val="0"/>
                          <w:marRight w:val="0"/>
                          <w:marTop w:val="0"/>
                          <w:marBottom w:val="0"/>
                          <w:divBdr>
                            <w:top w:val="none" w:sz="0" w:space="0" w:color="auto"/>
                            <w:left w:val="none" w:sz="0" w:space="0" w:color="auto"/>
                            <w:bottom w:val="none" w:sz="0" w:space="0" w:color="auto"/>
                            <w:right w:val="none" w:sz="0" w:space="0" w:color="auto"/>
                          </w:divBdr>
                          <w:divsChild>
                            <w:div w:id="80697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336623">
      <w:bodyDiv w:val="1"/>
      <w:marLeft w:val="0"/>
      <w:marRight w:val="0"/>
      <w:marTop w:val="0"/>
      <w:marBottom w:val="0"/>
      <w:divBdr>
        <w:top w:val="none" w:sz="0" w:space="0" w:color="auto"/>
        <w:left w:val="none" w:sz="0" w:space="0" w:color="auto"/>
        <w:bottom w:val="none" w:sz="0" w:space="0" w:color="auto"/>
        <w:right w:val="none" w:sz="0" w:space="0" w:color="auto"/>
      </w:divBdr>
    </w:div>
    <w:div w:id="735513828">
      <w:bodyDiv w:val="1"/>
      <w:marLeft w:val="0"/>
      <w:marRight w:val="0"/>
      <w:marTop w:val="0"/>
      <w:marBottom w:val="0"/>
      <w:divBdr>
        <w:top w:val="none" w:sz="0" w:space="0" w:color="auto"/>
        <w:left w:val="none" w:sz="0" w:space="0" w:color="auto"/>
        <w:bottom w:val="none" w:sz="0" w:space="0" w:color="auto"/>
        <w:right w:val="none" w:sz="0" w:space="0" w:color="auto"/>
      </w:divBdr>
    </w:div>
    <w:div w:id="773669737">
      <w:bodyDiv w:val="1"/>
      <w:marLeft w:val="0"/>
      <w:marRight w:val="0"/>
      <w:marTop w:val="0"/>
      <w:marBottom w:val="0"/>
      <w:divBdr>
        <w:top w:val="none" w:sz="0" w:space="0" w:color="auto"/>
        <w:left w:val="none" w:sz="0" w:space="0" w:color="auto"/>
        <w:bottom w:val="none" w:sz="0" w:space="0" w:color="auto"/>
        <w:right w:val="none" w:sz="0" w:space="0" w:color="auto"/>
      </w:divBdr>
    </w:div>
    <w:div w:id="775439656">
      <w:bodyDiv w:val="1"/>
      <w:marLeft w:val="0"/>
      <w:marRight w:val="0"/>
      <w:marTop w:val="0"/>
      <w:marBottom w:val="0"/>
      <w:divBdr>
        <w:top w:val="none" w:sz="0" w:space="0" w:color="auto"/>
        <w:left w:val="none" w:sz="0" w:space="0" w:color="auto"/>
        <w:bottom w:val="none" w:sz="0" w:space="0" w:color="auto"/>
        <w:right w:val="none" w:sz="0" w:space="0" w:color="auto"/>
      </w:divBdr>
    </w:div>
    <w:div w:id="783885373">
      <w:bodyDiv w:val="1"/>
      <w:marLeft w:val="0"/>
      <w:marRight w:val="0"/>
      <w:marTop w:val="0"/>
      <w:marBottom w:val="0"/>
      <w:divBdr>
        <w:top w:val="none" w:sz="0" w:space="0" w:color="auto"/>
        <w:left w:val="none" w:sz="0" w:space="0" w:color="auto"/>
        <w:bottom w:val="none" w:sz="0" w:space="0" w:color="auto"/>
        <w:right w:val="none" w:sz="0" w:space="0" w:color="auto"/>
      </w:divBdr>
    </w:div>
    <w:div w:id="838692770">
      <w:bodyDiv w:val="1"/>
      <w:marLeft w:val="0"/>
      <w:marRight w:val="0"/>
      <w:marTop w:val="0"/>
      <w:marBottom w:val="0"/>
      <w:divBdr>
        <w:top w:val="none" w:sz="0" w:space="0" w:color="auto"/>
        <w:left w:val="none" w:sz="0" w:space="0" w:color="auto"/>
        <w:bottom w:val="none" w:sz="0" w:space="0" w:color="auto"/>
        <w:right w:val="none" w:sz="0" w:space="0" w:color="auto"/>
      </w:divBdr>
    </w:div>
    <w:div w:id="845248478">
      <w:bodyDiv w:val="1"/>
      <w:marLeft w:val="0"/>
      <w:marRight w:val="0"/>
      <w:marTop w:val="0"/>
      <w:marBottom w:val="0"/>
      <w:divBdr>
        <w:top w:val="none" w:sz="0" w:space="0" w:color="auto"/>
        <w:left w:val="none" w:sz="0" w:space="0" w:color="auto"/>
        <w:bottom w:val="none" w:sz="0" w:space="0" w:color="auto"/>
        <w:right w:val="none" w:sz="0" w:space="0" w:color="auto"/>
      </w:divBdr>
    </w:div>
    <w:div w:id="862985183">
      <w:bodyDiv w:val="1"/>
      <w:marLeft w:val="0"/>
      <w:marRight w:val="0"/>
      <w:marTop w:val="0"/>
      <w:marBottom w:val="0"/>
      <w:divBdr>
        <w:top w:val="none" w:sz="0" w:space="0" w:color="auto"/>
        <w:left w:val="none" w:sz="0" w:space="0" w:color="auto"/>
        <w:bottom w:val="none" w:sz="0" w:space="0" w:color="auto"/>
        <w:right w:val="none" w:sz="0" w:space="0" w:color="auto"/>
      </w:divBdr>
    </w:div>
    <w:div w:id="886069828">
      <w:bodyDiv w:val="1"/>
      <w:marLeft w:val="0"/>
      <w:marRight w:val="0"/>
      <w:marTop w:val="0"/>
      <w:marBottom w:val="0"/>
      <w:divBdr>
        <w:top w:val="none" w:sz="0" w:space="0" w:color="auto"/>
        <w:left w:val="none" w:sz="0" w:space="0" w:color="auto"/>
        <w:bottom w:val="none" w:sz="0" w:space="0" w:color="auto"/>
        <w:right w:val="none" w:sz="0" w:space="0" w:color="auto"/>
      </w:divBdr>
    </w:div>
    <w:div w:id="903374087">
      <w:bodyDiv w:val="1"/>
      <w:marLeft w:val="0"/>
      <w:marRight w:val="0"/>
      <w:marTop w:val="0"/>
      <w:marBottom w:val="0"/>
      <w:divBdr>
        <w:top w:val="none" w:sz="0" w:space="0" w:color="auto"/>
        <w:left w:val="none" w:sz="0" w:space="0" w:color="auto"/>
        <w:bottom w:val="none" w:sz="0" w:space="0" w:color="auto"/>
        <w:right w:val="none" w:sz="0" w:space="0" w:color="auto"/>
      </w:divBdr>
    </w:div>
    <w:div w:id="923294651">
      <w:bodyDiv w:val="1"/>
      <w:marLeft w:val="0"/>
      <w:marRight w:val="0"/>
      <w:marTop w:val="0"/>
      <w:marBottom w:val="0"/>
      <w:divBdr>
        <w:top w:val="none" w:sz="0" w:space="0" w:color="auto"/>
        <w:left w:val="none" w:sz="0" w:space="0" w:color="auto"/>
        <w:bottom w:val="none" w:sz="0" w:space="0" w:color="auto"/>
        <w:right w:val="none" w:sz="0" w:space="0" w:color="auto"/>
      </w:divBdr>
    </w:div>
    <w:div w:id="1011376980">
      <w:bodyDiv w:val="1"/>
      <w:marLeft w:val="0"/>
      <w:marRight w:val="0"/>
      <w:marTop w:val="0"/>
      <w:marBottom w:val="0"/>
      <w:divBdr>
        <w:top w:val="none" w:sz="0" w:space="0" w:color="auto"/>
        <w:left w:val="none" w:sz="0" w:space="0" w:color="auto"/>
        <w:bottom w:val="none" w:sz="0" w:space="0" w:color="auto"/>
        <w:right w:val="none" w:sz="0" w:space="0" w:color="auto"/>
      </w:divBdr>
    </w:div>
    <w:div w:id="1070618199">
      <w:bodyDiv w:val="1"/>
      <w:marLeft w:val="0"/>
      <w:marRight w:val="0"/>
      <w:marTop w:val="0"/>
      <w:marBottom w:val="0"/>
      <w:divBdr>
        <w:top w:val="none" w:sz="0" w:space="0" w:color="auto"/>
        <w:left w:val="none" w:sz="0" w:space="0" w:color="auto"/>
        <w:bottom w:val="none" w:sz="0" w:space="0" w:color="auto"/>
        <w:right w:val="none" w:sz="0" w:space="0" w:color="auto"/>
      </w:divBdr>
    </w:div>
    <w:div w:id="1084718597">
      <w:bodyDiv w:val="1"/>
      <w:marLeft w:val="0"/>
      <w:marRight w:val="0"/>
      <w:marTop w:val="0"/>
      <w:marBottom w:val="0"/>
      <w:divBdr>
        <w:top w:val="none" w:sz="0" w:space="0" w:color="auto"/>
        <w:left w:val="none" w:sz="0" w:space="0" w:color="auto"/>
        <w:bottom w:val="none" w:sz="0" w:space="0" w:color="auto"/>
        <w:right w:val="none" w:sz="0" w:space="0" w:color="auto"/>
      </w:divBdr>
    </w:div>
    <w:div w:id="1116560710">
      <w:bodyDiv w:val="1"/>
      <w:marLeft w:val="0"/>
      <w:marRight w:val="0"/>
      <w:marTop w:val="0"/>
      <w:marBottom w:val="0"/>
      <w:divBdr>
        <w:top w:val="none" w:sz="0" w:space="0" w:color="auto"/>
        <w:left w:val="none" w:sz="0" w:space="0" w:color="auto"/>
        <w:bottom w:val="none" w:sz="0" w:space="0" w:color="auto"/>
        <w:right w:val="none" w:sz="0" w:space="0" w:color="auto"/>
      </w:divBdr>
    </w:div>
    <w:div w:id="1140224322">
      <w:bodyDiv w:val="1"/>
      <w:marLeft w:val="0"/>
      <w:marRight w:val="0"/>
      <w:marTop w:val="0"/>
      <w:marBottom w:val="0"/>
      <w:divBdr>
        <w:top w:val="none" w:sz="0" w:space="0" w:color="auto"/>
        <w:left w:val="none" w:sz="0" w:space="0" w:color="auto"/>
        <w:bottom w:val="none" w:sz="0" w:space="0" w:color="auto"/>
        <w:right w:val="none" w:sz="0" w:space="0" w:color="auto"/>
      </w:divBdr>
    </w:div>
    <w:div w:id="1197934199">
      <w:bodyDiv w:val="1"/>
      <w:marLeft w:val="0"/>
      <w:marRight w:val="0"/>
      <w:marTop w:val="0"/>
      <w:marBottom w:val="0"/>
      <w:divBdr>
        <w:top w:val="none" w:sz="0" w:space="0" w:color="auto"/>
        <w:left w:val="none" w:sz="0" w:space="0" w:color="auto"/>
        <w:bottom w:val="none" w:sz="0" w:space="0" w:color="auto"/>
        <w:right w:val="none" w:sz="0" w:space="0" w:color="auto"/>
      </w:divBdr>
    </w:div>
    <w:div w:id="1204905395">
      <w:bodyDiv w:val="1"/>
      <w:marLeft w:val="0"/>
      <w:marRight w:val="0"/>
      <w:marTop w:val="0"/>
      <w:marBottom w:val="0"/>
      <w:divBdr>
        <w:top w:val="none" w:sz="0" w:space="0" w:color="auto"/>
        <w:left w:val="none" w:sz="0" w:space="0" w:color="auto"/>
        <w:bottom w:val="none" w:sz="0" w:space="0" w:color="auto"/>
        <w:right w:val="none" w:sz="0" w:space="0" w:color="auto"/>
      </w:divBdr>
    </w:div>
    <w:div w:id="1211845489">
      <w:bodyDiv w:val="1"/>
      <w:marLeft w:val="0"/>
      <w:marRight w:val="0"/>
      <w:marTop w:val="0"/>
      <w:marBottom w:val="0"/>
      <w:divBdr>
        <w:top w:val="none" w:sz="0" w:space="0" w:color="auto"/>
        <w:left w:val="none" w:sz="0" w:space="0" w:color="auto"/>
        <w:bottom w:val="none" w:sz="0" w:space="0" w:color="auto"/>
        <w:right w:val="none" w:sz="0" w:space="0" w:color="auto"/>
      </w:divBdr>
    </w:div>
    <w:div w:id="1215386901">
      <w:bodyDiv w:val="1"/>
      <w:marLeft w:val="0"/>
      <w:marRight w:val="0"/>
      <w:marTop w:val="0"/>
      <w:marBottom w:val="0"/>
      <w:divBdr>
        <w:top w:val="none" w:sz="0" w:space="0" w:color="auto"/>
        <w:left w:val="none" w:sz="0" w:space="0" w:color="auto"/>
        <w:bottom w:val="none" w:sz="0" w:space="0" w:color="auto"/>
        <w:right w:val="none" w:sz="0" w:space="0" w:color="auto"/>
      </w:divBdr>
    </w:div>
    <w:div w:id="1246650208">
      <w:bodyDiv w:val="1"/>
      <w:marLeft w:val="0"/>
      <w:marRight w:val="0"/>
      <w:marTop w:val="0"/>
      <w:marBottom w:val="0"/>
      <w:divBdr>
        <w:top w:val="none" w:sz="0" w:space="0" w:color="auto"/>
        <w:left w:val="none" w:sz="0" w:space="0" w:color="auto"/>
        <w:bottom w:val="none" w:sz="0" w:space="0" w:color="auto"/>
        <w:right w:val="none" w:sz="0" w:space="0" w:color="auto"/>
      </w:divBdr>
    </w:div>
    <w:div w:id="1250501446">
      <w:bodyDiv w:val="1"/>
      <w:marLeft w:val="0"/>
      <w:marRight w:val="0"/>
      <w:marTop w:val="0"/>
      <w:marBottom w:val="0"/>
      <w:divBdr>
        <w:top w:val="none" w:sz="0" w:space="0" w:color="auto"/>
        <w:left w:val="none" w:sz="0" w:space="0" w:color="auto"/>
        <w:bottom w:val="none" w:sz="0" w:space="0" w:color="auto"/>
        <w:right w:val="none" w:sz="0" w:space="0" w:color="auto"/>
      </w:divBdr>
    </w:div>
    <w:div w:id="1272710286">
      <w:bodyDiv w:val="1"/>
      <w:marLeft w:val="0"/>
      <w:marRight w:val="0"/>
      <w:marTop w:val="0"/>
      <w:marBottom w:val="0"/>
      <w:divBdr>
        <w:top w:val="none" w:sz="0" w:space="0" w:color="auto"/>
        <w:left w:val="none" w:sz="0" w:space="0" w:color="auto"/>
        <w:bottom w:val="none" w:sz="0" w:space="0" w:color="auto"/>
        <w:right w:val="none" w:sz="0" w:space="0" w:color="auto"/>
      </w:divBdr>
    </w:div>
    <w:div w:id="1273903632">
      <w:bodyDiv w:val="1"/>
      <w:marLeft w:val="0"/>
      <w:marRight w:val="0"/>
      <w:marTop w:val="0"/>
      <w:marBottom w:val="0"/>
      <w:divBdr>
        <w:top w:val="none" w:sz="0" w:space="0" w:color="auto"/>
        <w:left w:val="none" w:sz="0" w:space="0" w:color="auto"/>
        <w:bottom w:val="none" w:sz="0" w:space="0" w:color="auto"/>
        <w:right w:val="none" w:sz="0" w:space="0" w:color="auto"/>
      </w:divBdr>
    </w:div>
    <w:div w:id="1276597509">
      <w:bodyDiv w:val="1"/>
      <w:marLeft w:val="0"/>
      <w:marRight w:val="0"/>
      <w:marTop w:val="0"/>
      <w:marBottom w:val="0"/>
      <w:divBdr>
        <w:top w:val="none" w:sz="0" w:space="0" w:color="auto"/>
        <w:left w:val="none" w:sz="0" w:space="0" w:color="auto"/>
        <w:bottom w:val="none" w:sz="0" w:space="0" w:color="auto"/>
        <w:right w:val="none" w:sz="0" w:space="0" w:color="auto"/>
      </w:divBdr>
    </w:div>
    <w:div w:id="1326124744">
      <w:bodyDiv w:val="1"/>
      <w:marLeft w:val="0"/>
      <w:marRight w:val="0"/>
      <w:marTop w:val="0"/>
      <w:marBottom w:val="0"/>
      <w:divBdr>
        <w:top w:val="none" w:sz="0" w:space="0" w:color="auto"/>
        <w:left w:val="none" w:sz="0" w:space="0" w:color="auto"/>
        <w:bottom w:val="none" w:sz="0" w:space="0" w:color="auto"/>
        <w:right w:val="none" w:sz="0" w:space="0" w:color="auto"/>
      </w:divBdr>
    </w:div>
    <w:div w:id="1400443574">
      <w:bodyDiv w:val="1"/>
      <w:marLeft w:val="0"/>
      <w:marRight w:val="0"/>
      <w:marTop w:val="0"/>
      <w:marBottom w:val="0"/>
      <w:divBdr>
        <w:top w:val="none" w:sz="0" w:space="0" w:color="auto"/>
        <w:left w:val="none" w:sz="0" w:space="0" w:color="auto"/>
        <w:bottom w:val="none" w:sz="0" w:space="0" w:color="auto"/>
        <w:right w:val="none" w:sz="0" w:space="0" w:color="auto"/>
      </w:divBdr>
    </w:div>
    <w:div w:id="1425885159">
      <w:bodyDiv w:val="1"/>
      <w:marLeft w:val="0"/>
      <w:marRight w:val="0"/>
      <w:marTop w:val="0"/>
      <w:marBottom w:val="0"/>
      <w:divBdr>
        <w:top w:val="none" w:sz="0" w:space="0" w:color="auto"/>
        <w:left w:val="none" w:sz="0" w:space="0" w:color="auto"/>
        <w:bottom w:val="none" w:sz="0" w:space="0" w:color="auto"/>
        <w:right w:val="none" w:sz="0" w:space="0" w:color="auto"/>
      </w:divBdr>
    </w:div>
    <w:div w:id="1447457573">
      <w:bodyDiv w:val="1"/>
      <w:marLeft w:val="0"/>
      <w:marRight w:val="0"/>
      <w:marTop w:val="0"/>
      <w:marBottom w:val="0"/>
      <w:divBdr>
        <w:top w:val="none" w:sz="0" w:space="0" w:color="auto"/>
        <w:left w:val="none" w:sz="0" w:space="0" w:color="auto"/>
        <w:bottom w:val="none" w:sz="0" w:space="0" w:color="auto"/>
        <w:right w:val="none" w:sz="0" w:space="0" w:color="auto"/>
      </w:divBdr>
    </w:div>
    <w:div w:id="1470395086">
      <w:bodyDiv w:val="1"/>
      <w:marLeft w:val="0"/>
      <w:marRight w:val="0"/>
      <w:marTop w:val="0"/>
      <w:marBottom w:val="0"/>
      <w:divBdr>
        <w:top w:val="none" w:sz="0" w:space="0" w:color="auto"/>
        <w:left w:val="none" w:sz="0" w:space="0" w:color="auto"/>
        <w:bottom w:val="none" w:sz="0" w:space="0" w:color="auto"/>
        <w:right w:val="none" w:sz="0" w:space="0" w:color="auto"/>
      </w:divBdr>
    </w:div>
    <w:div w:id="1490252303">
      <w:bodyDiv w:val="1"/>
      <w:marLeft w:val="0"/>
      <w:marRight w:val="0"/>
      <w:marTop w:val="0"/>
      <w:marBottom w:val="0"/>
      <w:divBdr>
        <w:top w:val="none" w:sz="0" w:space="0" w:color="auto"/>
        <w:left w:val="none" w:sz="0" w:space="0" w:color="auto"/>
        <w:bottom w:val="none" w:sz="0" w:space="0" w:color="auto"/>
        <w:right w:val="none" w:sz="0" w:space="0" w:color="auto"/>
      </w:divBdr>
    </w:div>
    <w:div w:id="1521580046">
      <w:bodyDiv w:val="1"/>
      <w:marLeft w:val="0"/>
      <w:marRight w:val="0"/>
      <w:marTop w:val="0"/>
      <w:marBottom w:val="0"/>
      <w:divBdr>
        <w:top w:val="none" w:sz="0" w:space="0" w:color="auto"/>
        <w:left w:val="none" w:sz="0" w:space="0" w:color="auto"/>
        <w:bottom w:val="none" w:sz="0" w:space="0" w:color="auto"/>
        <w:right w:val="none" w:sz="0" w:space="0" w:color="auto"/>
      </w:divBdr>
    </w:div>
    <w:div w:id="1540242797">
      <w:bodyDiv w:val="1"/>
      <w:marLeft w:val="0"/>
      <w:marRight w:val="0"/>
      <w:marTop w:val="0"/>
      <w:marBottom w:val="0"/>
      <w:divBdr>
        <w:top w:val="none" w:sz="0" w:space="0" w:color="auto"/>
        <w:left w:val="none" w:sz="0" w:space="0" w:color="auto"/>
        <w:bottom w:val="none" w:sz="0" w:space="0" w:color="auto"/>
        <w:right w:val="none" w:sz="0" w:space="0" w:color="auto"/>
      </w:divBdr>
    </w:div>
    <w:div w:id="1551188280">
      <w:bodyDiv w:val="1"/>
      <w:marLeft w:val="0"/>
      <w:marRight w:val="0"/>
      <w:marTop w:val="0"/>
      <w:marBottom w:val="0"/>
      <w:divBdr>
        <w:top w:val="none" w:sz="0" w:space="0" w:color="auto"/>
        <w:left w:val="none" w:sz="0" w:space="0" w:color="auto"/>
        <w:bottom w:val="none" w:sz="0" w:space="0" w:color="auto"/>
        <w:right w:val="none" w:sz="0" w:space="0" w:color="auto"/>
      </w:divBdr>
    </w:div>
    <w:div w:id="1565751834">
      <w:bodyDiv w:val="1"/>
      <w:marLeft w:val="0"/>
      <w:marRight w:val="0"/>
      <w:marTop w:val="0"/>
      <w:marBottom w:val="0"/>
      <w:divBdr>
        <w:top w:val="none" w:sz="0" w:space="0" w:color="auto"/>
        <w:left w:val="none" w:sz="0" w:space="0" w:color="auto"/>
        <w:bottom w:val="none" w:sz="0" w:space="0" w:color="auto"/>
        <w:right w:val="none" w:sz="0" w:space="0" w:color="auto"/>
      </w:divBdr>
    </w:div>
    <w:div w:id="1581481891">
      <w:bodyDiv w:val="1"/>
      <w:marLeft w:val="0"/>
      <w:marRight w:val="0"/>
      <w:marTop w:val="0"/>
      <w:marBottom w:val="0"/>
      <w:divBdr>
        <w:top w:val="none" w:sz="0" w:space="0" w:color="auto"/>
        <w:left w:val="none" w:sz="0" w:space="0" w:color="auto"/>
        <w:bottom w:val="none" w:sz="0" w:space="0" w:color="auto"/>
        <w:right w:val="none" w:sz="0" w:space="0" w:color="auto"/>
      </w:divBdr>
    </w:div>
    <w:div w:id="1641184274">
      <w:bodyDiv w:val="1"/>
      <w:marLeft w:val="0"/>
      <w:marRight w:val="0"/>
      <w:marTop w:val="0"/>
      <w:marBottom w:val="0"/>
      <w:divBdr>
        <w:top w:val="none" w:sz="0" w:space="0" w:color="auto"/>
        <w:left w:val="none" w:sz="0" w:space="0" w:color="auto"/>
        <w:bottom w:val="none" w:sz="0" w:space="0" w:color="auto"/>
        <w:right w:val="none" w:sz="0" w:space="0" w:color="auto"/>
      </w:divBdr>
    </w:div>
    <w:div w:id="1674913166">
      <w:bodyDiv w:val="1"/>
      <w:marLeft w:val="0"/>
      <w:marRight w:val="0"/>
      <w:marTop w:val="0"/>
      <w:marBottom w:val="0"/>
      <w:divBdr>
        <w:top w:val="none" w:sz="0" w:space="0" w:color="auto"/>
        <w:left w:val="none" w:sz="0" w:space="0" w:color="auto"/>
        <w:bottom w:val="none" w:sz="0" w:space="0" w:color="auto"/>
        <w:right w:val="none" w:sz="0" w:space="0" w:color="auto"/>
      </w:divBdr>
    </w:div>
    <w:div w:id="1679230431">
      <w:bodyDiv w:val="1"/>
      <w:marLeft w:val="0"/>
      <w:marRight w:val="0"/>
      <w:marTop w:val="0"/>
      <w:marBottom w:val="0"/>
      <w:divBdr>
        <w:top w:val="none" w:sz="0" w:space="0" w:color="auto"/>
        <w:left w:val="none" w:sz="0" w:space="0" w:color="auto"/>
        <w:bottom w:val="none" w:sz="0" w:space="0" w:color="auto"/>
        <w:right w:val="none" w:sz="0" w:space="0" w:color="auto"/>
      </w:divBdr>
    </w:div>
    <w:div w:id="1680280350">
      <w:bodyDiv w:val="1"/>
      <w:marLeft w:val="0"/>
      <w:marRight w:val="0"/>
      <w:marTop w:val="0"/>
      <w:marBottom w:val="0"/>
      <w:divBdr>
        <w:top w:val="none" w:sz="0" w:space="0" w:color="auto"/>
        <w:left w:val="none" w:sz="0" w:space="0" w:color="auto"/>
        <w:bottom w:val="none" w:sz="0" w:space="0" w:color="auto"/>
        <w:right w:val="none" w:sz="0" w:space="0" w:color="auto"/>
      </w:divBdr>
    </w:div>
    <w:div w:id="1683969748">
      <w:bodyDiv w:val="1"/>
      <w:marLeft w:val="0"/>
      <w:marRight w:val="0"/>
      <w:marTop w:val="0"/>
      <w:marBottom w:val="0"/>
      <w:divBdr>
        <w:top w:val="none" w:sz="0" w:space="0" w:color="auto"/>
        <w:left w:val="none" w:sz="0" w:space="0" w:color="auto"/>
        <w:bottom w:val="none" w:sz="0" w:space="0" w:color="auto"/>
        <w:right w:val="none" w:sz="0" w:space="0" w:color="auto"/>
      </w:divBdr>
    </w:div>
    <w:div w:id="1706523163">
      <w:bodyDiv w:val="1"/>
      <w:marLeft w:val="0"/>
      <w:marRight w:val="0"/>
      <w:marTop w:val="0"/>
      <w:marBottom w:val="0"/>
      <w:divBdr>
        <w:top w:val="none" w:sz="0" w:space="0" w:color="auto"/>
        <w:left w:val="none" w:sz="0" w:space="0" w:color="auto"/>
        <w:bottom w:val="none" w:sz="0" w:space="0" w:color="auto"/>
        <w:right w:val="none" w:sz="0" w:space="0" w:color="auto"/>
      </w:divBdr>
    </w:div>
    <w:div w:id="1710913365">
      <w:bodyDiv w:val="1"/>
      <w:marLeft w:val="0"/>
      <w:marRight w:val="0"/>
      <w:marTop w:val="0"/>
      <w:marBottom w:val="0"/>
      <w:divBdr>
        <w:top w:val="none" w:sz="0" w:space="0" w:color="auto"/>
        <w:left w:val="none" w:sz="0" w:space="0" w:color="auto"/>
        <w:bottom w:val="none" w:sz="0" w:space="0" w:color="auto"/>
        <w:right w:val="none" w:sz="0" w:space="0" w:color="auto"/>
      </w:divBdr>
    </w:div>
    <w:div w:id="1726369542">
      <w:bodyDiv w:val="1"/>
      <w:marLeft w:val="0"/>
      <w:marRight w:val="0"/>
      <w:marTop w:val="0"/>
      <w:marBottom w:val="0"/>
      <w:divBdr>
        <w:top w:val="none" w:sz="0" w:space="0" w:color="auto"/>
        <w:left w:val="none" w:sz="0" w:space="0" w:color="auto"/>
        <w:bottom w:val="none" w:sz="0" w:space="0" w:color="auto"/>
        <w:right w:val="none" w:sz="0" w:space="0" w:color="auto"/>
      </w:divBdr>
    </w:div>
    <w:div w:id="1746101609">
      <w:bodyDiv w:val="1"/>
      <w:marLeft w:val="0"/>
      <w:marRight w:val="0"/>
      <w:marTop w:val="0"/>
      <w:marBottom w:val="0"/>
      <w:divBdr>
        <w:top w:val="none" w:sz="0" w:space="0" w:color="auto"/>
        <w:left w:val="none" w:sz="0" w:space="0" w:color="auto"/>
        <w:bottom w:val="none" w:sz="0" w:space="0" w:color="auto"/>
        <w:right w:val="none" w:sz="0" w:space="0" w:color="auto"/>
      </w:divBdr>
    </w:div>
    <w:div w:id="1749885246">
      <w:bodyDiv w:val="1"/>
      <w:marLeft w:val="0"/>
      <w:marRight w:val="0"/>
      <w:marTop w:val="0"/>
      <w:marBottom w:val="0"/>
      <w:divBdr>
        <w:top w:val="none" w:sz="0" w:space="0" w:color="auto"/>
        <w:left w:val="none" w:sz="0" w:space="0" w:color="auto"/>
        <w:bottom w:val="none" w:sz="0" w:space="0" w:color="auto"/>
        <w:right w:val="none" w:sz="0" w:space="0" w:color="auto"/>
      </w:divBdr>
    </w:div>
    <w:div w:id="1798524833">
      <w:bodyDiv w:val="1"/>
      <w:marLeft w:val="0"/>
      <w:marRight w:val="0"/>
      <w:marTop w:val="0"/>
      <w:marBottom w:val="0"/>
      <w:divBdr>
        <w:top w:val="none" w:sz="0" w:space="0" w:color="auto"/>
        <w:left w:val="none" w:sz="0" w:space="0" w:color="auto"/>
        <w:bottom w:val="none" w:sz="0" w:space="0" w:color="auto"/>
        <w:right w:val="none" w:sz="0" w:space="0" w:color="auto"/>
      </w:divBdr>
    </w:div>
    <w:div w:id="1809318313">
      <w:bodyDiv w:val="1"/>
      <w:marLeft w:val="0"/>
      <w:marRight w:val="0"/>
      <w:marTop w:val="0"/>
      <w:marBottom w:val="0"/>
      <w:divBdr>
        <w:top w:val="none" w:sz="0" w:space="0" w:color="auto"/>
        <w:left w:val="none" w:sz="0" w:space="0" w:color="auto"/>
        <w:bottom w:val="none" w:sz="0" w:space="0" w:color="auto"/>
        <w:right w:val="none" w:sz="0" w:space="0" w:color="auto"/>
      </w:divBdr>
    </w:div>
    <w:div w:id="1812822519">
      <w:bodyDiv w:val="1"/>
      <w:marLeft w:val="0"/>
      <w:marRight w:val="0"/>
      <w:marTop w:val="0"/>
      <w:marBottom w:val="0"/>
      <w:divBdr>
        <w:top w:val="none" w:sz="0" w:space="0" w:color="auto"/>
        <w:left w:val="none" w:sz="0" w:space="0" w:color="auto"/>
        <w:bottom w:val="none" w:sz="0" w:space="0" w:color="auto"/>
        <w:right w:val="none" w:sz="0" w:space="0" w:color="auto"/>
      </w:divBdr>
    </w:div>
    <w:div w:id="1878468705">
      <w:bodyDiv w:val="1"/>
      <w:marLeft w:val="0"/>
      <w:marRight w:val="0"/>
      <w:marTop w:val="0"/>
      <w:marBottom w:val="0"/>
      <w:divBdr>
        <w:top w:val="none" w:sz="0" w:space="0" w:color="auto"/>
        <w:left w:val="none" w:sz="0" w:space="0" w:color="auto"/>
        <w:bottom w:val="none" w:sz="0" w:space="0" w:color="auto"/>
        <w:right w:val="none" w:sz="0" w:space="0" w:color="auto"/>
      </w:divBdr>
    </w:div>
    <w:div w:id="1879050231">
      <w:bodyDiv w:val="1"/>
      <w:marLeft w:val="0"/>
      <w:marRight w:val="0"/>
      <w:marTop w:val="0"/>
      <w:marBottom w:val="0"/>
      <w:divBdr>
        <w:top w:val="none" w:sz="0" w:space="0" w:color="auto"/>
        <w:left w:val="none" w:sz="0" w:space="0" w:color="auto"/>
        <w:bottom w:val="none" w:sz="0" w:space="0" w:color="auto"/>
        <w:right w:val="none" w:sz="0" w:space="0" w:color="auto"/>
      </w:divBdr>
    </w:div>
    <w:div w:id="1884361330">
      <w:bodyDiv w:val="1"/>
      <w:marLeft w:val="0"/>
      <w:marRight w:val="0"/>
      <w:marTop w:val="0"/>
      <w:marBottom w:val="0"/>
      <w:divBdr>
        <w:top w:val="none" w:sz="0" w:space="0" w:color="auto"/>
        <w:left w:val="none" w:sz="0" w:space="0" w:color="auto"/>
        <w:bottom w:val="none" w:sz="0" w:space="0" w:color="auto"/>
        <w:right w:val="none" w:sz="0" w:space="0" w:color="auto"/>
      </w:divBdr>
    </w:div>
    <w:div w:id="1889563743">
      <w:bodyDiv w:val="1"/>
      <w:marLeft w:val="0"/>
      <w:marRight w:val="0"/>
      <w:marTop w:val="0"/>
      <w:marBottom w:val="0"/>
      <w:divBdr>
        <w:top w:val="none" w:sz="0" w:space="0" w:color="auto"/>
        <w:left w:val="none" w:sz="0" w:space="0" w:color="auto"/>
        <w:bottom w:val="none" w:sz="0" w:space="0" w:color="auto"/>
        <w:right w:val="none" w:sz="0" w:space="0" w:color="auto"/>
      </w:divBdr>
    </w:div>
    <w:div w:id="1921022306">
      <w:bodyDiv w:val="1"/>
      <w:marLeft w:val="0"/>
      <w:marRight w:val="0"/>
      <w:marTop w:val="0"/>
      <w:marBottom w:val="0"/>
      <w:divBdr>
        <w:top w:val="none" w:sz="0" w:space="0" w:color="auto"/>
        <w:left w:val="none" w:sz="0" w:space="0" w:color="auto"/>
        <w:bottom w:val="none" w:sz="0" w:space="0" w:color="auto"/>
        <w:right w:val="none" w:sz="0" w:space="0" w:color="auto"/>
      </w:divBdr>
    </w:div>
    <w:div w:id="1959406170">
      <w:bodyDiv w:val="1"/>
      <w:marLeft w:val="0"/>
      <w:marRight w:val="0"/>
      <w:marTop w:val="0"/>
      <w:marBottom w:val="0"/>
      <w:divBdr>
        <w:top w:val="none" w:sz="0" w:space="0" w:color="auto"/>
        <w:left w:val="none" w:sz="0" w:space="0" w:color="auto"/>
        <w:bottom w:val="none" w:sz="0" w:space="0" w:color="auto"/>
        <w:right w:val="none" w:sz="0" w:space="0" w:color="auto"/>
      </w:divBdr>
    </w:div>
    <w:div w:id="1969822396">
      <w:bodyDiv w:val="1"/>
      <w:marLeft w:val="0"/>
      <w:marRight w:val="0"/>
      <w:marTop w:val="0"/>
      <w:marBottom w:val="0"/>
      <w:divBdr>
        <w:top w:val="none" w:sz="0" w:space="0" w:color="auto"/>
        <w:left w:val="none" w:sz="0" w:space="0" w:color="auto"/>
        <w:bottom w:val="none" w:sz="0" w:space="0" w:color="auto"/>
        <w:right w:val="none" w:sz="0" w:space="0" w:color="auto"/>
      </w:divBdr>
    </w:div>
    <w:div w:id="2021620317">
      <w:bodyDiv w:val="1"/>
      <w:marLeft w:val="0"/>
      <w:marRight w:val="0"/>
      <w:marTop w:val="0"/>
      <w:marBottom w:val="0"/>
      <w:divBdr>
        <w:top w:val="none" w:sz="0" w:space="0" w:color="auto"/>
        <w:left w:val="none" w:sz="0" w:space="0" w:color="auto"/>
        <w:bottom w:val="none" w:sz="0" w:space="0" w:color="auto"/>
        <w:right w:val="none" w:sz="0" w:space="0" w:color="auto"/>
      </w:divBdr>
    </w:div>
    <w:div w:id="2027707901">
      <w:bodyDiv w:val="1"/>
      <w:marLeft w:val="0"/>
      <w:marRight w:val="0"/>
      <w:marTop w:val="0"/>
      <w:marBottom w:val="0"/>
      <w:divBdr>
        <w:top w:val="none" w:sz="0" w:space="0" w:color="auto"/>
        <w:left w:val="none" w:sz="0" w:space="0" w:color="auto"/>
        <w:bottom w:val="none" w:sz="0" w:space="0" w:color="auto"/>
        <w:right w:val="none" w:sz="0" w:space="0" w:color="auto"/>
      </w:divBdr>
    </w:div>
    <w:div w:id="2086683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committees.parliament.uk/work/8684/solving-the-send-crisi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chart" Target="charts/chart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gemma.anderson@hants.gov.uk" TargetMode="External"/><Relationship Id="rId20" Type="http://schemas.openxmlformats.org/officeDocument/2006/relationships/hyperlink" Target="https://democracy.hants.gov.uk/ieListDocuments.aspx?CId=812&amp;MId=11458&amp;Ver=4"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annabel.hodder@hants.gov.uk" TargetMode="External"/><Relationship Id="rId23"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hyperlink" Target="https://www.gov.uk/government/publications/changes-to-the-class-1-national-insurance-contributions-secondary-threshold-the-secondary-class-1-national-insurance-contributions-rate-and-the-empl/changes-to-the-class-1-national-insurance-contributions-secondary-threshold-the-secondary-class-1-national-insurance-contributions-rate-and-the-empl"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andrew.minall@hants.gov.uk"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tmtsp\Local%20Settings\Temp\InternetCache\Content.MSO\D77FC714.doc"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hants.sharepoint.com/sites/ChildrensOperationalFinance/Shared%20Documents/Education%20Funding%20Team/2024-2025%20-%20Analysis%20of%20NFF%202025-26%20Dec%20Allocation.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Total DSG Allocation per pupil</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'[2024-2025 - Analysis of NFF 2025-26 Dec Allocation.xlsx]25-26 Allocation Ranking'!$Z$1</c:f>
              <c:strCache>
                <c:ptCount val="1"/>
                <c:pt idx="0">
                  <c:v>Total Allocation per pupil</c:v>
                </c:pt>
              </c:strCache>
            </c:strRef>
          </c:tx>
          <c:spPr>
            <a:solidFill>
              <a:schemeClr val="accent1"/>
            </a:solidFill>
            <a:ln>
              <a:noFill/>
            </a:ln>
            <a:effectLst/>
          </c:spPr>
          <c:invertIfNegative val="0"/>
          <c:dPt>
            <c:idx val="8"/>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01-492A-43DA-B18F-065DFFC371DC}"/>
              </c:ext>
            </c:extLst>
          </c:dPt>
          <c:dPt>
            <c:idx val="25"/>
            <c:invertIfNegative val="0"/>
            <c:bubble3D val="0"/>
            <c:spPr>
              <a:solidFill>
                <a:srgbClr val="FF0000"/>
              </a:solidFill>
              <a:ln>
                <a:solidFill>
                  <a:srgbClr val="FF0000"/>
                </a:solidFill>
              </a:ln>
              <a:effectLst/>
            </c:spPr>
            <c:extLst>
              <c:ext xmlns:c16="http://schemas.microsoft.com/office/drawing/2014/chart" uri="{C3380CC4-5D6E-409C-BE32-E72D297353CC}">
                <c16:uniqueId val="{00000003-492A-43DA-B18F-065DFFC371DC}"/>
              </c:ext>
            </c:extLst>
          </c:dPt>
          <c:dLbls>
            <c:dLbl>
              <c:idx val="25"/>
              <c:layout>
                <c:manualLayout>
                  <c:x val="3.966516477272216E-2"/>
                  <c:y val="-0.1389495654052553"/>
                </c:manualLayout>
              </c:layout>
              <c:tx>
                <c:rich>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fld id="{E304A9AD-7821-45DB-9F54-B1098B86C9CE}" type="CATEGORYNAME">
                      <a:rPr lang="en-US"/>
                      <a:pPr>
                        <a:defRPr/>
                      </a:pPr>
                      <a:t>[CATEGORY NAME]</a:t>
                    </a:fld>
                    <a:r>
                      <a:rPr lang="en-US" baseline="0"/>
                      <a:t>, 26th lowest funded</a:t>
                    </a:r>
                  </a:p>
                </c:rich>
              </c:tx>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19225604333161764"/>
                      <c:h val="0.25113673627641231"/>
                    </c:manualLayout>
                  </c15:layout>
                  <c15:dlblFieldTable/>
                  <c15:showDataLabelsRange val="0"/>
                </c:ext>
                <c:ext xmlns:c16="http://schemas.microsoft.com/office/drawing/2014/chart" uri="{C3380CC4-5D6E-409C-BE32-E72D297353CC}">
                  <c16:uniqueId val="{00000003-492A-43DA-B18F-065DFFC371DC}"/>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'[2024-2025 - Analysis of NFF 2025-26 Dec Allocation.xlsx]25-26 Allocation Ranking'!$Y$2:$Y$152</c:f>
              <c:strCache>
                <c:ptCount val="151"/>
                <c:pt idx="0">
                  <c:v>Rutland</c:v>
                </c:pt>
                <c:pt idx="1">
                  <c:v>Southend-on-Sea</c:v>
                </c:pt>
                <c:pt idx="2">
                  <c:v>Trafford</c:v>
                </c:pt>
                <c:pt idx="3">
                  <c:v>North Northamptonshire</c:v>
                </c:pt>
                <c:pt idx="4">
                  <c:v>Leicestershire</c:v>
                </c:pt>
                <c:pt idx="5">
                  <c:v>Medway</c:v>
                </c:pt>
                <c:pt idx="6">
                  <c:v>Suffolk</c:v>
                </c:pt>
                <c:pt idx="7">
                  <c:v>Wokingham</c:v>
                </c:pt>
                <c:pt idx="8">
                  <c:v>Slough</c:v>
                </c:pt>
                <c:pt idx="9">
                  <c:v>West Northamptonshire</c:v>
                </c:pt>
                <c:pt idx="10">
                  <c:v>Central Bedfordshire</c:v>
                </c:pt>
                <c:pt idx="11">
                  <c:v>Staffordshire</c:v>
                </c:pt>
                <c:pt idx="12">
                  <c:v>Cheshire East</c:v>
                </c:pt>
                <c:pt idx="13">
                  <c:v>Bournemouth, Christchurch and Poole</c:v>
                </c:pt>
                <c:pt idx="14">
                  <c:v>Warrington</c:v>
                </c:pt>
                <c:pt idx="15">
                  <c:v>East Riding of Yorkshire</c:v>
                </c:pt>
                <c:pt idx="16">
                  <c:v>Warwickshire</c:v>
                </c:pt>
                <c:pt idx="17">
                  <c:v>Wiltshire</c:v>
                </c:pt>
                <c:pt idx="18">
                  <c:v>Essex</c:v>
                </c:pt>
                <c:pt idx="19">
                  <c:v>Nottinghamshire</c:v>
                </c:pt>
                <c:pt idx="20">
                  <c:v>Herefordshire, County of</c:v>
                </c:pt>
                <c:pt idx="21">
                  <c:v>Worcestershire</c:v>
                </c:pt>
                <c:pt idx="22">
                  <c:v>Swindon</c:v>
                </c:pt>
                <c:pt idx="23">
                  <c:v>Cornwall</c:v>
                </c:pt>
                <c:pt idx="24">
                  <c:v>Gloucestershire</c:v>
                </c:pt>
                <c:pt idx="25">
                  <c:v>Hampshire</c:v>
                </c:pt>
                <c:pt idx="26">
                  <c:v>Cambridgeshire</c:v>
                </c:pt>
                <c:pt idx="27">
                  <c:v>Oxfordshire</c:v>
                </c:pt>
                <c:pt idx="28">
                  <c:v>North Somerset</c:v>
                </c:pt>
                <c:pt idx="29">
                  <c:v>Wakefield</c:v>
                </c:pt>
                <c:pt idx="30">
                  <c:v>York</c:v>
                </c:pt>
                <c:pt idx="31">
                  <c:v>Kirklees</c:v>
                </c:pt>
                <c:pt idx="32">
                  <c:v>Bedford</c:v>
                </c:pt>
                <c:pt idx="33">
                  <c:v>Thurrock</c:v>
                </c:pt>
                <c:pt idx="34">
                  <c:v>Shropshire</c:v>
                </c:pt>
                <c:pt idx="35">
                  <c:v>South Gloucestershire</c:v>
                </c:pt>
                <c:pt idx="36">
                  <c:v>West Sussex</c:v>
                </c:pt>
                <c:pt idx="37">
                  <c:v>Luton</c:v>
                </c:pt>
                <c:pt idx="38">
                  <c:v>Norfolk</c:v>
                </c:pt>
                <c:pt idx="39">
                  <c:v>Solihull</c:v>
                </c:pt>
                <c:pt idx="40">
                  <c:v>East Sussex</c:v>
                </c:pt>
                <c:pt idx="41">
                  <c:v>Hertfordshire</c:v>
                </c:pt>
                <c:pt idx="42">
                  <c:v>Sunderland</c:v>
                </c:pt>
                <c:pt idx="43">
                  <c:v>Dudley</c:v>
                </c:pt>
                <c:pt idx="44">
                  <c:v>Somerset</c:v>
                </c:pt>
                <c:pt idx="45">
                  <c:v>Coventry</c:v>
                </c:pt>
                <c:pt idx="46">
                  <c:v>Stockton-on-Tees</c:v>
                </c:pt>
                <c:pt idx="47">
                  <c:v>Devon</c:v>
                </c:pt>
                <c:pt idx="48">
                  <c:v>Redbridge</c:v>
                </c:pt>
                <c:pt idx="49">
                  <c:v>Darlington</c:v>
                </c:pt>
                <c:pt idx="50">
                  <c:v>Dorset</c:v>
                </c:pt>
                <c:pt idx="51">
                  <c:v>Bolton</c:v>
                </c:pt>
                <c:pt idx="52">
                  <c:v>Milton Keynes</c:v>
                </c:pt>
                <c:pt idx="53">
                  <c:v>Torbay</c:v>
                </c:pt>
                <c:pt idx="54">
                  <c:v>North East Lincolnshire</c:v>
                </c:pt>
                <c:pt idx="55">
                  <c:v>Calderdale</c:v>
                </c:pt>
                <c:pt idx="56">
                  <c:v>Cheshire West and Chester</c:v>
                </c:pt>
                <c:pt idx="57">
                  <c:v>North Yorkshire</c:v>
                </c:pt>
                <c:pt idx="58">
                  <c:v>Sefton</c:v>
                </c:pt>
                <c:pt idx="59">
                  <c:v>North Lincolnshire</c:v>
                </c:pt>
                <c:pt idx="60">
                  <c:v>Tameside</c:v>
                </c:pt>
                <c:pt idx="61">
                  <c:v>Wigan</c:v>
                </c:pt>
                <c:pt idx="62">
                  <c:v>Lincolnshire</c:v>
                </c:pt>
                <c:pt idx="63">
                  <c:v>Stockport</c:v>
                </c:pt>
                <c:pt idx="64">
                  <c:v>Doncaster</c:v>
                </c:pt>
                <c:pt idx="65">
                  <c:v>Kent</c:v>
                </c:pt>
                <c:pt idx="66">
                  <c:v>Leicester</c:v>
                </c:pt>
                <c:pt idx="67">
                  <c:v>Havering</c:v>
                </c:pt>
                <c:pt idx="68">
                  <c:v>Leeds</c:v>
                </c:pt>
                <c:pt idx="69">
                  <c:v>Derbyshire</c:v>
                </c:pt>
                <c:pt idx="70">
                  <c:v>Peterborough</c:v>
                </c:pt>
                <c:pt idx="71">
                  <c:v>West Berkshire</c:v>
                </c:pt>
                <c:pt idx="72">
                  <c:v>Bath and North East Somerset</c:v>
                </c:pt>
                <c:pt idx="73">
                  <c:v>Bradford</c:v>
                </c:pt>
                <c:pt idx="74">
                  <c:v>Blackburn with Darwen</c:v>
                </c:pt>
                <c:pt idx="75">
                  <c:v>Derby</c:v>
                </c:pt>
                <c:pt idx="76">
                  <c:v>Plymouth</c:v>
                </c:pt>
                <c:pt idx="77">
                  <c:v>Westmorland and Furness</c:v>
                </c:pt>
                <c:pt idx="78">
                  <c:v>Sandwell</c:v>
                </c:pt>
                <c:pt idx="79">
                  <c:v>Redcar and Cleveland</c:v>
                </c:pt>
                <c:pt idx="80">
                  <c:v>Bracknell Forest</c:v>
                </c:pt>
                <c:pt idx="81">
                  <c:v>Walsall</c:v>
                </c:pt>
                <c:pt idx="82">
                  <c:v>Kingston upon Hull, City of</c:v>
                </c:pt>
                <c:pt idx="83">
                  <c:v>Rotherham</c:v>
                </c:pt>
                <c:pt idx="84">
                  <c:v>Barnsley</c:v>
                </c:pt>
                <c:pt idx="85">
                  <c:v>Oldham</c:v>
                </c:pt>
                <c:pt idx="86">
                  <c:v>Richmond upon Thames</c:v>
                </c:pt>
                <c:pt idx="87">
                  <c:v>Kingston upon Thames</c:v>
                </c:pt>
                <c:pt idx="88">
                  <c:v>Wolverhampton</c:v>
                </c:pt>
                <c:pt idx="89">
                  <c:v>Isle of Wight</c:v>
                </c:pt>
                <c:pt idx="90">
                  <c:v>Lancashire</c:v>
                </c:pt>
                <c:pt idx="91">
                  <c:v>Telford and Wrekin</c:v>
                </c:pt>
                <c:pt idx="92">
                  <c:v>Cumberland</c:v>
                </c:pt>
                <c:pt idx="93">
                  <c:v>Surrey</c:v>
                </c:pt>
                <c:pt idx="94">
                  <c:v>Harrow</c:v>
                </c:pt>
                <c:pt idx="95">
                  <c:v>Rochdale</c:v>
                </c:pt>
                <c:pt idx="96">
                  <c:v>Hartlepool</c:v>
                </c:pt>
                <c:pt idx="97">
                  <c:v>Bexley</c:v>
                </c:pt>
                <c:pt idx="98">
                  <c:v>Buckinghamshire</c:v>
                </c:pt>
                <c:pt idx="99">
                  <c:v>Southampton</c:v>
                </c:pt>
                <c:pt idx="100">
                  <c:v>Portsmouth</c:v>
                </c:pt>
                <c:pt idx="101">
                  <c:v>Stoke-on-Trent</c:v>
                </c:pt>
                <c:pt idx="102">
                  <c:v>North Tyneside</c:v>
                </c:pt>
                <c:pt idx="103">
                  <c:v>Northumberland</c:v>
                </c:pt>
                <c:pt idx="104">
                  <c:v>Bromley</c:v>
                </c:pt>
                <c:pt idx="105">
                  <c:v>Brighton and Hove</c:v>
                </c:pt>
                <c:pt idx="106">
                  <c:v>St. Helens</c:v>
                </c:pt>
                <c:pt idx="107">
                  <c:v>Sheffield</c:v>
                </c:pt>
                <c:pt idx="108">
                  <c:v>Reading</c:v>
                </c:pt>
                <c:pt idx="109">
                  <c:v>Nottingham</c:v>
                </c:pt>
                <c:pt idx="110">
                  <c:v>Windsor and Maidenhead</c:v>
                </c:pt>
                <c:pt idx="111">
                  <c:v>Bury</c:v>
                </c:pt>
                <c:pt idx="112">
                  <c:v>Hillingdon</c:v>
                </c:pt>
                <c:pt idx="113">
                  <c:v>Blackpool</c:v>
                </c:pt>
                <c:pt idx="114">
                  <c:v>Sutton</c:v>
                </c:pt>
                <c:pt idx="115">
                  <c:v>Birmingham</c:v>
                </c:pt>
                <c:pt idx="116">
                  <c:v>Wirral</c:v>
                </c:pt>
                <c:pt idx="117">
                  <c:v>County Durham</c:v>
                </c:pt>
                <c:pt idx="118">
                  <c:v>South Tyneside</c:v>
                </c:pt>
                <c:pt idx="119">
                  <c:v>Middlesbrough</c:v>
                </c:pt>
                <c:pt idx="120">
                  <c:v>Newcastle upon Tyne</c:v>
                </c:pt>
                <c:pt idx="121">
                  <c:v>Gateshead</c:v>
                </c:pt>
                <c:pt idx="122">
                  <c:v>Barnet</c:v>
                </c:pt>
                <c:pt idx="123">
                  <c:v>Manchester</c:v>
                </c:pt>
                <c:pt idx="124">
                  <c:v>Waltham Forest</c:v>
                </c:pt>
                <c:pt idx="125">
                  <c:v>Halton</c:v>
                </c:pt>
                <c:pt idx="126">
                  <c:v>Bristol, City of</c:v>
                </c:pt>
                <c:pt idx="127">
                  <c:v>Liverpool</c:v>
                </c:pt>
                <c:pt idx="128">
                  <c:v>Barking and Dagenham</c:v>
                </c:pt>
                <c:pt idx="129">
                  <c:v>Enfield</c:v>
                </c:pt>
                <c:pt idx="130">
                  <c:v>Salford</c:v>
                </c:pt>
                <c:pt idx="131">
                  <c:v>Hounslow</c:v>
                </c:pt>
                <c:pt idx="132">
                  <c:v>Croydon</c:v>
                </c:pt>
                <c:pt idx="133">
                  <c:v>Brent</c:v>
                </c:pt>
                <c:pt idx="134">
                  <c:v>Ealing</c:v>
                </c:pt>
                <c:pt idx="135">
                  <c:v>Newham</c:v>
                </c:pt>
                <c:pt idx="136">
                  <c:v>Merton</c:v>
                </c:pt>
                <c:pt idx="137">
                  <c:v>Haringey</c:v>
                </c:pt>
                <c:pt idx="138">
                  <c:v>Knowsley</c:v>
                </c:pt>
                <c:pt idx="139">
                  <c:v>Greenwich</c:v>
                </c:pt>
                <c:pt idx="140">
                  <c:v>Lewisham</c:v>
                </c:pt>
                <c:pt idx="141">
                  <c:v>Hammersmith and Fulham</c:v>
                </c:pt>
                <c:pt idx="142">
                  <c:v>Southwark</c:v>
                </c:pt>
                <c:pt idx="143">
                  <c:v>Kensington and Chelsea</c:v>
                </c:pt>
                <c:pt idx="144">
                  <c:v>Wandsworth</c:v>
                </c:pt>
                <c:pt idx="145">
                  <c:v>Lambeth</c:v>
                </c:pt>
                <c:pt idx="146">
                  <c:v>Westminster</c:v>
                </c:pt>
                <c:pt idx="147">
                  <c:v>Tower Hamlets</c:v>
                </c:pt>
                <c:pt idx="148">
                  <c:v>Islington</c:v>
                </c:pt>
                <c:pt idx="149">
                  <c:v>Hackney</c:v>
                </c:pt>
                <c:pt idx="150">
                  <c:v>Camden</c:v>
                </c:pt>
              </c:strCache>
            </c:strRef>
          </c:cat>
          <c:val>
            <c:numRef>
              <c:f>'[2024-2025 - Analysis of NFF 2025-26 Dec Allocation.xlsx]25-26 Allocation Ranking'!$Z$2:$Z$152</c:f>
              <c:numCache>
                <c:formatCode>[$£-809]#,##0.00</c:formatCode>
                <c:ptCount val="151"/>
                <c:pt idx="0">
                  <c:v>7857.1103448275862</c:v>
                </c:pt>
                <c:pt idx="1">
                  <c:v>8028.5341793103453</c:v>
                </c:pt>
                <c:pt idx="2">
                  <c:v>8183.4911808355555</c:v>
                </c:pt>
                <c:pt idx="3">
                  <c:v>8202.0157364541319</c:v>
                </c:pt>
                <c:pt idx="4">
                  <c:v>8207.3137971973119</c:v>
                </c:pt>
                <c:pt idx="5">
                  <c:v>8233.5560316928913</c:v>
                </c:pt>
                <c:pt idx="6">
                  <c:v>8261.5152447779801</c:v>
                </c:pt>
                <c:pt idx="7">
                  <c:v>8266.4664700990397</c:v>
                </c:pt>
                <c:pt idx="8">
                  <c:v>8283.6085322113395</c:v>
                </c:pt>
                <c:pt idx="9">
                  <c:v>8288.6226247907853</c:v>
                </c:pt>
                <c:pt idx="10">
                  <c:v>8311.2262167243025</c:v>
                </c:pt>
                <c:pt idx="11">
                  <c:v>8312.0728308860835</c:v>
                </c:pt>
                <c:pt idx="12">
                  <c:v>8328.8306570627155</c:v>
                </c:pt>
                <c:pt idx="13">
                  <c:v>8364.8388126936461</c:v>
                </c:pt>
                <c:pt idx="14">
                  <c:v>8367.1818578281727</c:v>
                </c:pt>
                <c:pt idx="15">
                  <c:v>8397.5398890002689</c:v>
                </c:pt>
                <c:pt idx="16">
                  <c:v>8410.718891616023</c:v>
                </c:pt>
                <c:pt idx="17">
                  <c:v>8422.2241020445035</c:v>
                </c:pt>
                <c:pt idx="18">
                  <c:v>8422.7650640931042</c:v>
                </c:pt>
                <c:pt idx="19">
                  <c:v>8433.8996565810248</c:v>
                </c:pt>
                <c:pt idx="20">
                  <c:v>8437.8445081356767</c:v>
                </c:pt>
                <c:pt idx="21">
                  <c:v>8438.4016828812219</c:v>
                </c:pt>
                <c:pt idx="22">
                  <c:v>8438.8267406824689</c:v>
                </c:pt>
                <c:pt idx="23">
                  <c:v>8442.704239401497</c:v>
                </c:pt>
                <c:pt idx="24">
                  <c:v>8448.567824811249</c:v>
                </c:pt>
                <c:pt idx="25">
                  <c:v>8461.5783525382212</c:v>
                </c:pt>
                <c:pt idx="26">
                  <c:v>8464.6169703488758</c:v>
                </c:pt>
                <c:pt idx="27">
                  <c:v>8469.1488845401182</c:v>
                </c:pt>
                <c:pt idx="28">
                  <c:v>8484.4388873473927</c:v>
                </c:pt>
                <c:pt idx="29">
                  <c:v>8490.7031758793964</c:v>
                </c:pt>
                <c:pt idx="30">
                  <c:v>8496.0137305931967</c:v>
                </c:pt>
                <c:pt idx="31">
                  <c:v>8501.7724338954813</c:v>
                </c:pt>
                <c:pt idx="32">
                  <c:v>8510.6683434887345</c:v>
                </c:pt>
                <c:pt idx="33">
                  <c:v>8528.5160049885671</c:v>
                </c:pt>
                <c:pt idx="34">
                  <c:v>8529.1524552113297</c:v>
                </c:pt>
                <c:pt idx="35">
                  <c:v>8533.0752930096278</c:v>
                </c:pt>
                <c:pt idx="36">
                  <c:v>8538.2774734274899</c:v>
                </c:pt>
                <c:pt idx="37">
                  <c:v>8549.3275677649945</c:v>
                </c:pt>
                <c:pt idx="38">
                  <c:v>8569.490258445574</c:v>
                </c:pt>
                <c:pt idx="39">
                  <c:v>8583.3923173803523</c:v>
                </c:pt>
                <c:pt idx="40">
                  <c:v>8584.4710016451827</c:v>
                </c:pt>
                <c:pt idx="41">
                  <c:v>8600.66096610356</c:v>
                </c:pt>
                <c:pt idx="42">
                  <c:v>8601.7686718251662</c:v>
                </c:pt>
                <c:pt idx="43">
                  <c:v>8602.2788994946659</c:v>
                </c:pt>
                <c:pt idx="44">
                  <c:v>8622.6772692299073</c:v>
                </c:pt>
                <c:pt idx="45">
                  <c:v>8624.8272605342572</c:v>
                </c:pt>
                <c:pt idx="46">
                  <c:v>8628.4830349892309</c:v>
                </c:pt>
                <c:pt idx="47">
                  <c:v>8637.7876540468533</c:v>
                </c:pt>
                <c:pt idx="48">
                  <c:v>8656.3770104164541</c:v>
                </c:pt>
                <c:pt idx="49">
                  <c:v>8656.5473741944334</c:v>
                </c:pt>
                <c:pt idx="50">
                  <c:v>8659.6392847330881</c:v>
                </c:pt>
                <c:pt idx="51">
                  <c:v>8661.6439681007778</c:v>
                </c:pt>
                <c:pt idx="52">
                  <c:v>8673.0599874030795</c:v>
                </c:pt>
                <c:pt idx="53">
                  <c:v>8677.0524412296563</c:v>
                </c:pt>
                <c:pt idx="54">
                  <c:v>8683.5394357825426</c:v>
                </c:pt>
                <c:pt idx="55">
                  <c:v>8683.8517231575952</c:v>
                </c:pt>
                <c:pt idx="56">
                  <c:v>8694.0388601601535</c:v>
                </c:pt>
                <c:pt idx="57">
                  <c:v>8705.0550273459685</c:v>
                </c:pt>
                <c:pt idx="58">
                  <c:v>8712.8263078973669</c:v>
                </c:pt>
                <c:pt idx="59">
                  <c:v>8713.7915229285227</c:v>
                </c:pt>
                <c:pt idx="60">
                  <c:v>8716.2658309920043</c:v>
                </c:pt>
                <c:pt idx="61">
                  <c:v>8716.5554893917342</c:v>
                </c:pt>
                <c:pt idx="62">
                  <c:v>8720.6144719518798</c:v>
                </c:pt>
                <c:pt idx="63">
                  <c:v>8725.8330009907568</c:v>
                </c:pt>
                <c:pt idx="64">
                  <c:v>8728.3310790536634</c:v>
                </c:pt>
                <c:pt idx="65">
                  <c:v>8729.336094899083</c:v>
                </c:pt>
                <c:pt idx="66">
                  <c:v>8736.8207028707784</c:v>
                </c:pt>
                <c:pt idx="67">
                  <c:v>8753.780357545822</c:v>
                </c:pt>
                <c:pt idx="68">
                  <c:v>8756.3980456192276</c:v>
                </c:pt>
                <c:pt idx="69">
                  <c:v>8757.9192632386803</c:v>
                </c:pt>
                <c:pt idx="70">
                  <c:v>8761.4129224114622</c:v>
                </c:pt>
                <c:pt idx="71">
                  <c:v>8762.4996491228067</c:v>
                </c:pt>
                <c:pt idx="72">
                  <c:v>8765.7824836048239</c:v>
                </c:pt>
                <c:pt idx="73">
                  <c:v>8766.6755608632611</c:v>
                </c:pt>
                <c:pt idx="74">
                  <c:v>8773.975303885496</c:v>
                </c:pt>
                <c:pt idx="75">
                  <c:v>8787.1011709658942</c:v>
                </c:pt>
                <c:pt idx="76">
                  <c:v>8805.3667359727824</c:v>
                </c:pt>
                <c:pt idx="77">
                  <c:v>8806.5729616542339</c:v>
                </c:pt>
                <c:pt idx="78">
                  <c:v>8813.9572219690854</c:v>
                </c:pt>
                <c:pt idx="79">
                  <c:v>8820.789191834072</c:v>
                </c:pt>
                <c:pt idx="80">
                  <c:v>8830.8745324918182</c:v>
                </c:pt>
                <c:pt idx="81">
                  <c:v>8855.5338203845022</c:v>
                </c:pt>
                <c:pt idx="82">
                  <c:v>8856.4049317617864</c:v>
                </c:pt>
                <c:pt idx="83">
                  <c:v>8857.11984421132</c:v>
                </c:pt>
                <c:pt idx="84">
                  <c:v>8866.3474264146353</c:v>
                </c:pt>
                <c:pt idx="85">
                  <c:v>8873.1159069452169</c:v>
                </c:pt>
                <c:pt idx="86">
                  <c:v>8878.3301704105343</c:v>
                </c:pt>
                <c:pt idx="87">
                  <c:v>8887.3849795663155</c:v>
                </c:pt>
                <c:pt idx="88">
                  <c:v>8889.1275764733</c:v>
                </c:pt>
                <c:pt idx="89">
                  <c:v>8889.7461635305735</c:v>
                </c:pt>
                <c:pt idx="90">
                  <c:v>8891.5607026628113</c:v>
                </c:pt>
                <c:pt idx="91">
                  <c:v>8894.2968349633702</c:v>
                </c:pt>
                <c:pt idx="92">
                  <c:v>8898.4070924867228</c:v>
                </c:pt>
                <c:pt idx="93">
                  <c:v>8912.7996434913457</c:v>
                </c:pt>
                <c:pt idx="94">
                  <c:v>8916.5003251116214</c:v>
                </c:pt>
                <c:pt idx="95">
                  <c:v>8916.9224156036908</c:v>
                </c:pt>
                <c:pt idx="96">
                  <c:v>8935.7555110220437</c:v>
                </c:pt>
                <c:pt idx="97">
                  <c:v>8936.8294115259196</c:v>
                </c:pt>
                <c:pt idx="98">
                  <c:v>8940.1817180759408</c:v>
                </c:pt>
                <c:pt idx="99">
                  <c:v>8969.9756339205542</c:v>
                </c:pt>
                <c:pt idx="100">
                  <c:v>8971.3872128738058</c:v>
                </c:pt>
                <c:pt idx="101">
                  <c:v>8991.4336060077785</c:v>
                </c:pt>
                <c:pt idx="102">
                  <c:v>8992.724285367538</c:v>
                </c:pt>
                <c:pt idx="103">
                  <c:v>8996.9890631176695</c:v>
                </c:pt>
                <c:pt idx="104">
                  <c:v>9019.2282683354952</c:v>
                </c:pt>
                <c:pt idx="105">
                  <c:v>9037.6883867577508</c:v>
                </c:pt>
                <c:pt idx="106">
                  <c:v>9045.2474214094927</c:v>
                </c:pt>
                <c:pt idx="107">
                  <c:v>9080.148494295614</c:v>
                </c:pt>
                <c:pt idx="108">
                  <c:v>9083.1742274819189</c:v>
                </c:pt>
                <c:pt idx="109">
                  <c:v>9096.1161258180673</c:v>
                </c:pt>
                <c:pt idx="110">
                  <c:v>9097.5324701395166</c:v>
                </c:pt>
                <c:pt idx="111">
                  <c:v>9100.9924372700207</c:v>
                </c:pt>
                <c:pt idx="112">
                  <c:v>9131.1277727885044</c:v>
                </c:pt>
                <c:pt idx="113">
                  <c:v>9199.8392107701529</c:v>
                </c:pt>
                <c:pt idx="114">
                  <c:v>9209.1669249149236</c:v>
                </c:pt>
                <c:pt idx="115">
                  <c:v>9216.0049481407368</c:v>
                </c:pt>
                <c:pt idx="116">
                  <c:v>9234.2997684649217</c:v>
                </c:pt>
                <c:pt idx="117">
                  <c:v>9265.0135780222554</c:v>
                </c:pt>
                <c:pt idx="118">
                  <c:v>9267.0563962170236</c:v>
                </c:pt>
                <c:pt idx="119">
                  <c:v>9283.2604575090172</c:v>
                </c:pt>
                <c:pt idx="120">
                  <c:v>9293.2899099440201</c:v>
                </c:pt>
                <c:pt idx="121">
                  <c:v>9310.5332827452476</c:v>
                </c:pt>
                <c:pt idx="122">
                  <c:v>9364.8558971088023</c:v>
                </c:pt>
                <c:pt idx="123">
                  <c:v>9389.154239950125</c:v>
                </c:pt>
                <c:pt idx="124">
                  <c:v>9389.1545130035702</c:v>
                </c:pt>
                <c:pt idx="125">
                  <c:v>9398.3948196008914</c:v>
                </c:pt>
                <c:pt idx="126">
                  <c:v>9444.1593365885001</c:v>
                </c:pt>
                <c:pt idx="127">
                  <c:v>9456.8115818256738</c:v>
                </c:pt>
                <c:pt idx="128">
                  <c:v>9539.5047612017424</c:v>
                </c:pt>
                <c:pt idx="129">
                  <c:v>9615.98798988622</c:v>
                </c:pt>
                <c:pt idx="130">
                  <c:v>9638.1195314163997</c:v>
                </c:pt>
                <c:pt idx="131">
                  <c:v>9715.2952988547822</c:v>
                </c:pt>
                <c:pt idx="132">
                  <c:v>10050.430201161736</c:v>
                </c:pt>
                <c:pt idx="133">
                  <c:v>10051.251357233396</c:v>
                </c:pt>
                <c:pt idx="134">
                  <c:v>10063.768616268693</c:v>
                </c:pt>
                <c:pt idx="135">
                  <c:v>10068.960665782615</c:v>
                </c:pt>
                <c:pt idx="136">
                  <c:v>10509.442583530206</c:v>
                </c:pt>
                <c:pt idx="137">
                  <c:v>10591.405682877134</c:v>
                </c:pt>
                <c:pt idx="138">
                  <c:v>10601.310612731133</c:v>
                </c:pt>
                <c:pt idx="139">
                  <c:v>11034.739078797893</c:v>
                </c:pt>
                <c:pt idx="140">
                  <c:v>11630.780990075438</c:v>
                </c:pt>
                <c:pt idx="141">
                  <c:v>11637.098275144805</c:v>
                </c:pt>
                <c:pt idx="142">
                  <c:v>11688.956601355063</c:v>
                </c:pt>
                <c:pt idx="143">
                  <c:v>11729.358788913347</c:v>
                </c:pt>
                <c:pt idx="144">
                  <c:v>11761.355611335723</c:v>
                </c:pt>
                <c:pt idx="145">
                  <c:v>11929.539025632321</c:v>
                </c:pt>
                <c:pt idx="146">
                  <c:v>12162.791271173508</c:v>
                </c:pt>
                <c:pt idx="147">
                  <c:v>12255.658146703401</c:v>
                </c:pt>
                <c:pt idx="148">
                  <c:v>12350.901109989909</c:v>
                </c:pt>
                <c:pt idx="149">
                  <c:v>13158.673773757606</c:v>
                </c:pt>
                <c:pt idx="150">
                  <c:v>13255.61158608939</c:v>
                </c:pt>
              </c:numCache>
            </c:numRef>
          </c:val>
          <c:extLst>
            <c:ext xmlns:c16="http://schemas.microsoft.com/office/drawing/2014/chart" uri="{C3380CC4-5D6E-409C-BE32-E72D297353CC}">
              <c16:uniqueId val="{00000004-492A-43DA-B18F-065DFFC371DC}"/>
            </c:ext>
          </c:extLst>
        </c:ser>
        <c:dLbls>
          <c:showLegendKey val="0"/>
          <c:showVal val="0"/>
          <c:showCatName val="0"/>
          <c:showSerName val="0"/>
          <c:showPercent val="0"/>
          <c:showBubbleSize val="0"/>
        </c:dLbls>
        <c:gapWidth val="219"/>
        <c:overlap val="-27"/>
        <c:axId val="2035470959"/>
        <c:axId val="2035471439"/>
      </c:barChart>
      <c:catAx>
        <c:axId val="2035470959"/>
        <c:scaling>
          <c:orientation val="minMax"/>
        </c:scaling>
        <c:delete val="1"/>
        <c:axPos val="b"/>
        <c:numFmt formatCode="General" sourceLinked="1"/>
        <c:majorTickMark val="none"/>
        <c:minorTickMark val="none"/>
        <c:tickLblPos val="nextTo"/>
        <c:crossAx val="2035471439"/>
        <c:crosses val="autoZero"/>
        <c:auto val="1"/>
        <c:lblAlgn val="ctr"/>
        <c:lblOffset val="100"/>
        <c:noMultiLvlLbl val="0"/>
      </c:catAx>
      <c:valAx>
        <c:axId val="2035471439"/>
        <c:scaling>
          <c:orientation val="minMax"/>
          <c:max val="14000"/>
          <c:min val="6000"/>
        </c:scaling>
        <c:delete val="0"/>
        <c:axPos val="l"/>
        <c:majorGridlines>
          <c:spPr>
            <a:ln w="9525" cap="flat" cmpd="sng" algn="ctr">
              <a:solidFill>
                <a:schemeClr val="tx1">
                  <a:lumMod val="15000"/>
                  <a:lumOff val="85000"/>
                </a:schemeClr>
              </a:solidFill>
              <a:round/>
            </a:ln>
            <a:effectLst/>
          </c:spPr>
        </c:majorGridlines>
        <c:numFmt formatCode="[$£-809]#,##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35470959"/>
        <c:crosses val="autoZero"/>
        <c:crossBetween val="between"/>
        <c:majorUnit val="1000"/>
        <c:minorUnit val="20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HCC Default Document" ma:contentTypeID="0x0101004E1B537BC2B2AD43A5AF5311D732D3AA001614B3EA1478AC478C025D1CAD6210AB" ma:contentTypeVersion="9" ma:contentTypeDescription="Default base CT that all others should inherit from." ma:contentTypeScope="" ma:versionID="80e430d818ee560defebbc70018a1d90">
  <xsd:schema xmlns:xsd="http://www.w3.org/2001/XMLSchema" xmlns:xs="http://www.w3.org/2001/XMLSchema" xmlns:p="http://schemas.microsoft.com/office/2006/metadata/properties" xmlns:ns2="c5dbf80e-f509-45f6-9fe5-406e3eefabbb" targetNamespace="http://schemas.microsoft.com/office/2006/metadata/properties" ma:root="true" ma:fieldsID="3d049ce3be5d299461dfd998afbf7303" ns2:_="">
    <xsd:import namespace="c5dbf80e-f509-45f6-9fe5-406e3eefabbb"/>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6f6c132e-f9ff-483b-8779-2c3a72fbb8c3}" ma:internalName="TaxCatchAll" ma:showField="CatchAllData" ma:web="9f5620cb-cc21-4b3f-8fc3-aa3eb05bfe0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f6c132e-f9ff-483b-8779-2c3a72fbb8c3}" ma:internalName="TaxCatchAllLabel" ma:readOnly="true" ma:showField="CatchAllDataLabel" ma:web="9f5620cb-cc21-4b3f-8fc3-aa3eb05bfe07">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Item_x0020_ID xmlns="c5dbf80e-f509-45f6-9fe5-406e3eefabbb" xsi:nil="true"/>
    <Active_x0020_Document xmlns="c5dbf80e-f509-45f6-9fe5-406e3eefabbb">true</Active_x0020_Document>
    <TaxCatchAll xmlns="c5dbf80e-f509-45f6-9fe5-406e3eefabbb" xsi:nil="true"/>
    <hc632fe273cb498aa970207d30c3b1d8 xmlns="c5dbf80e-f509-45f6-9fe5-406e3eefabbb">
      <Terms xmlns="http://schemas.microsoft.com/office/infopath/2007/PartnerControls"/>
    </hc632fe273cb498aa970207d30c3b1d8>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3c5dbf34-c73a-430c-9290-9174ad787734" ContentTypeId="0x0101004E1B537BC2B2AD43A5AF5311D732D3AA"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LongProperties xmlns="http://schemas.microsoft.com/office/2006/metadata/longProperties"/>
</file>

<file path=customXml/itemProps1.xml><?xml version="1.0" encoding="utf-8"?>
<ds:datastoreItem xmlns:ds="http://schemas.openxmlformats.org/officeDocument/2006/customXml" ds:itemID="{9416C4ED-5CDD-43D1-B39D-BCB3FAD40F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bf80e-f509-45f6-9fe5-406e3eefa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081CBA-20B3-4C63-AF21-8C8090C14EA7}">
  <ds:schemaRefs>
    <ds:schemaRef ds:uri="http://schemas.microsoft.com/sharepoint/events"/>
  </ds:schemaRefs>
</ds:datastoreItem>
</file>

<file path=customXml/itemProps3.xml><?xml version="1.0" encoding="utf-8"?>
<ds:datastoreItem xmlns:ds="http://schemas.openxmlformats.org/officeDocument/2006/customXml" ds:itemID="{2C981EB8-7BFA-41F6-A198-07AFCCAC7B25}">
  <ds:schemaRefs>
    <ds:schemaRef ds:uri="http://schemas.microsoft.com/office/2006/metadata/properties"/>
    <ds:schemaRef ds:uri="http://schemas.microsoft.com/office/infopath/2007/PartnerControls"/>
    <ds:schemaRef ds:uri="c5dbf80e-f509-45f6-9fe5-406e3eefabbb"/>
  </ds:schemaRefs>
</ds:datastoreItem>
</file>

<file path=customXml/itemProps4.xml><?xml version="1.0" encoding="utf-8"?>
<ds:datastoreItem xmlns:ds="http://schemas.openxmlformats.org/officeDocument/2006/customXml" ds:itemID="{80CB3325-B619-4490-AB27-D58CFACD3472}">
  <ds:schemaRefs>
    <ds:schemaRef ds:uri="http://schemas.openxmlformats.org/officeDocument/2006/bibliography"/>
  </ds:schemaRefs>
</ds:datastoreItem>
</file>

<file path=customXml/itemProps5.xml><?xml version="1.0" encoding="utf-8"?>
<ds:datastoreItem xmlns:ds="http://schemas.openxmlformats.org/officeDocument/2006/customXml" ds:itemID="{4DF7A5FF-5D63-466C-8048-469219B5E80D}">
  <ds:schemaRefs>
    <ds:schemaRef ds:uri="Microsoft.SharePoint.Taxonomy.ContentTypeSync"/>
  </ds:schemaRefs>
</ds:datastoreItem>
</file>

<file path=customXml/itemProps6.xml><?xml version="1.0" encoding="utf-8"?>
<ds:datastoreItem xmlns:ds="http://schemas.openxmlformats.org/officeDocument/2006/customXml" ds:itemID="{38C72F11-A6FD-4285-AA2B-C220AB9E811C}">
  <ds:schemaRefs>
    <ds:schemaRef ds:uri="http://schemas.microsoft.com/sharepoint/v3/contenttype/forms"/>
  </ds:schemaRefs>
</ds:datastoreItem>
</file>

<file path=customXml/itemProps7.xml><?xml version="1.0" encoding="utf-8"?>
<ds:datastoreItem xmlns:ds="http://schemas.openxmlformats.org/officeDocument/2006/customXml" ds:itemID="{EE41DB11-DE60-4561-9B35-C88480EF2BC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D77FC714</Template>
  <TotalTime>1091</TotalTime>
  <Pages>1</Pages>
  <Words>5878</Words>
  <Characters>33507</Characters>
  <Application>Microsoft Office Word</Application>
  <DocSecurity>0</DocSecurity>
  <Lines>279</Lines>
  <Paragraphs>78</Paragraphs>
  <ScaleCrop>false</ScaleCrop>
  <Company>Pinnacle Business Solutions</Company>
  <LinksUpToDate>false</LinksUpToDate>
  <CharactersWithSpaces>39307</CharactersWithSpaces>
  <SharedDoc>false</SharedDoc>
  <HLinks>
    <vt:vector size="36" baseType="variant">
      <vt:variant>
        <vt:i4>7798887</vt:i4>
      </vt:variant>
      <vt:variant>
        <vt:i4>15</vt:i4>
      </vt:variant>
      <vt:variant>
        <vt:i4>0</vt:i4>
      </vt:variant>
      <vt:variant>
        <vt:i4>5</vt:i4>
      </vt:variant>
      <vt:variant>
        <vt:lpwstr>https://democracy.hants.gov.uk/ieListDocuments.aspx?CId=812&amp;MId=11458&amp;Ver=4</vt:lpwstr>
      </vt:variant>
      <vt:variant>
        <vt:lpwstr/>
      </vt:variant>
      <vt:variant>
        <vt:i4>3539049</vt:i4>
      </vt:variant>
      <vt:variant>
        <vt:i4>12</vt:i4>
      </vt:variant>
      <vt:variant>
        <vt:i4>0</vt:i4>
      </vt:variant>
      <vt:variant>
        <vt:i4>5</vt:i4>
      </vt:variant>
      <vt:variant>
        <vt:lpwstr>https://committees.parliament.uk/work/8684/solving-the-send-crisis/</vt:lpwstr>
      </vt:variant>
      <vt:variant>
        <vt:lpwstr/>
      </vt:variant>
      <vt:variant>
        <vt:i4>2949157</vt:i4>
      </vt:variant>
      <vt:variant>
        <vt:i4>9</vt:i4>
      </vt:variant>
      <vt:variant>
        <vt:i4>0</vt:i4>
      </vt:variant>
      <vt:variant>
        <vt:i4>5</vt:i4>
      </vt:variant>
      <vt:variant>
        <vt:lpwstr>https://www.gov.uk/government/publications/changes-to-the-class-1-national-insurance-contributions-secondary-threshold-the-secondary-class-1-national-insurance-contributions-rate-and-the-empl/changes-to-the-class-1-national-insurance-contributions-secondary-threshold-the-secondary-class-1-national-insurance-contributions-rate-and-the-empl</vt:lpwstr>
      </vt:variant>
      <vt:variant>
        <vt:lpwstr/>
      </vt:variant>
      <vt:variant>
        <vt:i4>4194411</vt:i4>
      </vt:variant>
      <vt:variant>
        <vt:i4>6</vt:i4>
      </vt:variant>
      <vt:variant>
        <vt:i4>0</vt:i4>
      </vt:variant>
      <vt:variant>
        <vt:i4>5</vt:i4>
      </vt:variant>
      <vt:variant>
        <vt:lpwstr>mailto:gemma.anderson@hants.gov.uk</vt:lpwstr>
      </vt:variant>
      <vt:variant>
        <vt:lpwstr/>
      </vt:variant>
      <vt:variant>
        <vt:i4>5963878</vt:i4>
      </vt:variant>
      <vt:variant>
        <vt:i4>3</vt:i4>
      </vt:variant>
      <vt:variant>
        <vt:i4>0</vt:i4>
      </vt:variant>
      <vt:variant>
        <vt:i4>5</vt:i4>
      </vt:variant>
      <vt:variant>
        <vt:lpwstr>mailto:annabel.hodder@hants.gov.uk</vt:lpwstr>
      </vt:variant>
      <vt:variant>
        <vt:lpwstr/>
      </vt:variant>
      <vt:variant>
        <vt:i4>5832820</vt:i4>
      </vt:variant>
      <vt:variant>
        <vt:i4>0</vt:i4>
      </vt:variant>
      <vt:variant>
        <vt:i4>0</vt:i4>
      </vt:variant>
      <vt:variant>
        <vt:i4>5</vt:i4>
      </vt:variant>
      <vt:variant>
        <vt:lpwstr>mailto:andrew.minall@hants.gov.uk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ctmtsp</dc:creator>
  <cp:keywords/>
  <cp:lastModifiedBy>Minall, Andrew</cp:lastModifiedBy>
  <cp:revision>591</cp:revision>
  <cp:lastPrinted>2017-12-06T10:01:00Z</cp:lastPrinted>
  <dcterms:created xsi:type="dcterms:W3CDTF">2024-12-07T07:04:00Z</dcterms:created>
  <dcterms:modified xsi:type="dcterms:W3CDTF">2025-01-14T11:41:00Z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
  </property>
  <property fmtid="{D5CDD505-2E9C-101B-9397-08002B2CF9AE}" pid="3" name="Commitee/Panel">
    <vt:lpwstr>None</vt:lpwstr>
  </property>
  <property fmtid="{D5CDD505-2E9C-101B-9397-08002B2CF9AE}" pid="4" name="_NewReviewCycle">
    <vt:lpwstr/>
  </property>
  <property fmtid="{D5CDD505-2E9C-101B-9397-08002B2CF9AE}" pid="5" name="ContentTypeId">
    <vt:lpwstr>0x0101004E1B537BC2B2AD43A5AF5311D732D3AA001614B3EA1478AC478C025D1CAD6210AB</vt:lpwstr>
  </property>
  <property fmtid="{D5CDD505-2E9C-101B-9397-08002B2CF9AE}" pid="6" name="aff368d56a7a41abac3dff9221a796c7">
    <vt:lpwstr>Budget Monitoring|c9054dd3-c8ef-4f50-a598-e503758367b1</vt:lpwstr>
  </property>
  <property fmtid="{D5CDD505-2E9C-101B-9397-08002B2CF9AE}" pid="7" name="h3c57ee0d733459794e5e77fcc72213d">
    <vt:lpwstr/>
  </property>
  <property fmtid="{D5CDD505-2E9C-101B-9397-08002B2CF9AE}" pid="8" name="cf18ccb67a8c47b4a12d68c41e3eb221">
    <vt:lpwstr/>
  </property>
  <property fmtid="{D5CDD505-2E9C-101B-9397-08002B2CF9AE}" pid="9" name="p90e31759909486091d47177bed7da9a">
    <vt:lpwstr/>
  </property>
  <property fmtid="{D5CDD505-2E9C-101B-9397-08002B2CF9AE}" pid="10" name="eeadced8a35a499eaa6ae428604d987c">
    <vt:lpwstr>2018/2019|ff3574ca-d52a-48e1-8167-04b4586b57aa</vt:lpwstr>
  </property>
  <property fmtid="{D5CDD505-2E9C-101B-9397-08002B2CF9AE}" pid="11" name="bb3aa47ebf1a448dac0ecc5996e92adc">
    <vt:lpwstr>2018|844dbc8a-5751-4f92-977c-e597d9787dec</vt:lpwstr>
  </property>
  <property fmtid="{D5CDD505-2E9C-101B-9397-08002B2CF9AE}" pid="12" name="Schools">
    <vt:lpwstr/>
  </property>
  <property fmtid="{D5CDD505-2E9C-101B-9397-08002B2CF9AE}" pid="13" name="Budget Monitoring (Finance)">
    <vt:lpwstr>56;#Budget Monitoring|c9054dd3-c8ef-4f50-a598-e503758367b1</vt:lpwstr>
  </property>
  <property fmtid="{D5CDD505-2E9C-101B-9397-08002B2CF9AE}" pid="14" name="Customer (Finance)">
    <vt:lpwstr/>
  </property>
  <property fmtid="{D5CDD505-2E9C-101B-9397-08002B2CF9AE}" pid="15" name="Library Location">
    <vt:lpwstr/>
  </property>
  <property fmtid="{D5CDD505-2E9C-101B-9397-08002B2CF9AE}" pid="16" name="Financial Year">
    <vt:lpwstr>52;#2018/2019|ff3574ca-d52a-48e1-8167-04b4586b57aa</vt:lpwstr>
  </property>
  <property fmtid="{D5CDD505-2E9C-101B-9397-08002B2CF9AE}" pid="17" name="_dlc_ExpireDate">
    <vt:filetime>2023-01-07T11:08:08Z</vt:filetime>
  </property>
  <property fmtid="{D5CDD505-2E9C-101B-9397-08002B2CF9AE}" pid="18"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9" name="_dlc_policyId">
    <vt:lpwstr>0x0101004E1B537BC2B2AD43A5AF5311D732D3AA|1208973698</vt:lpwstr>
  </property>
  <property fmtid="{D5CDD505-2E9C-101B-9397-08002B2CF9AE}" pid="20" name="Calendar Year">
    <vt:lpwstr>53;#2018|844dbc8a-5751-4f92-977c-e597d9787dec</vt:lpwstr>
  </property>
  <property fmtid="{D5CDD505-2E9C-101B-9397-08002B2CF9AE}" pid="21" name="display_urn:schemas-microsoft-com:office:office#Editor">
    <vt:lpwstr>Colville, Laura</vt:lpwstr>
  </property>
  <property fmtid="{D5CDD505-2E9C-101B-9397-08002B2CF9AE}" pid="22" name="ComplianceAssetId">
    <vt:lpwstr/>
  </property>
  <property fmtid="{D5CDD505-2E9C-101B-9397-08002B2CF9AE}" pid="23" name="display_urn:schemas-microsoft-com:office:office#Author">
    <vt:lpwstr>Colville, Laura</vt:lpwstr>
  </property>
  <property fmtid="{D5CDD505-2E9C-101B-9397-08002B2CF9AE}" pid="24" name="display_urn:schemas-microsoft-com:office:office#SharedWithUsers">
    <vt:lpwstr>Minall, Andrew</vt:lpwstr>
  </property>
  <property fmtid="{D5CDD505-2E9C-101B-9397-08002B2CF9AE}" pid="25" name="SharedWithUsers">
    <vt:lpwstr>41;#Minall, Andrew;#23;#Jones, Sam (Finance);#16;#Smith, Adam (Corporate Resources, Finance);#13;#Hudson, Kevin;#24;#Patyk, Justyna;#20;#Meadus, Erica;#27;#Boutflower, Gillian;#1328;#Hodder, Annabel;#926;#Morrison, Rob;#12;#Anderson, Gemma;#22;#Cantwell, Barry</vt:lpwstr>
  </property>
</Properties>
</file>