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BF8" w:rsidRPr="004F3148" w:rsidRDefault="009D1BF8">
      <w:pPr>
        <w:rPr>
          <w:b/>
        </w:rPr>
      </w:pPr>
      <w:r w:rsidRPr="004F3148">
        <w:rPr>
          <w:b/>
        </w:rPr>
        <w:t xml:space="preserve">STANDARDS AND GOVERNANCE COMMITTEE – 5 July 2013                                                                  APPENDIX </w:t>
      </w:r>
      <w:r>
        <w:rPr>
          <w:b/>
        </w:rPr>
        <w:t>2</w:t>
      </w:r>
    </w:p>
    <w:p w:rsidR="009D1BF8" w:rsidRPr="004F3148" w:rsidRDefault="009D1BF8">
      <w:pPr>
        <w:rPr>
          <w:b/>
        </w:rPr>
      </w:pPr>
    </w:p>
    <w:p w:rsidR="009D1BF8" w:rsidRDefault="009D1BF8" w:rsidP="004F3148">
      <w:pPr>
        <w:rPr>
          <w:b/>
        </w:rPr>
      </w:pPr>
      <w:r w:rsidRPr="004F3148">
        <w:rPr>
          <w:b/>
        </w:rPr>
        <w:t xml:space="preserve">INTERNAL AUDIT MANAGEMENT ACTIONS – GLOSSARY OF TERMS </w:t>
      </w:r>
    </w:p>
    <w:p w:rsidR="009D1BF8" w:rsidRDefault="009D1BF8" w:rsidP="004F3148">
      <w:pPr>
        <w:rPr>
          <w:b/>
        </w:rPr>
      </w:pPr>
    </w:p>
    <w:p w:rsidR="009D1BF8" w:rsidRDefault="009D1BF8" w:rsidP="004F3148">
      <w:pPr>
        <w:rPr>
          <w:b/>
        </w:rPr>
      </w:pPr>
    </w:p>
    <w:tbl>
      <w:tblPr>
        <w:tblW w:w="14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709"/>
        <w:gridCol w:w="1843"/>
        <w:gridCol w:w="2409"/>
        <w:gridCol w:w="1100"/>
        <w:gridCol w:w="1594"/>
        <w:gridCol w:w="5851"/>
      </w:tblGrid>
      <w:tr w:rsidR="009D1BF8" w:rsidRPr="00BD56DB" w:rsidTr="00AF6853">
        <w:trPr>
          <w:trHeight w:val="680"/>
        </w:trPr>
        <w:tc>
          <w:tcPr>
            <w:tcW w:w="1384" w:type="dxa"/>
            <w:shd w:val="clear" w:color="auto" w:fill="CCCCCC"/>
            <w:vAlign w:val="center"/>
          </w:tcPr>
          <w:p w:rsidR="009D1BF8" w:rsidRPr="00BD56DB" w:rsidRDefault="009D1BF8" w:rsidP="001D689F">
            <w:pPr>
              <w:jc w:val="center"/>
              <w:rPr>
                <w:rFonts w:ascii="Helvetica" w:hAnsi="Helvetica"/>
                <w:b/>
              </w:rPr>
            </w:pPr>
            <w:r w:rsidRPr="00BD56DB">
              <w:rPr>
                <w:rFonts w:ascii="Helvetica" w:hAnsi="Helvetica"/>
                <w:b/>
              </w:rPr>
              <w:t>Page  Number</w:t>
            </w:r>
          </w:p>
        </w:tc>
        <w:tc>
          <w:tcPr>
            <w:tcW w:w="2552" w:type="dxa"/>
            <w:gridSpan w:val="2"/>
            <w:shd w:val="clear" w:color="auto" w:fill="CCCCCC"/>
            <w:vAlign w:val="center"/>
          </w:tcPr>
          <w:p w:rsidR="009D1BF8" w:rsidRPr="00BD56DB" w:rsidRDefault="009D1BF8" w:rsidP="001D689F">
            <w:pPr>
              <w:jc w:val="center"/>
              <w:rPr>
                <w:rFonts w:ascii="Helvetica" w:hAnsi="Helvetica"/>
                <w:b/>
              </w:rPr>
            </w:pPr>
            <w:r w:rsidRPr="00BD56DB">
              <w:rPr>
                <w:rFonts w:ascii="Helvetica" w:hAnsi="Helvetica"/>
                <w:b/>
              </w:rPr>
              <w:t xml:space="preserve">Audit Title </w:t>
            </w:r>
          </w:p>
        </w:tc>
        <w:tc>
          <w:tcPr>
            <w:tcW w:w="2409" w:type="dxa"/>
            <w:shd w:val="clear" w:color="auto" w:fill="CCCCCC"/>
            <w:vAlign w:val="center"/>
          </w:tcPr>
          <w:p w:rsidR="009D1BF8" w:rsidRPr="00BD56DB" w:rsidRDefault="009D1BF8" w:rsidP="001D689F">
            <w:pPr>
              <w:jc w:val="center"/>
              <w:rPr>
                <w:rFonts w:ascii="Helvetica" w:hAnsi="Helvetica"/>
                <w:b/>
              </w:rPr>
            </w:pPr>
            <w:r w:rsidRPr="00BD56DB">
              <w:rPr>
                <w:rFonts w:ascii="Helvetica" w:hAnsi="Helvetica"/>
                <w:b/>
              </w:rPr>
              <w:t>Term</w:t>
            </w:r>
          </w:p>
        </w:tc>
        <w:tc>
          <w:tcPr>
            <w:tcW w:w="8545" w:type="dxa"/>
            <w:gridSpan w:val="3"/>
            <w:shd w:val="clear" w:color="auto" w:fill="CCCCCC"/>
            <w:vAlign w:val="center"/>
          </w:tcPr>
          <w:p w:rsidR="009D1BF8" w:rsidRPr="00BD56DB" w:rsidRDefault="009D1BF8" w:rsidP="001D689F">
            <w:pPr>
              <w:jc w:val="center"/>
              <w:rPr>
                <w:rFonts w:ascii="Helvetica" w:hAnsi="Helvetica"/>
                <w:b/>
              </w:rPr>
            </w:pPr>
            <w:r w:rsidRPr="00BD56DB">
              <w:rPr>
                <w:rFonts w:ascii="Helvetica" w:hAnsi="Helvetica"/>
                <w:b/>
              </w:rPr>
              <w:t>Definition</w:t>
            </w:r>
          </w:p>
        </w:tc>
      </w:tr>
      <w:tr w:rsidR="009D1BF8" w:rsidRPr="00BD56DB" w:rsidTr="0014145B">
        <w:trPr>
          <w:tblHeader/>
        </w:trPr>
        <w:tc>
          <w:tcPr>
            <w:tcW w:w="14890" w:type="dxa"/>
            <w:gridSpan w:val="7"/>
          </w:tcPr>
          <w:p w:rsidR="009D1BF8" w:rsidRPr="004F3148" w:rsidRDefault="009D1BF8" w:rsidP="00A97671">
            <w:pPr>
              <w:pStyle w:val="Heading4"/>
              <w:keepNext w:val="0"/>
              <w:spacing w:before="0" w:after="0"/>
              <w:rPr>
                <w:rFonts w:ascii="Arial" w:hAnsi="Arial" w:cs="Arial"/>
                <w:b w:val="0"/>
                <w:sz w:val="24"/>
                <w:lang/>
              </w:rPr>
            </w:pPr>
          </w:p>
        </w:tc>
      </w:tr>
      <w:tr w:rsidR="009D1BF8" w:rsidRPr="00BD56DB" w:rsidTr="0014145B">
        <w:trPr>
          <w:tblHeader/>
        </w:trPr>
        <w:tc>
          <w:tcPr>
            <w:tcW w:w="2093" w:type="dxa"/>
            <w:gridSpan w:val="2"/>
            <w:tcBorders>
              <w:right w:val="nil"/>
            </w:tcBorders>
          </w:tcPr>
          <w:p w:rsidR="009D1BF8" w:rsidRPr="004F3148" w:rsidRDefault="009D1BF8" w:rsidP="001D689F">
            <w:pPr>
              <w:pStyle w:val="Heading4"/>
              <w:keepNext w:val="0"/>
              <w:spacing w:before="80" w:after="80"/>
              <w:rPr>
                <w:rFonts w:ascii="Arial" w:hAnsi="Arial" w:cs="Arial"/>
                <w:b w:val="0"/>
                <w:sz w:val="24"/>
                <w:lang/>
              </w:rPr>
            </w:pPr>
            <w:r>
              <w:rPr>
                <w:rFonts w:ascii="Arial" w:hAnsi="Arial" w:cs="Arial"/>
                <w:b w:val="0"/>
                <w:sz w:val="24"/>
                <w:lang/>
              </w:rPr>
              <w:t>SMT</w:t>
            </w:r>
          </w:p>
        </w:tc>
        <w:tc>
          <w:tcPr>
            <w:tcW w:w="5352" w:type="dxa"/>
            <w:gridSpan w:val="3"/>
            <w:tcBorders>
              <w:left w:val="nil"/>
              <w:right w:val="nil"/>
            </w:tcBorders>
          </w:tcPr>
          <w:p w:rsidR="009D1BF8" w:rsidRPr="004F3148" w:rsidRDefault="009D1BF8" w:rsidP="001D689F">
            <w:pPr>
              <w:pStyle w:val="Heading4"/>
              <w:keepNext w:val="0"/>
              <w:spacing w:before="80" w:after="80"/>
              <w:rPr>
                <w:rFonts w:ascii="Arial" w:hAnsi="Arial" w:cs="Arial"/>
                <w:b w:val="0"/>
                <w:sz w:val="24"/>
                <w:lang/>
              </w:rPr>
            </w:pPr>
            <w:r>
              <w:rPr>
                <w:rFonts w:ascii="Arial" w:hAnsi="Arial" w:cs="Arial"/>
                <w:b w:val="0"/>
                <w:sz w:val="24"/>
                <w:lang/>
              </w:rPr>
              <w:t xml:space="preserve">Service Management Team </w:t>
            </w:r>
          </w:p>
        </w:tc>
        <w:tc>
          <w:tcPr>
            <w:tcW w:w="1594" w:type="dxa"/>
            <w:tcBorders>
              <w:left w:val="nil"/>
              <w:right w:val="nil"/>
            </w:tcBorders>
          </w:tcPr>
          <w:p w:rsidR="009D1BF8" w:rsidRPr="004F3148" w:rsidRDefault="009D1BF8" w:rsidP="001D689F">
            <w:pPr>
              <w:pStyle w:val="Heading4"/>
              <w:keepNext w:val="0"/>
              <w:spacing w:before="80" w:after="80"/>
              <w:rPr>
                <w:rFonts w:ascii="Arial" w:hAnsi="Arial" w:cs="Arial"/>
                <w:b w:val="0"/>
                <w:sz w:val="24"/>
                <w:lang/>
              </w:rPr>
            </w:pPr>
            <w:r>
              <w:rPr>
                <w:rFonts w:ascii="Arial" w:hAnsi="Arial" w:cs="Arial"/>
                <w:b w:val="0"/>
                <w:sz w:val="24"/>
                <w:lang/>
              </w:rPr>
              <w:t>HCC</w:t>
            </w:r>
          </w:p>
        </w:tc>
        <w:tc>
          <w:tcPr>
            <w:tcW w:w="5851" w:type="dxa"/>
            <w:tcBorders>
              <w:left w:val="nil"/>
            </w:tcBorders>
          </w:tcPr>
          <w:p w:rsidR="009D1BF8" w:rsidRPr="004F3148" w:rsidRDefault="009D1BF8" w:rsidP="001D689F">
            <w:pPr>
              <w:pStyle w:val="Heading4"/>
              <w:keepNext w:val="0"/>
              <w:spacing w:before="80" w:after="80"/>
              <w:rPr>
                <w:rFonts w:ascii="Arial" w:hAnsi="Arial" w:cs="Arial"/>
                <w:b w:val="0"/>
                <w:sz w:val="24"/>
                <w:lang/>
              </w:rPr>
            </w:pPr>
            <w:r>
              <w:rPr>
                <w:rFonts w:ascii="Arial" w:hAnsi="Arial" w:cs="Arial"/>
                <w:b w:val="0"/>
                <w:sz w:val="24"/>
                <w:lang/>
              </w:rPr>
              <w:t xml:space="preserve">Hampshire County Council </w:t>
            </w:r>
          </w:p>
        </w:tc>
      </w:tr>
      <w:tr w:rsidR="009D1BF8" w:rsidRPr="00BD56DB" w:rsidTr="00A97671">
        <w:trPr>
          <w:trHeight w:val="269"/>
          <w:tblHeader/>
        </w:trPr>
        <w:tc>
          <w:tcPr>
            <w:tcW w:w="14890" w:type="dxa"/>
            <w:gridSpan w:val="7"/>
          </w:tcPr>
          <w:p w:rsidR="009D1BF8" w:rsidRPr="00BD56DB" w:rsidRDefault="009D1BF8" w:rsidP="00A97671">
            <w:pPr>
              <w:rPr>
                <w:rFonts w:ascii="Helvetica" w:hAnsi="Helvetica"/>
              </w:rPr>
            </w:pPr>
          </w:p>
        </w:tc>
      </w:tr>
      <w:tr w:rsidR="009D1BF8" w:rsidRPr="00BD56DB" w:rsidTr="00AF6853">
        <w:trPr>
          <w:trHeight w:val="553"/>
          <w:tblHeader/>
        </w:trPr>
        <w:tc>
          <w:tcPr>
            <w:tcW w:w="1384" w:type="dxa"/>
          </w:tcPr>
          <w:p w:rsidR="009D1BF8" w:rsidRPr="00BD56DB" w:rsidRDefault="009D1BF8" w:rsidP="001D689F">
            <w:pPr>
              <w:spacing w:before="80" w:after="80"/>
              <w:rPr>
                <w:rFonts w:ascii="Helvetica" w:hAnsi="Helvetica"/>
              </w:rPr>
            </w:pPr>
            <w:r w:rsidRPr="00BD56DB">
              <w:rPr>
                <w:rFonts w:ascii="Helvetica" w:hAnsi="Helvetica"/>
              </w:rPr>
              <w:t>Page 1</w:t>
            </w:r>
          </w:p>
        </w:tc>
        <w:tc>
          <w:tcPr>
            <w:tcW w:w="2552" w:type="dxa"/>
            <w:gridSpan w:val="2"/>
          </w:tcPr>
          <w:p w:rsidR="009D1BF8" w:rsidRPr="00BD56DB" w:rsidRDefault="009D1BF8" w:rsidP="001D689F">
            <w:pPr>
              <w:spacing w:before="80" w:after="80"/>
              <w:rPr>
                <w:rFonts w:ascii="Helvetica" w:hAnsi="Helvetica"/>
              </w:rPr>
            </w:pPr>
            <w:r w:rsidRPr="00BD56DB">
              <w:rPr>
                <w:rFonts w:ascii="Helvetica" w:hAnsi="Helvetica"/>
              </w:rPr>
              <w:t>Revenue Contracts</w:t>
            </w:r>
          </w:p>
        </w:tc>
        <w:tc>
          <w:tcPr>
            <w:tcW w:w="2409" w:type="dxa"/>
          </w:tcPr>
          <w:p w:rsidR="009D1BF8" w:rsidRPr="00BD56DB" w:rsidRDefault="009D1BF8" w:rsidP="001D689F">
            <w:pPr>
              <w:spacing w:before="80" w:after="80"/>
              <w:rPr>
                <w:rFonts w:ascii="Helvetica" w:hAnsi="Helvetica"/>
              </w:rPr>
            </w:pPr>
            <w:r w:rsidRPr="00BD56DB">
              <w:rPr>
                <w:rFonts w:ascii="Helvetica" w:hAnsi="Helvetica"/>
              </w:rPr>
              <w:t>Service Orders</w:t>
            </w:r>
          </w:p>
        </w:tc>
        <w:tc>
          <w:tcPr>
            <w:tcW w:w="8545" w:type="dxa"/>
            <w:gridSpan w:val="3"/>
          </w:tcPr>
          <w:p w:rsidR="009D1BF8" w:rsidRPr="00BD56DB" w:rsidRDefault="009D1BF8" w:rsidP="004F3148">
            <w:pPr>
              <w:spacing w:before="80" w:after="80"/>
              <w:rPr>
                <w:rFonts w:ascii="Helvetica" w:hAnsi="Helvetica"/>
              </w:rPr>
            </w:pPr>
            <w:r w:rsidRPr="00BD56DB">
              <w:rPr>
                <w:rFonts w:ascii="Helvetica" w:hAnsi="Helvetica"/>
              </w:rPr>
              <w:t>Hampshire Fire and Rescue Service policies and procedures.</w:t>
            </w:r>
          </w:p>
        </w:tc>
      </w:tr>
      <w:tr w:rsidR="009D1BF8" w:rsidRPr="00BD56DB" w:rsidTr="00AF6853">
        <w:trPr>
          <w:trHeight w:val="794"/>
          <w:tblHeader/>
        </w:trPr>
        <w:tc>
          <w:tcPr>
            <w:tcW w:w="1384" w:type="dxa"/>
          </w:tcPr>
          <w:p w:rsidR="009D1BF8" w:rsidRPr="00BD56DB" w:rsidRDefault="009D1BF8" w:rsidP="001D689F">
            <w:pPr>
              <w:spacing w:before="80" w:after="80"/>
              <w:rPr>
                <w:rFonts w:ascii="Helvetica" w:hAnsi="Helvetica"/>
              </w:rPr>
            </w:pPr>
            <w:r w:rsidRPr="00BD56DB">
              <w:rPr>
                <w:rFonts w:ascii="Helvetica" w:hAnsi="Helvetica"/>
              </w:rPr>
              <w:t>Page 1</w:t>
            </w:r>
          </w:p>
        </w:tc>
        <w:tc>
          <w:tcPr>
            <w:tcW w:w="2552" w:type="dxa"/>
            <w:gridSpan w:val="2"/>
          </w:tcPr>
          <w:p w:rsidR="009D1BF8" w:rsidRPr="00BD56DB" w:rsidRDefault="009D1BF8" w:rsidP="001D689F">
            <w:pPr>
              <w:spacing w:before="80" w:after="80"/>
              <w:rPr>
                <w:rFonts w:ascii="Helvetica" w:hAnsi="Helvetica"/>
              </w:rPr>
            </w:pPr>
            <w:r w:rsidRPr="00BD56DB">
              <w:rPr>
                <w:rFonts w:ascii="Helvetica" w:hAnsi="Helvetica"/>
              </w:rPr>
              <w:t>Revenue Contracts</w:t>
            </w:r>
          </w:p>
        </w:tc>
        <w:tc>
          <w:tcPr>
            <w:tcW w:w="2409" w:type="dxa"/>
          </w:tcPr>
          <w:p w:rsidR="009D1BF8" w:rsidRPr="00BD56DB" w:rsidRDefault="009D1BF8" w:rsidP="004F3148">
            <w:pPr>
              <w:spacing w:before="80" w:after="80"/>
              <w:rPr>
                <w:rFonts w:ascii="Helvetica" w:hAnsi="Helvetica"/>
              </w:rPr>
            </w:pPr>
            <w:r w:rsidRPr="00BD56DB">
              <w:rPr>
                <w:rFonts w:ascii="Helvetica" w:hAnsi="Helvetica"/>
              </w:rPr>
              <w:t xml:space="preserve">Contract Standing Orders </w:t>
            </w:r>
          </w:p>
        </w:tc>
        <w:tc>
          <w:tcPr>
            <w:tcW w:w="8545" w:type="dxa"/>
            <w:gridSpan w:val="3"/>
          </w:tcPr>
          <w:p w:rsidR="009D1BF8" w:rsidRPr="00BD56DB" w:rsidRDefault="009D1BF8" w:rsidP="004F3148">
            <w:pPr>
              <w:spacing w:before="80" w:after="80"/>
              <w:rPr>
                <w:rFonts w:ascii="Helvetica" w:hAnsi="Helvetica"/>
              </w:rPr>
            </w:pPr>
            <w:r w:rsidRPr="00BD56DB">
              <w:rPr>
                <w:rFonts w:ascii="Helvetica" w:hAnsi="Helvetica"/>
              </w:rPr>
              <w:t xml:space="preserve">Contract Standing Orders set out the administrative procedure that must be followed in seeking tenders and letting contracts for the supply of services and works. </w:t>
            </w:r>
          </w:p>
        </w:tc>
      </w:tr>
      <w:tr w:rsidR="009D1BF8" w:rsidRPr="00BD56DB" w:rsidTr="00AF6853">
        <w:trPr>
          <w:trHeight w:val="794"/>
          <w:tblHeader/>
        </w:trPr>
        <w:tc>
          <w:tcPr>
            <w:tcW w:w="1384" w:type="dxa"/>
          </w:tcPr>
          <w:p w:rsidR="009D1BF8" w:rsidRPr="00BD56DB" w:rsidRDefault="009D1BF8" w:rsidP="001D689F">
            <w:pPr>
              <w:spacing w:before="80" w:after="80"/>
              <w:rPr>
                <w:rFonts w:ascii="Helvetica" w:hAnsi="Helvetica"/>
              </w:rPr>
            </w:pPr>
            <w:r w:rsidRPr="00BD56DB">
              <w:rPr>
                <w:rFonts w:ascii="Helvetica" w:hAnsi="Helvetica"/>
              </w:rPr>
              <w:t>Page 1</w:t>
            </w:r>
          </w:p>
        </w:tc>
        <w:tc>
          <w:tcPr>
            <w:tcW w:w="2552" w:type="dxa"/>
            <w:gridSpan w:val="2"/>
          </w:tcPr>
          <w:p w:rsidR="009D1BF8" w:rsidRPr="00BD56DB" w:rsidRDefault="009D1BF8" w:rsidP="001D689F">
            <w:pPr>
              <w:spacing w:before="80" w:after="80"/>
              <w:rPr>
                <w:rFonts w:ascii="Helvetica" w:hAnsi="Helvetica"/>
              </w:rPr>
            </w:pPr>
            <w:r w:rsidRPr="00BD56DB">
              <w:rPr>
                <w:rFonts w:ascii="Helvetica" w:hAnsi="Helvetica"/>
              </w:rPr>
              <w:t>Revenue Contracts</w:t>
            </w:r>
          </w:p>
        </w:tc>
        <w:tc>
          <w:tcPr>
            <w:tcW w:w="2409" w:type="dxa"/>
          </w:tcPr>
          <w:p w:rsidR="009D1BF8" w:rsidRPr="00BD56DB" w:rsidRDefault="009D1BF8" w:rsidP="001D689F">
            <w:pPr>
              <w:spacing w:before="80" w:after="80"/>
              <w:rPr>
                <w:rFonts w:ascii="Helvetica" w:hAnsi="Helvetica"/>
              </w:rPr>
            </w:pPr>
            <w:r w:rsidRPr="00BD56DB">
              <w:rPr>
                <w:rFonts w:ascii="Helvetica" w:hAnsi="Helvetica"/>
              </w:rPr>
              <w:t xml:space="preserve">Joint working </w:t>
            </w:r>
          </w:p>
        </w:tc>
        <w:tc>
          <w:tcPr>
            <w:tcW w:w="8545" w:type="dxa"/>
            <w:gridSpan w:val="3"/>
          </w:tcPr>
          <w:p w:rsidR="009D1BF8" w:rsidRPr="00BD56DB" w:rsidRDefault="009D1BF8" w:rsidP="004F3148">
            <w:pPr>
              <w:spacing w:before="80" w:after="80"/>
              <w:rPr>
                <w:rFonts w:ascii="Helvetica" w:hAnsi="Helvetica"/>
              </w:rPr>
            </w:pPr>
            <w:r w:rsidRPr="00BD56DB">
              <w:rPr>
                <w:rFonts w:ascii="Helvetica" w:hAnsi="Helvetica"/>
              </w:rPr>
              <w:t>The Joint Working in Hampshire programme is being undertaken to identify opportunities for improving support services, secure efficiencies and improve the resilience for Hampshire Fire and Rescue Service, Hampshire Constabulary and Hampshire County Council, whilst protecting our frontline services.</w:t>
            </w:r>
          </w:p>
        </w:tc>
      </w:tr>
      <w:tr w:rsidR="009D1BF8" w:rsidRPr="00BD56DB" w:rsidTr="00AF6853">
        <w:trPr>
          <w:trHeight w:val="794"/>
          <w:tblHeader/>
        </w:trPr>
        <w:tc>
          <w:tcPr>
            <w:tcW w:w="1384" w:type="dxa"/>
          </w:tcPr>
          <w:p w:rsidR="009D1BF8" w:rsidRPr="00BD56DB" w:rsidRDefault="009D1BF8" w:rsidP="001D689F">
            <w:pPr>
              <w:spacing w:before="80" w:after="80"/>
              <w:rPr>
                <w:rFonts w:ascii="Helvetica" w:hAnsi="Helvetica"/>
              </w:rPr>
            </w:pPr>
            <w:r w:rsidRPr="00BD56DB">
              <w:rPr>
                <w:rFonts w:ascii="Helvetica" w:hAnsi="Helvetica"/>
              </w:rPr>
              <w:t xml:space="preserve">Page 3 </w:t>
            </w:r>
          </w:p>
        </w:tc>
        <w:tc>
          <w:tcPr>
            <w:tcW w:w="2552" w:type="dxa"/>
            <w:gridSpan w:val="2"/>
          </w:tcPr>
          <w:p w:rsidR="009D1BF8" w:rsidRPr="00BD56DB" w:rsidRDefault="009D1BF8" w:rsidP="001D689F">
            <w:pPr>
              <w:spacing w:before="80" w:after="80"/>
              <w:rPr>
                <w:rFonts w:ascii="Helvetica" w:hAnsi="Helvetica"/>
              </w:rPr>
            </w:pPr>
            <w:r w:rsidRPr="00BD56DB">
              <w:rPr>
                <w:rFonts w:ascii="Helvetica" w:hAnsi="Helvetica"/>
              </w:rPr>
              <w:t xml:space="preserve">Taxation – benefits in kind </w:t>
            </w:r>
          </w:p>
        </w:tc>
        <w:tc>
          <w:tcPr>
            <w:tcW w:w="2409" w:type="dxa"/>
          </w:tcPr>
          <w:p w:rsidR="009D1BF8" w:rsidRPr="00BD56DB" w:rsidRDefault="009D1BF8" w:rsidP="003E0D43">
            <w:pPr>
              <w:spacing w:before="80" w:after="80"/>
              <w:rPr>
                <w:rFonts w:cs="Arial"/>
              </w:rPr>
            </w:pPr>
            <w:r w:rsidRPr="00BD56DB">
              <w:rPr>
                <w:rFonts w:cs="Arial"/>
              </w:rPr>
              <w:t>Flexible duty system (FDS)</w:t>
            </w:r>
          </w:p>
        </w:tc>
        <w:tc>
          <w:tcPr>
            <w:tcW w:w="8545" w:type="dxa"/>
            <w:gridSpan w:val="3"/>
          </w:tcPr>
          <w:p w:rsidR="009D1BF8" w:rsidRPr="00BD56DB" w:rsidRDefault="009D1BF8" w:rsidP="003E0D43">
            <w:pPr>
              <w:spacing w:before="80" w:after="80"/>
              <w:rPr>
                <w:rFonts w:ascii="Helvetica" w:hAnsi="Helvetica"/>
              </w:rPr>
            </w:pPr>
            <w:r w:rsidRPr="00BD56DB">
              <w:rPr>
                <w:rFonts w:ascii="Helvetica" w:hAnsi="Helvetica"/>
              </w:rPr>
              <w:t>Officers work a 48 hour week made up of managerial and standby hours.</w:t>
            </w:r>
          </w:p>
        </w:tc>
      </w:tr>
      <w:tr w:rsidR="009D1BF8" w:rsidRPr="00BD56DB" w:rsidTr="00AF6853">
        <w:trPr>
          <w:trHeight w:val="794"/>
          <w:tblHeader/>
        </w:trPr>
        <w:tc>
          <w:tcPr>
            <w:tcW w:w="1384" w:type="dxa"/>
          </w:tcPr>
          <w:p w:rsidR="009D1BF8" w:rsidRPr="00BD56DB" w:rsidRDefault="009D1BF8" w:rsidP="001D689F">
            <w:pPr>
              <w:spacing w:before="80" w:after="80"/>
              <w:rPr>
                <w:rFonts w:ascii="Helvetica" w:hAnsi="Helvetica"/>
              </w:rPr>
            </w:pPr>
            <w:r w:rsidRPr="00BD56DB">
              <w:rPr>
                <w:rFonts w:ascii="Helvetica" w:hAnsi="Helvetica"/>
              </w:rPr>
              <w:t>Page 6</w:t>
            </w:r>
          </w:p>
        </w:tc>
        <w:tc>
          <w:tcPr>
            <w:tcW w:w="2552" w:type="dxa"/>
            <w:gridSpan w:val="2"/>
          </w:tcPr>
          <w:p w:rsidR="009D1BF8" w:rsidRPr="00BD56DB" w:rsidRDefault="009D1BF8" w:rsidP="001D689F">
            <w:pPr>
              <w:spacing w:before="80" w:after="80"/>
              <w:rPr>
                <w:rFonts w:ascii="Helvetica" w:hAnsi="Helvetica"/>
              </w:rPr>
            </w:pPr>
            <w:r w:rsidRPr="00BD56DB">
              <w:rPr>
                <w:rFonts w:ascii="Helvetica" w:hAnsi="Helvetica"/>
              </w:rPr>
              <w:t>Budgetary control</w:t>
            </w:r>
          </w:p>
        </w:tc>
        <w:tc>
          <w:tcPr>
            <w:tcW w:w="2409" w:type="dxa"/>
          </w:tcPr>
          <w:p w:rsidR="009D1BF8" w:rsidRPr="00BD56DB" w:rsidRDefault="009D1BF8" w:rsidP="003E0D43">
            <w:pPr>
              <w:spacing w:before="80" w:after="80"/>
              <w:rPr>
                <w:rFonts w:ascii="Helvetica" w:hAnsi="Helvetica"/>
              </w:rPr>
            </w:pPr>
            <w:r w:rsidRPr="00BD56DB">
              <w:rPr>
                <w:rFonts w:ascii="Helvetica" w:hAnsi="Helvetica"/>
              </w:rPr>
              <w:t xml:space="preserve">SAP </w:t>
            </w:r>
          </w:p>
        </w:tc>
        <w:tc>
          <w:tcPr>
            <w:tcW w:w="8545" w:type="dxa"/>
            <w:gridSpan w:val="3"/>
          </w:tcPr>
          <w:p w:rsidR="009D1BF8" w:rsidRPr="00BD56DB" w:rsidRDefault="009D1BF8" w:rsidP="003E0D43">
            <w:pPr>
              <w:spacing w:before="80" w:after="80"/>
              <w:rPr>
                <w:rFonts w:ascii="Helvetica" w:hAnsi="Helvetica"/>
              </w:rPr>
            </w:pPr>
            <w:r w:rsidRPr="00BD56DB">
              <w:rPr>
                <w:rFonts w:ascii="Helvetica" w:hAnsi="Helvetica"/>
              </w:rPr>
              <w:t>The IT system that the Service uses for administering key functions such as the main accounting system, payroll, and training systems.</w:t>
            </w:r>
          </w:p>
        </w:tc>
      </w:tr>
      <w:tr w:rsidR="009D1BF8" w:rsidRPr="00BD56DB" w:rsidTr="00AF6853">
        <w:trPr>
          <w:trHeight w:val="794"/>
          <w:tblHeader/>
        </w:trPr>
        <w:tc>
          <w:tcPr>
            <w:tcW w:w="1384" w:type="dxa"/>
          </w:tcPr>
          <w:p w:rsidR="009D1BF8" w:rsidRPr="00BD56DB" w:rsidRDefault="009D1BF8" w:rsidP="001D689F">
            <w:pPr>
              <w:spacing w:before="80" w:after="80"/>
              <w:rPr>
                <w:rFonts w:ascii="Helvetica" w:hAnsi="Helvetica"/>
              </w:rPr>
            </w:pPr>
            <w:r w:rsidRPr="00BD56DB">
              <w:rPr>
                <w:rFonts w:ascii="Helvetica" w:hAnsi="Helvetica"/>
              </w:rPr>
              <w:t>Page 6</w:t>
            </w:r>
          </w:p>
        </w:tc>
        <w:tc>
          <w:tcPr>
            <w:tcW w:w="2552" w:type="dxa"/>
            <w:gridSpan w:val="2"/>
          </w:tcPr>
          <w:p w:rsidR="009D1BF8" w:rsidRPr="00BD56DB" w:rsidRDefault="009D1BF8" w:rsidP="001D689F">
            <w:pPr>
              <w:spacing w:before="80" w:after="80"/>
              <w:rPr>
                <w:rFonts w:ascii="Helvetica" w:hAnsi="Helvetica"/>
              </w:rPr>
            </w:pPr>
            <w:r w:rsidRPr="00BD56DB">
              <w:rPr>
                <w:rFonts w:ascii="Helvetica" w:hAnsi="Helvetica"/>
              </w:rPr>
              <w:t>Budgetary control</w:t>
            </w:r>
          </w:p>
        </w:tc>
        <w:tc>
          <w:tcPr>
            <w:tcW w:w="2409" w:type="dxa"/>
          </w:tcPr>
          <w:p w:rsidR="009D1BF8" w:rsidRPr="00BD56DB" w:rsidRDefault="009D1BF8" w:rsidP="001D689F">
            <w:pPr>
              <w:spacing w:before="80" w:after="80"/>
              <w:rPr>
                <w:rFonts w:ascii="Helvetica" w:hAnsi="Helvetica"/>
              </w:rPr>
            </w:pPr>
            <w:r w:rsidRPr="00BD56DB">
              <w:rPr>
                <w:rFonts w:ascii="Helvetica" w:hAnsi="Helvetica"/>
              </w:rPr>
              <w:t>Scheme of Delegation</w:t>
            </w:r>
          </w:p>
        </w:tc>
        <w:tc>
          <w:tcPr>
            <w:tcW w:w="8545" w:type="dxa"/>
            <w:gridSpan w:val="3"/>
          </w:tcPr>
          <w:p w:rsidR="009D1BF8" w:rsidRPr="00BD56DB" w:rsidRDefault="009D1BF8" w:rsidP="00AF6853">
            <w:pPr>
              <w:spacing w:before="80" w:after="80"/>
              <w:rPr>
                <w:rFonts w:ascii="Helvetica" w:hAnsi="Helvetica"/>
              </w:rPr>
            </w:pPr>
            <w:r w:rsidRPr="00BD56DB">
              <w:rPr>
                <w:rFonts w:ascii="Helvetica" w:hAnsi="Helvetica"/>
              </w:rPr>
              <w:t>The Scheme deals with the levels of responsibility and accountability of the officers named in specified areas of control</w:t>
            </w:r>
          </w:p>
        </w:tc>
      </w:tr>
      <w:tr w:rsidR="009D1BF8" w:rsidRPr="00BD56DB" w:rsidTr="00AF6853">
        <w:trPr>
          <w:trHeight w:val="794"/>
          <w:tblHeader/>
        </w:trPr>
        <w:tc>
          <w:tcPr>
            <w:tcW w:w="1384" w:type="dxa"/>
          </w:tcPr>
          <w:p w:rsidR="009D1BF8" w:rsidRPr="00BD56DB" w:rsidRDefault="009D1BF8" w:rsidP="001D689F">
            <w:pPr>
              <w:spacing w:before="80" w:after="80"/>
              <w:rPr>
                <w:rFonts w:ascii="Helvetica" w:hAnsi="Helvetica"/>
              </w:rPr>
            </w:pPr>
            <w:r w:rsidRPr="00BD56DB">
              <w:rPr>
                <w:rFonts w:ascii="Helvetica" w:hAnsi="Helvetica"/>
              </w:rPr>
              <w:t>Page 6</w:t>
            </w:r>
          </w:p>
        </w:tc>
        <w:tc>
          <w:tcPr>
            <w:tcW w:w="2552" w:type="dxa"/>
            <w:gridSpan w:val="2"/>
          </w:tcPr>
          <w:p w:rsidR="009D1BF8" w:rsidRPr="00BD56DB" w:rsidRDefault="009D1BF8" w:rsidP="001D689F">
            <w:pPr>
              <w:spacing w:before="80" w:after="80"/>
              <w:rPr>
                <w:rFonts w:ascii="Helvetica" w:hAnsi="Helvetica"/>
              </w:rPr>
            </w:pPr>
            <w:r w:rsidRPr="00BD56DB">
              <w:rPr>
                <w:rFonts w:ascii="Helvetica" w:hAnsi="Helvetica"/>
              </w:rPr>
              <w:t>Budgetary control</w:t>
            </w:r>
          </w:p>
        </w:tc>
        <w:tc>
          <w:tcPr>
            <w:tcW w:w="2409" w:type="dxa"/>
          </w:tcPr>
          <w:p w:rsidR="009D1BF8" w:rsidRPr="00BD56DB" w:rsidRDefault="009D1BF8" w:rsidP="001D689F">
            <w:pPr>
              <w:spacing w:before="80" w:after="80"/>
              <w:rPr>
                <w:rFonts w:ascii="Helvetica" w:hAnsi="Helvetica"/>
              </w:rPr>
            </w:pPr>
            <w:r w:rsidRPr="00BD56DB">
              <w:rPr>
                <w:rFonts w:ascii="Helvetica" w:hAnsi="Helvetica"/>
              </w:rPr>
              <w:t>Financial regulations</w:t>
            </w:r>
          </w:p>
        </w:tc>
        <w:tc>
          <w:tcPr>
            <w:tcW w:w="8545" w:type="dxa"/>
            <w:gridSpan w:val="3"/>
          </w:tcPr>
          <w:p w:rsidR="009D1BF8" w:rsidRPr="00BD56DB" w:rsidRDefault="009D1BF8" w:rsidP="004F3148">
            <w:pPr>
              <w:spacing w:before="80" w:after="80"/>
              <w:rPr>
                <w:rFonts w:ascii="Helvetica" w:hAnsi="Helvetica"/>
              </w:rPr>
            </w:pPr>
            <w:r w:rsidRPr="00BD56DB">
              <w:rPr>
                <w:lang/>
              </w:rPr>
              <w:t>Financial regulations are the framework within which the financial affairs of the Authority operate, and apply to all the Authority’s activities. The regulations identify responsibilities in full.</w:t>
            </w:r>
          </w:p>
        </w:tc>
      </w:tr>
      <w:tr w:rsidR="009D1BF8" w:rsidRPr="00BD56DB" w:rsidTr="00AF6853">
        <w:trPr>
          <w:trHeight w:val="794"/>
          <w:tblHeader/>
        </w:trPr>
        <w:tc>
          <w:tcPr>
            <w:tcW w:w="1384" w:type="dxa"/>
          </w:tcPr>
          <w:p w:rsidR="009D1BF8" w:rsidRPr="00BD56DB" w:rsidRDefault="009D1BF8" w:rsidP="001D689F">
            <w:pPr>
              <w:spacing w:before="80" w:after="80"/>
              <w:rPr>
                <w:rFonts w:ascii="Helvetica" w:hAnsi="Helvetica"/>
              </w:rPr>
            </w:pPr>
            <w:r w:rsidRPr="00BD56DB">
              <w:rPr>
                <w:rFonts w:ascii="Helvetica" w:hAnsi="Helvetica"/>
              </w:rPr>
              <w:t>Page 7</w:t>
            </w:r>
          </w:p>
        </w:tc>
        <w:tc>
          <w:tcPr>
            <w:tcW w:w="2552" w:type="dxa"/>
            <w:gridSpan w:val="2"/>
          </w:tcPr>
          <w:p w:rsidR="009D1BF8" w:rsidRPr="00BD56DB" w:rsidRDefault="009D1BF8" w:rsidP="001D689F">
            <w:pPr>
              <w:spacing w:before="80" w:after="80"/>
              <w:rPr>
                <w:rFonts w:ascii="Helvetica" w:hAnsi="Helvetica"/>
              </w:rPr>
            </w:pPr>
            <w:r w:rsidRPr="00BD56DB">
              <w:rPr>
                <w:rFonts w:ascii="Helvetica" w:hAnsi="Helvetica"/>
              </w:rPr>
              <w:t>Programme and project management</w:t>
            </w:r>
          </w:p>
        </w:tc>
        <w:tc>
          <w:tcPr>
            <w:tcW w:w="2409" w:type="dxa"/>
          </w:tcPr>
          <w:p w:rsidR="009D1BF8" w:rsidRPr="00BD56DB" w:rsidRDefault="009D1BF8" w:rsidP="001D689F">
            <w:pPr>
              <w:spacing w:before="80" w:after="80"/>
              <w:rPr>
                <w:rFonts w:ascii="Helvetica" w:hAnsi="Helvetica"/>
              </w:rPr>
            </w:pPr>
            <w:r w:rsidRPr="00BD56DB">
              <w:rPr>
                <w:rFonts w:ascii="Helvetica" w:hAnsi="Helvetica"/>
              </w:rPr>
              <w:t>Programme and project management</w:t>
            </w:r>
          </w:p>
        </w:tc>
        <w:tc>
          <w:tcPr>
            <w:tcW w:w="8545" w:type="dxa"/>
            <w:gridSpan w:val="3"/>
          </w:tcPr>
          <w:p w:rsidR="009D1BF8" w:rsidRPr="00BD56DB" w:rsidRDefault="009D1BF8" w:rsidP="004F3148">
            <w:pPr>
              <w:spacing w:before="80" w:after="80"/>
              <w:rPr>
                <w:lang/>
              </w:rPr>
            </w:pPr>
            <w:r w:rsidRPr="00BD56DB">
              <w:rPr>
                <w:lang/>
              </w:rPr>
              <w:t>Like many organisations, HFRS continues to go through times of great change. The way we manage change is by the use of Project and Programme Management.</w:t>
            </w:r>
          </w:p>
        </w:tc>
      </w:tr>
      <w:tr w:rsidR="009D1BF8" w:rsidRPr="00BD56DB" w:rsidTr="00AF6853">
        <w:trPr>
          <w:trHeight w:val="794"/>
          <w:tblHeader/>
        </w:trPr>
        <w:tc>
          <w:tcPr>
            <w:tcW w:w="1384" w:type="dxa"/>
          </w:tcPr>
          <w:p w:rsidR="009D1BF8" w:rsidRPr="00BD56DB" w:rsidRDefault="009D1BF8" w:rsidP="001D689F">
            <w:pPr>
              <w:spacing w:before="80" w:after="80"/>
              <w:rPr>
                <w:rFonts w:ascii="Helvetica" w:hAnsi="Helvetica"/>
              </w:rPr>
            </w:pPr>
            <w:r w:rsidRPr="00BD56DB">
              <w:rPr>
                <w:rFonts w:ascii="Helvetica" w:hAnsi="Helvetica"/>
              </w:rPr>
              <w:t>Page 7</w:t>
            </w:r>
          </w:p>
        </w:tc>
        <w:tc>
          <w:tcPr>
            <w:tcW w:w="2552" w:type="dxa"/>
            <w:gridSpan w:val="2"/>
          </w:tcPr>
          <w:p w:rsidR="009D1BF8" w:rsidRPr="00BD56DB" w:rsidRDefault="009D1BF8" w:rsidP="001D689F">
            <w:pPr>
              <w:spacing w:before="80" w:after="80"/>
              <w:rPr>
                <w:rFonts w:ascii="Helvetica" w:hAnsi="Helvetica"/>
              </w:rPr>
            </w:pPr>
            <w:r w:rsidRPr="00BD56DB">
              <w:rPr>
                <w:rFonts w:ascii="Helvetica" w:hAnsi="Helvetica"/>
              </w:rPr>
              <w:t xml:space="preserve">Programme and project management </w:t>
            </w:r>
          </w:p>
        </w:tc>
        <w:tc>
          <w:tcPr>
            <w:tcW w:w="2409" w:type="dxa"/>
          </w:tcPr>
          <w:p w:rsidR="009D1BF8" w:rsidRPr="00BD56DB" w:rsidRDefault="009D1BF8" w:rsidP="001D689F">
            <w:pPr>
              <w:spacing w:before="80" w:after="80"/>
              <w:rPr>
                <w:rFonts w:ascii="Helvetica" w:hAnsi="Helvetica"/>
              </w:rPr>
            </w:pPr>
            <w:r w:rsidRPr="00BD56DB">
              <w:rPr>
                <w:rFonts w:ascii="Helvetica" w:hAnsi="Helvetica"/>
              </w:rPr>
              <w:t xml:space="preserve">Prince 2 </w:t>
            </w:r>
          </w:p>
        </w:tc>
        <w:tc>
          <w:tcPr>
            <w:tcW w:w="8545" w:type="dxa"/>
            <w:gridSpan w:val="3"/>
          </w:tcPr>
          <w:p w:rsidR="009D1BF8" w:rsidRPr="00BD56DB" w:rsidRDefault="009D1BF8" w:rsidP="00D43CBF">
            <w:pPr>
              <w:spacing w:before="80" w:after="80"/>
              <w:rPr>
                <w:lang/>
              </w:rPr>
            </w:pPr>
            <w:r w:rsidRPr="00BD56DB">
              <w:rPr>
                <w:lang/>
              </w:rPr>
              <w:t xml:space="preserve">PRINCE2® (PRojects IN Controlled Environments), is a widely used project management method that navigates you through all the essentials for running a successful project.  It is a flexible aimed at all types of projects. </w:t>
            </w:r>
          </w:p>
        </w:tc>
      </w:tr>
      <w:tr w:rsidR="009D1BF8" w:rsidRPr="00BD56DB" w:rsidTr="00AF6853">
        <w:trPr>
          <w:trHeight w:val="794"/>
          <w:tblHeader/>
        </w:trPr>
        <w:tc>
          <w:tcPr>
            <w:tcW w:w="1384" w:type="dxa"/>
          </w:tcPr>
          <w:p w:rsidR="009D1BF8" w:rsidRPr="00BD56DB" w:rsidRDefault="009D1BF8" w:rsidP="001D689F">
            <w:pPr>
              <w:spacing w:before="80" w:after="80"/>
              <w:rPr>
                <w:rFonts w:ascii="Helvetica" w:hAnsi="Helvetica"/>
              </w:rPr>
            </w:pPr>
            <w:r w:rsidRPr="00BD56DB">
              <w:rPr>
                <w:rFonts w:ascii="Helvetica" w:hAnsi="Helvetica"/>
              </w:rPr>
              <w:t>Page 7</w:t>
            </w:r>
          </w:p>
        </w:tc>
        <w:tc>
          <w:tcPr>
            <w:tcW w:w="2552" w:type="dxa"/>
            <w:gridSpan w:val="2"/>
          </w:tcPr>
          <w:p w:rsidR="009D1BF8" w:rsidRPr="00BD56DB" w:rsidRDefault="009D1BF8" w:rsidP="001D689F">
            <w:pPr>
              <w:spacing w:before="80" w:after="80"/>
              <w:rPr>
                <w:rFonts w:ascii="Helvetica" w:hAnsi="Helvetica"/>
              </w:rPr>
            </w:pPr>
            <w:r w:rsidRPr="00BD56DB">
              <w:rPr>
                <w:rFonts w:ascii="Helvetica" w:hAnsi="Helvetica"/>
              </w:rPr>
              <w:t>Programme and project management</w:t>
            </w:r>
          </w:p>
        </w:tc>
        <w:tc>
          <w:tcPr>
            <w:tcW w:w="2409" w:type="dxa"/>
          </w:tcPr>
          <w:p w:rsidR="009D1BF8" w:rsidRPr="00BD56DB" w:rsidRDefault="009D1BF8" w:rsidP="001D689F">
            <w:pPr>
              <w:spacing w:before="80" w:after="80"/>
              <w:rPr>
                <w:rFonts w:ascii="Helvetica" w:hAnsi="Helvetica"/>
              </w:rPr>
            </w:pPr>
            <w:r w:rsidRPr="00BD56DB">
              <w:rPr>
                <w:rFonts w:ascii="Helvetica" w:hAnsi="Helvetica"/>
              </w:rPr>
              <w:t xml:space="preserve">Project initiation document (PID) </w:t>
            </w:r>
          </w:p>
        </w:tc>
        <w:tc>
          <w:tcPr>
            <w:tcW w:w="8545" w:type="dxa"/>
            <w:gridSpan w:val="3"/>
          </w:tcPr>
          <w:p w:rsidR="009D1BF8" w:rsidRPr="00BD56DB" w:rsidRDefault="009D1BF8" w:rsidP="00A97671">
            <w:pPr>
              <w:spacing w:before="80" w:after="80"/>
              <w:rPr>
                <w:lang/>
              </w:rPr>
            </w:pPr>
            <w:r w:rsidRPr="00BD56DB">
              <w:rPr>
                <w:lang/>
              </w:rPr>
              <w:t xml:space="preserve">The </w:t>
            </w:r>
            <w:r w:rsidRPr="00BD56DB">
              <w:rPr>
                <w:bCs/>
                <w:lang/>
              </w:rPr>
              <w:t>Project Initiation Document</w:t>
            </w:r>
            <w:r w:rsidRPr="00BD56DB">
              <w:rPr>
                <w:b/>
                <w:bCs/>
                <w:lang/>
              </w:rPr>
              <w:t xml:space="preserve"> </w:t>
            </w:r>
            <w:r w:rsidRPr="00BD56DB">
              <w:rPr>
                <w:lang/>
              </w:rPr>
              <w:t xml:space="preserve">is a PRINCE2 term representing the plan of approach in project management. It is assembled from a series of other documents, including the Business Case, the Terms of Reference, the Risk register, etc., </w:t>
            </w:r>
          </w:p>
        </w:tc>
      </w:tr>
      <w:tr w:rsidR="009D1BF8" w:rsidRPr="00BD56DB" w:rsidTr="00AF6853">
        <w:trPr>
          <w:trHeight w:val="794"/>
          <w:tblHeader/>
        </w:trPr>
        <w:tc>
          <w:tcPr>
            <w:tcW w:w="1384" w:type="dxa"/>
          </w:tcPr>
          <w:p w:rsidR="009D1BF8" w:rsidRPr="00BD56DB" w:rsidRDefault="009D1BF8" w:rsidP="001D689F">
            <w:pPr>
              <w:spacing w:before="80" w:after="80"/>
              <w:rPr>
                <w:rFonts w:ascii="Helvetica" w:hAnsi="Helvetica"/>
              </w:rPr>
            </w:pPr>
            <w:r w:rsidRPr="00BD56DB">
              <w:rPr>
                <w:rFonts w:ascii="Helvetica" w:hAnsi="Helvetica"/>
              </w:rPr>
              <w:t>Page 11</w:t>
            </w:r>
          </w:p>
        </w:tc>
        <w:tc>
          <w:tcPr>
            <w:tcW w:w="2552" w:type="dxa"/>
            <w:gridSpan w:val="2"/>
          </w:tcPr>
          <w:p w:rsidR="009D1BF8" w:rsidRPr="00BD56DB" w:rsidRDefault="009D1BF8" w:rsidP="001D689F">
            <w:pPr>
              <w:spacing w:before="80" w:after="80"/>
              <w:rPr>
                <w:rFonts w:ascii="Helvetica" w:hAnsi="Helvetica"/>
              </w:rPr>
            </w:pPr>
            <w:r w:rsidRPr="00BD56DB">
              <w:rPr>
                <w:rFonts w:ascii="Helvetica" w:hAnsi="Helvetica"/>
              </w:rPr>
              <w:t xml:space="preserve">Programme and project management </w:t>
            </w:r>
          </w:p>
        </w:tc>
        <w:tc>
          <w:tcPr>
            <w:tcW w:w="2409" w:type="dxa"/>
          </w:tcPr>
          <w:p w:rsidR="009D1BF8" w:rsidRPr="00BD56DB" w:rsidRDefault="009D1BF8" w:rsidP="001D689F">
            <w:pPr>
              <w:spacing w:before="80" w:after="80"/>
              <w:rPr>
                <w:rFonts w:ascii="Helvetica" w:hAnsi="Helvetica"/>
              </w:rPr>
            </w:pPr>
            <w:r w:rsidRPr="00BD56DB">
              <w:rPr>
                <w:rFonts w:ascii="Helvetica" w:hAnsi="Helvetica"/>
              </w:rPr>
              <w:t xml:space="preserve">Senior Responsible Officer (SRO) </w:t>
            </w:r>
          </w:p>
        </w:tc>
        <w:tc>
          <w:tcPr>
            <w:tcW w:w="8545" w:type="dxa"/>
            <w:gridSpan w:val="3"/>
          </w:tcPr>
          <w:p w:rsidR="009D1BF8" w:rsidRPr="00BD56DB" w:rsidRDefault="009D1BF8" w:rsidP="00AF6853">
            <w:pPr>
              <w:spacing w:before="80" w:after="80"/>
              <w:rPr>
                <w:lang/>
              </w:rPr>
            </w:pPr>
            <w:r w:rsidRPr="00BD56DB">
              <w:rPr>
                <w:lang/>
              </w:rPr>
              <w:t>The individual accountable for ensuring that a project or programme of change meets its objectives and delivers the projected benefits. They should be the owner of the overall business change that is being supported by the project. The SRO should ensure that the change maintains its business focus, has clear authority and that the context, including risks, is actively managed. This individual must be senior and must take personal responsibility for successfully delivery of the project. They should be recognised as the owner throughout the organisation.</w:t>
            </w:r>
          </w:p>
        </w:tc>
      </w:tr>
      <w:tr w:rsidR="009D1BF8" w:rsidRPr="00BD56DB" w:rsidTr="00AF6853">
        <w:trPr>
          <w:trHeight w:val="794"/>
          <w:tblHeader/>
        </w:trPr>
        <w:tc>
          <w:tcPr>
            <w:tcW w:w="1384" w:type="dxa"/>
          </w:tcPr>
          <w:p w:rsidR="009D1BF8" w:rsidRPr="00BD56DB" w:rsidRDefault="009D1BF8" w:rsidP="001D689F">
            <w:pPr>
              <w:spacing w:before="80" w:after="80"/>
              <w:rPr>
                <w:rFonts w:ascii="Helvetica" w:hAnsi="Helvetica"/>
              </w:rPr>
            </w:pPr>
            <w:r w:rsidRPr="00BD56DB">
              <w:rPr>
                <w:rFonts w:ascii="Helvetica" w:hAnsi="Helvetica"/>
              </w:rPr>
              <w:t>Page 13</w:t>
            </w:r>
          </w:p>
        </w:tc>
        <w:tc>
          <w:tcPr>
            <w:tcW w:w="2552" w:type="dxa"/>
            <w:gridSpan w:val="2"/>
          </w:tcPr>
          <w:p w:rsidR="009D1BF8" w:rsidRPr="00BD56DB" w:rsidRDefault="009D1BF8" w:rsidP="001D689F">
            <w:pPr>
              <w:spacing w:before="80" w:after="80"/>
              <w:rPr>
                <w:rFonts w:ascii="Helvetica" w:hAnsi="Helvetica"/>
              </w:rPr>
            </w:pPr>
            <w:r w:rsidRPr="00BD56DB">
              <w:rPr>
                <w:rFonts w:ascii="Helvetica" w:hAnsi="Helvetica"/>
              </w:rPr>
              <w:t>Programme and project management</w:t>
            </w:r>
          </w:p>
        </w:tc>
        <w:tc>
          <w:tcPr>
            <w:tcW w:w="2409" w:type="dxa"/>
          </w:tcPr>
          <w:p w:rsidR="009D1BF8" w:rsidRPr="00BD56DB" w:rsidRDefault="009D1BF8" w:rsidP="001D689F">
            <w:pPr>
              <w:spacing w:before="80" w:after="80"/>
              <w:rPr>
                <w:rFonts w:ascii="Helvetica" w:hAnsi="Helvetica"/>
              </w:rPr>
            </w:pPr>
            <w:r w:rsidRPr="00BD56DB">
              <w:rPr>
                <w:rFonts w:ascii="Helvetica" w:hAnsi="Helvetica"/>
              </w:rPr>
              <w:t>I Drive / Hantsfile</w:t>
            </w:r>
          </w:p>
        </w:tc>
        <w:tc>
          <w:tcPr>
            <w:tcW w:w="8545" w:type="dxa"/>
            <w:gridSpan w:val="3"/>
          </w:tcPr>
          <w:p w:rsidR="009D1BF8" w:rsidRPr="00BD56DB" w:rsidRDefault="009D1BF8" w:rsidP="00A97671">
            <w:pPr>
              <w:spacing w:before="80" w:after="80"/>
              <w:rPr>
                <w:lang/>
              </w:rPr>
            </w:pPr>
            <w:r w:rsidRPr="00BD56DB">
              <w:rPr>
                <w:lang/>
              </w:rPr>
              <w:t xml:space="preserve">The I Drive is a drive on the main server to which the majority of documents are currently stored.  </w:t>
            </w:r>
          </w:p>
          <w:p w:rsidR="009D1BF8" w:rsidRPr="00BD56DB" w:rsidRDefault="009D1BF8" w:rsidP="00A97671">
            <w:pPr>
              <w:spacing w:before="80" w:after="80"/>
              <w:rPr>
                <w:lang/>
              </w:rPr>
            </w:pPr>
            <w:r w:rsidRPr="00BD56DB">
              <w:rPr>
                <w:lang/>
              </w:rPr>
              <w:t>Hantsfile (currently used by HCC) is a software package which we will be introducing to provide a single, efficient, effective, secure and flexible approach to managing electronic documents and records.</w:t>
            </w:r>
          </w:p>
        </w:tc>
      </w:tr>
      <w:tr w:rsidR="009D1BF8" w:rsidRPr="00BD56DB" w:rsidTr="00AF6853">
        <w:trPr>
          <w:trHeight w:val="794"/>
          <w:tblHeader/>
        </w:trPr>
        <w:tc>
          <w:tcPr>
            <w:tcW w:w="1384" w:type="dxa"/>
          </w:tcPr>
          <w:p w:rsidR="009D1BF8" w:rsidRPr="00BD56DB" w:rsidRDefault="009D1BF8" w:rsidP="001D689F">
            <w:pPr>
              <w:spacing w:before="80" w:after="80"/>
              <w:rPr>
                <w:rFonts w:ascii="Helvetica" w:hAnsi="Helvetica"/>
              </w:rPr>
            </w:pPr>
            <w:r w:rsidRPr="00BD56DB">
              <w:rPr>
                <w:rFonts w:ascii="Helvetica" w:hAnsi="Helvetica"/>
              </w:rPr>
              <w:t>Page 14</w:t>
            </w:r>
          </w:p>
        </w:tc>
        <w:tc>
          <w:tcPr>
            <w:tcW w:w="2552" w:type="dxa"/>
            <w:gridSpan w:val="2"/>
          </w:tcPr>
          <w:p w:rsidR="009D1BF8" w:rsidRPr="00BD56DB" w:rsidRDefault="009D1BF8" w:rsidP="001D689F">
            <w:pPr>
              <w:spacing w:before="80" w:after="80"/>
              <w:rPr>
                <w:rFonts w:ascii="Helvetica" w:hAnsi="Helvetica"/>
              </w:rPr>
            </w:pPr>
            <w:r w:rsidRPr="00BD56DB">
              <w:rPr>
                <w:rFonts w:ascii="Helvetica" w:hAnsi="Helvetica"/>
              </w:rPr>
              <w:t xml:space="preserve">Overtime and Travel &amp; Subsistence </w:t>
            </w:r>
          </w:p>
        </w:tc>
        <w:tc>
          <w:tcPr>
            <w:tcW w:w="2409" w:type="dxa"/>
          </w:tcPr>
          <w:p w:rsidR="009D1BF8" w:rsidRPr="00BD56DB" w:rsidRDefault="009D1BF8" w:rsidP="001D689F">
            <w:pPr>
              <w:spacing w:before="80" w:after="80"/>
              <w:rPr>
                <w:rFonts w:ascii="Helvetica" w:hAnsi="Helvetica"/>
              </w:rPr>
            </w:pPr>
            <w:r w:rsidRPr="00BD56DB">
              <w:rPr>
                <w:rFonts w:ascii="Helvetica" w:hAnsi="Helvetica"/>
              </w:rPr>
              <w:t xml:space="preserve">Routine Notice </w:t>
            </w:r>
          </w:p>
        </w:tc>
        <w:tc>
          <w:tcPr>
            <w:tcW w:w="8545" w:type="dxa"/>
            <w:gridSpan w:val="3"/>
          </w:tcPr>
          <w:p w:rsidR="009D1BF8" w:rsidRPr="00BD56DB" w:rsidRDefault="009D1BF8" w:rsidP="00A97671">
            <w:pPr>
              <w:spacing w:before="80" w:after="80"/>
              <w:rPr>
                <w:lang/>
              </w:rPr>
            </w:pPr>
            <w:r w:rsidRPr="00BD56DB">
              <w:rPr>
                <w:lang/>
              </w:rPr>
              <w:t>Routine notices are issued weekly for circulating general information of official interest.</w:t>
            </w:r>
          </w:p>
        </w:tc>
      </w:tr>
      <w:tr w:rsidR="009D1BF8" w:rsidRPr="00BD56DB" w:rsidTr="00AF6853">
        <w:trPr>
          <w:trHeight w:val="794"/>
          <w:tblHeader/>
        </w:trPr>
        <w:tc>
          <w:tcPr>
            <w:tcW w:w="1384" w:type="dxa"/>
          </w:tcPr>
          <w:p w:rsidR="009D1BF8" w:rsidRPr="00BD56DB" w:rsidRDefault="009D1BF8" w:rsidP="001D689F">
            <w:pPr>
              <w:spacing w:before="80" w:after="80"/>
              <w:rPr>
                <w:rFonts w:ascii="Helvetica" w:hAnsi="Helvetica"/>
              </w:rPr>
            </w:pPr>
            <w:r w:rsidRPr="00BD56DB">
              <w:rPr>
                <w:rFonts w:ascii="Helvetica" w:hAnsi="Helvetica"/>
              </w:rPr>
              <w:t>Page 16</w:t>
            </w:r>
          </w:p>
        </w:tc>
        <w:tc>
          <w:tcPr>
            <w:tcW w:w="2552" w:type="dxa"/>
            <w:gridSpan w:val="2"/>
          </w:tcPr>
          <w:p w:rsidR="009D1BF8" w:rsidRPr="00BD56DB" w:rsidRDefault="009D1BF8" w:rsidP="001D689F">
            <w:pPr>
              <w:spacing w:before="80" w:after="80"/>
              <w:rPr>
                <w:rFonts w:ascii="Helvetica" w:hAnsi="Helvetica"/>
              </w:rPr>
            </w:pPr>
            <w:r w:rsidRPr="00BD56DB">
              <w:rPr>
                <w:rFonts w:ascii="Helvetica" w:hAnsi="Helvetica"/>
              </w:rPr>
              <w:t>Sustainability</w:t>
            </w:r>
          </w:p>
        </w:tc>
        <w:tc>
          <w:tcPr>
            <w:tcW w:w="2409" w:type="dxa"/>
          </w:tcPr>
          <w:p w:rsidR="009D1BF8" w:rsidRPr="00BD56DB" w:rsidRDefault="009D1BF8" w:rsidP="001D689F">
            <w:pPr>
              <w:spacing w:before="80" w:after="80"/>
              <w:rPr>
                <w:rFonts w:ascii="Helvetica" w:hAnsi="Helvetica"/>
              </w:rPr>
            </w:pPr>
            <w:r w:rsidRPr="00BD56DB">
              <w:rPr>
                <w:rFonts w:ascii="Helvetica" w:hAnsi="Helvetica"/>
              </w:rPr>
              <w:t xml:space="preserve">Carbon Management Programme </w:t>
            </w:r>
          </w:p>
        </w:tc>
        <w:tc>
          <w:tcPr>
            <w:tcW w:w="8545" w:type="dxa"/>
            <w:gridSpan w:val="3"/>
          </w:tcPr>
          <w:p w:rsidR="009D1BF8" w:rsidRPr="00BD56DB" w:rsidRDefault="009D1BF8" w:rsidP="00A97671">
            <w:pPr>
              <w:spacing w:before="80" w:after="80"/>
              <w:rPr>
                <w:lang/>
              </w:rPr>
            </w:pPr>
            <w:r w:rsidRPr="00BD56DB">
              <w:rPr>
                <w:lang/>
              </w:rPr>
              <w:t xml:space="preserve">An action plan for reducing our carbon footprint. </w:t>
            </w:r>
          </w:p>
        </w:tc>
      </w:tr>
      <w:tr w:rsidR="009D1BF8" w:rsidRPr="00BD56DB" w:rsidTr="00AF6853">
        <w:trPr>
          <w:trHeight w:val="794"/>
          <w:tblHeader/>
        </w:trPr>
        <w:tc>
          <w:tcPr>
            <w:tcW w:w="1384" w:type="dxa"/>
          </w:tcPr>
          <w:p w:rsidR="009D1BF8" w:rsidRPr="00BD56DB" w:rsidRDefault="009D1BF8" w:rsidP="001D689F">
            <w:pPr>
              <w:spacing w:before="80" w:after="80"/>
              <w:rPr>
                <w:rFonts w:ascii="Helvetica" w:hAnsi="Helvetica"/>
              </w:rPr>
            </w:pPr>
            <w:r w:rsidRPr="00BD56DB">
              <w:rPr>
                <w:rFonts w:ascii="Helvetica" w:hAnsi="Helvetica"/>
              </w:rPr>
              <w:t>Page 16</w:t>
            </w:r>
          </w:p>
        </w:tc>
        <w:tc>
          <w:tcPr>
            <w:tcW w:w="2552" w:type="dxa"/>
            <w:gridSpan w:val="2"/>
          </w:tcPr>
          <w:p w:rsidR="009D1BF8" w:rsidRPr="00BD56DB" w:rsidRDefault="009D1BF8" w:rsidP="001D689F">
            <w:pPr>
              <w:spacing w:before="80" w:after="80"/>
              <w:rPr>
                <w:rFonts w:ascii="Helvetica" w:hAnsi="Helvetica"/>
              </w:rPr>
            </w:pPr>
            <w:r w:rsidRPr="00BD56DB">
              <w:rPr>
                <w:rFonts w:ascii="Helvetica" w:hAnsi="Helvetica"/>
              </w:rPr>
              <w:t xml:space="preserve">Sustainability </w:t>
            </w:r>
          </w:p>
        </w:tc>
        <w:tc>
          <w:tcPr>
            <w:tcW w:w="2409" w:type="dxa"/>
          </w:tcPr>
          <w:p w:rsidR="009D1BF8" w:rsidRPr="00BD56DB" w:rsidRDefault="009D1BF8" w:rsidP="001D689F">
            <w:pPr>
              <w:spacing w:before="80" w:after="80"/>
              <w:rPr>
                <w:rFonts w:ascii="Helvetica" w:hAnsi="Helvetica"/>
              </w:rPr>
            </w:pPr>
            <w:r w:rsidRPr="00BD56DB">
              <w:rPr>
                <w:rFonts w:ascii="Helvetica" w:hAnsi="Helvetica"/>
              </w:rPr>
              <w:t xml:space="preserve">RAG report </w:t>
            </w:r>
          </w:p>
        </w:tc>
        <w:tc>
          <w:tcPr>
            <w:tcW w:w="8545" w:type="dxa"/>
            <w:gridSpan w:val="3"/>
          </w:tcPr>
          <w:p w:rsidR="009D1BF8" w:rsidRPr="00BD56DB" w:rsidRDefault="009D1BF8" w:rsidP="00A97671">
            <w:pPr>
              <w:spacing w:before="80" w:after="80"/>
              <w:rPr>
                <w:lang/>
              </w:rPr>
            </w:pPr>
            <w:r w:rsidRPr="00BD56DB">
              <w:rPr>
                <w:lang/>
              </w:rPr>
              <w:t>Reports, based on the Red, Amber, and Green colors used in a traffic light rating system.</w:t>
            </w:r>
          </w:p>
        </w:tc>
      </w:tr>
      <w:tr w:rsidR="009D1BF8" w:rsidRPr="00BD56DB" w:rsidTr="00AF6853">
        <w:trPr>
          <w:trHeight w:val="794"/>
          <w:tblHeader/>
        </w:trPr>
        <w:tc>
          <w:tcPr>
            <w:tcW w:w="1384" w:type="dxa"/>
          </w:tcPr>
          <w:p w:rsidR="009D1BF8" w:rsidRPr="00BD56DB" w:rsidRDefault="009D1BF8" w:rsidP="001D689F">
            <w:pPr>
              <w:spacing w:before="80" w:after="80"/>
              <w:rPr>
                <w:rFonts w:ascii="Helvetica" w:hAnsi="Helvetica"/>
              </w:rPr>
            </w:pPr>
            <w:r w:rsidRPr="00BD56DB">
              <w:rPr>
                <w:rFonts w:ascii="Helvetica" w:hAnsi="Helvetica"/>
              </w:rPr>
              <w:t>Page 19</w:t>
            </w:r>
          </w:p>
        </w:tc>
        <w:tc>
          <w:tcPr>
            <w:tcW w:w="2552" w:type="dxa"/>
            <w:gridSpan w:val="2"/>
          </w:tcPr>
          <w:p w:rsidR="009D1BF8" w:rsidRPr="00BD56DB" w:rsidRDefault="009D1BF8" w:rsidP="001D689F">
            <w:pPr>
              <w:spacing w:before="80" w:after="80"/>
              <w:rPr>
                <w:rFonts w:ascii="Helvetica" w:hAnsi="Helvetica"/>
              </w:rPr>
            </w:pPr>
            <w:r w:rsidRPr="00BD56DB">
              <w:rPr>
                <w:rFonts w:ascii="Helvetica" w:hAnsi="Helvetica"/>
              </w:rPr>
              <w:t>Sustainability</w:t>
            </w:r>
          </w:p>
        </w:tc>
        <w:tc>
          <w:tcPr>
            <w:tcW w:w="2409" w:type="dxa"/>
          </w:tcPr>
          <w:p w:rsidR="009D1BF8" w:rsidRPr="00BD56DB" w:rsidRDefault="009D1BF8" w:rsidP="001D689F">
            <w:pPr>
              <w:spacing w:before="80" w:after="80"/>
              <w:rPr>
                <w:rFonts w:ascii="Helvetica" w:hAnsi="Helvetica"/>
              </w:rPr>
            </w:pPr>
            <w:r w:rsidRPr="00BD56DB">
              <w:rPr>
                <w:rFonts w:ascii="Helvetica" w:hAnsi="Helvetica"/>
              </w:rPr>
              <w:t xml:space="preserve">Moodle </w:t>
            </w:r>
          </w:p>
        </w:tc>
        <w:tc>
          <w:tcPr>
            <w:tcW w:w="8545" w:type="dxa"/>
            <w:gridSpan w:val="3"/>
          </w:tcPr>
          <w:p w:rsidR="009D1BF8" w:rsidRPr="00BD56DB" w:rsidRDefault="009D1BF8" w:rsidP="00A97671">
            <w:pPr>
              <w:spacing w:before="80" w:after="80"/>
              <w:rPr>
                <w:lang/>
              </w:rPr>
            </w:pPr>
            <w:r w:rsidRPr="00BD56DB">
              <w:rPr>
                <w:lang/>
              </w:rPr>
              <w:t>Modular Object-Oriented Dynamic Learning Environment – an e-learning software platform, also known as a Virtual Learning Environment (VLE).</w:t>
            </w:r>
          </w:p>
        </w:tc>
      </w:tr>
      <w:tr w:rsidR="009D1BF8" w:rsidRPr="00BD56DB" w:rsidTr="00AF6853">
        <w:trPr>
          <w:trHeight w:val="794"/>
          <w:tblHeader/>
        </w:trPr>
        <w:tc>
          <w:tcPr>
            <w:tcW w:w="1384" w:type="dxa"/>
          </w:tcPr>
          <w:p w:rsidR="009D1BF8" w:rsidRPr="00BD56DB" w:rsidRDefault="009D1BF8" w:rsidP="00553F06">
            <w:pPr>
              <w:spacing w:before="80" w:after="80"/>
              <w:rPr>
                <w:rFonts w:ascii="Helvetica" w:hAnsi="Helvetica"/>
              </w:rPr>
            </w:pPr>
            <w:r w:rsidRPr="00BD56DB">
              <w:rPr>
                <w:rFonts w:ascii="Helvetica" w:hAnsi="Helvetica"/>
              </w:rPr>
              <w:t>Page 20</w:t>
            </w:r>
          </w:p>
        </w:tc>
        <w:tc>
          <w:tcPr>
            <w:tcW w:w="2552" w:type="dxa"/>
            <w:gridSpan w:val="2"/>
          </w:tcPr>
          <w:p w:rsidR="009D1BF8" w:rsidRPr="00BD56DB" w:rsidRDefault="009D1BF8" w:rsidP="001D689F">
            <w:pPr>
              <w:spacing w:before="80" w:after="80"/>
              <w:rPr>
                <w:rFonts w:ascii="Helvetica" w:hAnsi="Helvetica"/>
              </w:rPr>
            </w:pPr>
            <w:r w:rsidRPr="00BD56DB">
              <w:rPr>
                <w:rFonts w:ascii="Helvetica" w:hAnsi="Helvetica"/>
              </w:rPr>
              <w:t xml:space="preserve">Sustainability </w:t>
            </w:r>
          </w:p>
        </w:tc>
        <w:tc>
          <w:tcPr>
            <w:tcW w:w="2409" w:type="dxa"/>
          </w:tcPr>
          <w:p w:rsidR="009D1BF8" w:rsidRPr="00BD56DB" w:rsidRDefault="009D1BF8" w:rsidP="001D689F">
            <w:pPr>
              <w:spacing w:before="80" w:after="80"/>
              <w:rPr>
                <w:rFonts w:ascii="Helvetica" w:hAnsi="Helvetica"/>
              </w:rPr>
            </w:pPr>
            <w:r w:rsidRPr="00BD56DB">
              <w:rPr>
                <w:rFonts w:ascii="Helvetica" w:hAnsi="Helvetica"/>
              </w:rPr>
              <w:t xml:space="preserve">‘TNT’ </w:t>
            </w:r>
          </w:p>
        </w:tc>
        <w:tc>
          <w:tcPr>
            <w:tcW w:w="8545" w:type="dxa"/>
            <w:gridSpan w:val="3"/>
          </w:tcPr>
          <w:p w:rsidR="009D1BF8" w:rsidRPr="00BD56DB" w:rsidRDefault="009D1BF8" w:rsidP="00A97671">
            <w:pPr>
              <w:spacing w:before="80" w:after="80"/>
              <w:rPr>
                <w:lang/>
              </w:rPr>
            </w:pPr>
            <w:r w:rsidRPr="00BD56DB">
              <w:rPr>
                <w:lang/>
              </w:rPr>
              <w:t xml:space="preserve">Tiny noticeable things – an initiative to solve all those small annoyances that cause disruption to everyday working! </w:t>
            </w:r>
          </w:p>
        </w:tc>
      </w:tr>
      <w:tr w:rsidR="009D1BF8" w:rsidRPr="00BD56DB" w:rsidTr="00AF6853">
        <w:trPr>
          <w:trHeight w:val="794"/>
          <w:tblHeader/>
        </w:trPr>
        <w:tc>
          <w:tcPr>
            <w:tcW w:w="1384" w:type="dxa"/>
          </w:tcPr>
          <w:p w:rsidR="009D1BF8" w:rsidRPr="00BD56DB" w:rsidRDefault="009D1BF8" w:rsidP="001D689F">
            <w:pPr>
              <w:spacing w:before="80" w:after="80"/>
              <w:rPr>
                <w:rFonts w:ascii="Helvetica" w:hAnsi="Helvetica"/>
              </w:rPr>
            </w:pPr>
            <w:r w:rsidRPr="00BD56DB">
              <w:rPr>
                <w:rFonts w:ascii="Helvetica" w:hAnsi="Helvetica"/>
              </w:rPr>
              <w:t>Page 23</w:t>
            </w:r>
          </w:p>
        </w:tc>
        <w:tc>
          <w:tcPr>
            <w:tcW w:w="2552" w:type="dxa"/>
            <w:gridSpan w:val="2"/>
          </w:tcPr>
          <w:p w:rsidR="009D1BF8" w:rsidRPr="00BD56DB" w:rsidRDefault="009D1BF8" w:rsidP="001D689F">
            <w:pPr>
              <w:spacing w:before="80" w:after="80"/>
              <w:rPr>
                <w:rFonts w:ascii="Helvetica" w:hAnsi="Helvetica"/>
              </w:rPr>
            </w:pPr>
            <w:r w:rsidRPr="00BD56DB">
              <w:rPr>
                <w:rFonts w:ascii="Helvetica" w:hAnsi="Helvetica"/>
              </w:rPr>
              <w:t>Mobile data terminals</w:t>
            </w:r>
          </w:p>
        </w:tc>
        <w:tc>
          <w:tcPr>
            <w:tcW w:w="2409" w:type="dxa"/>
          </w:tcPr>
          <w:p w:rsidR="009D1BF8" w:rsidRPr="00BD56DB" w:rsidRDefault="009D1BF8" w:rsidP="001D689F">
            <w:pPr>
              <w:spacing w:before="80" w:after="80"/>
              <w:rPr>
                <w:rFonts w:ascii="Helvetica" w:hAnsi="Helvetica"/>
              </w:rPr>
            </w:pPr>
            <w:r w:rsidRPr="00BD56DB">
              <w:rPr>
                <w:rFonts w:ascii="Helvetica" w:hAnsi="Helvetica"/>
              </w:rPr>
              <w:t>Mobile data terminals</w:t>
            </w:r>
          </w:p>
        </w:tc>
        <w:tc>
          <w:tcPr>
            <w:tcW w:w="8545" w:type="dxa"/>
            <w:gridSpan w:val="3"/>
          </w:tcPr>
          <w:p w:rsidR="009D1BF8" w:rsidRPr="00BD56DB" w:rsidRDefault="009D1BF8" w:rsidP="00A97671">
            <w:pPr>
              <w:spacing w:before="80" w:after="80"/>
              <w:rPr>
                <w:lang/>
              </w:rPr>
            </w:pPr>
            <w:r w:rsidRPr="00BD56DB">
              <w:rPr>
                <w:lang/>
              </w:rPr>
              <w:t>The introduction of the FireLink communications network in 2009 provided Mobile Data Terminals (MDT) in the appliance cab.  MDTs are the means of delivering information to the incident concerning, for instance, buildings, vehicles, water supplies, map of area and risk area definition.</w:t>
            </w:r>
          </w:p>
        </w:tc>
      </w:tr>
      <w:tr w:rsidR="009D1BF8" w:rsidRPr="00BD56DB" w:rsidTr="00AF6853">
        <w:trPr>
          <w:trHeight w:val="794"/>
          <w:tblHeader/>
        </w:trPr>
        <w:tc>
          <w:tcPr>
            <w:tcW w:w="1384" w:type="dxa"/>
          </w:tcPr>
          <w:p w:rsidR="009D1BF8" w:rsidRPr="00BD56DB" w:rsidRDefault="009D1BF8" w:rsidP="00553F06">
            <w:pPr>
              <w:spacing w:before="80" w:after="80"/>
              <w:rPr>
                <w:rFonts w:ascii="Helvetica" w:hAnsi="Helvetica"/>
              </w:rPr>
            </w:pPr>
            <w:r w:rsidRPr="00BD56DB">
              <w:rPr>
                <w:rFonts w:ascii="Helvetica" w:hAnsi="Helvetica"/>
              </w:rPr>
              <w:t>Page 27</w:t>
            </w:r>
          </w:p>
        </w:tc>
        <w:tc>
          <w:tcPr>
            <w:tcW w:w="2552" w:type="dxa"/>
            <w:gridSpan w:val="2"/>
          </w:tcPr>
          <w:p w:rsidR="009D1BF8" w:rsidRPr="00BD56DB" w:rsidRDefault="009D1BF8" w:rsidP="001D689F">
            <w:pPr>
              <w:spacing w:before="80" w:after="80"/>
              <w:rPr>
                <w:rFonts w:ascii="Helvetica" w:hAnsi="Helvetica"/>
              </w:rPr>
            </w:pPr>
            <w:r w:rsidRPr="00BD56DB">
              <w:rPr>
                <w:rFonts w:ascii="Helvetica" w:hAnsi="Helvetica"/>
              </w:rPr>
              <w:t>FireWatch</w:t>
            </w:r>
          </w:p>
        </w:tc>
        <w:tc>
          <w:tcPr>
            <w:tcW w:w="2409" w:type="dxa"/>
          </w:tcPr>
          <w:p w:rsidR="009D1BF8" w:rsidRPr="00BD56DB" w:rsidRDefault="009D1BF8" w:rsidP="001D689F">
            <w:pPr>
              <w:spacing w:before="80" w:after="80"/>
              <w:rPr>
                <w:rFonts w:ascii="Helvetica" w:hAnsi="Helvetica"/>
              </w:rPr>
            </w:pPr>
            <w:r w:rsidRPr="00BD56DB">
              <w:rPr>
                <w:rFonts w:ascii="Helvetica" w:hAnsi="Helvetica"/>
              </w:rPr>
              <w:t>FireWatch</w:t>
            </w:r>
          </w:p>
        </w:tc>
        <w:tc>
          <w:tcPr>
            <w:tcW w:w="8545" w:type="dxa"/>
            <w:gridSpan w:val="3"/>
          </w:tcPr>
          <w:p w:rsidR="009D1BF8" w:rsidRPr="00BD56DB" w:rsidRDefault="009D1BF8" w:rsidP="00A97671">
            <w:pPr>
              <w:spacing w:before="80" w:after="80"/>
              <w:rPr>
                <w:lang/>
              </w:rPr>
            </w:pPr>
            <w:r w:rsidRPr="00BD56DB">
              <w:rPr>
                <w:lang/>
              </w:rPr>
              <w:t>FireWatch is an integrated computer application to help us manage our people and other resources more effectively and is one of the Service’s ‘invest to save’ projects.  Once fully implemented, it will help us to maximise the use of our firefighters, other staff and our physical assets, allowing us to work in a smarter, and more joined-up way.</w:t>
            </w:r>
          </w:p>
        </w:tc>
      </w:tr>
      <w:tr w:rsidR="009D1BF8" w:rsidRPr="00BD56DB" w:rsidTr="00AF6853">
        <w:trPr>
          <w:trHeight w:val="794"/>
          <w:tblHeader/>
        </w:trPr>
        <w:tc>
          <w:tcPr>
            <w:tcW w:w="1384" w:type="dxa"/>
          </w:tcPr>
          <w:p w:rsidR="009D1BF8" w:rsidRPr="00BD56DB" w:rsidRDefault="009D1BF8" w:rsidP="00553F06">
            <w:pPr>
              <w:spacing w:before="80" w:after="80"/>
              <w:rPr>
                <w:rFonts w:ascii="Helvetica" w:hAnsi="Helvetica"/>
              </w:rPr>
            </w:pPr>
            <w:r w:rsidRPr="00BD56DB">
              <w:rPr>
                <w:rFonts w:ascii="Helvetica" w:hAnsi="Helvetica"/>
              </w:rPr>
              <w:t>Page 27</w:t>
            </w:r>
          </w:p>
        </w:tc>
        <w:tc>
          <w:tcPr>
            <w:tcW w:w="2552" w:type="dxa"/>
            <w:gridSpan w:val="2"/>
          </w:tcPr>
          <w:p w:rsidR="009D1BF8" w:rsidRPr="00BD56DB" w:rsidRDefault="009D1BF8" w:rsidP="001D689F">
            <w:pPr>
              <w:spacing w:before="80" w:after="80"/>
              <w:rPr>
                <w:rFonts w:ascii="Helvetica" w:hAnsi="Helvetica"/>
              </w:rPr>
            </w:pPr>
            <w:r w:rsidRPr="00BD56DB">
              <w:rPr>
                <w:rFonts w:ascii="Helvetica" w:hAnsi="Helvetica"/>
              </w:rPr>
              <w:t>FireWatch</w:t>
            </w:r>
          </w:p>
        </w:tc>
        <w:tc>
          <w:tcPr>
            <w:tcW w:w="2409" w:type="dxa"/>
          </w:tcPr>
          <w:p w:rsidR="009D1BF8" w:rsidRPr="00BD56DB" w:rsidRDefault="009D1BF8" w:rsidP="001D689F">
            <w:pPr>
              <w:spacing w:before="80" w:after="80"/>
              <w:rPr>
                <w:rFonts w:ascii="Helvetica" w:hAnsi="Helvetica"/>
              </w:rPr>
            </w:pPr>
            <w:r w:rsidRPr="00BD56DB">
              <w:rPr>
                <w:rFonts w:ascii="Helvetica" w:hAnsi="Helvetica"/>
              </w:rPr>
              <w:t>Service Level Agreement</w:t>
            </w:r>
          </w:p>
        </w:tc>
        <w:tc>
          <w:tcPr>
            <w:tcW w:w="8545" w:type="dxa"/>
            <w:gridSpan w:val="3"/>
          </w:tcPr>
          <w:p w:rsidR="009D1BF8" w:rsidRPr="00BD56DB" w:rsidRDefault="009D1BF8" w:rsidP="00C5407E">
            <w:pPr>
              <w:spacing w:before="80" w:after="80"/>
              <w:rPr>
                <w:lang/>
              </w:rPr>
            </w:pPr>
            <w:r w:rsidRPr="00BD56DB">
              <w:rPr>
                <w:lang/>
              </w:rPr>
              <w:t xml:space="preserve">Hampshire Fire and Rescue Authority (HFRA) purchases a number of support services from Hampshire County Council and has done so since it was established as a Combined Fire Authority in 1997. The services provided were set up without recourse to competition and fall into four broad service categories: treasury and financial services; property business and regulatory services; information technology managed services and support; and legal and committee services. </w:t>
            </w:r>
          </w:p>
        </w:tc>
      </w:tr>
      <w:tr w:rsidR="009D1BF8" w:rsidRPr="00BD56DB" w:rsidTr="00AF6853">
        <w:trPr>
          <w:trHeight w:val="794"/>
          <w:tblHeader/>
        </w:trPr>
        <w:tc>
          <w:tcPr>
            <w:tcW w:w="1384" w:type="dxa"/>
          </w:tcPr>
          <w:p w:rsidR="009D1BF8" w:rsidRPr="00BD56DB" w:rsidRDefault="009D1BF8" w:rsidP="003C7DA7">
            <w:pPr>
              <w:spacing w:before="80" w:after="80"/>
              <w:rPr>
                <w:rFonts w:ascii="Helvetica" w:hAnsi="Helvetica"/>
              </w:rPr>
            </w:pPr>
            <w:r w:rsidRPr="00BD56DB">
              <w:rPr>
                <w:rFonts w:ascii="Helvetica" w:hAnsi="Helvetica"/>
              </w:rPr>
              <w:t>Page 33</w:t>
            </w:r>
          </w:p>
        </w:tc>
        <w:tc>
          <w:tcPr>
            <w:tcW w:w="2552" w:type="dxa"/>
            <w:gridSpan w:val="2"/>
          </w:tcPr>
          <w:p w:rsidR="009D1BF8" w:rsidRPr="00BD56DB" w:rsidRDefault="009D1BF8" w:rsidP="001D689F">
            <w:pPr>
              <w:spacing w:before="80" w:after="80"/>
              <w:rPr>
                <w:rFonts w:ascii="Helvetica" w:hAnsi="Helvetica"/>
              </w:rPr>
            </w:pPr>
            <w:r w:rsidRPr="00BD56DB">
              <w:rPr>
                <w:rFonts w:ascii="Helvetica" w:hAnsi="Helvetica"/>
              </w:rPr>
              <w:t>FireWatch</w:t>
            </w:r>
          </w:p>
        </w:tc>
        <w:tc>
          <w:tcPr>
            <w:tcW w:w="2409" w:type="dxa"/>
          </w:tcPr>
          <w:p w:rsidR="009D1BF8" w:rsidRPr="00BD56DB" w:rsidRDefault="009D1BF8" w:rsidP="001D689F">
            <w:pPr>
              <w:spacing w:before="80" w:after="80"/>
              <w:rPr>
                <w:rFonts w:ascii="Helvetica" w:hAnsi="Helvetica"/>
              </w:rPr>
            </w:pPr>
            <w:r w:rsidRPr="00BD56DB">
              <w:rPr>
                <w:rFonts w:ascii="Helvetica" w:hAnsi="Helvetica"/>
              </w:rPr>
              <w:t xml:space="preserve">BACS </w:t>
            </w:r>
          </w:p>
        </w:tc>
        <w:tc>
          <w:tcPr>
            <w:tcW w:w="8545" w:type="dxa"/>
            <w:gridSpan w:val="3"/>
          </w:tcPr>
          <w:p w:rsidR="009D1BF8" w:rsidRPr="00BD56DB" w:rsidRDefault="009D1BF8" w:rsidP="00AB7DD4">
            <w:pPr>
              <w:spacing w:before="80" w:after="80"/>
              <w:rPr>
                <w:lang/>
              </w:rPr>
            </w:pPr>
            <w:r w:rsidRPr="00BD56DB">
              <w:rPr>
                <w:lang/>
              </w:rPr>
              <w:t xml:space="preserve">Bacs Payment Schemes Limited (originally Bankers' Automated Clearing Services) is a UK scheme for the electronic processing of financial transactions. </w:t>
            </w:r>
          </w:p>
        </w:tc>
      </w:tr>
      <w:tr w:rsidR="009D1BF8" w:rsidRPr="00BD56DB" w:rsidTr="00AF6853">
        <w:trPr>
          <w:trHeight w:val="794"/>
          <w:tblHeader/>
        </w:trPr>
        <w:tc>
          <w:tcPr>
            <w:tcW w:w="1384" w:type="dxa"/>
          </w:tcPr>
          <w:p w:rsidR="009D1BF8" w:rsidRPr="00BD56DB" w:rsidRDefault="009D1BF8" w:rsidP="003C7DA7">
            <w:pPr>
              <w:spacing w:before="80" w:after="80"/>
              <w:rPr>
                <w:rFonts w:ascii="Helvetica" w:hAnsi="Helvetica"/>
              </w:rPr>
            </w:pPr>
            <w:r w:rsidRPr="00BD56DB">
              <w:rPr>
                <w:rFonts w:ascii="Helvetica" w:hAnsi="Helvetica"/>
              </w:rPr>
              <w:t>Page 33</w:t>
            </w:r>
          </w:p>
        </w:tc>
        <w:tc>
          <w:tcPr>
            <w:tcW w:w="2552" w:type="dxa"/>
            <w:gridSpan w:val="2"/>
          </w:tcPr>
          <w:p w:rsidR="009D1BF8" w:rsidRPr="00BD56DB" w:rsidRDefault="009D1BF8" w:rsidP="001D689F">
            <w:pPr>
              <w:spacing w:before="80" w:after="80"/>
              <w:rPr>
                <w:rFonts w:ascii="Helvetica" w:hAnsi="Helvetica"/>
              </w:rPr>
            </w:pPr>
            <w:r w:rsidRPr="00BD56DB">
              <w:rPr>
                <w:rFonts w:ascii="Helvetica" w:hAnsi="Helvetica"/>
              </w:rPr>
              <w:t>FireWatch</w:t>
            </w:r>
          </w:p>
        </w:tc>
        <w:tc>
          <w:tcPr>
            <w:tcW w:w="2409" w:type="dxa"/>
          </w:tcPr>
          <w:p w:rsidR="009D1BF8" w:rsidRPr="00BD56DB" w:rsidRDefault="009D1BF8" w:rsidP="001D689F">
            <w:pPr>
              <w:spacing w:before="80" w:after="80"/>
              <w:rPr>
                <w:rFonts w:ascii="Helvetica" w:hAnsi="Helvetica"/>
              </w:rPr>
            </w:pPr>
            <w:r w:rsidRPr="00BD56DB">
              <w:rPr>
                <w:rFonts w:ascii="Helvetica" w:hAnsi="Helvetica"/>
              </w:rPr>
              <w:t>ARAs</w:t>
            </w:r>
          </w:p>
        </w:tc>
        <w:tc>
          <w:tcPr>
            <w:tcW w:w="8545" w:type="dxa"/>
            <w:gridSpan w:val="3"/>
          </w:tcPr>
          <w:p w:rsidR="009D1BF8" w:rsidRPr="00BD56DB" w:rsidRDefault="009D1BF8" w:rsidP="00A97671">
            <w:pPr>
              <w:spacing w:before="80" w:after="80"/>
              <w:rPr>
                <w:lang/>
              </w:rPr>
            </w:pPr>
            <w:r w:rsidRPr="00BD56DB">
              <w:rPr>
                <w:lang/>
              </w:rPr>
              <w:t>Additional Responsibility Allowances.  Monthly ARAs are payable to a certain number of operational staff in recognition of duties they undertake outside of their respective role maps</w:t>
            </w:r>
          </w:p>
        </w:tc>
      </w:tr>
      <w:tr w:rsidR="009D1BF8" w:rsidRPr="00BD56DB" w:rsidTr="00AF6853">
        <w:trPr>
          <w:trHeight w:val="794"/>
          <w:tblHeader/>
        </w:trPr>
        <w:tc>
          <w:tcPr>
            <w:tcW w:w="1384" w:type="dxa"/>
          </w:tcPr>
          <w:p w:rsidR="009D1BF8" w:rsidRPr="00BD56DB" w:rsidRDefault="009D1BF8" w:rsidP="003C7DA7">
            <w:pPr>
              <w:spacing w:before="80" w:after="80"/>
              <w:rPr>
                <w:rFonts w:ascii="Helvetica" w:hAnsi="Helvetica"/>
              </w:rPr>
            </w:pPr>
            <w:r w:rsidRPr="00BD56DB">
              <w:rPr>
                <w:rFonts w:ascii="Helvetica" w:hAnsi="Helvetica"/>
              </w:rPr>
              <w:t>Page 36</w:t>
            </w:r>
          </w:p>
        </w:tc>
        <w:tc>
          <w:tcPr>
            <w:tcW w:w="2552" w:type="dxa"/>
            <w:gridSpan w:val="2"/>
          </w:tcPr>
          <w:p w:rsidR="009D1BF8" w:rsidRPr="00BD56DB" w:rsidRDefault="009D1BF8" w:rsidP="001D689F">
            <w:pPr>
              <w:spacing w:before="80" w:after="80"/>
              <w:rPr>
                <w:rFonts w:ascii="Helvetica" w:hAnsi="Helvetica"/>
              </w:rPr>
            </w:pPr>
            <w:r w:rsidRPr="00BD56DB">
              <w:rPr>
                <w:rFonts w:ascii="Helvetica" w:hAnsi="Helvetica"/>
              </w:rPr>
              <w:t>Hampshire Safeguarding Children Board</w:t>
            </w:r>
          </w:p>
        </w:tc>
        <w:tc>
          <w:tcPr>
            <w:tcW w:w="2409" w:type="dxa"/>
          </w:tcPr>
          <w:p w:rsidR="009D1BF8" w:rsidRPr="00BD56DB" w:rsidRDefault="009D1BF8" w:rsidP="001D689F">
            <w:pPr>
              <w:spacing w:before="80" w:after="80"/>
              <w:rPr>
                <w:rFonts w:ascii="Helvetica" w:hAnsi="Helvetica"/>
              </w:rPr>
            </w:pPr>
            <w:r w:rsidRPr="00BD56DB">
              <w:rPr>
                <w:rFonts w:ascii="Helvetica" w:hAnsi="Helvetica"/>
              </w:rPr>
              <w:t xml:space="preserve">CAF </w:t>
            </w:r>
          </w:p>
        </w:tc>
        <w:tc>
          <w:tcPr>
            <w:tcW w:w="8545" w:type="dxa"/>
            <w:gridSpan w:val="3"/>
          </w:tcPr>
          <w:p w:rsidR="009D1BF8" w:rsidRPr="00BD56DB" w:rsidRDefault="009D1BF8" w:rsidP="00AB7DD4">
            <w:pPr>
              <w:spacing w:before="80" w:after="80"/>
              <w:rPr>
                <w:lang/>
              </w:rPr>
            </w:pPr>
            <w:r w:rsidRPr="00BD56DB">
              <w:rPr>
                <w:lang/>
              </w:rPr>
              <w:t>Common Assessment Framework – this is a nationally standardised approach to conducting an assessment of the needs of a child or young person and deciding how they should be met. Assessments are carried out by practitioners working with children, young people and families, whether in statutory, community or voluntary sectors. These services include the following - Health, Schools, Education, Connexions, Child Care, Early Years, Social Care, Police, Youth Justice.</w:t>
            </w:r>
          </w:p>
        </w:tc>
      </w:tr>
      <w:tr w:rsidR="009D1BF8" w:rsidRPr="00BD56DB" w:rsidTr="00AF6853">
        <w:trPr>
          <w:trHeight w:val="794"/>
          <w:tblHeader/>
        </w:trPr>
        <w:tc>
          <w:tcPr>
            <w:tcW w:w="1384" w:type="dxa"/>
          </w:tcPr>
          <w:p w:rsidR="009D1BF8" w:rsidRPr="00BD56DB" w:rsidRDefault="009D1BF8" w:rsidP="001D689F">
            <w:pPr>
              <w:spacing w:before="80" w:after="80"/>
              <w:rPr>
                <w:rFonts w:ascii="Helvetica" w:hAnsi="Helvetica"/>
              </w:rPr>
            </w:pPr>
            <w:r w:rsidRPr="00BD56DB">
              <w:rPr>
                <w:rFonts w:ascii="Helvetica" w:hAnsi="Helvetica"/>
              </w:rPr>
              <w:t>Page 36</w:t>
            </w:r>
          </w:p>
        </w:tc>
        <w:tc>
          <w:tcPr>
            <w:tcW w:w="2552" w:type="dxa"/>
            <w:gridSpan w:val="2"/>
          </w:tcPr>
          <w:p w:rsidR="009D1BF8" w:rsidRPr="00BD56DB" w:rsidRDefault="009D1BF8" w:rsidP="001D689F">
            <w:pPr>
              <w:spacing w:before="80" w:after="80"/>
              <w:rPr>
                <w:rFonts w:ascii="Helvetica" w:hAnsi="Helvetica"/>
              </w:rPr>
            </w:pPr>
            <w:r w:rsidRPr="00BD56DB">
              <w:rPr>
                <w:rFonts w:ascii="Helvetica" w:hAnsi="Helvetica"/>
              </w:rPr>
              <w:t>Hampshire Safeguarding Children Board</w:t>
            </w:r>
          </w:p>
        </w:tc>
        <w:tc>
          <w:tcPr>
            <w:tcW w:w="2409" w:type="dxa"/>
          </w:tcPr>
          <w:p w:rsidR="009D1BF8" w:rsidRPr="00BD56DB" w:rsidRDefault="009D1BF8" w:rsidP="001D689F">
            <w:pPr>
              <w:spacing w:before="80" w:after="80"/>
              <w:rPr>
                <w:rFonts w:ascii="Helvetica" w:hAnsi="Helvetica"/>
              </w:rPr>
            </w:pPr>
            <w:r w:rsidRPr="00BD56DB">
              <w:rPr>
                <w:rFonts w:ascii="Helvetica" w:hAnsi="Helvetica"/>
              </w:rPr>
              <w:t>Firesetter</w:t>
            </w:r>
          </w:p>
        </w:tc>
        <w:tc>
          <w:tcPr>
            <w:tcW w:w="8545" w:type="dxa"/>
            <w:gridSpan w:val="3"/>
          </w:tcPr>
          <w:p w:rsidR="009D1BF8" w:rsidRPr="00BD56DB" w:rsidRDefault="009D1BF8" w:rsidP="00AB7DD4">
            <w:pPr>
              <w:spacing w:before="80" w:after="80"/>
              <w:rPr>
                <w:lang/>
              </w:rPr>
            </w:pPr>
            <w:r w:rsidRPr="00BD56DB">
              <w:rPr>
                <w:lang/>
              </w:rPr>
              <w:t>The Firesetter Intervention Programme has been in existence since 1995. Its inception came about after a number of fire service personnel recognised the importance of addressing firesetting behaviour amongst children and young people. The programme has developed over the years from an ‘ad-hoc’ firesetter intervention service to the present format that is now recognised by HFRS as being a ‘core activity’.</w:t>
            </w:r>
          </w:p>
        </w:tc>
      </w:tr>
      <w:tr w:rsidR="009D1BF8" w:rsidRPr="00BD56DB" w:rsidTr="00AF6853">
        <w:trPr>
          <w:trHeight w:val="794"/>
          <w:tblHeader/>
        </w:trPr>
        <w:tc>
          <w:tcPr>
            <w:tcW w:w="1384" w:type="dxa"/>
          </w:tcPr>
          <w:p w:rsidR="009D1BF8" w:rsidRPr="00BD56DB" w:rsidRDefault="009D1BF8" w:rsidP="003C7DA7">
            <w:pPr>
              <w:spacing w:before="80" w:after="80"/>
              <w:rPr>
                <w:rFonts w:ascii="Helvetica" w:hAnsi="Helvetica"/>
              </w:rPr>
            </w:pPr>
            <w:r w:rsidRPr="00BD56DB">
              <w:rPr>
                <w:rFonts w:ascii="Helvetica" w:hAnsi="Helvetica"/>
              </w:rPr>
              <w:t xml:space="preserve">Page 37 </w:t>
            </w:r>
          </w:p>
        </w:tc>
        <w:tc>
          <w:tcPr>
            <w:tcW w:w="2552" w:type="dxa"/>
            <w:gridSpan w:val="2"/>
          </w:tcPr>
          <w:p w:rsidR="009D1BF8" w:rsidRPr="00BD56DB" w:rsidRDefault="009D1BF8" w:rsidP="001D689F">
            <w:pPr>
              <w:spacing w:before="80" w:after="80"/>
              <w:rPr>
                <w:rFonts w:ascii="Helvetica" w:hAnsi="Helvetica"/>
              </w:rPr>
            </w:pPr>
            <w:r w:rsidRPr="00BD56DB">
              <w:rPr>
                <w:rFonts w:ascii="Helvetica" w:hAnsi="Helvetica"/>
              </w:rPr>
              <w:t>Hampshire Safeguarding Children Board</w:t>
            </w:r>
          </w:p>
        </w:tc>
        <w:tc>
          <w:tcPr>
            <w:tcW w:w="2409" w:type="dxa"/>
          </w:tcPr>
          <w:p w:rsidR="009D1BF8" w:rsidRPr="00BD56DB" w:rsidRDefault="009D1BF8" w:rsidP="001D689F">
            <w:pPr>
              <w:spacing w:before="80" w:after="80"/>
              <w:rPr>
                <w:rFonts w:ascii="Helvetica" w:hAnsi="Helvetica"/>
              </w:rPr>
            </w:pPr>
            <w:r w:rsidRPr="00BD56DB">
              <w:rPr>
                <w:rFonts w:ascii="Helvetica" w:hAnsi="Helvetica"/>
              </w:rPr>
              <w:t>Young Firefighters Associations (YFA)</w:t>
            </w:r>
          </w:p>
        </w:tc>
        <w:tc>
          <w:tcPr>
            <w:tcW w:w="8545" w:type="dxa"/>
            <w:gridSpan w:val="3"/>
          </w:tcPr>
          <w:p w:rsidR="009D1BF8" w:rsidRPr="00BD56DB" w:rsidRDefault="009D1BF8" w:rsidP="00AB7DD4">
            <w:pPr>
              <w:spacing w:before="80" w:after="80"/>
              <w:rPr>
                <w:lang/>
              </w:rPr>
            </w:pPr>
            <w:r w:rsidRPr="00BD56DB">
              <w:rPr>
                <w:lang/>
              </w:rPr>
              <w:t>The objective of the YFA is the formation and maintenance of a uniformed youth organisation closely associated with the fire service in the Hampshire area. Membership is offered to young people who might not normally have the opportunity to join a uniformed youth organisation, especially members of ethnic minority communities and young people with physical disabilities or learning difficulties.</w:t>
            </w:r>
          </w:p>
          <w:p w:rsidR="009D1BF8" w:rsidRPr="00BD56DB" w:rsidRDefault="009D1BF8" w:rsidP="00AB7DD4">
            <w:pPr>
              <w:spacing w:before="80" w:after="80"/>
              <w:rPr>
                <w:lang/>
              </w:rPr>
            </w:pPr>
            <w:r w:rsidRPr="00BD56DB">
              <w:rPr>
                <w:lang/>
              </w:rPr>
              <w:t>There are currently two branches of the YFA running within Hampshire. These are at Ringwood and Basingstoke.</w:t>
            </w:r>
          </w:p>
        </w:tc>
      </w:tr>
      <w:tr w:rsidR="009D1BF8" w:rsidRPr="00BD56DB" w:rsidTr="00AF6853">
        <w:trPr>
          <w:trHeight w:val="794"/>
          <w:tblHeader/>
        </w:trPr>
        <w:tc>
          <w:tcPr>
            <w:tcW w:w="1384" w:type="dxa"/>
          </w:tcPr>
          <w:p w:rsidR="009D1BF8" w:rsidRPr="00BD56DB" w:rsidRDefault="009D1BF8" w:rsidP="003C7DA7">
            <w:pPr>
              <w:spacing w:before="80" w:after="80"/>
              <w:rPr>
                <w:rFonts w:ascii="Helvetica" w:hAnsi="Helvetica"/>
              </w:rPr>
            </w:pPr>
            <w:r w:rsidRPr="00BD56DB">
              <w:rPr>
                <w:rFonts w:ascii="Helvetica" w:hAnsi="Helvetica"/>
              </w:rPr>
              <w:t>Page 38</w:t>
            </w:r>
          </w:p>
        </w:tc>
        <w:tc>
          <w:tcPr>
            <w:tcW w:w="2552" w:type="dxa"/>
            <w:gridSpan w:val="2"/>
          </w:tcPr>
          <w:p w:rsidR="009D1BF8" w:rsidRPr="00BD56DB" w:rsidRDefault="009D1BF8" w:rsidP="001D689F">
            <w:pPr>
              <w:spacing w:before="80" w:after="80"/>
              <w:rPr>
                <w:rFonts w:ascii="Helvetica" w:hAnsi="Helvetica"/>
              </w:rPr>
            </w:pPr>
            <w:r w:rsidRPr="00BD56DB">
              <w:rPr>
                <w:rFonts w:ascii="Helvetica" w:hAnsi="Helvetica"/>
              </w:rPr>
              <w:t>Hampshire Safeguarding Children Board</w:t>
            </w:r>
          </w:p>
        </w:tc>
        <w:tc>
          <w:tcPr>
            <w:tcW w:w="2409" w:type="dxa"/>
          </w:tcPr>
          <w:p w:rsidR="009D1BF8" w:rsidRPr="00BD56DB" w:rsidRDefault="009D1BF8" w:rsidP="001D689F">
            <w:pPr>
              <w:spacing w:before="80" w:after="80"/>
              <w:rPr>
                <w:rFonts w:ascii="Helvetica" w:hAnsi="Helvetica"/>
              </w:rPr>
            </w:pPr>
            <w:r w:rsidRPr="00BD56DB">
              <w:rPr>
                <w:rFonts w:ascii="Helvetica" w:hAnsi="Helvetica"/>
              </w:rPr>
              <w:t xml:space="preserve">Personal development review (PDR) </w:t>
            </w:r>
          </w:p>
        </w:tc>
        <w:tc>
          <w:tcPr>
            <w:tcW w:w="8545" w:type="dxa"/>
            <w:gridSpan w:val="3"/>
          </w:tcPr>
          <w:p w:rsidR="009D1BF8" w:rsidRPr="00BD56DB" w:rsidRDefault="009D1BF8" w:rsidP="00AB7DD4">
            <w:pPr>
              <w:spacing w:before="80" w:after="80"/>
              <w:rPr>
                <w:lang/>
              </w:rPr>
            </w:pPr>
            <w:r w:rsidRPr="00BD56DB">
              <w:rPr>
                <w:lang/>
              </w:rPr>
              <w:t xml:space="preserve">A PDR is an instrument for enabling an individual and HFRS to: plan, implement and record development activity, measure performance (operational staff); and audit personal development and competence. </w:t>
            </w:r>
          </w:p>
        </w:tc>
      </w:tr>
      <w:tr w:rsidR="009D1BF8" w:rsidRPr="00BD56DB" w:rsidTr="00AF6853">
        <w:trPr>
          <w:trHeight w:val="794"/>
          <w:tblHeader/>
        </w:trPr>
        <w:tc>
          <w:tcPr>
            <w:tcW w:w="1384" w:type="dxa"/>
          </w:tcPr>
          <w:p w:rsidR="009D1BF8" w:rsidRPr="00BD56DB" w:rsidRDefault="009D1BF8" w:rsidP="003C7DA7">
            <w:pPr>
              <w:spacing w:before="80" w:after="80"/>
              <w:rPr>
                <w:rFonts w:ascii="Helvetica" w:hAnsi="Helvetica"/>
              </w:rPr>
            </w:pPr>
            <w:r w:rsidRPr="00BD56DB">
              <w:rPr>
                <w:rFonts w:ascii="Helvetica" w:hAnsi="Helvetica"/>
              </w:rPr>
              <w:t>Page 39</w:t>
            </w:r>
            <w:bookmarkStart w:id="0" w:name="_GoBack"/>
            <w:bookmarkEnd w:id="0"/>
          </w:p>
        </w:tc>
        <w:tc>
          <w:tcPr>
            <w:tcW w:w="2552" w:type="dxa"/>
            <w:gridSpan w:val="2"/>
          </w:tcPr>
          <w:p w:rsidR="009D1BF8" w:rsidRPr="00BD56DB" w:rsidRDefault="009D1BF8" w:rsidP="001D689F">
            <w:pPr>
              <w:spacing w:before="80" w:after="80"/>
              <w:rPr>
                <w:rFonts w:ascii="Helvetica" w:hAnsi="Helvetica"/>
              </w:rPr>
            </w:pPr>
            <w:r w:rsidRPr="00BD56DB">
              <w:rPr>
                <w:rFonts w:ascii="Helvetica" w:hAnsi="Helvetica"/>
              </w:rPr>
              <w:t>Hampshire Safeguarding Children Board</w:t>
            </w:r>
          </w:p>
        </w:tc>
        <w:tc>
          <w:tcPr>
            <w:tcW w:w="2409" w:type="dxa"/>
          </w:tcPr>
          <w:p w:rsidR="009D1BF8" w:rsidRPr="00BD56DB" w:rsidRDefault="009D1BF8" w:rsidP="001D689F">
            <w:pPr>
              <w:spacing w:before="80" w:after="80"/>
              <w:rPr>
                <w:rFonts w:ascii="Helvetica" w:hAnsi="Helvetica"/>
              </w:rPr>
            </w:pPr>
            <w:r w:rsidRPr="00BD56DB">
              <w:rPr>
                <w:rFonts w:ascii="Helvetica" w:hAnsi="Helvetica"/>
              </w:rPr>
              <w:t xml:space="preserve">Safetynet </w:t>
            </w:r>
          </w:p>
        </w:tc>
        <w:tc>
          <w:tcPr>
            <w:tcW w:w="8545" w:type="dxa"/>
            <w:gridSpan w:val="3"/>
          </w:tcPr>
          <w:p w:rsidR="009D1BF8" w:rsidRPr="00BD56DB" w:rsidRDefault="009D1BF8" w:rsidP="00AB7DD4">
            <w:pPr>
              <w:spacing w:before="80" w:after="80"/>
              <w:rPr>
                <w:lang/>
              </w:rPr>
            </w:pPr>
            <w:r w:rsidRPr="00BD56DB">
              <w:rPr>
                <w:lang/>
              </w:rPr>
              <w:t xml:space="preserve">A data sharing system. </w:t>
            </w:r>
          </w:p>
        </w:tc>
      </w:tr>
    </w:tbl>
    <w:p w:rsidR="009D1BF8" w:rsidRDefault="009D1BF8"/>
    <w:p w:rsidR="009D1BF8" w:rsidRDefault="009D1BF8"/>
    <w:p w:rsidR="009D1BF8" w:rsidRDefault="009D1BF8"/>
    <w:p w:rsidR="009D1BF8" w:rsidRDefault="009D1BF8"/>
    <w:p w:rsidR="009D1BF8" w:rsidRDefault="009D1BF8"/>
    <w:p w:rsidR="009D1BF8" w:rsidRDefault="009D1BF8"/>
    <w:p w:rsidR="009D1BF8" w:rsidRDefault="009D1BF8"/>
    <w:p w:rsidR="009D1BF8" w:rsidRPr="004F3148" w:rsidRDefault="009D1BF8" w:rsidP="004F3148">
      <w:pPr>
        <w:rPr>
          <w:b/>
        </w:rPr>
      </w:pPr>
    </w:p>
    <w:p w:rsidR="009D1BF8" w:rsidRDefault="009D1BF8" w:rsidP="004F3148">
      <w:pPr>
        <w:jc w:val="center"/>
        <w:rPr>
          <w:b/>
          <w:u w:val="single"/>
        </w:rPr>
      </w:pPr>
    </w:p>
    <w:p w:rsidR="009D1BF8" w:rsidRDefault="009D1BF8" w:rsidP="004F3148">
      <w:pPr>
        <w:jc w:val="center"/>
        <w:rPr>
          <w:b/>
          <w:u w:val="single"/>
        </w:rPr>
      </w:pPr>
    </w:p>
    <w:p w:rsidR="009D1BF8" w:rsidRPr="004F3148" w:rsidRDefault="009D1BF8" w:rsidP="004F3148">
      <w:pPr>
        <w:rPr>
          <w:b/>
          <w:u w:val="single"/>
        </w:rPr>
      </w:pPr>
    </w:p>
    <w:sectPr w:rsidR="009D1BF8" w:rsidRPr="004F3148" w:rsidSect="00AF6853">
      <w:footerReference w:type="default" r:id="rId7"/>
      <w:pgSz w:w="16838" w:h="11906" w:orient="landscape"/>
      <w:pgMar w:top="1276" w:right="1440" w:bottom="1135"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BF8" w:rsidRDefault="009D1BF8" w:rsidP="00AF6853">
      <w:r>
        <w:separator/>
      </w:r>
    </w:p>
  </w:endnote>
  <w:endnote w:type="continuationSeparator" w:id="0">
    <w:p w:rsidR="009D1BF8" w:rsidRDefault="009D1BF8" w:rsidP="00AF68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BF8" w:rsidRDefault="009D1BF8">
    <w:pPr>
      <w:pStyle w:val="Footer"/>
      <w:jc w:val="right"/>
    </w:pPr>
    <w:fldSimple w:instr=" PAGE   \* MERGEFORMAT ">
      <w:r>
        <w:rPr>
          <w:noProof/>
        </w:rPr>
        <w:t>1</w:t>
      </w:r>
    </w:fldSimple>
  </w:p>
  <w:p w:rsidR="009D1BF8" w:rsidRDefault="009D1B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BF8" w:rsidRDefault="009D1BF8" w:rsidP="00AF6853">
      <w:r>
        <w:separator/>
      </w:r>
    </w:p>
  </w:footnote>
  <w:footnote w:type="continuationSeparator" w:id="0">
    <w:p w:rsidR="009D1BF8" w:rsidRDefault="009D1BF8" w:rsidP="00AF68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04F14"/>
    <w:multiLevelType w:val="multilevel"/>
    <w:tmpl w:val="D870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3148"/>
    <w:rsid w:val="000467F1"/>
    <w:rsid w:val="0009280E"/>
    <w:rsid w:val="0014145B"/>
    <w:rsid w:val="001D689F"/>
    <w:rsid w:val="0026294D"/>
    <w:rsid w:val="003C7DA7"/>
    <w:rsid w:val="003E0D43"/>
    <w:rsid w:val="00483908"/>
    <w:rsid w:val="004F3148"/>
    <w:rsid w:val="00553F06"/>
    <w:rsid w:val="005B4B18"/>
    <w:rsid w:val="007A3CF1"/>
    <w:rsid w:val="008412F4"/>
    <w:rsid w:val="008838A8"/>
    <w:rsid w:val="009D1BF8"/>
    <w:rsid w:val="009E1CCC"/>
    <w:rsid w:val="00A65C4B"/>
    <w:rsid w:val="00A97671"/>
    <w:rsid w:val="00AB7DD4"/>
    <w:rsid w:val="00AF6853"/>
    <w:rsid w:val="00BD56DB"/>
    <w:rsid w:val="00C36A52"/>
    <w:rsid w:val="00C5407E"/>
    <w:rsid w:val="00D43CBF"/>
    <w:rsid w:val="00E03089"/>
    <w:rsid w:val="00FC7BDC"/>
    <w:rsid w:val="00FE3F45"/>
    <w:rsid w:val="00FF6F7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2F4"/>
    <w:rPr>
      <w:sz w:val="24"/>
      <w:lang w:eastAsia="en-US"/>
    </w:rPr>
  </w:style>
  <w:style w:type="paragraph" w:styleId="Heading1">
    <w:name w:val="heading 1"/>
    <w:basedOn w:val="Normal"/>
    <w:next w:val="Normal"/>
    <w:link w:val="Heading1Char"/>
    <w:uiPriority w:val="99"/>
    <w:qFormat/>
    <w:rsid w:val="00AB7DD4"/>
    <w:pPr>
      <w:keepNext/>
      <w:keepLines/>
      <w:spacing w:before="480"/>
      <w:outlineLvl w:val="0"/>
    </w:pPr>
    <w:rPr>
      <w:rFonts w:ascii="Cambria" w:eastAsia="Times New Roman" w:hAnsi="Cambria"/>
      <w:b/>
      <w:bCs/>
      <w:color w:val="365F91"/>
      <w:sz w:val="28"/>
      <w:szCs w:val="28"/>
    </w:rPr>
  </w:style>
  <w:style w:type="paragraph" w:styleId="Heading4">
    <w:name w:val="heading 4"/>
    <w:basedOn w:val="Normal"/>
    <w:next w:val="Normal"/>
    <w:link w:val="Heading4Char"/>
    <w:uiPriority w:val="99"/>
    <w:qFormat/>
    <w:rsid w:val="004F3148"/>
    <w:pPr>
      <w:keepNext/>
      <w:spacing w:before="240" w:after="60"/>
      <w:outlineLvl w:val="3"/>
    </w:pPr>
    <w:rPr>
      <w:rFonts w:ascii="Times New Roman" w:eastAsia="Times New Roman" w:hAnsi="Times New Roman"/>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7DD4"/>
    <w:rPr>
      <w:rFonts w:ascii="Cambria" w:hAnsi="Cambria" w:cs="Times New Roman"/>
      <w:b/>
      <w:bCs/>
      <w:color w:val="365F91"/>
      <w:sz w:val="28"/>
      <w:szCs w:val="28"/>
    </w:rPr>
  </w:style>
  <w:style w:type="character" w:customStyle="1" w:styleId="Heading4Char">
    <w:name w:val="Heading 4 Char"/>
    <w:basedOn w:val="DefaultParagraphFont"/>
    <w:link w:val="Heading4"/>
    <w:uiPriority w:val="99"/>
    <w:locked/>
    <w:rsid w:val="004F3148"/>
    <w:rPr>
      <w:rFonts w:ascii="Times New Roman" w:hAnsi="Times New Roman" w:cs="Times New Roman"/>
      <w:b/>
      <w:bCs/>
      <w:sz w:val="28"/>
      <w:szCs w:val="28"/>
    </w:rPr>
  </w:style>
  <w:style w:type="paragraph" w:styleId="NormalWeb">
    <w:name w:val="Normal (Web)"/>
    <w:basedOn w:val="Normal"/>
    <w:uiPriority w:val="99"/>
    <w:rsid w:val="004F3148"/>
    <w:pPr>
      <w:spacing w:before="100" w:beforeAutospacing="1" w:after="100" w:afterAutospacing="1"/>
    </w:pPr>
    <w:rPr>
      <w:rFonts w:ascii="Times New Roman" w:eastAsia="Times New Roman" w:hAnsi="Times New Roman"/>
      <w:szCs w:val="24"/>
      <w:lang w:eastAsia="en-GB"/>
    </w:rPr>
  </w:style>
  <w:style w:type="character" w:styleId="Hyperlink">
    <w:name w:val="Hyperlink"/>
    <w:basedOn w:val="DefaultParagraphFont"/>
    <w:uiPriority w:val="99"/>
    <w:rsid w:val="004F3148"/>
    <w:rPr>
      <w:rFonts w:cs="Times New Roman"/>
      <w:color w:val="CC3300"/>
      <w:u w:val="none"/>
      <w:effect w:val="none"/>
    </w:rPr>
  </w:style>
  <w:style w:type="character" w:styleId="Emphasis">
    <w:name w:val="Emphasis"/>
    <w:basedOn w:val="DefaultParagraphFont"/>
    <w:uiPriority w:val="99"/>
    <w:qFormat/>
    <w:rsid w:val="00A97671"/>
    <w:rPr>
      <w:rFonts w:cs="Times New Roman"/>
      <w:i/>
      <w:iCs/>
    </w:rPr>
  </w:style>
  <w:style w:type="paragraph" w:customStyle="1" w:styleId="Default">
    <w:name w:val="Default"/>
    <w:uiPriority w:val="99"/>
    <w:rsid w:val="00E03089"/>
    <w:pPr>
      <w:autoSpaceDE w:val="0"/>
      <w:autoSpaceDN w:val="0"/>
      <w:adjustRightInd w:val="0"/>
    </w:pPr>
    <w:rPr>
      <w:rFonts w:ascii="Verdana" w:hAnsi="Verdana" w:cs="Verdana"/>
      <w:color w:val="000000"/>
      <w:sz w:val="24"/>
      <w:szCs w:val="24"/>
      <w:lang w:eastAsia="en-US"/>
    </w:rPr>
  </w:style>
  <w:style w:type="paragraph" w:customStyle="1" w:styleId="intro1">
    <w:name w:val="intro1"/>
    <w:basedOn w:val="Normal"/>
    <w:uiPriority w:val="99"/>
    <w:rsid w:val="00AB7DD4"/>
    <w:pPr>
      <w:spacing w:before="100" w:beforeAutospacing="1" w:after="300"/>
    </w:pPr>
    <w:rPr>
      <w:rFonts w:ascii="Times New Roman" w:eastAsia="Times New Roman" w:hAnsi="Times New Roman"/>
      <w:szCs w:val="24"/>
      <w:lang w:eastAsia="en-GB"/>
    </w:rPr>
  </w:style>
  <w:style w:type="paragraph" w:styleId="Header">
    <w:name w:val="header"/>
    <w:basedOn w:val="Normal"/>
    <w:link w:val="HeaderChar"/>
    <w:uiPriority w:val="99"/>
    <w:rsid w:val="00AF6853"/>
    <w:pPr>
      <w:tabs>
        <w:tab w:val="center" w:pos="4513"/>
        <w:tab w:val="right" w:pos="9026"/>
      </w:tabs>
    </w:pPr>
  </w:style>
  <w:style w:type="character" w:customStyle="1" w:styleId="HeaderChar">
    <w:name w:val="Header Char"/>
    <w:basedOn w:val="DefaultParagraphFont"/>
    <w:link w:val="Header"/>
    <w:uiPriority w:val="99"/>
    <w:locked/>
    <w:rsid w:val="00AF6853"/>
    <w:rPr>
      <w:rFonts w:cs="Times New Roman"/>
    </w:rPr>
  </w:style>
  <w:style w:type="paragraph" w:styleId="Footer">
    <w:name w:val="footer"/>
    <w:basedOn w:val="Normal"/>
    <w:link w:val="FooterChar"/>
    <w:uiPriority w:val="99"/>
    <w:rsid w:val="00AF6853"/>
    <w:pPr>
      <w:tabs>
        <w:tab w:val="center" w:pos="4513"/>
        <w:tab w:val="right" w:pos="9026"/>
      </w:tabs>
    </w:pPr>
  </w:style>
  <w:style w:type="character" w:customStyle="1" w:styleId="FooterChar">
    <w:name w:val="Footer Char"/>
    <w:basedOn w:val="DefaultParagraphFont"/>
    <w:link w:val="Footer"/>
    <w:uiPriority w:val="99"/>
    <w:locked/>
    <w:rsid w:val="00AF6853"/>
    <w:rPr>
      <w:rFonts w:cs="Times New Roman"/>
    </w:rPr>
  </w:style>
  <w:style w:type="character" w:styleId="Strong">
    <w:name w:val="Strong"/>
    <w:basedOn w:val="DefaultParagraphFont"/>
    <w:uiPriority w:val="99"/>
    <w:qFormat/>
    <w:rsid w:val="00AF6853"/>
    <w:rPr>
      <w:rFonts w:cs="Times New Roman"/>
      <w:b/>
      <w:bCs/>
    </w:rPr>
  </w:style>
  <w:style w:type="paragraph" w:styleId="BalloonText">
    <w:name w:val="Balloon Text"/>
    <w:basedOn w:val="Normal"/>
    <w:link w:val="BalloonTextChar"/>
    <w:uiPriority w:val="99"/>
    <w:semiHidden/>
    <w:rsid w:val="00AF685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68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0848313">
      <w:marLeft w:val="0"/>
      <w:marRight w:val="0"/>
      <w:marTop w:val="0"/>
      <w:marBottom w:val="0"/>
      <w:divBdr>
        <w:top w:val="none" w:sz="0" w:space="0" w:color="auto"/>
        <w:left w:val="none" w:sz="0" w:space="0" w:color="auto"/>
        <w:bottom w:val="none" w:sz="0" w:space="0" w:color="auto"/>
        <w:right w:val="none" w:sz="0" w:space="0" w:color="auto"/>
      </w:divBdr>
      <w:divsChild>
        <w:div w:id="910848317">
          <w:marLeft w:val="0"/>
          <w:marRight w:val="0"/>
          <w:marTop w:val="150"/>
          <w:marBottom w:val="150"/>
          <w:divBdr>
            <w:top w:val="none" w:sz="0" w:space="0" w:color="auto"/>
            <w:left w:val="none" w:sz="0" w:space="0" w:color="auto"/>
            <w:bottom w:val="none" w:sz="0" w:space="0" w:color="auto"/>
            <w:right w:val="none" w:sz="0" w:space="0" w:color="auto"/>
          </w:divBdr>
        </w:div>
      </w:divsChild>
    </w:div>
    <w:div w:id="910848319">
      <w:marLeft w:val="0"/>
      <w:marRight w:val="0"/>
      <w:marTop w:val="0"/>
      <w:marBottom w:val="0"/>
      <w:divBdr>
        <w:top w:val="none" w:sz="0" w:space="0" w:color="auto"/>
        <w:left w:val="none" w:sz="0" w:space="0" w:color="auto"/>
        <w:bottom w:val="none" w:sz="0" w:space="0" w:color="auto"/>
        <w:right w:val="none" w:sz="0" w:space="0" w:color="auto"/>
      </w:divBdr>
      <w:divsChild>
        <w:div w:id="910848318">
          <w:marLeft w:val="0"/>
          <w:marRight w:val="0"/>
          <w:marTop w:val="0"/>
          <w:marBottom w:val="0"/>
          <w:divBdr>
            <w:top w:val="none" w:sz="0" w:space="0" w:color="auto"/>
            <w:left w:val="none" w:sz="0" w:space="0" w:color="auto"/>
            <w:bottom w:val="none" w:sz="0" w:space="0" w:color="auto"/>
            <w:right w:val="none" w:sz="0" w:space="0" w:color="auto"/>
          </w:divBdr>
          <w:divsChild>
            <w:div w:id="910848329">
              <w:marLeft w:val="0"/>
              <w:marRight w:val="0"/>
              <w:marTop w:val="0"/>
              <w:marBottom w:val="0"/>
              <w:divBdr>
                <w:top w:val="single" w:sz="6" w:space="0" w:color="456510"/>
                <w:left w:val="none" w:sz="0" w:space="0" w:color="auto"/>
                <w:bottom w:val="none" w:sz="0" w:space="0" w:color="auto"/>
                <w:right w:val="none" w:sz="0" w:space="0" w:color="auto"/>
              </w:divBdr>
              <w:divsChild>
                <w:div w:id="910848322">
                  <w:marLeft w:val="0"/>
                  <w:marRight w:val="0"/>
                  <w:marTop w:val="0"/>
                  <w:marBottom w:val="0"/>
                  <w:divBdr>
                    <w:top w:val="none" w:sz="0" w:space="0" w:color="auto"/>
                    <w:left w:val="none" w:sz="0" w:space="0" w:color="auto"/>
                    <w:bottom w:val="none" w:sz="0" w:space="0" w:color="auto"/>
                    <w:right w:val="none" w:sz="0" w:space="0" w:color="auto"/>
                  </w:divBdr>
                  <w:divsChild>
                    <w:div w:id="910848335">
                      <w:marLeft w:val="0"/>
                      <w:marRight w:val="0"/>
                      <w:marTop w:val="0"/>
                      <w:marBottom w:val="0"/>
                      <w:divBdr>
                        <w:top w:val="none" w:sz="0" w:space="0" w:color="auto"/>
                        <w:left w:val="none" w:sz="0" w:space="0" w:color="auto"/>
                        <w:bottom w:val="none" w:sz="0" w:space="0" w:color="auto"/>
                        <w:right w:val="none" w:sz="0" w:space="0" w:color="auto"/>
                      </w:divBdr>
                      <w:divsChild>
                        <w:div w:id="910848332">
                          <w:marLeft w:val="0"/>
                          <w:marRight w:val="0"/>
                          <w:marTop w:val="0"/>
                          <w:marBottom w:val="0"/>
                          <w:divBdr>
                            <w:top w:val="none" w:sz="0" w:space="0" w:color="auto"/>
                            <w:left w:val="none" w:sz="0" w:space="0" w:color="auto"/>
                            <w:bottom w:val="none" w:sz="0" w:space="0" w:color="auto"/>
                            <w:right w:val="none" w:sz="0" w:space="0" w:color="auto"/>
                          </w:divBdr>
                          <w:divsChild>
                            <w:div w:id="910848314">
                              <w:marLeft w:val="0"/>
                              <w:marRight w:val="0"/>
                              <w:marTop w:val="0"/>
                              <w:marBottom w:val="0"/>
                              <w:divBdr>
                                <w:top w:val="none" w:sz="0" w:space="0" w:color="auto"/>
                                <w:left w:val="none" w:sz="0" w:space="0" w:color="auto"/>
                                <w:bottom w:val="none" w:sz="0" w:space="0" w:color="auto"/>
                                <w:right w:val="none" w:sz="0" w:space="0" w:color="auto"/>
                              </w:divBdr>
                              <w:divsChild>
                                <w:div w:id="9108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848324">
      <w:marLeft w:val="0"/>
      <w:marRight w:val="0"/>
      <w:marTop w:val="0"/>
      <w:marBottom w:val="0"/>
      <w:divBdr>
        <w:top w:val="none" w:sz="0" w:space="0" w:color="auto"/>
        <w:left w:val="none" w:sz="0" w:space="0" w:color="auto"/>
        <w:bottom w:val="none" w:sz="0" w:space="0" w:color="auto"/>
        <w:right w:val="none" w:sz="0" w:space="0" w:color="auto"/>
      </w:divBdr>
      <w:divsChild>
        <w:div w:id="910848331">
          <w:marLeft w:val="0"/>
          <w:marRight w:val="0"/>
          <w:marTop w:val="0"/>
          <w:marBottom w:val="0"/>
          <w:divBdr>
            <w:top w:val="none" w:sz="0" w:space="0" w:color="auto"/>
            <w:left w:val="none" w:sz="0" w:space="0" w:color="auto"/>
            <w:bottom w:val="none" w:sz="0" w:space="0" w:color="auto"/>
            <w:right w:val="none" w:sz="0" w:space="0" w:color="auto"/>
          </w:divBdr>
          <w:divsChild>
            <w:div w:id="910848325">
              <w:marLeft w:val="0"/>
              <w:marRight w:val="0"/>
              <w:marTop w:val="0"/>
              <w:marBottom w:val="0"/>
              <w:divBdr>
                <w:top w:val="none" w:sz="0" w:space="0" w:color="auto"/>
                <w:left w:val="none" w:sz="0" w:space="0" w:color="auto"/>
                <w:bottom w:val="none" w:sz="0" w:space="0" w:color="auto"/>
                <w:right w:val="none" w:sz="0" w:space="0" w:color="auto"/>
              </w:divBdr>
              <w:divsChild>
                <w:div w:id="91084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48327">
      <w:marLeft w:val="0"/>
      <w:marRight w:val="0"/>
      <w:marTop w:val="0"/>
      <w:marBottom w:val="0"/>
      <w:divBdr>
        <w:top w:val="none" w:sz="0" w:space="0" w:color="auto"/>
        <w:left w:val="none" w:sz="0" w:space="0" w:color="auto"/>
        <w:bottom w:val="none" w:sz="0" w:space="0" w:color="auto"/>
        <w:right w:val="none" w:sz="0" w:space="0" w:color="auto"/>
      </w:divBdr>
      <w:divsChild>
        <w:div w:id="910848338">
          <w:marLeft w:val="0"/>
          <w:marRight w:val="0"/>
          <w:marTop w:val="0"/>
          <w:marBottom w:val="0"/>
          <w:divBdr>
            <w:top w:val="none" w:sz="0" w:space="0" w:color="auto"/>
            <w:left w:val="none" w:sz="0" w:space="0" w:color="auto"/>
            <w:bottom w:val="none" w:sz="0" w:space="0" w:color="auto"/>
            <w:right w:val="none" w:sz="0" w:space="0" w:color="auto"/>
          </w:divBdr>
          <w:divsChild>
            <w:div w:id="910848333">
              <w:marLeft w:val="0"/>
              <w:marRight w:val="0"/>
              <w:marTop w:val="0"/>
              <w:marBottom w:val="0"/>
              <w:divBdr>
                <w:top w:val="none" w:sz="0" w:space="0" w:color="auto"/>
                <w:left w:val="none" w:sz="0" w:space="0" w:color="auto"/>
                <w:bottom w:val="none" w:sz="0" w:space="0" w:color="auto"/>
                <w:right w:val="none" w:sz="0" w:space="0" w:color="auto"/>
              </w:divBdr>
              <w:divsChild>
                <w:div w:id="910848328">
                  <w:marLeft w:val="0"/>
                  <w:marRight w:val="0"/>
                  <w:marTop w:val="0"/>
                  <w:marBottom w:val="0"/>
                  <w:divBdr>
                    <w:top w:val="none" w:sz="0" w:space="0" w:color="auto"/>
                    <w:left w:val="none" w:sz="0" w:space="0" w:color="auto"/>
                    <w:bottom w:val="none" w:sz="0" w:space="0" w:color="auto"/>
                    <w:right w:val="none" w:sz="0" w:space="0" w:color="auto"/>
                  </w:divBdr>
                  <w:divsChild>
                    <w:div w:id="910848316">
                      <w:marLeft w:val="0"/>
                      <w:marRight w:val="0"/>
                      <w:marTop w:val="0"/>
                      <w:marBottom w:val="0"/>
                      <w:divBdr>
                        <w:top w:val="none" w:sz="0" w:space="0" w:color="auto"/>
                        <w:left w:val="none" w:sz="0" w:space="0" w:color="auto"/>
                        <w:bottom w:val="none" w:sz="0" w:space="0" w:color="auto"/>
                        <w:right w:val="none" w:sz="0" w:space="0" w:color="auto"/>
                      </w:divBdr>
                      <w:divsChild>
                        <w:div w:id="910848323">
                          <w:marLeft w:val="0"/>
                          <w:marRight w:val="0"/>
                          <w:marTop w:val="0"/>
                          <w:marBottom w:val="0"/>
                          <w:divBdr>
                            <w:top w:val="none" w:sz="0" w:space="0" w:color="auto"/>
                            <w:left w:val="none" w:sz="0" w:space="0" w:color="auto"/>
                            <w:bottom w:val="none" w:sz="0" w:space="0" w:color="auto"/>
                            <w:right w:val="none" w:sz="0" w:space="0" w:color="auto"/>
                          </w:divBdr>
                          <w:divsChild>
                            <w:div w:id="910848321">
                              <w:marLeft w:val="0"/>
                              <w:marRight w:val="0"/>
                              <w:marTop w:val="0"/>
                              <w:marBottom w:val="0"/>
                              <w:divBdr>
                                <w:top w:val="none" w:sz="0" w:space="0" w:color="auto"/>
                                <w:left w:val="none" w:sz="0" w:space="0" w:color="auto"/>
                                <w:bottom w:val="none" w:sz="0" w:space="0" w:color="auto"/>
                                <w:right w:val="none" w:sz="0" w:space="0" w:color="auto"/>
                              </w:divBdr>
                              <w:divsChild>
                                <w:div w:id="910848326">
                                  <w:marLeft w:val="0"/>
                                  <w:marRight w:val="0"/>
                                  <w:marTop w:val="0"/>
                                  <w:marBottom w:val="0"/>
                                  <w:divBdr>
                                    <w:top w:val="none" w:sz="0" w:space="0" w:color="auto"/>
                                    <w:left w:val="none" w:sz="0" w:space="0" w:color="auto"/>
                                    <w:bottom w:val="none" w:sz="0" w:space="0" w:color="auto"/>
                                    <w:right w:val="none" w:sz="0" w:space="0" w:color="auto"/>
                                  </w:divBdr>
                                  <w:divsChild>
                                    <w:div w:id="91084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848334">
      <w:marLeft w:val="0"/>
      <w:marRight w:val="0"/>
      <w:marTop w:val="0"/>
      <w:marBottom w:val="0"/>
      <w:divBdr>
        <w:top w:val="none" w:sz="0" w:space="0" w:color="auto"/>
        <w:left w:val="none" w:sz="0" w:space="0" w:color="auto"/>
        <w:bottom w:val="none" w:sz="0" w:space="0" w:color="auto"/>
        <w:right w:val="none" w:sz="0" w:space="0" w:color="auto"/>
      </w:divBdr>
      <w:divsChild>
        <w:div w:id="910848315">
          <w:marLeft w:val="0"/>
          <w:marRight w:val="0"/>
          <w:marTop w:val="0"/>
          <w:marBottom w:val="0"/>
          <w:divBdr>
            <w:top w:val="none" w:sz="0" w:space="0" w:color="auto"/>
            <w:left w:val="none" w:sz="0" w:space="0" w:color="auto"/>
            <w:bottom w:val="none" w:sz="0" w:space="0" w:color="auto"/>
            <w:right w:val="none" w:sz="0" w:space="0" w:color="auto"/>
          </w:divBdr>
          <w:divsChild>
            <w:div w:id="9108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20</Pages>
  <Words>1155</Words>
  <Characters>6589</Characters>
  <Application>Microsoft Office Outlook</Application>
  <DocSecurity>0</DocSecurity>
  <Lines>0</Lines>
  <Paragraphs>0</Paragraphs>
  <ScaleCrop>false</ScaleCrop>
  <Company>Hampshire County Council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AND GOVERNANCE COMMITTEE – 5 July 2013                                                                  APPENDIX 2</dc:title>
  <dc:subject/>
  <dc:creator>firelt</dc:creator>
  <cp:keywords/>
  <dc:description/>
  <cp:lastModifiedBy>cxcdrh</cp:lastModifiedBy>
  <cp:revision>2</cp:revision>
  <cp:lastPrinted>2013-06-13T14:40:00Z</cp:lastPrinted>
  <dcterms:created xsi:type="dcterms:W3CDTF">2013-06-25T13:38:00Z</dcterms:created>
  <dcterms:modified xsi:type="dcterms:W3CDTF">2013-06-25T13:38:00Z</dcterms:modified>
</cp:coreProperties>
</file>