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175EE" w14:textId="11FCB1A7" w:rsidR="0052389E" w:rsidRDefault="00FA615E" w:rsidP="00F06714">
      <w:pPr>
        <w:rPr>
          <w:rFonts w:ascii="Arial" w:hAnsi="Arial" w:cs="Arial"/>
          <w:sz w:val="24"/>
          <w:szCs w:val="24"/>
        </w:rPr>
        <w:sectPr w:rsidR="0052389E" w:rsidSect="005D460F">
          <w:headerReference w:type="even" r:id="rId14"/>
          <w:headerReference w:type="default" r:id="rId15"/>
          <w:footerReference w:type="even" r:id="rId16"/>
          <w:footerReference w:type="default" r:id="rId17"/>
          <w:headerReference w:type="first" r:id="rId18"/>
          <w:footerReference w:type="first" r:id="rId19"/>
          <w:pgSz w:w="15840" w:h="12240" w:orient="landscape"/>
          <w:pgMar w:top="720" w:right="720" w:bottom="720" w:left="720" w:header="720" w:footer="720" w:gutter="0"/>
          <w:cols w:space="720"/>
          <w:titlePg/>
          <w:docGrid w:linePitch="360"/>
        </w:sectPr>
      </w:pPr>
      <w:r>
        <w:rPr>
          <w:rFonts w:ascii="Arial" w:hAnsi="Arial" w:cs="Arial"/>
          <w:noProof/>
          <w:sz w:val="24"/>
          <w:szCs w:val="24"/>
        </w:rPr>
        <w:drawing>
          <wp:inline distT="0" distB="0" distL="0" distR="0" wp14:anchorId="26381276" wp14:editId="6D2D40C7">
            <wp:extent cx="9144000" cy="6466840"/>
            <wp:effectExtent l="0" t="0" r="0" b="0"/>
            <wp:docPr id="758460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460094" name="Picture 75846009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144000" cy="6466840"/>
                    </a:xfrm>
                    <a:prstGeom prst="rect">
                      <a:avLst/>
                    </a:prstGeom>
                  </pic:spPr>
                </pic:pic>
              </a:graphicData>
            </a:graphic>
          </wp:inline>
        </w:drawing>
      </w:r>
    </w:p>
    <w:sdt>
      <w:sdtPr>
        <w:rPr>
          <w:rFonts w:asciiTheme="minorHAnsi" w:eastAsiaTheme="minorEastAsia" w:hAnsiTheme="minorHAnsi" w:cstheme="minorBidi"/>
          <w:color w:val="auto"/>
          <w:sz w:val="20"/>
          <w:szCs w:val="20"/>
        </w:rPr>
        <w:id w:val="-331912631"/>
        <w:docPartObj>
          <w:docPartGallery w:val="Table of Contents"/>
          <w:docPartUnique/>
        </w:docPartObj>
      </w:sdtPr>
      <w:sdtEndPr>
        <w:rPr>
          <w:b/>
          <w:bCs/>
          <w:noProof/>
        </w:rPr>
      </w:sdtEndPr>
      <w:sdtContent>
        <w:p w14:paraId="713F5C77" w14:textId="1107DFAA" w:rsidR="00607368" w:rsidRPr="00836377" w:rsidRDefault="00607368" w:rsidP="00836377">
          <w:pPr>
            <w:pStyle w:val="TOCHeading"/>
            <w:spacing w:before="0"/>
            <w:rPr>
              <w:sz w:val="52"/>
              <w:szCs w:val="52"/>
            </w:rPr>
          </w:pPr>
          <w:r w:rsidRPr="00836377">
            <w:rPr>
              <w:sz w:val="52"/>
              <w:szCs w:val="52"/>
            </w:rPr>
            <w:t>Contents</w:t>
          </w:r>
        </w:p>
        <w:p w14:paraId="35E3CE6F" w14:textId="6E80E425" w:rsidR="00F30169" w:rsidRDefault="00607368">
          <w:pPr>
            <w:pStyle w:val="TOC1"/>
            <w:tabs>
              <w:tab w:val="right" w:leader="dot" w:pos="12950"/>
            </w:tabs>
            <w:rPr>
              <w:noProof/>
              <w:kern w:val="2"/>
              <w:sz w:val="24"/>
              <w:szCs w:val="24"/>
              <w:lang w:eastAsia="en-GB"/>
              <w14:ligatures w14:val="standardContextual"/>
            </w:rPr>
          </w:pPr>
          <w:r w:rsidRPr="00E93ABB">
            <w:rPr>
              <w:rFonts w:ascii="Arial" w:hAnsi="Arial" w:cs="Arial"/>
              <w:sz w:val="24"/>
              <w:szCs w:val="24"/>
            </w:rPr>
            <w:fldChar w:fldCharType="begin"/>
          </w:r>
          <w:r w:rsidRPr="00E93ABB">
            <w:rPr>
              <w:rFonts w:ascii="Arial" w:hAnsi="Arial" w:cs="Arial"/>
              <w:sz w:val="24"/>
              <w:szCs w:val="24"/>
            </w:rPr>
            <w:instrText xml:space="preserve"> TOC \o "1-3" \h \z \u </w:instrText>
          </w:r>
          <w:r w:rsidRPr="00E93ABB">
            <w:rPr>
              <w:rFonts w:ascii="Arial" w:hAnsi="Arial" w:cs="Arial"/>
              <w:sz w:val="24"/>
              <w:szCs w:val="24"/>
            </w:rPr>
            <w:fldChar w:fldCharType="separate"/>
          </w:r>
          <w:hyperlink w:anchor="_Toc224113534" w:history="1">
            <w:r w:rsidR="00F30169" w:rsidRPr="00674705">
              <w:rPr>
                <w:rStyle w:val="Hyperlink"/>
                <w:noProof/>
              </w:rPr>
              <w:t>Introduction</w:t>
            </w:r>
            <w:r w:rsidR="00F30169">
              <w:rPr>
                <w:noProof/>
                <w:webHidden/>
              </w:rPr>
              <w:tab/>
            </w:r>
            <w:r w:rsidR="00F30169">
              <w:rPr>
                <w:noProof/>
                <w:webHidden/>
              </w:rPr>
              <w:fldChar w:fldCharType="begin"/>
            </w:r>
            <w:r w:rsidR="00F30169">
              <w:rPr>
                <w:noProof/>
                <w:webHidden/>
              </w:rPr>
              <w:instrText xml:space="preserve"> PAGEREF _Toc224113534 \h </w:instrText>
            </w:r>
            <w:r w:rsidR="00F30169">
              <w:rPr>
                <w:noProof/>
                <w:webHidden/>
              </w:rPr>
            </w:r>
            <w:r w:rsidR="00F30169">
              <w:rPr>
                <w:noProof/>
                <w:webHidden/>
              </w:rPr>
              <w:fldChar w:fldCharType="separate"/>
            </w:r>
            <w:r w:rsidR="00F37785">
              <w:rPr>
                <w:noProof/>
                <w:webHidden/>
              </w:rPr>
              <w:t>3</w:t>
            </w:r>
            <w:r w:rsidR="00F30169">
              <w:rPr>
                <w:noProof/>
                <w:webHidden/>
              </w:rPr>
              <w:fldChar w:fldCharType="end"/>
            </w:r>
          </w:hyperlink>
        </w:p>
        <w:p w14:paraId="7F7344F9" w14:textId="3C2E4003" w:rsidR="00F30169" w:rsidRDefault="00F30169">
          <w:pPr>
            <w:pStyle w:val="TOC1"/>
            <w:tabs>
              <w:tab w:val="right" w:leader="dot" w:pos="12950"/>
            </w:tabs>
            <w:rPr>
              <w:noProof/>
              <w:kern w:val="2"/>
              <w:sz w:val="24"/>
              <w:szCs w:val="24"/>
              <w:lang w:eastAsia="en-GB"/>
              <w14:ligatures w14:val="standardContextual"/>
            </w:rPr>
          </w:pPr>
          <w:hyperlink w:anchor="_Toc224113535" w:history="1">
            <w:r w:rsidRPr="00674705">
              <w:rPr>
                <w:rStyle w:val="Hyperlink"/>
                <w:noProof/>
              </w:rPr>
              <w:t>Investment strategy</w:t>
            </w:r>
            <w:r>
              <w:rPr>
                <w:noProof/>
                <w:webHidden/>
              </w:rPr>
              <w:tab/>
            </w:r>
            <w:r>
              <w:rPr>
                <w:noProof/>
                <w:webHidden/>
              </w:rPr>
              <w:fldChar w:fldCharType="begin"/>
            </w:r>
            <w:r>
              <w:rPr>
                <w:noProof/>
                <w:webHidden/>
              </w:rPr>
              <w:instrText xml:space="preserve"> PAGEREF _Toc224113535 \h </w:instrText>
            </w:r>
            <w:r>
              <w:rPr>
                <w:noProof/>
                <w:webHidden/>
              </w:rPr>
            </w:r>
            <w:r>
              <w:rPr>
                <w:noProof/>
                <w:webHidden/>
              </w:rPr>
              <w:fldChar w:fldCharType="separate"/>
            </w:r>
            <w:r w:rsidR="00F37785">
              <w:rPr>
                <w:noProof/>
                <w:webHidden/>
              </w:rPr>
              <w:t>3</w:t>
            </w:r>
            <w:r>
              <w:rPr>
                <w:noProof/>
                <w:webHidden/>
              </w:rPr>
              <w:fldChar w:fldCharType="end"/>
            </w:r>
          </w:hyperlink>
        </w:p>
        <w:p w14:paraId="0429FDB2" w14:textId="0E926FFD" w:rsidR="00F30169" w:rsidRDefault="00F30169">
          <w:pPr>
            <w:pStyle w:val="TOC2"/>
            <w:tabs>
              <w:tab w:val="right" w:leader="dot" w:pos="12950"/>
            </w:tabs>
            <w:rPr>
              <w:noProof/>
              <w:kern w:val="2"/>
              <w:sz w:val="24"/>
              <w:szCs w:val="24"/>
              <w:lang w:eastAsia="en-GB"/>
              <w14:ligatures w14:val="standardContextual"/>
            </w:rPr>
          </w:pPr>
          <w:hyperlink w:anchor="_Toc224113536" w:history="1">
            <w:r w:rsidRPr="00674705">
              <w:rPr>
                <w:rStyle w:val="Hyperlink"/>
                <w:noProof/>
              </w:rPr>
              <w:t>Investment objective</w:t>
            </w:r>
            <w:r>
              <w:rPr>
                <w:noProof/>
                <w:webHidden/>
              </w:rPr>
              <w:tab/>
            </w:r>
            <w:r>
              <w:rPr>
                <w:noProof/>
                <w:webHidden/>
              </w:rPr>
              <w:fldChar w:fldCharType="begin"/>
            </w:r>
            <w:r>
              <w:rPr>
                <w:noProof/>
                <w:webHidden/>
              </w:rPr>
              <w:instrText xml:space="preserve"> PAGEREF _Toc224113536 \h </w:instrText>
            </w:r>
            <w:r>
              <w:rPr>
                <w:noProof/>
                <w:webHidden/>
              </w:rPr>
            </w:r>
            <w:r>
              <w:rPr>
                <w:noProof/>
                <w:webHidden/>
              </w:rPr>
              <w:fldChar w:fldCharType="separate"/>
            </w:r>
            <w:r w:rsidR="00F37785">
              <w:rPr>
                <w:noProof/>
                <w:webHidden/>
              </w:rPr>
              <w:t>3</w:t>
            </w:r>
            <w:r>
              <w:rPr>
                <w:noProof/>
                <w:webHidden/>
              </w:rPr>
              <w:fldChar w:fldCharType="end"/>
            </w:r>
          </w:hyperlink>
        </w:p>
        <w:p w14:paraId="59F6453E" w14:textId="5EFDA905" w:rsidR="00F30169" w:rsidRDefault="00F30169">
          <w:pPr>
            <w:pStyle w:val="TOC2"/>
            <w:tabs>
              <w:tab w:val="right" w:leader="dot" w:pos="12950"/>
            </w:tabs>
            <w:rPr>
              <w:noProof/>
              <w:kern w:val="2"/>
              <w:sz w:val="24"/>
              <w:szCs w:val="24"/>
              <w:lang w:eastAsia="en-GB"/>
              <w14:ligatures w14:val="standardContextual"/>
            </w:rPr>
          </w:pPr>
          <w:hyperlink w:anchor="_Toc224113537" w:history="1">
            <w:r w:rsidRPr="00674705">
              <w:rPr>
                <w:rStyle w:val="Hyperlink"/>
                <w:noProof/>
              </w:rPr>
              <w:t>Investment Beliefs</w:t>
            </w:r>
            <w:r>
              <w:rPr>
                <w:noProof/>
                <w:webHidden/>
              </w:rPr>
              <w:tab/>
            </w:r>
            <w:r>
              <w:rPr>
                <w:noProof/>
                <w:webHidden/>
              </w:rPr>
              <w:fldChar w:fldCharType="begin"/>
            </w:r>
            <w:r>
              <w:rPr>
                <w:noProof/>
                <w:webHidden/>
              </w:rPr>
              <w:instrText xml:space="preserve"> PAGEREF _Toc224113537 \h </w:instrText>
            </w:r>
            <w:r>
              <w:rPr>
                <w:noProof/>
                <w:webHidden/>
              </w:rPr>
            </w:r>
            <w:r>
              <w:rPr>
                <w:noProof/>
                <w:webHidden/>
              </w:rPr>
              <w:fldChar w:fldCharType="separate"/>
            </w:r>
            <w:r w:rsidR="00F37785">
              <w:rPr>
                <w:noProof/>
                <w:webHidden/>
              </w:rPr>
              <w:t>4</w:t>
            </w:r>
            <w:r>
              <w:rPr>
                <w:noProof/>
                <w:webHidden/>
              </w:rPr>
              <w:fldChar w:fldCharType="end"/>
            </w:r>
          </w:hyperlink>
        </w:p>
        <w:p w14:paraId="57CB4279" w14:textId="6A9DAC72" w:rsidR="00F30169" w:rsidRDefault="00F30169">
          <w:pPr>
            <w:pStyle w:val="TOC2"/>
            <w:tabs>
              <w:tab w:val="right" w:leader="dot" w:pos="12950"/>
            </w:tabs>
            <w:rPr>
              <w:noProof/>
              <w:kern w:val="2"/>
              <w:sz w:val="24"/>
              <w:szCs w:val="24"/>
              <w:lang w:eastAsia="en-GB"/>
              <w14:ligatures w14:val="standardContextual"/>
            </w:rPr>
          </w:pPr>
          <w:hyperlink w:anchor="_Toc224113538" w:history="1">
            <w:r w:rsidRPr="00674705">
              <w:rPr>
                <w:rStyle w:val="Hyperlink"/>
                <w:noProof/>
              </w:rPr>
              <w:t>Variety of investments</w:t>
            </w:r>
            <w:r>
              <w:rPr>
                <w:noProof/>
                <w:webHidden/>
              </w:rPr>
              <w:tab/>
            </w:r>
            <w:r>
              <w:rPr>
                <w:noProof/>
                <w:webHidden/>
              </w:rPr>
              <w:fldChar w:fldCharType="begin"/>
            </w:r>
            <w:r>
              <w:rPr>
                <w:noProof/>
                <w:webHidden/>
              </w:rPr>
              <w:instrText xml:space="preserve"> PAGEREF _Toc224113538 \h </w:instrText>
            </w:r>
            <w:r>
              <w:rPr>
                <w:noProof/>
                <w:webHidden/>
              </w:rPr>
            </w:r>
            <w:r>
              <w:rPr>
                <w:noProof/>
                <w:webHidden/>
              </w:rPr>
              <w:fldChar w:fldCharType="separate"/>
            </w:r>
            <w:r w:rsidR="00F37785">
              <w:rPr>
                <w:noProof/>
                <w:webHidden/>
              </w:rPr>
              <w:t>5</w:t>
            </w:r>
            <w:r>
              <w:rPr>
                <w:noProof/>
                <w:webHidden/>
              </w:rPr>
              <w:fldChar w:fldCharType="end"/>
            </w:r>
          </w:hyperlink>
        </w:p>
        <w:p w14:paraId="2BC20BD4" w14:textId="59B6BD15" w:rsidR="00F30169" w:rsidRDefault="00F30169">
          <w:pPr>
            <w:pStyle w:val="TOC2"/>
            <w:tabs>
              <w:tab w:val="right" w:leader="dot" w:pos="12950"/>
            </w:tabs>
            <w:rPr>
              <w:noProof/>
              <w:kern w:val="2"/>
              <w:sz w:val="24"/>
              <w:szCs w:val="24"/>
              <w:lang w:eastAsia="en-GB"/>
              <w14:ligatures w14:val="standardContextual"/>
            </w:rPr>
          </w:pPr>
          <w:hyperlink w:anchor="_Toc224113539" w:history="1">
            <w:r w:rsidRPr="00674705">
              <w:rPr>
                <w:rStyle w:val="Hyperlink"/>
                <w:noProof/>
              </w:rPr>
              <w:t>Approach to risk</w:t>
            </w:r>
            <w:r>
              <w:rPr>
                <w:noProof/>
                <w:webHidden/>
              </w:rPr>
              <w:tab/>
            </w:r>
            <w:r>
              <w:rPr>
                <w:noProof/>
                <w:webHidden/>
              </w:rPr>
              <w:fldChar w:fldCharType="begin"/>
            </w:r>
            <w:r>
              <w:rPr>
                <w:noProof/>
                <w:webHidden/>
              </w:rPr>
              <w:instrText xml:space="preserve"> PAGEREF _Toc224113539 \h </w:instrText>
            </w:r>
            <w:r>
              <w:rPr>
                <w:noProof/>
                <w:webHidden/>
              </w:rPr>
            </w:r>
            <w:r>
              <w:rPr>
                <w:noProof/>
                <w:webHidden/>
              </w:rPr>
              <w:fldChar w:fldCharType="separate"/>
            </w:r>
            <w:r w:rsidR="00F37785">
              <w:rPr>
                <w:noProof/>
                <w:webHidden/>
              </w:rPr>
              <w:t>5</w:t>
            </w:r>
            <w:r>
              <w:rPr>
                <w:noProof/>
                <w:webHidden/>
              </w:rPr>
              <w:fldChar w:fldCharType="end"/>
            </w:r>
          </w:hyperlink>
        </w:p>
        <w:p w14:paraId="4E4C7EC2" w14:textId="30D3C6D7" w:rsidR="00F30169" w:rsidRDefault="00F30169">
          <w:pPr>
            <w:pStyle w:val="TOC2"/>
            <w:tabs>
              <w:tab w:val="right" w:leader="dot" w:pos="12950"/>
            </w:tabs>
            <w:rPr>
              <w:noProof/>
              <w:kern w:val="2"/>
              <w:sz w:val="24"/>
              <w:szCs w:val="24"/>
              <w:lang w:eastAsia="en-GB"/>
              <w14:ligatures w14:val="standardContextual"/>
            </w:rPr>
          </w:pPr>
          <w:hyperlink w:anchor="_Toc224113540" w:history="1">
            <w:r w:rsidRPr="00674705">
              <w:rPr>
                <w:rStyle w:val="Hyperlink"/>
                <w:noProof/>
              </w:rPr>
              <w:t>Rebalancing</w:t>
            </w:r>
            <w:r>
              <w:rPr>
                <w:noProof/>
                <w:webHidden/>
              </w:rPr>
              <w:tab/>
            </w:r>
            <w:r>
              <w:rPr>
                <w:noProof/>
                <w:webHidden/>
              </w:rPr>
              <w:fldChar w:fldCharType="begin"/>
            </w:r>
            <w:r>
              <w:rPr>
                <w:noProof/>
                <w:webHidden/>
              </w:rPr>
              <w:instrText xml:space="preserve"> PAGEREF _Toc224113540 \h </w:instrText>
            </w:r>
            <w:r>
              <w:rPr>
                <w:noProof/>
                <w:webHidden/>
              </w:rPr>
            </w:r>
            <w:r>
              <w:rPr>
                <w:noProof/>
                <w:webHidden/>
              </w:rPr>
              <w:fldChar w:fldCharType="separate"/>
            </w:r>
            <w:r w:rsidR="00F37785">
              <w:rPr>
                <w:noProof/>
                <w:webHidden/>
              </w:rPr>
              <w:t>8</w:t>
            </w:r>
            <w:r>
              <w:rPr>
                <w:noProof/>
                <w:webHidden/>
              </w:rPr>
              <w:fldChar w:fldCharType="end"/>
            </w:r>
          </w:hyperlink>
        </w:p>
        <w:p w14:paraId="67A7C1E6" w14:textId="113ABEBD" w:rsidR="00F30169" w:rsidRDefault="00F30169">
          <w:pPr>
            <w:pStyle w:val="TOC2"/>
            <w:tabs>
              <w:tab w:val="right" w:leader="dot" w:pos="12950"/>
            </w:tabs>
            <w:rPr>
              <w:noProof/>
              <w:kern w:val="2"/>
              <w:sz w:val="24"/>
              <w:szCs w:val="24"/>
              <w:lang w:eastAsia="en-GB"/>
              <w14:ligatures w14:val="standardContextual"/>
            </w:rPr>
          </w:pPr>
          <w:hyperlink w:anchor="_Toc224113541" w:history="1">
            <w:r w:rsidRPr="00674705">
              <w:rPr>
                <w:rStyle w:val="Hyperlink"/>
                <w:noProof/>
              </w:rPr>
              <w:t>Liquidity</w:t>
            </w:r>
            <w:r>
              <w:rPr>
                <w:noProof/>
                <w:webHidden/>
              </w:rPr>
              <w:tab/>
            </w:r>
            <w:r>
              <w:rPr>
                <w:noProof/>
                <w:webHidden/>
              </w:rPr>
              <w:fldChar w:fldCharType="begin"/>
            </w:r>
            <w:r>
              <w:rPr>
                <w:noProof/>
                <w:webHidden/>
              </w:rPr>
              <w:instrText xml:space="preserve"> PAGEREF _Toc224113541 \h </w:instrText>
            </w:r>
            <w:r>
              <w:rPr>
                <w:noProof/>
                <w:webHidden/>
              </w:rPr>
            </w:r>
            <w:r>
              <w:rPr>
                <w:noProof/>
                <w:webHidden/>
              </w:rPr>
              <w:fldChar w:fldCharType="separate"/>
            </w:r>
            <w:r w:rsidR="00F37785">
              <w:rPr>
                <w:noProof/>
                <w:webHidden/>
              </w:rPr>
              <w:t>8</w:t>
            </w:r>
            <w:r>
              <w:rPr>
                <w:noProof/>
                <w:webHidden/>
              </w:rPr>
              <w:fldChar w:fldCharType="end"/>
            </w:r>
          </w:hyperlink>
        </w:p>
        <w:p w14:paraId="29C68433" w14:textId="3B27DF83" w:rsidR="00F30169" w:rsidRDefault="00F30169">
          <w:pPr>
            <w:pStyle w:val="TOC2"/>
            <w:tabs>
              <w:tab w:val="right" w:leader="dot" w:pos="12950"/>
            </w:tabs>
            <w:rPr>
              <w:noProof/>
              <w:kern w:val="2"/>
              <w:sz w:val="24"/>
              <w:szCs w:val="24"/>
              <w:lang w:eastAsia="en-GB"/>
              <w14:ligatures w14:val="standardContextual"/>
            </w:rPr>
          </w:pPr>
          <w:hyperlink w:anchor="_Toc224113542" w:history="1">
            <w:r w:rsidRPr="00674705">
              <w:rPr>
                <w:rStyle w:val="Hyperlink"/>
                <w:noProof/>
              </w:rPr>
              <w:t>Local Investment</w:t>
            </w:r>
            <w:r>
              <w:rPr>
                <w:noProof/>
                <w:webHidden/>
              </w:rPr>
              <w:tab/>
            </w:r>
            <w:r>
              <w:rPr>
                <w:noProof/>
                <w:webHidden/>
              </w:rPr>
              <w:fldChar w:fldCharType="begin"/>
            </w:r>
            <w:r>
              <w:rPr>
                <w:noProof/>
                <w:webHidden/>
              </w:rPr>
              <w:instrText xml:space="preserve"> PAGEREF _Toc224113542 \h </w:instrText>
            </w:r>
            <w:r>
              <w:rPr>
                <w:noProof/>
                <w:webHidden/>
              </w:rPr>
            </w:r>
            <w:r>
              <w:rPr>
                <w:noProof/>
                <w:webHidden/>
              </w:rPr>
              <w:fldChar w:fldCharType="separate"/>
            </w:r>
            <w:r w:rsidR="00F37785">
              <w:rPr>
                <w:noProof/>
                <w:webHidden/>
              </w:rPr>
              <w:t>8</w:t>
            </w:r>
            <w:r>
              <w:rPr>
                <w:noProof/>
                <w:webHidden/>
              </w:rPr>
              <w:fldChar w:fldCharType="end"/>
            </w:r>
          </w:hyperlink>
        </w:p>
        <w:p w14:paraId="3FCA64BB" w14:textId="097686A6" w:rsidR="00F30169" w:rsidRDefault="00F30169">
          <w:pPr>
            <w:pStyle w:val="TOC2"/>
            <w:tabs>
              <w:tab w:val="right" w:leader="dot" w:pos="12950"/>
            </w:tabs>
            <w:rPr>
              <w:noProof/>
              <w:kern w:val="2"/>
              <w:sz w:val="24"/>
              <w:szCs w:val="24"/>
              <w:lang w:eastAsia="en-GB"/>
              <w14:ligatures w14:val="standardContextual"/>
            </w:rPr>
          </w:pPr>
          <w:hyperlink w:anchor="_Toc224113543" w:history="1">
            <w:r w:rsidRPr="00674705">
              <w:rPr>
                <w:rStyle w:val="Hyperlink"/>
                <w:noProof/>
              </w:rPr>
              <w:t>Approach to pooling</w:t>
            </w:r>
            <w:r>
              <w:rPr>
                <w:noProof/>
                <w:webHidden/>
              </w:rPr>
              <w:tab/>
            </w:r>
            <w:r>
              <w:rPr>
                <w:noProof/>
                <w:webHidden/>
              </w:rPr>
              <w:fldChar w:fldCharType="begin"/>
            </w:r>
            <w:r>
              <w:rPr>
                <w:noProof/>
                <w:webHidden/>
              </w:rPr>
              <w:instrText xml:space="preserve"> PAGEREF _Toc224113543 \h </w:instrText>
            </w:r>
            <w:r>
              <w:rPr>
                <w:noProof/>
                <w:webHidden/>
              </w:rPr>
            </w:r>
            <w:r>
              <w:rPr>
                <w:noProof/>
                <w:webHidden/>
              </w:rPr>
              <w:fldChar w:fldCharType="separate"/>
            </w:r>
            <w:r w:rsidR="00F37785">
              <w:rPr>
                <w:noProof/>
                <w:webHidden/>
              </w:rPr>
              <w:t>9</w:t>
            </w:r>
            <w:r>
              <w:rPr>
                <w:noProof/>
                <w:webHidden/>
              </w:rPr>
              <w:fldChar w:fldCharType="end"/>
            </w:r>
          </w:hyperlink>
        </w:p>
        <w:p w14:paraId="5287295B" w14:textId="735B95F0" w:rsidR="00F30169" w:rsidRDefault="00F30169">
          <w:pPr>
            <w:pStyle w:val="TOC1"/>
            <w:tabs>
              <w:tab w:val="right" w:leader="dot" w:pos="12950"/>
            </w:tabs>
            <w:rPr>
              <w:noProof/>
              <w:kern w:val="2"/>
              <w:sz w:val="24"/>
              <w:szCs w:val="24"/>
              <w:lang w:eastAsia="en-GB"/>
              <w14:ligatures w14:val="standardContextual"/>
            </w:rPr>
          </w:pPr>
          <w:hyperlink w:anchor="_Toc224113544" w:history="1">
            <w:r w:rsidRPr="00674705">
              <w:rPr>
                <w:rStyle w:val="Hyperlink"/>
                <w:noProof/>
              </w:rPr>
              <w:t>Responsible investment policy</w:t>
            </w:r>
            <w:r>
              <w:rPr>
                <w:noProof/>
                <w:webHidden/>
              </w:rPr>
              <w:tab/>
            </w:r>
            <w:r>
              <w:rPr>
                <w:noProof/>
                <w:webHidden/>
              </w:rPr>
              <w:fldChar w:fldCharType="begin"/>
            </w:r>
            <w:r>
              <w:rPr>
                <w:noProof/>
                <w:webHidden/>
              </w:rPr>
              <w:instrText xml:space="preserve"> PAGEREF _Toc224113544 \h </w:instrText>
            </w:r>
            <w:r>
              <w:rPr>
                <w:noProof/>
                <w:webHidden/>
              </w:rPr>
            </w:r>
            <w:r>
              <w:rPr>
                <w:noProof/>
                <w:webHidden/>
              </w:rPr>
              <w:fldChar w:fldCharType="separate"/>
            </w:r>
            <w:r w:rsidR="00F37785">
              <w:rPr>
                <w:noProof/>
                <w:webHidden/>
              </w:rPr>
              <w:t>11</w:t>
            </w:r>
            <w:r>
              <w:rPr>
                <w:noProof/>
                <w:webHidden/>
              </w:rPr>
              <w:fldChar w:fldCharType="end"/>
            </w:r>
          </w:hyperlink>
        </w:p>
        <w:p w14:paraId="264A7694" w14:textId="1C335D99" w:rsidR="00F30169" w:rsidRDefault="00F30169">
          <w:pPr>
            <w:pStyle w:val="TOC2"/>
            <w:tabs>
              <w:tab w:val="right" w:leader="dot" w:pos="12950"/>
            </w:tabs>
            <w:rPr>
              <w:noProof/>
              <w:kern w:val="2"/>
              <w:sz w:val="24"/>
              <w:szCs w:val="24"/>
              <w:lang w:eastAsia="en-GB"/>
              <w14:ligatures w14:val="standardContextual"/>
            </w:rPr>
          </w:pPr>
          <w:hyperlink w:anchor="_Toc224113545" w:history="1">
            <w:r w:rsidRPr="00674705">
              <w:rPr>
                <w:rStyle w:val="Hyperlink"/>
                <w:noProof/>
              </w:rPr>
              <w:t>1. Rationale, definition and beliefs</w:t>
            </w:r>
            <w:r>
              <w:rPr>
                <w:noProof/>
                <w:webHidden/>
              </w:rPr>
              <w:tab/>
            </w:r>
            <w:r>
              <w:rPr>
                <w:noProof/>
                <w:webHidden/>
              </w:rPr>
              <w:fldChar w:fldCharType="begin"/>
            </w:r>
            <w:r>
              <w:rPr>
                <w:noProof/>
                <w:webHidden/>
              </w:rPr>
              <w:instrText xml:space="preserve"> PAGEREF _Toc224113545 \h </w:instrText>
            </w:r>
            <w:r>
              <w:rPr>
                <w:noProof/>
                <w:webHidden/>
              </w:rPr>
            </w:r>
            <w:r>
              <w:rPr>
                <w:noProof/>
                <w:webHidden/>
              </w:rPr>
              <w:fldChar w:fldCharType="separate"/>
            </w:r>
            <w:r w:rsidR="00F37785">
              <w:rPr>
                <w:noProof/>
                <w:webHidden/>
              </w:rPr>
              <w:t>11</w:t>
            </w:r>
            <w:r>
              <w:rPr>
                <w:noProof/>
                <w:webHidden/>
              </w:rPr>
              <w:fldChar w:fldCharType="end"/>
            </w:r>
          </w:hyperlink>
        </w:p>
        <w:p w14:paraId="11B3E289" w14:textId="33EC32BC" w:rsidR="00F30169" w:rsidRDefault="00F30169">
          <w:pPr>
            <w:pStyle w:val="TOC2"/>
            <w:tabs>
              <w:tab w:val="right" w:leader="dot" w:pos="12950"/>
            </w:tabs>
            <w:rPr>
              <w:noProof/>
              <w:kern w:val="2"/>
              <w:sz w:val="24"/>
              <w:szCs w:val="24"/>
              <w:lang w:eastAsia="en-GB"/>
              <w14:ligatures w14:val="standardContextual"/>
            </w:rPr>
          </w:pPr>
          <w:hyperlink w:anchor="_Toc224113546" w:history="1">
            <w:r w:rsidRPr="00674705">
              <w:rPr>
                <w:rStyle w:val="Hyperlink"/>
                <w:noProof/>
              </w:rPr>
              <w:t>2. Prioritisation of RI issues</w:t>
            </w:r>
            <w:r>
              <w:rPr>
                <w:noProof/>
                <w:webHidden/>
              </w:rPr>
              <w:tab/>
            </w:r>
            <w:r>
              <w:rPr>
                <w:noProof/>
                <w:webHidden/>
              </w:rPr>
              <w:fldChar w:fldCharType="begin"/>
            </w:r>
            <w:r>
              <w:rPr>
                <w:noProof/>
                <w:webHidden/>
              </w:rPr>
              <w:instrText xml:space="preserve"> PAGEREF _Toc224113546 \h </w:instrText>
            </w:r>
            <w:r>
              <w:rPr>
                <w:noProof/>
                <w:webHidden/>
              </w:rPr>
            </w:r>
            <w:r>
              <w:rPr>
                <w:noProof/>
                <w:webHidden/>
              </w:rPr>
              <w:fldChar w:fldCharType="separate"/>
            </w:r>
            <w:r w:rsidR="00F37785">
              <w:rPr>
                <w:noProof/>
                <w:webHidden/>
              </w:rPr>
              <w:t>12</w:t>
            </w:r>
            <w:r>
              <w:rPr>
                <w:noProof/>
                <w:webHidden/>
              </w:rPr>
              <w:fldChar w:fldCharType="end"/>
            </w:r>
          </w:hyperlink>
        </w:p>
        <w:p w14:paraId="3D066249" w14:textId="0151D660" w:rsidR="00F30169" w:rsidRDefault="00F30169">
          <w:pPr>
            <w:pStyle w:val="TOC2"/>
            <w:tabs>
              <w:tab w:val="right" w:leader="dot" w:pos="12950"/>
            </w:tabs>
            <w:rPr>
              <w:noProof/>
              <w:kern w:val="2"/>
              <w:sz w:val="24"/>
              <w:szCs w:val="24"/>
              <w:lang w:eastAsia="en-GB"/>
              <w14:ligatures w14:val="standardContextual"/>
            </w:rPr>
          </w:pPr>
          <w:hyperlink w:anchor="_Toc224113547" w:history="1">
            <w:r w:rsidRPr="00674705">
              <w:rPr>
                <w:rStyle w:val="Hyperlink"/>
                <w:noProof/>
              </w:rPr>
              <w:t>3. Stock/sector exclusions and social impact investments</w:t>
            </w:r>
            <w:r>
              <w:rPr>
                <w:noProof/>
                <w:webHidden/>
              </w:rPr>
              <w:tab/>
            </w:r>
            <w:r>
              <w:rPr>
                <w:noProof/>
                <w:webHidden/>
              </w:rPr>
              <w:fldChar w:fldCharType="begin"/>
            </w:r>
            <w:r>
              <w:rPr>
                <w:noProof/>
                <w:webHidden/>
              </w:rPr>
              <w:instrText xml:space="preserve"> PAGEREF _Toc224113547 \h </w:instrText>
            </w:r>
            <w:r>
              <w:rPr>
                <w:noProof/>
                <w:webHidden/>
              </w:rPr>
            </w:r>
            <w:r>
              <w:rPr>
                <w:noProof/>
                <w:webHidden/>
              </w:rPr>
              <w:fldChar w:fldCharType="separate"/>
            </w:r>
            <w:r w:rsidR="00F37785">
              <w:rPr>
                <w:noProof/>
                <w:webHidden/>
              </w:rPr>
              <w:t>13</w:t>
            </w:r>
            <w:r>
              <w:rPr>
                <w:noProof/>
                <w:webHidden/>
              </w:rPr>
              <w:fldChar w:fldCharType="end"/>
            </w:r>
          </w:hyperlink>
        </w:p>
        <w:p w14:paraId="38F54D0E" w14:textId="18E441D1" w:rsidR="00F30169" w:rsidRDefault="00F30169">
          <w:pPr>
            <w:pStyle w:val="TOC2"/>
            <w:tabs>
              <w:tab w:val="right" w:leader="dot" w:pos="12950"/>
            </w:tabs>
            <w:rPr>
              <w:noProof/>
              <w:kern w:val="2"/>
              <w:sz w:val="24"/>
              <w:szCs w:val="24"/>
              <w:lang w:eastAsia="en-GB"/>
              <w14:ligatures w14:val="standardContextual"/>
            </w:rPr>
          </w:pPr>
          <w:hyperlink w:anchor="_Toc224113548" w:history="1">
            <w:r w:rsidRPr="00674705">
              <w:rPr>
                <w:rStyle w:val="Hyperlink"/>
                <w:noProof/>
              </w:rPr>
              <w:t>4. Framework and approach</w:t>
            </w:r>
            <w:r>
              <w:rPr>
                <w:noProof/>
                <w:webHidden/>
              </w:rPr>
              <w:tab/>
            </w:r>
            <w:r>
              <w:rPr>
                <w:noProof/>
                <w:webHidden/>
              </w:rPr>
              <w:fldChar w:fldCharType="begin"/>
            </w:r>
            <w:r>
              <w:rPr>
                <w:noProof/>
                <w:webHidden/>
              </w:rPr>
              <w:instrText xml:space="preserve"> PAGEREF _Toc224113548 \h </w:instrText>
            </w:r>
            <w:r>
              <w:rPr>
                <w:noProof/>
                <w:webHidden/>
              </w:rPr>
            </w:r>
            <w:r>
              <w:rPr>
                <w:noProof/>
                <w:webHidden/>
              </w:rPr>
              <w:fldChar w:fldCharType="separate"/>
            </w:r>
            <w:r w:rsidR="00F37785">
              <w:rPr>
                <w:noProof/>
                <w:webHidden/>
              </w:rPr>
              <w:t>14</w:t>
            </w:r>
            <w:r>
              <w:rPr>
                <w:noProof/>
                <w:webHidden/>
              </w:rPr>
              <w:fldChar w:fldCharType="end"/>
            </w:r>
          </w:hyperlink>
        </w:p>
        <w:p w14:paraId="3599F751" w14:textId="14229787" w:rsidR="00F30169" w:rsidRDefault="00F30169">
          <w:pPr>
            <w:pStyle w:val="TOC2"/>
            <w:tabs>
              <w:tab w:val="right" w:leader="dot" w:pos="12950"/>
            </w:tabs>
            <w:rPr>
              <w:noProof/>
              <w:kern w:val="2"/>
              <w:sz w:val="24"/>
              <w:szCs w:val="24"/>
              <w:lang w:eastAsia="en-GB"/>
              <w14:ligatures w14:val="standardContextual"/>
            </w:rPr>
          </w:pPr>
          <w:hyperlink w:anchor="_Toc224113549" w:history="1">
            <w:r w:rsidRPr="00674705">
              <w:rPr>
                <w:rStyle w:val="Hyperlink"/>
                <w:noProof/>
              </w:rPr>
              <w:t>5. Exercise of rights attaching to investments</w:t>
            </w:r>
            <w:r>
              <w:rPr>
                <w:noProof/>
                <w:webHidden/>
              </w:rPr>
              <w:tab/>
            </w:r>
            <w:r>
              <w:rPr>
                <w:noProof/>
                <w:webHidden/>
              </w:rPr>
              <w:fldChar w:fldCharType="begin"/>
            </w:r>
            <w:r>
              <w:rPr>
                <w:noProof/>
                <w:webHidden/>
              </w:rPr>
              <w:instrText xml:space="preserve"> PAGEREF _Toc224113549 \h </w:instrText>
            </w:r>
            <w:r>
              <w:rPr>
                <w:noProof/>
                <w:webHidden/>
              </w:rPr>
            </w:r>
            <w:r>
              <w:rPr>
                <w:noProof/>
                <w:webHidden/>
              </w:rPr>
              <w:fldChar w:fldCharType="separate"/>
            </w:r>
            <w:r w:rsidR="00F37785">
              <w:rPr>
                <w:noProof/>
                <w:webHidden/>
              </w:rPr>
              <w:t>18</w:t>
            </w:r>
            <w:r>
              <w:rPr>
                <w:noProof/>
                <w:webHidden/>
              </w:rPr>
              <w:fldChar w:fldCharType="end"/>
            </w:r>
          </w:hyperlink>
        </w:p>
        <w:p w14:paraId="6EB1A11C" w14:textId="5DA1075F" w:rsidR="00F30169" w:rsidRDefault="00F30169">
          <w:pPr>
            <w:pStyle w:val="TOC2"/>
            <w:tabs>
              <w:tab w:val="right" w:leader="dot" w:pos="12950"/>
            </w:tabs>
            <w:rPr>
              <w:noProof/>
              <w:kern w:val="2"/>
              <w:sz w:val="24"/>
              <w:szCs w:val="24"/>
              <w:lang w:eastAsia="en-GB"/>
              <w14:ligatures w14:val="standardContextual"/>
            </w:rPr>
          </w:pPr>
          <w:hyperlink w:anchor="_Toc224113550" w:history="1">
            <w:r w:rsidRPr="00674705">
              <w:rPr>
                <w:rStyle w:val="Hyperlink"/>
                <w:noProof/>
              </w:rPr>
              <w:t>6. Monitoring, reporting and next steps</w:t>
            </w:r>
            <w:r>
              <w:rPr>
                <w:noProof/>
                <w:webHidden/>
              </w:rPr>
              <w:tab/>
            </w:r>
            <w:r>
              <w:rPr>
                <w:noProof/>
                <w:webHidden/>
              </w:rPr>
              <w:fldChar w:fldCharType="begin"/>
            </w:r>
            <w:r>
              <w:rPr>
                <w:noProof/>
                <w:webHidden/>
              </w:rPr>
              <w:instrText xml:space="preserve"> PAGEREF _Toc224113550 \h </w:instrText>
            </w:r>
            <w:r>
              <w:rPr>
                <w:noProof/>
                <w:webHidden/>
              </w:rPr>
            </w:r>
            <w:r>
              <w:rPr>
                <w:noProof/>
                <w:webHidden/>
              </w:rPr>
              <w:fldChar w:fldCharType="separate"/>
            </w:r>
            <w:r w:rsidR="00F37785">
              <w:rPr>
                <w:noProof/>
                <w:webHidden/>
              </w:rPr>
              <w:t>19</w:t>
            </w:r>
            <w:r>
              <w:rPr>
                <w:noProof/>
                <w:webHidden/>
              </w:rPr>
              <w:fldChar w:fldCharType="end"/>
            </w:r>
          </w:hyperlink>
        </w:p>
        <w:p w14:paraId="2F7EA257" w14:textId="1A0AD1A2" w:rsidR="00F30169" w:rsidRDefault="00F30169">
          <w:pPr>
            <w:pStyle w:val="TOC2"/>
            <w:tabs>
              <w:tab w:val="right" w:leader="dot" w:pos="12950"/>
            </w:tabs>
            <w:rPr>
              <w:noProof/>
              <w:kern w:val="2"/>
              <w:sz w:val="24"/>
              <w:szCs w:val="24"/>
              <w:lang w:eastAsia="en-GB"/>
              <w14:ligatures w14:val="standardContextual"/>
            </w:rPr>
          </w:pPr>
          <w:hyperlink w:anchor="_Toc224113551" w:history="1">
            <w:r w:rsidRPr="00674705">
              <w:rPr>
                <w:rStyle w:val="Hyperlink"/>
                <w:noProof/>
              </w:rPr>
              <w:t>RI standards</w:t>
            </w:r>
            <w:r>
              <w:rPr>
                <w:noProof/>
                <w:webHidden/>
              </w:rPr>
              <w:tab/>
            </w:r>
            <w:r>
              <w:rPr>
                <w:noProof/>
                <w:webHidden/>
              </w:rPr>
              <w:fldChar w:fldCharType="begin"/>
            </w:r>
            <w:r>
              <w:rPr>
                <w:noProof/>
                <w:webHidden/>
              </w:rPr>
              <w:instrText xml:space="preserve"> PAGEREF _Toc224113551 \h </w:instrText>
            </w:r>
            <w:r>
              <w:rPr>
                <w:noProof/>
                <w:webHidden/>
              </w:rPr>
            </w:r>
            <w:r>
              <w:rPr>
                <w:noProof/>
                <w:webHidden/>
              </w:rPr>
              <w:fldChar w:fldCharType="separate"/>
            </w:r>
            <w:r w:rsidR="00F37785">
              <w:rPr>
                <w:noProof/>
                <w:webHidden/>
              </w:rPr>
              <w:t>20</w:t>
            </w:r>
            <w:r>
              <w:rPr>
                <w:noProof/>
                <w:webHidden/>
              </w:rPr>
              <w:fldChar w:fldCharType="end"/>
            </w:r>
          </w:hyperlink>
        </w:p>
        <w:p w14:paraId="28269E20" w14:textId="55F30AB5" w:rsidR="00F30169" w:rsidRDefault="00F30169">
          <w:pPr>
            <w:pStyle w:val="TOC2"/>
            <w:tabs>
              <w:tab w:val="right" w:leader="dot" w:pos="12950"/>
            </w:tabs>
            <w:rPr>
              <w:noProof/>
              <w:kern w:val="2"/>
              <w:sz w:val="24"/>
              <w:szCs w:val="24"/>
              <w:lang w:eastAsia="en-GB"/>
              <w14:ligatures w14:val="standardContextual"/>
            </w:rPr>
          </w:pPr>
          <w:hyperlink w:anchor="_Toc224113552" w:history="1">
            <w:r w:rsidRPr="00674705">
              <w:rPr>
                <w:rStyle w:val="Hyperlink"/>
                <w:noProof/>
              </w:rPr>
              <w:t>RI priorities for the coming year</w:t>
            </w:r>
            <w:r>
              <w:rPr>
                <w:noProof/>
                <w:webHidden/>
              </w:rPr>
              <w:tab/>
            </w:r>
            <w:r>
              <w:rPr>
                <w:noProof/>
                <w:webHidden/>
              </w:rPr>
              <w:fldChar w:fldCharType="begin"/>
            </w:r>
            <w:r>
              <w:rPr>
                <w:noProof/>
                <w:webHidden/>
              </w:rPr>
              <w:instrText xml:space="preserve"> PAGEREF _Toc224113552 \h </w:instrText>
            </w:r>
            <w:r>
              <w:rPr>
                <w:noProof/>
                <w:webHidden/>
              </w:rPr>
            </w:r>
            <w:r>
              <w:rPr>
                <w:noProof/>
                <w:webHidden/>
              </w:rPr>
              <w:fldChar w:fldCharType="separate"/>
            </w:r>
            <w:r w:rsidR="00F37785">
              <w:rPr>
                <w:noProof/>
                <w:webHidden/>
              </w:rPr>
              <w:t>21</w:t>
            </w:r>
            <w:r>
              <w:rPr>
                <w:noProof/>
                <w:webHidden/>
              </w:rPr>
              <w:fldChar w:fldCharType="end"/>
            </w:r>
          </w:hyperlink>
        </w:p>
        <w:p w14:paraId="26CB38F8" w14:textId="6C8D0624" w:rsidR="00607368" w:rsidRDefault="00607368">
          <w:r w:rsidRPr="00E93ABB">
            <w:rPr>
              <w:rFonts w:ascii="Arial" w:hAnsi="Arial" w:cs="Arial"/>
              <w:b/>
              <w:bCs/>
              <w:noProof/>
              <w:sz w:val="24"/>
              <w:szCs w:val="24"/>
            </w:rPr>
            <w:fldChar w:fldCharType="end"/>
          </w:r>
        </w:p>
      </w:sdtContent>
    </w:sdt>
    <w:p w14:paraId="6C59FDE4" w14:textId="77777777" w:rsidR="00607368" w:rsidRDefault="00607368" w:rsidP="00D73B2F">
      <w:pPr>
        <w:pStyle w:val="Heading1"/>
        <w:spacing w:before="0"/>
        <w:rPr>
          <w:sz w:val="56"/>
          <w:szCs w:val="56"/>
        </w:rPr>
        <w:sectPr w:rsidR="00607368" w:rsidSect="005D460F">
          <w:pgSz w:w="15840" w:h="12240" w:orient="landscape"/>
          <w:pgMar w:top="1440" w:right="1440" w:bottom="1440" w:left="1440" w:header="720" w:footer="720" w:gutter="0"/>
          <w:cols w:space="720"/>
          <w:docGrid w:linePitch="360"/>
        </w:sectPr>
      </w:pPr>
    </w:p>
    <w:p w14:paraId="3F2B3ECD" w14:textId="2BFEC719" w:rsidR="0052389E" w:rsidRPr="00D73B2F" w:rsidRDefault="0052389E" w:rsidP="00D73B2F">
      <w:pPr>
        <w:pStyle w:val="Heading1"/>
        <w:spacing w:before="0"/>
        <w:rPr>
          <w:sz w:val="56"/>
          <w:szCs w:val="56"/>
        </w:rPr>
      </w:pPr>
      <w:bookmarkStart w:id="0" w:name="_Toc224113534"/>
      <w:r w:rsidRPr="00D73B2F">
        <w:rPr>
          <w:sz w:val="56"/>
          <w:szCs w:val="56"/>
        </w:rPr>
        <w:t>Introduction</w:t>
      </w:r>
      <w:bookmarkEnd w:id="0"/>
    </w:p>
    <w:p w14:paraId="7F7B376B" w14:textId="1E359D57" w:rsidR="0052389E" w:rsidRDefault="0052389E" w:rsidP="0052389E">
      <w:pPr>
        <w:rPr>
          <w:rFonts w:ascii="Arial" w:hAnsi="Arial" w:cs="Arial"/>
          <w:sz w:val="24"/>
          <w:szCs w:val="24"/>
        </w:rPr>
      </w:pPr>
      <w:r w:rsidRPr="0052389E">
        <w:rPr>
          <w:rFonts w:ascii="Arial" w:hAnsi="Arial" w:cs="Arial"/>
          <w:sz w:val="24"/>
          <w:szCs w:val="24"/>
        </w:rPr>
        <w:t>Hampshire County Council is the administering authority for the Hampshire Pension Fund (the “Fund”), which covers employees of the County Council, two unitary councils, 11 district councils, and 3</w:t>
      </w:r>
      <w:r w:rsidR="009835E7">
        <w:rPr>
          <w:rFonts w:ascii="Arial" w:hAnsi="Arial" w:cs="Arial"/>
          <w:sz w:val="24"/>
          <w:szCs w:val="24"/>
        </w:rPr>
        <w:t>88</w:t>
      </w:r>
      <w:r w:rsidRPr="0052389E">
        <w:rPr>
          <w:rFonts w:ascii="Arial" w:hAnsi="Arial" w:cs="Arial"/>
          <w:sz w:val="24"/>
          <w:szCs w:val="24"/>
        </w:rPr>
        <w:t xml:space="preserve"> other scheduled and admission bodies. The total number of contributors is 61,</w:t>
      </w:r>
      <w:r w:rsidR="00FD2D4B">
        <w:rPr>
          <w:rFonts w:ascii="Arial" w:hAnsi="Arial" w:cs="Arial"/>
          <w:sz w:val="24"/>
          <w:szCs w:val="24"/>
        </w:rPr>
        <w:t>842</w:t>
      </w:r>
      <w:r w:rsidRPr="0052389E">
        <w:rPr>
          <w:rFonts w:ascii="Arial" w:hAnsi="Arial" w:cs="Arial"/>
          <w:sz w:val="24"/>
          <w:szCs w:val="24"/>
        </w:rPr>
        <w:t xml:space="preserve"> and there are 9</w:t>
      </w:r>
      <w:r w:rsidR="005C61E5">
        <w:rPr>
          <w:rFonts w:ascii="Arial" w:hAnsi="Arial" w:cs="Arial"/>
          <w:sz w:val="24"/>
          <w:szCs w:val="24"/>
        </w:rPr>
        <w:t>2</w:t>
      </w:r>
      <w:r w:rsidRPr="0052389E">
        <w:rPr>
          <w:rFonts w:ascii="Arial" w:hAnsi="Arial" w:cs="Arial"/>
          <w:sz w:val="24"/>
          <w:szCs w:val="24"/>
        </w:rPr>
        <w:t>,08</w:t>
      </w:r>
      <w:r w:rsidR="005C61E5">
        <w:rPr>
          <w:rFonts w:ascii="Arial" w:hAnsi="Arial" w:cs="Arial"/>
          <w:sz w:val="24"/>
          <w:szCs w:val="24"/>
        </w:rPr>
        <w:t>4</w:t>
      </w:r>
      <w:r w:rsidRPr="0052389E">
        <w:rPr>
          <w:rFonts w:ascii="Arial" w:hAnsi="Arial" w:cs="Arial"/>
          <w:sz w:val="24"/>
          <w:szCs w:val="24"/>
        </w:rPr>
        <w:t xml:space="preserve"> deferred scheme members and 5</w:t>
      </w:r>
      <w:r w:rsidR="005C61E5">
        <w:rPr>
          <w:rFonts w:ascii="Arial" w:hAnsi="Arial" w:cs="Arial"/>
          <w:sz w:val="24"/>
          <w:szCs w:val="24"/>
        </w:rPr>
        <w:t>8</w:t>
      </w:r>
      <w:r w:rsidRPr="0052389E">
        <w:rPr>
          <w:rFonts w:ascii="Arial" w:hAnsi="Arial" w:cs="Arial"/>
          <w:sz w:val="24"/>
          <w:szCs w:val="24"/>
        </w:rPr>
        <w:t>,</w:t>
      </w:r>
      <w:r w:rsidR="005C61E5">
        <w:rPr>
          <w:rFonts w:ascii="Arial" w:hAnsi="Arial" w:cs="Arial"/>
          <w:sz w:val="24"/>
          <w:szCs w:val="24"/>
        </w:rPr>
        <w:t>277</w:t>
      </w:r>
      <w:r w:rsidRPr="0052389E">
        <w:rPr>
          <w:rFonts w:ascii="Arial" w:hAnsi="Arial" w:cs="Arial"/>
          <w:sz w:val="24"/>
          <w:szCs w:val="24"/>
        </w:rPr>
        <w:t xml:space="preserve"> pensioners (all as of 31 March 202</w:t>
      </w:r>
      <w:r w:rsidR="004A4454">
        <w:rPr>
          <w:rFonts w:ascii="Arial" w:hAnsi="Arial" w:cs="Arial"/>
          <w:sz w:val="24"/>
          <w:szCs w:val="24"/>
        </w:rPr>
        <w:t>5</w:t>
      </w:r>
      <w:r w:rsidRPr="0052389E">
        <w:rPr>
          <w:rFonts w:ascii="Arial" w:hAnsi="Arial" w:cs="Arial"/>
          <w:sz w:val="24"/>
          <w:szCs w:val="24"/>
        </w:rPr>
        <w:t>).</w:t>
      </w:r>
    </w:p>
    <w:p w14:paraId="6722369C" w14:textId="26218C31" w:rsidR="0052389E" w:rsidRDefault="0052389E" w:rsidP="0052389E">
      <w:pPr>
        <w:rPr>
          <w:rFonts w:ascii="Arial" w:hAnsi="Arial" w:cs="Arial"/>
          <w:sz w:val="24"/>
          <w:szCs w:val="24"/>
        </w:rPr>
      </w:pPr>
      <w:r w:rsidRPr="005D38ED">
        <w:rPr>
          <w:rFonts w:ascii="Arial" w:hAnsi="Arial" w:cs="Arial"/>
          <w:sz w:val="24"/>
          <w:szCs w:val="24"/>
        </w:rPr>
        <w:t>The Local Government Pension Scheme (Management and Investment of Funds) Regulations 2016 require pension fund administering authorities to prepare and review, from time to time, an Investment Strategy Statement.</w:t>
      </w:r>
    </w:p>
    <w:p w14:paraId="012258CC" w14:textId="192B78CE" w:rsidR="00E74633" w:rsidRDefault="00E74633" w:rsidP="00E74633">
      <w:pPr>
        <w:rPr>
          <w:rFonts w:ascii="Arial" w:hAnsi="Arial" w:cs="Arial"/>
          <w:sz w:val="24"/>
          <w:szCs w:val="24"/>
        </w:rPr>
      </w:pPr>
      <w:r w:rsidRPr="0052389E">
        <w:rPr>
          <w:rFonts w:ascii="Arial" w:hAnsi="Arial" w:cs="Arial"/>
          <w:sz w:val="24"/>
          <w:szCs w:val="24"/>
        </w:rPr>
        <w:t>This Statement has been drafted to comply</w:t>
      </w:r>
      <w:r w:rsidRPr="00E74633">
        <w:rPr>
          <w:rFonts w:ascii="Arial" w:hAnsi="Arial" w:cs="Arial"/>
          <w:sz w:val="24"/>
          <w:szCs w:val="24"/>
        </w:rPr>
        <w:t xml:space="preserve"> </w:t>
      </w:r>
      <w:r w:rsidRPr="0052389E">
        <w:rPr>
          <w:rFonts w:ascii="Arial" w:hAnsi="Arial" w:cs="Arial"/>
          <w:sz w:val="24"/>
          <w:szCs w:val="24"/>
        </w:rPr>
        <w:t>with these regulations in accordance with the</w:t>
      </w:r>
      <w:r w:rsidRPr="00E74633">
        <w:rPr>
          <w:rFonts w:ascii="Arial" w:hAnsi="Arial" w:cs="Arial"/>
          <w:sz w:val="24"/>
          <w:szCs w:val="24"/>
        </w:rPr>
        <w:t xml:space="preserve"> </w:t>
      </w:r>
      <w:r w:rsidRPr="0052389E">
        <w:rPr>
          <w:rFonts w:ascii="Arial" w:hAnsi="Arial" w:cs="Arial"/>
          <w:sz w:val="24"/>
          <w:szCs w:val="24"/>
        </w:rPr>
        <w:t>Guidance on Preparing and Maintaining an Investment Strategy Statement.</w:t>
      </w:r>
    </w:p>
    <w:p w14:paraId="2B918E60" w14:textId="77777777" w:rsidR="00114D1A" w:rsidRPr="0052389E" w:rsidRDefault="00114D1A" w:rsidP="00E74633">
      <w:pPr>
        <w:rPr>
          <w:rFonts w:ascii="Arial" w:hAnsi="Arial" w:cs="Arial"/>
          <w:sz w:val="24"/>
          <w:szCs w:val="24"/>
        </w:rPr>
      </w:pPr>
    </w:p>
    <w:p w14:paraId="1806E377" w14:textId="7F7D7F79" w:rsidR="0052389E" w:rsidRPr="00D73B2F" w:rsidRDefault="0052389E" w:rsidP="00D73B2F">
      <w:pPr>
        <w:pStyle w:val="Heading1"/>
        <w:spacing w:before="0"/>
        <w:rPr>
          <w:sz w:val="56"/>
          <w:szCs w:val="56"/>
        </w:rPr>
      </w:pPr>
      <w:bookmarkStart w:id="1" w:name="_Toc224113535"/>
      <w:r w:rsidRPr="00D73B2F">
        <w:rPr>
          <w:sz w:val="56"/>
          <w:szCs w:val="56"/>
        </w:rPr>
        <w:t>Investment strategy</w:t>
      </w:r>
      <w:bookmarkEnd w:id="1"/>
    </w:p>
    <w:p w14:paraId="6739E5D3" w14:textId="77777777" w:rsidR="00044010" w:rsidRDefault="00044010" w:rsidP="0052389E">
      <w:pPr>
        <w:rPr>
          <w:rFonts w:ascii="Arial" w:hAnsi="Arial" w:cs="Arial"/>
          <w:b/>
          <w:bCs/>
          <w:sz w:val="24"/>
          <w:szCs w:val="24"/>
        </w:rPr>
        <w:sectPr w:rsidR="00044010" w:rsidSect="005D460F">
          <w:pgSz w:w="15840" w:h="12240" w:orient="landscape"/>
          <w:pgMar w:top="1440" w:right="1440" w:bottom="1440" w:left="1440" w:header="720" w:footer="720" w:gutter="0"/>
          <w:cols w:space="720"/>
          <w:docGrid w:linePitch="360"/>
        </w:sectPr>
      </w:pPr>
    </w:p>
    <w:p w14:paraId="6347B931" w14:textId="77777777" w:rsidR="002C73EA" w:rsidRPr="002C73EA" w:rsidRDefault="002C73EA" w:rsidP="002C73EA">
      <w:pPr>
        <w:pStyle w:val="Heading2"/>
        <w:spacing w:before="320"/>
        <w:rPr>
          <w:color w:val="0F4761" w:themeColor="accent1" w:themeShade="BF"/>
          <w:sz w:val="32"/>
          <w:szCs w:val="32"/>
        </w:rPr>
      </w:pPr>
      <w:bookmarkStart w:id="2" w:name="_Toc224113536"/>
      <w:r w:rsidRPr="002C73EA">
        <w:rPr>
          <w:color w:val="0F4761" w:themeColor="accent1" w:themeShade="BF"/>
          <w:sz w:val="32"/>
          <w:szCs w:val="32"/>
        </w:rPr>
        <w:t>Investment objective</w:t>
      </w:r>
      <w:bookmarkEnd w:id="2"/>
    </w:p>
    <w:p w14:paraId="28920B4D" w14:textId="0F7053B3" w:rsidR="0052389E" w:rsidRPr="009148FA" w:rsidRDefault="0052389E" w:rsidP="0052389E">
      <w:pPr>
        <w:rPr>
          <w:rFonts w:ascii="Arial" w:hAnsi="Arial" w:cs="Arial"/>
          <w:sz w:val="24"/>
          <w:szCs w:val="24"/>
        </w:rPr>
      </w:pPr>
      <w:r w:rsidRPr="009148FA">
        <w:rPr>
          <w:rFonts w:ascii="Arial" w:hAnsi="Arial" w:cs="Arial"/>
          <w:sz w:val="24"/>
          <w:szCs w:val="24"/>
        </w:rPr>
        <w:t xml:space="preserve">The Fund has three main aims </w:t>
      </w:r>
    </w:p>
    <w:p w14:paraId="0548EE50" w14:textId="77777777" w:rsidR="00660329" w:rsidRDefault="00660329" w:rsidP="00E74633">
      <w:pPr>
        <w:pStyle w:val="ListParagraph"/>
        <w:numPr>
          <w:ilvl w:val="0"/>
          <w:numId w:val="2"/>
        </w:numPr>
        <w:rPr>
          <w:rFonts w:ascii="Arial" w:hAnsi="Arial" w:cs="Arial"/>
          <w:sz w:val="24"/>
          <w:szCs w:val="24"/>
        </w:rPr>
        <w:sectPr w:rsidR="00660329" w:rsidSect="005D460F">
          <w:type w:val="continuous"/>
          <w:pgSz w:w="15840" w:h="12240" w:orient="landscape"/>
          <w:pgMar w:top="1440" w:right="1440" w:bottom="1440" w:left="1440" w:header="720" w:footer="720" w:gutter="0"/>
          <w:cols w:space="720"/>
          <w:docGrid w:linePitch="360"/>
        </w:sectPr>
      </w:pPr>
    </w:p>
    <w:p w14:paraId="3C1400B6" w14:textId="0A1BC2BE" w:rsidR="004A562F" w:rsidRDefault="004A562F" w:rsidP="00E74633">
      <w:pPr>
        <w:pStyle w:val="ListParagraph"/>
        <w:numPr>
          <w:ilvl w:val="0"/>
          <w:numId w:val="2"/>
        </w:numPr>
        <w:rPr>
          <w:rFonts w:ascii="Arial" w:hAnsi="Arial" w:cs="Arial"/>
          <w:sz w:val="24"/>
          <w:szCs w:val="24"/>
        </w:rPr>
      </w:pPr>
      <w:r>
        <w:rPr>
          <w:rFonts w:ascii="Arial" w:hAnsi="Arial" w:cs="Arial"/>
          <w:sz w:val="24"/>
          <w:szCs w:val="24"/>
        </w:rPr>
        <w:t xml:space="preserve">To </w:t>
      </w:r>
      <w:r w:rsidR="00C04075" w:rsidRPr="00C04075">
        <w:rPr>
          <w:rFonts w:ascii="Arial" w:hAnsi="Arial" w:cs="Arial"/>
          <w:sz w:val="24"/>
          <w:szCs w:val="24"/>
        </w:rPr>
        <w:t>manage the employers’ liabilities effectively and ensure that sufficient resources are available to meet all liabilities as they fall due</w:t>
      </w:r>
      <w:r>
        <w:rPr>
          <w:rFonts w:ascii="Arial" w:hAnsi="Arial" w:cs="Arial"/>
          <w:sz w:val="24"/>
          <w:szCs w:val="24"/>
        </w:rPr>
        <w:t>.</w:t>
      </w:r>
      <w:r w:rsidR="00C04075" w:rsidRPr="00C04075">
        <w:rPr>
          <w:rFonts w:ascii="Arial" w:hAnsi="Arial" w:cs="Arial"/>
          <w:sz w:val="24"/>
          <w:szCs w:val="24"/>
        </w:rPr>
        <w:t xml:space="preserve"> </w:t>
      </w:r>
    </w:p>
    <w:p w14:paraId="7C710965" w14:textId="77777777" w:rsidR="00C97908" w:rsidRDefault="004A562F" w:rsidP="00C97908">
      <w:pPr>
        <w:pStyle w:val="ListParagraph"/>
        <w:numPr>
          <w:ilvl w:val="0"/>
          <w:numId w:val="2"/>
        </w:numPr>
        <w:rPr>
          <w:rFonts w:ascii="Arial" w:hAnsi="Arial" w:cs="Arial"/>
          <w:sz w:val="24"/>
          <w:szCs w:val="24"/>
        </w:rPr>
      </w:pPr>
      <w:r>
        <w:rPr>
          <w:rFonts w:ascii="Arial" w:hAnsi="Arial" w:cs="Arial"/>
          <w:sz w:val="24"/>
          <w:szCs w:val="24"/>
        </w:rPr>
        <w:t xml:space="preserve">To </w:t>
      </w:r>
      <w:r w:rsidR="00C04075" w:rsidRPr="00C04075">
        <w:rPr>
          <w:rFonts w:ascii="Arial" w:hAnsi="Arial" w:cs="Arial"/>
          <w:sz w:val="24"/>
          <w:szCs w:val="24"/>
        </w:rPr>
        <w:t xml:space="preserve">enable primary contribution rates to be kept as nearly constant as possible (subject to the Administering Authority not taking undue risk) at reasonable cost to the taxpayers, scheduled, resolution and admitted bodies. This aim is subject to the Fund achieving and maintaining fund solvency and long-term cost efficiency, assessed </w:t>
      </w:r>
      <w:proofErr w:type="gramStart"/>
      <w:r w:rsidR="00C04075" w:rsidRPr="00C04075">
        <w:rPr>
          <w:rFonts w:ascii="Arial" w:hAnsi="Arial" w:cs="Arial"/>
          <w:sz w:val="24"/>
          <w:szCs w:val="24"/>
        </w:rPr>
        <w:t>in light of</w:t>
      </w:r>
      <w:proofErr w:type="gramEnd"/>
      <w:r w:rsidR="00C04075" w:rsidRPr="00C04075">
        <w:rPr>
          <w:rFonts w:ascii="Arial" w:hAnsi="Arial" w:cs="Arial"/>
          <w:sz w:val="24"/>
          <w:szCs w:val="24"/>
        </w:rPr>
        <w:t xml:space="preserve"> the risk profile of the Fund and employers, and the risk appetite of the Administering Authority and employers alike. </w:t>
      </w:r>
    </w:p>
    <w:p w14:paraId="7C1CE388" w14:textId="67513B9A" w:rsidR="0052389E" w:rsidRPr="00C97908" w:rsidRDefault="00C97908" w:rsidP="00C97908">
      <w:pPr>
        <w:pStyle w:val="ListParagraph"/>
        <w:numPr>
          <w:ilvl w:val="0"/>
          <w:numId w:val="2"/>
        </w:numPr>
        <w:rPr>
          <w:rFonts w:ascii="Arial" w:hAnsi="Arial" w:cs="Arial"/>
          <w:sz w:val="24"/>
          <w:szCs w:val="24"/>
        </w:rPr>
      </w:pPr>
      <w:r>
        <w:rPr>
          <w:rFonts w:ascii="Arial" w:hAnsi="Arial" w:cs="Arial"/>
          <w:sz w:val="24"/>
          <w:szCs w:val="24"/>
        </w:rPr>
        <w:t>To s</w:t>
      </w:r>
      <w:r w:rsidR="00C04075" w:rsidRPr="00C04075">
        <w:rPr>
          <w:rFonts w:ascii="Arial" w:hAnsi="Arial" w:cs="Arial"/>
          <w:sz w:val="24"/>
          <w:szCs w:val="24"/>
        </w:rPr>
        <w:t>eek returns on investment within reasonable risk parameters</w:t>
      </w:r>
      <w:r>
        <w:rPr>
          <w:rFonts w:ascii="Arial" w:hAnsi="Arial" w:cs="Arial"/>
          <w:sz w:val="24"/>
          <w:szCs w:val="24"/>
        </w:rPr>
        <w:t>.</w:t>
      </w:r>
    </w:p>
    <w:p w14:paraId="16821E86" w14:textId="26E29443" w:rsidR="0052389E" w:rsidRPr="0052389E" w:rsidRDefault="0052389E" w:rsidP="0052389E">
      <w:pPr>
        <w:rPr>
          <w:rFonts w:ascii="Arial" w:hAnsi="Arial" w:cs="Arial"/>
          <w:sz w:val="24"/>
          <w:szCs w:val="24"/>
        </w:rPr>
      </w:pPr>
      <w:r w:rsidRPr="00D93694">
        <w:rPr>
          <w:rFonts w:ascii="Arial" w:hAnsi="Arial" w:cs="Arial"/>
          <w:sz w:val="24"/>
          <w:szCs w:val="24"/>
        </w:rPr>
        <w:t>In compiling the Fund’s 202</w:t>
      </w:r>
      <w:r w:rsidR="00F23D81" w:rsidRPr="00D93694">
        <w:rPr>
          <w:rFonts w:ascii="Arial" w:hAnsi="Arial" w:cs="Arial"/>
          <w:sz w:val="24"/>
          <w:szCs w:val="24"/>
        </w:rPr>
        <w:t>5</w:t>
      </w:r>
      <w:r w:rsidRPr="00D93694">
        <w:rPr>
          <w:rFonts w:ascii="Arial" w:hAnsi="Arial" w:cs="Arial"/>
          <w:sz w:val="24"/>
          <w:szCs w:val="24"/>
        </w:rPr>
        <w:t xml:space="preserve"> Actuarial Valuation, the Fund’s Actuary</w:t>
      </w:r>
      <w:r w:rsidR="00F23D81" w:rsidRPr="00D93694">
        <w:rPr>
          <w:rFonts w:ascii="Arial" w:hAnsi="Arial" w:cs="Arial"/>
          <w:sz w:val="24"/>
          <w:szCs w:val="24"/>
        </w:rPr>
        <w:t xml:space="preserve"> (Hymans Robertson)</w:t>
      </w:r>
      <w:r w:rsidR="00D80228" w:rsidRPr="00D93694">
        <w:rPr>
          <w:rFonts w:ascii="Arial" w:hAnsi="Arial" w:cs="Arial"/>
          <w:sz w:val="24"/>
          <w:szCs w:val="24"/>
        </w:rPr>
        <w:t xml:space="preserve"> </w:t>
      </w:r>
      <w:r w:rsidRPr="00D93694">
        <w:rPr>
          <w:rFonts w:ascii="Arial" w:hAnsi="Arial" w:cs="Arial"/>
          <w:sz w:val="24"/>
          <w:szCs w:val="24"/>
        </w:rPr>
        <w:t xml:space="preserve">advised that the Pension Fund requires the assets to deliver a long-term return of above the discount rate of </w:t>
      </w:r>
      <w:r w:rsidR="00F23D81" w:rsidRPr="00D93694">
        <w:rPr>
          <w:rFonts w:ascii="Arial" w:hAnsi="Arial" w:cs="Arial"/>
          <w:sz w:val="24"/>
          <w:szCs w:val="24"/>
        </w:rPr>
        <w:t>5.</w:t>
      </w:r>
      <w:r w:rsidR="0022079D" w:rsidRPr="00D93694">
        <w:rPr>
          <w:rFonts w:ascii="Arial" w:hAnsi="Arial" w:cs="Arial"/>
          <w:sz w:val="24"/>
          <w:szCs w:val="24"/>
        </w:rPr>
        <w:t>9</w:t>
      </w:r>
      <w:r w:rsidRPr="00D93694">
        <w:rPr>
          <w:rFonts w:ascii="Arial" w:hAnsi="Arial" w:cs="Arial"/>
          <w:sz w:val="24"/>
          <w:szCs w:val="24"/>
        </w:rPr>
        <w:t>%, which is set out in the Fund’s Funding Strategy Statement.</w:t>
      </w:r>
      <w:r w:rsidRPr="0052389E">
        <w:rPr>
          <w:rFonts w:ascii="Arial" w:hAnsi="Arial" w:cs="Arial"/>
          <w:sz w:val="24"/>
          <w:szCs w:val="24"/>
        </w:rPr>
        <w:t xml:space="preserve"> </w:t>
      </w:r>
    </w:p>
    <w:p w14:paraId="3332CA16" w14:textId="77777777" w:rsidR="00044010" w:rsidRDefault="00044010" w:rsidP="00B67B1A">
      <w:pPr>
        <w:pStyle w:val="Heading2"/>
        <w:spacing w:before="320"/>
        <w:rPr>
          <w:color w:val="0F4761" w:themeColor="accent1" w:themeShade="BF"/>
          <w:sz w:val="32"/>
          <w:szCs w:val="32"/>
        </w:rPr>
        <w:sectPr w:rsidR="00044010" w:rsidSect="005D460F">
          <w:type w:val="continuous"/>
          <w:pgSz w:w="15840" w:h="12240" w:orient="landscape"/>
          <w:pgMar w:top="1440" w:right="1440" w:bottom="1440" w:left="1440" w:header="720" w:footer="720" w:gutter="0"/>
          <w:cols w:num="2" w:space="720"/>
          <w:docGrid w:linePitch="360"/>
        </w:sectPr>
      </w:pPr>
    </w:p>
    <w:p w14:paraId="56EAF90B" w14:textId="77777777" w:rsidR="00660329" w:rsidRDefault="00660329" w:rsidP="00660329">
      <w:pPr>
        <w:pStyle w:val="Heading2"/>
        <w:spacing w:before="320"/>
        <w:rPr>
          <w:color w:val="0F4761" w:themeColor="accent1" w:themeShade="BF"/>
          <w:sz w:val="32"/>
          <w:szCs w:val="32"/>
        </w:rPr>
        <w:sectPr w:rsidR="00660329" w:rsidSect="005D460F">
          <w:type w:val="continuous"/>
          <w:pgSz w:w="15840" w:h="12240" w:orient="landscape"/>
          <w:pgMar w:top="1440" w:right="1440" w:bottom="1440" w:left="1440" w:header="720" w:footer="720" w:gutter="0"/>
          <w:cols w:space="720"/>
          <w:docGrid w:linePitch="360"/>
        </w:sectPr>
      </w:pPr>
    </w:p>
    <w:p w14:paraId="166BBB45" w14:textId="328F9EA9" w:rsidR="008512FB" w:rsidRDefault="001C4F19" w:rsidP="008512FB">
      <w:pPr>
        <w:pStyle w:val="Heading2"/>
        <w:spacing w:before="320"/>
        <w:rPr>
          <w:rFonts w:ascii="Arial" w:hAnsi="Arial" w:cs="Arial"/>
          <w:sz w:val="24"/>
          <w:szCs w:val="24"/>
        </w:rPr>
      </w:pPr>
      <w:bookmarkStart w:id="3" w:name="_Toc224113537"/>
      <w:r>
        <w:rPr>
          <w:color w:val="0F4761" w:themeColor="accent1" w:themeShade="BF"/>
          <w:sz w:val="32"/>
          <w:szCs w:val="32"/>
        </w:rPr>
        <w:t>Investment Beliefs</w:t>
      </w:r>
      <w:bookmarkEnd w:id="3"/>
    </w:p>
    <w:p w14:paraId="2B697A53" w14:textId="43A7C635" w:rsidR="00BC7984" w:rsidRDefault="006114D4" w:rsidP="00BC7984">
      <w:pPr>
        <w:rPr>
          <w:rFonts w:ascii="Arial" w:hAnsi="Arial" w:cs="Arial"/>
          <w:sz w:val="24"/>
          <w:szCs w:val="24"/>
        </w:rPr>
      </w:pPr>
      <w:r w:rsidRPr="00C45421">
        <w:rPr>
          <w:rFonts w:ascii="Arial" w:hAnsi="Arial" w:cs="Arial"/>
          <w:noProof/>
          <w:sz w:val="24"/>
          <w:szCs w:val="24"/>
        </w:rPr>
        <mc:AlternateContent>
          <mc:Choice Requires="wps">
            <w:drawing>
              <wp:anchor distT="45720" distB="45720" distL="114300" distR="114300" simplePos="0" relativeHeight="251658243" behindDoc="0" locked="0" layoutInCell="1" allowOverlap="1" wp14:anchorId="3AB7045C" wp14:editId="15E3BA2F">
                <wp:simplePos x="0" y="0"/>
                <wp:positionH relativeFrom="margin">
                  <wp:posOffset>4267200</wp:posOffset>
                </wp:positionH>
                <wp:positionV relativeFrom="paragraph">
                  <wp:posOffset>523875</wp:posOffset>
                </wp:positionV>
                <wp:extent cx="4135120" cy="2152650"/>
                <wp:effectExtent l="0" t="0" r="17780" b="19050"/>
                <wp:wrapSquare wrapText="bothSides"/>
                <wp:docPr id="10035067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5120" cy="2152650"/>
                        </a:xfrm>
                        <a:prstGeom prst="rect">
                          <a:avLst/>
                        </a:prstGeom>
                        <a:solidFill>
                          <a:schemeClr val="accent1"/>
                        </a:solidFill>
                        <a:ln w="9525">
                          <a:solidFill>
                            <a:schemeClr val="accent1"/>
                          </a:solidFill>
                          <a:miter lim="800000"/>
                          <a:headEnd/>
                          <a:tailEnd/>
                        </a:ln>
                      </wps:spPr>
                      <wps:txbx>
                        <w:txbxContent>
                          <w:p w14:paraId="70000C67" w14:textId="77777777" w:rsidR="006114D4" w:rsidRPr="006114D4" w:rsidRDefault="006114D4" w:rsidP="006114D4">
                            <w:pPr>
                              <w:rPr>
                                <w:rFonts w:ascii="Arial" w:hAnsi="Arial" w:cs="Arial"/>
                                <w:b/>
                                <w:bCs/>
                                <w:color w:val="FFFFFF" w:themeColor="background1"/>
                                <w:sz w:val="24"/>
                                <w:szCs w:val="24"/>
                              </w:rPr>
                            </w:pPr>
                            <w:r w:rsidRPr="006114D4">
                              <w:rPr>
                                <w:rFonts w:ascii="Arial" w:hAnsi="Arial" w:cs="Arial"/>
                                <w:b/>
                                <w:bCs/>
                                <w:color w:val="FFFFFF" w:themeColor="background1"/>
                                <w:sz w:val="24"/>
                                <w:szCs w:val="24"/>
                              </w:rPr>
                              <w:t>Asset class selection:</w:t>
                            </w:r>
                          </w:p>
                          <w:p w14:paraId="4CE8AEC6" w14:textId="77777777" w:rsidR="006114D4" w:rsidRDefault="006114D4" w:rsidP="006114D4">
                            <w:pPr>
                              <w:pStyle w:val="ListParagraph"/>
                              <w:numPr>
                                <w:ilvl w:val="0"/>
                                <w:numId w:val="2"/>
                              </w:numPr>
                              <w:ind w:left="714" w:hanging="357"/>
                              <w:contextualSpacing w:val="0"/>
                              <w:rPr>
                                <w:rFonts w:ascii="Arial" w:hAnsi="Arial" w:cs="Arial"/>
                                <w:color w:val="FFFFFF" w:themeColor="background1"/>
                                <w:sz w:val="24"/>
                                <w:szCs w:val="24"/>
                              </w:rPr>
                            </w:pPr>
                            <w:r w:rsidRPr="006114D4">
                              <w:rPr>
                                <w:rFonts w:ascii="Arial" w:hAnsi="Arial" w:cs="Arial"/>
                                <w:color w:val="FFFFFF" w:themeColor="background1"/>
                                <w:sz w:val="24"/>
                                <w:szCs w:val="24"/>
                              </w:rPr>
                              <w:t>Equities are expected to generate superior long-term returns</w:t>
                            </w:r>
                          </w:p>
                          <w:p w14:paraId="21EE8F4C" w14:textId="4BEBEB8E" w:rsidR="00B624BA" w:rsidRPr="006114D4" w:rsidRDefault="00B624BA" w:rsidP="006114D4">
                            <w:pPr>
                              <w:pStyle w:val="ListParagraph"/>
                              <w:numPr>
                                <w:ilvl w:val="0"/>
                                <w:numId w:val="2"/>
                              </w:numPr>
                              <w:ind w:left="714" w:hanging="357"/>
                              <w:contextualSpacing w:val="0"/>
                              <w:rPr>
                                <w:rFonts w:ascii="Arial" w:hAnsi="Arial" w:cs="Arial"/>
                                <w:color w:val="FFFFFF" w:themeColor="background1"/>
                                <w:sz w:val="24"/>
                                <w:szCs w:val="24"/>
                              </w:rPr>
                            </w:pPr>
                            <w:r>
                              <w:rPr>
                                <w:rFonts w:ascii="Arial" w:hAnsi="Arial" w:cs="Arial"/>
                                <w:color w:val="FFFFFF" w:themeColor="background1"/>
                                <w:sz w:val="24"/>
                                <w:szCs w:val="24"/>
                              </w:rPr>
                              <w:t>Credit offers both a source of diversification and income</w:t>
                            </w:r>
                          </w:p>
                          <w:p w14:paraId="1585B660" w14:textId="77777777" w:rsidR="006114D4" w:rsidRPr="006114D4" w:rsidRDefault="006114D4" w:rsidP="006114D4">
                            <w:pPr>
                              <w:pStyle w:val="ListParagraph"/>
                              <w:numPr>
                                <w:ilvl w:val="0"/>
                                <w:numId w:val="2"/>
                              </w:numPr>
                              <w:ind w:left="714" w:hanging="357"/>
                              <w:contextualSpacing w:val="0"/>
                              <w:rPr>
                                <w:rFonts w:ascii="Arial" w:hAnsi="Arial" w:cs="Arial"/>
                                <w:color w:val="FFFFFF" w:themeColor="background1"/>
                                <w:sz w:val="24"/>
                                <w:szCs w:val="24"/>
                              </w:rPr>
                            </w:pPr>
                            <w:r w:rsidRPr="006114D4">
                              <w:rPr>
                                <w:rFonts w:ascii="Arial" w:hAnsi="Arial" w:cs="Arial"/>
                                <w:color w:val="FFFFFF" w:themeColor="background1"/>
                                <w:sz w:val="24"/>
                                <w:szCs w:val="24"/>
                              </w:rPr>
                              <w:t>Government bonds provide income, liquidity and a degree of liability matching</w:t>
                            </w:r>
                          </w:p>
                          <w:p w14:paraId="45B24F8D" w14:textId="77777777" w:rsidR="006114D4" w:rsidRPr="006114D4" w:rsidRDefault="006114D4" w:rsidP="006114D4">
                            <w:pPr>
                              <w:pStyle w:val="ListParagraph"/>
                              <w:numPr>
                                <w:ilvl w:val="0"/>
                                <w:numId w:val="2"/>
                              </w:numPr>
                              <w:ind w:left="714" w:hanging="357"/>
                              <w:contextualSpacing w:val="0"/>
                              <w:rPr>
                                <w:rFonts w:ascii="Arial" w:hAnsi="Arial" w:cs="Arial"/>
                                <w:color w:val="FFFFFF" w:themeColor="background1"/>
                                <w:sz w:val="24"/>
                                <w:szCs w:val="24"/>
                              </w:rPr>
                            </w:pPr>
                            <w:r w:rsidRPr="006114D4">
                              <w:rPr>
                                <w:rFonts w:ascii="Arial" w:hAnsi="Arial" w:cs="Arial"/>
                                <w:color w:val="FFFFFF" w:themeColor="background1"/>
                                <w:sz w:val="24"/>
                                <w:szCs w:val="24"/>
                              </w:rPr>
                              <w:t>Alternative investments provide diversification and additional return</w:t>
                            </w:r>
                          </w:p>
                          <w:p w14:paraId="64A2A36C" w14:textId="77777777" w:rsidR="006114D4" w:rsidRPr="006114D4" w:rsidRDefault="006114D4" w:rsidP="006114D4">
                            <w:pPr>
                              <w:pStyle w:val="ListParagraph"/>
                              <w:numPr>
                                <w:ilvl w:val="0"/>
                                <w:numId w:val="2"/>
                              </w:numPr>
                              <w:ind w:left="714" w:hanging="357"/>
                              <w:contextualSpacing w:val="0"/>
                              <w:rPr>
                                <w:rFonts w:ascii="Arial" w:hAnsi="Arial" w:cs="Arial"/>
                                <w:color w:val="FFFFFF" w:themeColor="background1"/>
                                <w:sz w:val="24"/>
                                <w:szCs w:val="24"/>
                              </w:rPr>
                            </w:pPr>
                            <w:r w:rsidRPr="006114D4">
                              <w:rPr>
                                <w:rFonts w:ascii="Arial" w:hAnsi="Arial" w:cs="Arial"/>
                                <w:color w:val="FFFFFF" w:themeColor="background1"/>
                                <w:sz w:val="24"/>
                                <w:szCs w:val="24"/>
                              </w:rPr>
                              <w:t>Appropriate management of the impact of foreign currency</w:t>
                            </w:r>
                          </w:p>
                          <w:p w14:paraId="0126953D" w14:textId="77777777" w:rsidR="00815057" w:rsidRPr="0017252F" w:rsidRDefault="00815057" w:rsidP="00815057">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B7045C" id="_x0000_t202" coordsize="21600,21600" o:spt="202" path="m,l,21600r21600,l21600,xe">
                <v:stroke joinstyle="miter"/>
                <v:path gradientshapeok="t" o:connecttype="rect"/>
              </v:shapetype>
              <v:shape id="Text Box 2" o:spid="_x0000_s1026" type="#_x0000_t202" style="position:absolute;margin-left:336pt;margin-top:41.25pt;width:325.6pt;height:169.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" fillcolor="#156082 [3204]" strokecolor="#156082 [3204]">
                <v:textbox>
                  <w:txbxContent>
                    <w:p w14:paraId="70000C67" w14:textId="77777777" w:rsidR="006114D4" w:rsidRPr="006114D4" w:rsidRDefault="006114D4" w:rsidP="006114D4">
                      <w:pPr>
                        <w:rPr>
                          <w:rFonts w:ascii="Arial" w:hAnsi="Arial" w:cs="Arial"/>
                          <w:b/>
                          <w:bCs/>
                          <w:color w:val="FFFFFF" w:themeColor="background1"/>
                          <w:sz w:val="24"/>
                          <w:szCs w:val="24"/>
                        </w:rPr>
                      </w:pPr>
                      <w:r w:rsidRPr="006114D4">
                        <w:rPr>
                          <w:rFonts w:ascii="Arial" w:hAnsi="Arial" w:cs="Arial"/>
                          <w:b/>
                          <w:bCs/>
                          <w:color w:val="FFFFFF" w:themeColor="background1"/>
                          <w:sz w:val="24"/>
                          <w:szCs w:val="24"/>
                        </w:rPr>
                        <w:t>Asset class selection:</w:t>
                      </w:r>
                    </w:p>
                    <w:p w14:paraId="4CE8AEC6" w14:textId="77777777" w:rsidR="006114D4" w:rsidRDefault="006114D4" w:rsidP="006114D4">
                      <w:pPr>
                        <w:pStyle w:val="ListParagraph"/>
                        <w:numPr>
                          <w:ilvl w:val="0"/>
                          <w:numId w:val="2"/>
                        </w:numPr>
                        <w:ind w:left="714" w:hanging="357"/>
                        <w:contextualSpacing w:val="0"/>
                        <w:rPr>
                          <w:rFonts w:ascii="Arial" w:hAnsi="Arial" w:cs="Arial"/>
                          <w:color w:val="FFFFFF" w:themeColor="background1"/>
                          <w:sz w:val="24"/>
                          <w:szCs w:val="24"/>
                        </w:rPr>
                      </w:pPr>
                      <w:r w:rsidRPr="006114D4">
                        <w:rPr>
                          <w:rFonts w:ascii="Arial" w:hAnsi="Arial" w:cs="Arial"/>
                          <w:color w:val="FFFFFF" w:themeColor="background1"/>
                          <w:sz w:val="24"/>
                          <w:szCs w:val="24"/>
                        </w:rPr>
                        <w:t>Equities are expected to generate superior long-term returns</w:t>
                      </w:r>
                    </w:p>
                    <w:p w14:paraId="21EE8F4C" w14:textId="4BEBEB8E" w:rsidR="00B624BA" w:rsidRPr="006114D4" w:rsidRDefault="00B624BA" w:rsidP="006114D4">
                      <w:pPr>
                        <w:pStyle w:val="ListParagraph"/>
                        <w:numPr>
                          <w:ilvl w:val="0"/>
                          <w:numId w:val="2"/>
                        </w:numPr>
                        <w:ind w:left="714" w:hanging="357"/>
                        <w:contextualSpacing w:val="0"/>
                        <w:rPr>
                          <w:rFonts w:ascii="Arial" w:hAnsi="Arial" w:cs="Arial"/>
                          <w:color w:val="FFFFFF" w:themeColor="background1"/>
                          <w:sz w:val="24"/>
                          <w:szCs w:val="24"/>
                        </w:rPr>
                      </w:pPr>
                      <w:r>
                        <w:rPr>
                          <w:rFonts w:ascii="Arial" w:hAnsi="Arial" w:cs="Arial"/>
                          <w:color w:val="FFFFFF" w:themeColor="background1"/>
                          <w:sz w:val="24"/>
                          <w:szCs w:val="24"/>
                        </w:rPr>
                        <w:t>Credit offers both a source of diversification and income</w:t>
                      </w:r>
                    </w:p>
                    <w:p w14:paraId="1585B660" w14:textId="77777777" w:rsidR="006114D4" w:rsidRPr="006114D4" w:rsidRDefault="006114D4" w:rsidP="006114D4">
                      <w:pPr>
                        <w:pStyle w:val="ListParagraph"/>
                        <w:numPr>
                          <w:ilvl w:val="0"/>
                          <w:numId w:val="2"/>
                        </w:numPr>
                        <w:ind w:left="714" w:hanging="357"/>
                        <w:contextualSpacing w:val="0"/>
                        <w:rPr>
                          <w:rFonts w:ascii="Arial" w:hAnsi="Arial" w:cs="Arial"/>
                          <w:color w:val="FFFFFF" w:themeColor="background1"/>
                          <w:sz w:val="24"/>
                          <w:szCs w:val="24"/>
                        </w:rPr>
                      </w:pPr>
                      <w:r w:rsidRPr="006114D4">
                        <w:rPr>
                          <w:rFonts w:ascii="Arial" w:hAnsi="Arial" w:cs="Arial"/>
                          <w:color w:val="FFFFFF" w:themeColor="background1"/>
                          <w:sz w:val="24"/>
                          <w:szCs w:val="24"/>
                        </w:rPr>
                        <w:t>Government bonds provide income, liquidity and a degree of liability matching</w:t>
                      </w:r>
                    </w:p>
                    <w:p w14:paraId="45B24F8D" w14:textId="77777777" w:rsidR="006114D4" w:rsidRPr="006114D4" w:rsidRDefault="006114D4" w:rsidP="006114D4">
                      <w:pPr>
                        <w:pStyle w:val="ListParagraph"/>
                        <w:numPr>
                          <w:ilvl w:val="0"/>
                          <w:numId w:val="2"/>
                        </w:numPr>
                        <w:ind w:left="714" w:hanging="357"/>
                        <w:contextualSpacing w:val="0"/>
                        <w:rPr>
                          <w:rFonts w:ascii="Arial" w:hAnsi="Arial" w:cs="Arial"/>
                          <w:color w:val="FFFFFF" w:themeColor="background1"/>
                          <w:sz w:val="24"/>
                          <w:szCs w:val="24"/>
                        </w:rPr>
                      </w:pPr>
                      <w:r w:rsidRPr="006114D4">
                        <w:rPr>
                          <w:rFonts w:ascii="Arial" w:hAnsi="Arial" w:cs="Arial"/>
                          <w:color w:val="FFFFFF" w:themeColor="background1"/>
                          <w:sz w:val="24"/>
                          <w:szCs w:val="24"/>
                        </w:rPr>
                        <w:t>Alternative investments provide diversification and additional return</w:t>
                      </w:r>
                    </w:p>
                    <w:p w14:paraId="64A2A36C" w14:textId="77777777" w:rsidR="006114D4" w:rsidRPr="006114D4" w:rsidRDefault="006114D4" w:rsidP="006114D4">
                      <w:pPr>
                        <w:pStyle w:val="ListParagraph"/>
                        <w:numPr>
                          <w:ilvl w:val="0"/>
                          <w:numId w:val="2"/>
                        </w:numPr>
                        <w:ind w:left="714" w:hanging="357"/>
                        <w:contextualSpacing w:val="0"/>
                        <w:rPr>
                          <w:rFonts w:ascii="Arial" w:hAnsi="Arial" w:cs="Arial"/>
                          <w:color w:val="FFFFFF" w:themeColor="background1"/>
                          <w:sz w:val="24"/>
                          <w:szCs w:val="24"/>
                        </w:rPr>
                      </w:pPr>
                      <w:r w:rsidRPr="006114D4">
                        <w:rPr>
                          <w:rFonts w:ascii="Arial" w:hAnsi="Arial" w:cs="Arial"/>
                          <w:color w:val="FFFFFF" w:themeColor="background1"/>
                          <w:sz w:val="24"/>
                          <w:szCs w:val="24"/>
                        </w:rPr>
                        <w:t>Appropriate management of the impact of foreign currency</w:t>
                      </w:r>
                    </w:p>
                    <w:p w14:paraId="0126953D" w14:textId="77777777" w:rsidR="00815057" w:rsidRPr="0017252F" w:rsidRDefault="00815057" w:rsidP="00815057">
                      <w:pPr>
                        <w:rPr>
                          <w:color w:val="FFFFFF" w:themeColor="background1"/>
                        </w:rPr>
                      </w:pPr>
                    </w:p>
                  </w:txbxContent>
                </v:textbox>
                <w10:wrap type="square" anchorx="margin"/>
              </v:shape>
            </w:pict>
          </mc:Fallback>
        </mc:AlternateContent>
      </w:r>
      <w:r w:rsidR="00BC7984" w:rsidRPr="0052389E">
        <w:rPr>
          <w:rFonts w:ascii="Arial" w:hAnsi="Arial" w:cs="Arial"/>
          <w:sz w:val="24"/>
          <w:szCs w:val="24"/>
        </w:rPr>
        <w:t>The Pension Fund Panel and Board have prepared a set of investment beliefs based on their experience of the workings of the Fund and the nature of the underlying investments held</w:t>
      </w:r>
      <w:r w:rsidR="00C5495F">
        <w:rPr>
          <w:rFonts w:ascii="Arial" w:hAnsi="Arial" w:cs="Arial"/>
          <w:sz w:val="24"/>
          <w:szCs w:val="24"/>
        </w:rPr>
        <w:t>.</w:t>
      </w:r>
      <w:r w:rsidR="00BC7984" w:rsidRPr="0052389E">
        <w:rPr>
          <w:rFonts w:ascii="Arial" w:hAnsi="Arial" w:cs="Arial"/>
          <w:sz w:val="24"/>
          <w:szCs w:val="24"/>
        </w:rPr>
        <w:t xml:space="preserve"> </w:t>
      </w:r>
    </w:p>
    <w:p w14:paraId="7DFF7832" w14:textId="478B3CC9" w:rsidR="00BB5F26" w:rsidRPr="0052389E" w:rsidRDefault="008512FB" w:rsidP="00BC7984">
      <w:pPr>
        <w:rPr>
          <w:rFonts w:ascii="Arial" w:hAnsi="Arial" w:cs="Arial"/>
          <w:sz w:val="24"/>
          <w:szCs w:val="24"/>
        </w:rPr>
      </w:pPr>
      <w:r w:rsidRPr="00C45421">
        <w:rPr>
          <w:rFonts w:ascii="Arial" w:hAnsi="Arial" w:cs="Arial"/>
          <w:noProof/>
          <w:sz w:val="24"/>
          <w:szCs w:val="24"/>
        </w:rPr>
        <mc:AlternateContent>
          <mc:Choice Requires="wps">
            <w:drawing>
              <wp:anchor distT="45720" distB="45720" distL="114300" distR="114300" simplePos="0" relativeHeight="251658244" behindDoc="0" locked="0" layoutInCell="1" allowOverlap="1" wp14:anchorId="0BDA63D7" wp14:editId="6D721D65">
                <wp:simplePos x="0" y="0"/>
                <wp:positionH relativeFrom="margin">
                  <wp:posOffset>4267200</wp:posOffset>
                </wp:positionH>
                <wp:positionV relativeFrom="paragraph">
                  <wp:posOffset>2595245</wp:posOffset>
                </wp:positionV>
                <wp:extent cx="4135120" cy="2390775"/>
                <wp:effectExtent l="0" t="0" r="17780" b="28575"/>
                <wp:wrapSquare wrapText="bothSides"/>
                <wp:docPr id="932318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5120" cy="2390775"/>
                        </a:xfrm>
                        <a:prstGeom prst="rect">
                          <a:avLst/>
                        </a:prstGeom>
                        <a:solidFill>
                          <a:schemeClr val="accent1"/>
                        </a:solidFill>
                        <a:ln w="9525">
                          <a:solidFill>
                            <a:schemeClr val="accent1"/>
                          </a:solidFill>
                          <a:miter lim="800000"/>
                          <a:headEnd/>
                          <a:tailEnd/>
                        </a:ln>
                      </wps:spPr>
                      <wps:txbx>
                        <w:txbxContent>
                          <w:p w14:paraId="5737619D" w14:textId="77777777" w:rsidR="008512FB" w:rsidRPr="008512FB" w:rsidRDefault="008512FB" w:rsidP="008512FB">
                            <w:pPr>
                              <w:rPr>
                                <w:rFonts w:ascii="Arial" w:hAnsi="Arial" w:cs="Arial"/>
                                <w:b/>
                                <w:bCs/>
                                <w:color w:val="FFFFFF" w:themeColor="background1"/>
                                <w:sz w:val="24"/>
                                <w:szCs w:val="24"/>
                              </w:rPr>
                            </w:pPr>
                            <w:r w:rsidRPr="008512FB">
                              <w:rPr>
                                <w:rFonts w:ascii="Arial" w:hAnsi="Arial" w:cs="Arial"/>
                                <w:b/>
                                <w:bCs/>
                                <w:color w:val="FFFFFF" w:themeColor="background1"/>
                                <w:sz w:val="24"/>
                                <w:szCs w:val="24"/>
                              </w:rPr>
                              <w:t>Implementation:</w:t>
                            </w:r>
                          </w:p>
                          <w:p w14:paraId="02A8B747" w14:textId="77777777" w:rsidR="008512FB" w:rsidRPr="008512FB" w:rsidRDefault="008512FB" w:rsidP="008512FB">
                            <w:pPr>
                              <w:pStyle w:val="ListParagraph"/>
                              <w:numPr>
                                <w:ilvl w:val="0"/>
                                <w:numId w:val="2"/>
                              </w:numPr>
                              <w:ind w:left="714" w:hanging="357"/>
                              <w:contextualSpacing w:val="0"/>
                              <w:rPr>
                                <w:rFonts w:ascii="Arial" w:hAnsi="Arial" w:cs="Arial"/>
                                <w:color w:val="FFFFFF" w:themeColor="background1"/>
                                <w:sz w:val="24"/>
                                <w:szCs w:val="24"/>
                              </w:rPr>
                            </w:pPr>
                            <w:r w:rsidRPr="008512FB">
                              <w:rPr>
                                <w:rFonts w:ascii="Arial" w:hAnsi="Arial" w:cs="Arial"/>
                                <w:color w:val="FFFFFF" w:themeColor="background1"/>
                                <w:sz w:val="24"/>
                                <w:szCs w:val="24"/>
                              </w:rPr>
                              <w:t>Strategic allocations are deliberate long-term targets</w:t>
                            </w:r>
                          </w:p>
                          <w:p w14:paraId="1D8BE035" w14:textId="77777777" w:rsidR="008512FB" w:rsidRPr="008512FB" w:rsidRDefault="008512FB" w:rsidP="008512FB">
                            <w:pPr>
                              <w:pStyle w:val="ListParagraph"/>
                              <w:numPr>
                                <w:ilvl w:val="0"/>
                                <w:numId w:val="2"/>
                              </w:numPr>
                              <w:ind w:left="714" w:hanging="357"/>
                              <w:contextualSpacing w:val="0"/>
                              <w:rPr>
                                <w:rFonts w:ascii="Arial" w:hAnsi="Arial" w:cs="Arial"/>
                                <w:color w:val="FFFFFF" w:themeColor="background1"/>
                                <w:sz w:val="24"/>
                                <w:szCs w:val="24"/>
                              </w:rPr>
                            </w:pPr>
                            <w:r w:rsidRPr="008512FB">
                              <w:rPr>
                                <w:rFonts w:ascii="Arial" w:hAnsi="Arial" w:cs="Arial"/>
                                <w:color w:val="FFFFFF" w:themeColor="background1"/>
                                <w:sz w:val="24"/>
                                <w:szCs w:val="24"/>
                              </w:rPr>
                              <w:t>Market inefficiencies require access to a full opportunity set</w:t>
                            </w:r>
                          </w:p>
                          <w:p w14:paraId="1A251AB0" w14:textId="77777777" w:rsidR="008512FB" w:rsidRPr="008512FB" w:rsidRDefault="008512FB" w:rsidP="008512FB">
                            <w:pPr>
                              <w:pStyle w:val="ListParagraph"/>
                              <w:numPr>
                                <w:ilvl w:val="0"/>
                                <w:numId w:val="2"/>
                              </w:numPr>
                              <w:ind w:left="714" w:hanging="357"/>
                              <w:contextualSpacing w:val="0"/>
                              <w:rPr>
                                <w:rFonts w:ascii="Arial" w:hAnsi="Arial" w:cs="Arial"/>
                                <w:color w:val="FFFFFF" w:themeColor="background1"/>
                                <w:sz w:val="24"/>
                                <w:szCs w:val="24"/>
                              </w:rPr>
                            </w:pPr>
                            <w:r w:rsidRPr="008512FB">
                              <w:rPr>
                                <w:rFonts w:ascii="Arial" w:hAnsi="Arial" w:cs="Arial"/>
                                <w:color w:val="FFFFFF" w:themeColor="background1"/>
                                <w:sz w:val="24"/>
                                <w:szCs w:val="24"/>
                              </w:rPr>
                              <w:t>There is room for diversification of approach</w:t>
                            </w:r>
                          </w:p>
                          <w:p w14:paraId="1C7D9CB8" w14:textId="77777777" w:rsidR="008512FB" w:rsidRPr="008512FB" w:rsidRDefault="008512FB" w:rsidP="008512FB">
                            <w:pPr>
                              <w:pStyle w:val="ListParagraph"/>
                              <w:numPr>
                                <w:ilvl w:val="0"/>
                                <w:numId w:val="2"/>
                              </w:numPr>
                              <w:ind w:left="714" w:hanging="357"/>
                              <w:contextualSpacing w:val="0"/>
                              <w:rPr>
                                <w:rFonts w:ascii="Arial" w:hAnsi="Arial" w:cs="Arial"/>
                                <w:color w:val="FFFFFF" w:themeColor="background1"/>
                                <w:sz w:val="24"/>
                                <w:szCs w:val="24"/>
                              </w:rPr>
                            </w:pPr>
                            <w:r w:rsidRPr="008512FB">
                              <w:rPr>
                                <w:rFonts w:ascii="Arial" w:hAnsi="Arial" w:cs="Arial"/>
                                <w:color w:val="FFFFFF" w:themeColor="background1"/>
                                <w:sz w:val="24"/>
                                <w:szCs w:val="24"/>
                              </w:rPr>
                              <w:t>Fees and costs matter</w:t>
                            </w:r>
                          </w:p>
                          <w:p w14:paraId="19F1FCF6" w14:textId="77777777" w:rsidR="008512FB" w:rsidRPr="008512FB" w:rsidRDefault="008512FB" w:rsidP="008512FB">
                            <w:pPr>
                              <w:pStyle w:val="ListParagraph"/>
                              <w:numPr>
                                <w:ilvl w:val="0"/>
                                <w:numId w:val="2"/>
                              </w:numPr>
                              <w:ind w:left="714" w:hanging="357"/>
                              <w:contextualSpacing w:val="0"/>
                              <w:rPr>
                                <w:rFonts w:ascii="Arial" w:hAnsi="Arial" w:cs="Arial"/>
                                <w:color w:val="FFFFFF" w:themeColor="background1"/>
                                <w:sz w:val="24"/>
                                <w:szCs w:val="24"/>
                              </w:rPr>
                            </w:pPr>
                            <w:r w:rsidRPr="008512FB">
                              <w:rPr>
                                <w:rFonts w:ascii="Arial" w:hAnsi="Arial" w:cs="Arial"/>
                                <w:color w:val="FFFFFF" w:themeColor="background1"/>
                                <w:sz w:val="24"/>
                                <w:szCs w:val="24"/>
                              </w:rPr>
                              <w:t>Making positive investment choices</w:t>
                            </w:r>
                          </w:p>
                          <w:p w14:paraId="73823318" w14:textId="77777777" w:rsidR="008512FB" w:rsidRPr="008512FB" w:rsidRDefault="008512FB" w:rsidP="008512FB">
                            <w:pPr>
                              <w:pStyle w:val="ListParagraph"/>
                              <w:numPr>
                                <w:ilvl w:val="0"/>
                                <w:numId w:val="2"/>
                              </w:numPr>
                              <w:ind w:left="714" w:hanging="357"/>
                              <w:contextualSpacing w:val="0"/>
                              <w:rPr>
                                <w:rFonts w:ascii="Arial" w:hAnsi="Arial" w:cs="Arial"/>
                                <w:color w:val="FFFFFF" w:themeColor="background1"/>
                                <w:sz w:val="24"/>
                                <w:szCs w:val="24"/>
                              </w:rPr>
                            </w:pPr>
                            <w:r w:rsidRPr="008512FB">
                              <w:rPr>
                                <w:rFonts w:ascii="Arial" w:hAnsi="Arial" w:cs="Arial"/>
                                <w:color w:val="FFFFFF" w:themeColor="background1"/>
                                <w:sz w:val="24"/>
                                <w:szCs w:val="24"/>
                              </w:rPr>
                              <w:t>Cashflow is important</w:t>
                            </w:r>
                          </w:p>
                          <w:p w14:paraId="5832B86F" w14:textId="77777777" w:rsidR="006114D4" w:rsidRPr="0017252F" w:rsidRDefault="006114D4" w:rsidP="006114D4">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DA63D7" id="_x0000_s1027" type="#_x0000_t202" style="position:absolute;margin-left:336pt;margin-top:204.35pt;width:325.6pt;height:188.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" fillcolor="#156082 [3204]" strokecolor="#156082 [3204]">
                <v:textbox>
                  <w:txbxContent>
                    <w:p w14:paraId="5737619D" w14:textId="77777777" w:rsidR="008512FB" w:rsidRPr="008512FB" w:rsidRDefault="008512FB" w:rsidP="008512FB">
                      <w:pPr>
                        <w:rPr>
                          <w:rFonts w:ascii="Arial" w:hAnsi="Arial" w:cs="Arial"/>
                          <w:b/>
                          <w:bCs/>
                          <w:color w:val="FFFFFF" w:themeColor="background1"/>
                          <w:sz w:val="24"/>
                          <w:szCs w:val="24"/>
                        </w:rPr>
                      </w:pPr>
                      <w:r w:rsidRPr="008512FB">
                        <w:rPr>
                          <w:rFonts w:ascii="Arial" w:hAnsi="Arial" w:cs="Arial"/>
                          <w:b/>
                          <w:bCs/>
                          <w:color w:val="FFFFFF" w:themeColor="background1"/>
                          <w:sz w:val="24"/>
                          <w:szCs w:val="24"/>
                        </w:rPr>
                        <w:t>Implementation:</w:t>
                      </w:r>
                    </w:p>
                    <w:p w14:paraId="02A8B747" w14:textId="77777777" w:rsidR="008512FB" w:rsidRPr="008512FB" w:rsidRDefault="008512FB" w:rsidP="008512FB">
                      <w:pPr>
                        <w:pStyle w:val="ListParagraph"/>
                        <w:numPr>
                          <w:ilvl w:val="0"/>
                          <w:numId w:val="2"/>
                        </w:numPr>
                        <w:ind w:left="714" w:hanging="357"/>
                        <w:contextualSpacing w:val="0"/>
                        <w:rPr>
                          <w:rFonts w:ascii="Arial" w:hAnsi="Arial" w:cs="Arial"/>
                          <w:color w:val="FFFFFF" w:themeColor="background1"/>
                          <w:sz w:val="24"/>
                          <w:szCs w:val="24"/>
                        </w:rPr>
                      </w:pPr>
                      <w:r w:rsidRPr="008512FB">
                        <w:rPr>
                          <w:rFonts w:ascii="Arial" w:hAnsi="Arial" w:cs="Arial"/>
                          <w:color w:val="FFFFFF" w:themeColor="background1"/>
                          <w:sz w:val="24"/>
                          <w:szCs w:val="24"/>
                        </w:rPr>
                        <w:t>Strategic allocations are deliberate long-term targets</w:t>
                      </w:r>
                    </w:p>
                    <w:p w14:paraId="1D8BE035" w14:textId="77777777" w:rsidR="008512FB" w:rsidRPr="008512FB" w:rsidRDefault="008512FB" w:rsidP="008512FB">
                      <w:pPr>
                        <w:pStyle w:val="ListParagraph"/>
                        <w:numPr>
                          <w:ilvl w:val="0"/>
                          <w:numId w:val="2"/>
                        </w:numPr>
                        <w:ind w:left="714" w:hanging="357"/>
                        <w:contextualSpacing w:val="0"/>
                        <w:rPr>
                          <w:rFonts w:ascii="Arial" w:hAnsi="Arial" w:cs="Arial"/>
                          <w:color w:val="FFFFFF" w:themeColor="background1"/>
                          <w:sz w:val="24"/>
                          <w:szCs w:val="24"/>
                        </w:rPr>
                      </w:pPr>
                      <w:r w:rsidRPr="008512FB">
                        <w:rPr>
                          <w:rFonts w:ascii="Arial" w:hAnsi="Arial" w:cs="Arial"/>
                          <w:color w:val="FFFFFF" w:themeColor="background1"/>
                          <w:sz w:val="24"/>
                          <w:szCs w:val="24"/>
                        </w:rPr>
                        <w:t>Market inefficiencies require access to a full opportunity set</w:t>
                      </w:r>
                    </w:p>
                    <w:p w14:paraId="1A251AB0" w14:textId="77777777" w:rsidR="008512FB" w:rsidRPr="008512FB" w:rsidRDefault="008512FB" w:rsidP="008512FB">
                      <w:pPr>
                        <w:pStyle w:val="ListParagraph"/>
                        <w:numPr>
                          <w:ilvl w:val="0"/>
                          <w:numId w:val="2"/>
                        </w:numPr>
                        <w:ind w:left="714" w:hanging="357"/>
                        <w:contextualSpacing w:val="0"/>
                        <w:rPr>
                          <w:rFonts w:ascii="Arial" w:hAnsi="Arial" w:cs="Arial"/>
                          <w:color w:val="FFFFFF" w:themeColor="background1"/>
                          <w:sz w:val="24"/>
                          <w:szCs w:val="24"/>
                        </w:rPr>
                      </w:pPr>
                      <w:r w:rsidRPr="008512FB">
                        <w:rPr>
                          <w:rFonts w:ascii="Arial" w:hAnsi="Arial" w:cs="Arial"/>
                          <w:color w:val="FFFFFF" w:themeColor="background1"/>
                          <w:sz w:val="24"/>
                          <w:szCs w:val="24"/>
                        </w:rPr>
                        <w:t>There is room for diversification of approach</w:t>
                      </w:r>
                    </w:p>
                    <w:p w14:paraId="1C7D9CB8" w14:textId="77777777" w:rsidR="008512FB" w:rsidRPr="008512FB" w:rsidRDefault="008512FB" w:rsidP="008512FB">
                      <w:pPr>
                        <w:pStyle w:val="ListParagraph"/>
                        <w:numPr>
                          <w:ilvl w:val="0"/>
                          <w:numId w:val="2"/>
                        </w:numPr>
                        <w:ind w:left="714" w:hanging="357"/>
                        <w:contextualSpacing w:val="0"/>
                        <w:rPr>
                          <w:rFonts w:ascii="Arial" w:hAnsi="Arial" w:cs="Arial"/>
                          <w:color w:val="FFFFFF" w:themeColor="background1"/>
                          <w:sz w:val="24"/>
                          <w:szCs w:val="24"/>
                        </w:rPr>
                      </w:pPr>
                      <w:r w:rsidRPr="008512FB">
                        <w:rPr>
                          <w:rFonts w:ascii="Arial" w:hAnsi="Arial" w:cs="Arial"/>
                          <w:color w:val="FFFFFF" w:themeColor="background1"/>
                          <w:sz w:val="24"/>
                          <w:szCs w:val="24"/>
                        </w:rPr>
                        <w:t>Fees and costs matter</w:t>
                      </w:r>
                    </w:p>
                    <w:p w14:paraId="19F1FCF6" w14:textId="77777777" w:rsidR="008512FB" w:rsidRPr="008512FB" w:rsidRDefault="008512FB" w:rsidP="008512FB">
                      <w:pPr>
                        <w:pStyle w:val="ListParagraph"/>
                        <w:numPr>
                          <w:ilvl w:val="0"/>
                          <w:numId w:val="2"/>
                        </w:numPr>
                        <w:ind w:left="714" w:hanging="357"/>
                        <w:contextualSpacing w:val="0"/>
                        <w:rPr>
                          <w:rFonts w:ascii="Arial" w:hAnsi="Arial" w:cs="Arial"/>
                          <w:color w:val="FFFFFF" w:themeColor="background1"/>
                          <w:sz w:val="24"/>
                          <w:szCs w:val="24"/>
                        </w:rPr>
                      </w:pPr>
                      <w:r w:rsidRPr="008512FB">
                        <w:rPr>
                          <w:rFonts w:ascii="Arial" w:hAnsi="Arial" w:cs="Arial"/>
                          <w:color w:val="FFFFFF" w:themeColor="background1"/>
                          <w:sz w:val="24"/>
                          <w:szCs w:val="24"/>
                        </w:rPr>
                        <w:t>Making positive investment choices</w:t>
                      </w:r>
                    </w:p>
                    <w:p w14:paraId="73823318" w14:textId="77777777" w:rsidR="008512FB" w:rsidRPr="008512FB" w:rsidRDefault="008512FB" w:rsidP="008512FB">
                      <w:pPr>
                        <w:pStyle w:val="ListParagraph"/>
                        <w:numPr>
                          <w:ilvl w:val="0"/>
                          <w:numId w:val="2"/>
                        </w:numPr>
                        <w:ind w:left="714" w:hanging="357"/>
                        <w:contextualSpacing w:val="0"/>
                        <w:rPr>
                          <w:rFonts w:ascii="Arial" w:hAnsi="Arial" w:cs="Arial"/>
                          <w:color w:val="FFFFFF" w:themeColor="background1"/>
                          <w:sz w:val="24"/>
                          <w:szCs w:val="24"/>
                        </w:rPr>
                      </w:pPr>
                      <w:r w:rsidRPr="008512FB">
                        <w:rPr>
                          <w:rFonts w:ascii="Arial" w:hAnsi="Arial" w:cs="Arial"/>
                          <w:color w:val="FFFFFF" w:themeColor="background1"/>
                          <w:sz w:val="24"/>
                          <w:szCs w:val="24"/>
                        </w:rPr>
                        <w:t>Cashflow is important</w:t>
                      </w:r>
                    </w:p>
                    <w:p w14:paraId="5832B86F" w14:textId="77777777" w:rsidR="006114D4" w:rsidRPr="0017252F" w:rsidRDefault="006114D4" w:rsidP="006114D4">
                      <w:pPr>
                        <w:rPr>
                          <w:color w:val="FFFFFF" w:themeColor="background1"/>
                        </w:rPr>
                      </w:pPr>
                    </w:p>
                  </w:txbxContent>
                </v:textbox>
                <w10:wrap type="square" anchorx="margin"/>
              </v:shape>
            </w:pict>
          </mc:Fallback>
        </mc:AlternateContent>
      </w:r>
      <w:r w:rsidR="00815057" w:rsidRPr="00C45421">
        <w:rPr>
          <w:rFonts w:ascii="Arial" w:hAnsi="Arial" w:cs="Arial"/>
          <w:noProof/>
          <w:sz w:val="24"/>
          <w:szCs w:val="24"/>
        </w:rPr>
        <mc:AlternateContent>
          <mc:Choice Requires="wps">
            <w:drawing>
              <wp:anchor distT="45720" distB="45720" distL="114300" distR="114300" simplePos="0" relativeHeight="251658242" behindDoc="0" locked="0" layoutInCell="1" allowOverlap="1" wp14:anchorId="590434B1" wp14:editId="754321CB">
                <wp:simplePos x="0" y="0"/>
                <wp:positionH relativeFrom="margin">
                  <wp:align>left</wp:align>
                </wp:positionH>
                <wp:positionV relativeFrom="paragraph">
                  <wp:posOffset>50165</wp:posOffset>
                </wp:positionV>
                <wp:extent cx="4135120" cy="3362325"/>
                <wp:effectExtent l="0" t="0" r="17780" b="28575"/>
                <wp:wrapSquare wrapText="bothSides"/>
                <wp:docPr id="1128253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5120" cy="3362325"/>
                        </a:xfrm>
                        <a:prstGeom prst="rect">
                          <a:avLst/>
                        </a:prstGeom>
                        <a:solidFill>
                          <a:schemeClr val="accent1"/>
                        </a:solidFill>
                        <a:ln w="9525">
                          <a:solidFill>
                            <a:schemeClr val="accent1"/>
                          </a:solidFill>
                          <a:miter lim="800000"/>
                          <a:headEnd/>
                          <a:tailEnd/>
                        </a:ln>
                      </wps:spPr>
                      <wps:txbx>
                        <w:txbxContent>
                          <w:p w14:paraId="32DA34FD" w14:textId="77777777" w:rsidR="00815057" w:rsidRPr="00815057" w:rsidRDefault="00815057" w:rsidP="00815057">
                            <w:pPr>
                              <w:rPr>
                                <w:rFonts w:ascii="Arial" w:hAnsi="Arial" w:cs="Arial"/>
                                <w:b/>
                                <w:bCs/>
                                <w:color w:val="FFFFFF" w:themeColor="background1"/>
                                <w:sz w:val="24"/>
                                <w:szCs w:val="24"/>
                              </w:rPr>
                            </w:pPr>
                            <w:r w:rsidRPr="00815057">
                              <w:rPr>
                                <w:rFonts w:ascii="Arial" w:hAnsi="Arial" w:cs="Arial"/>
                                <w:b/>
                                <w:bCs/>
                                <w:color w:val="FFFFFF" w:themeColor="background1"/>
                                <w:sz w:val="24"/>
                                <w:szCs w:val="24"/>
                              </w:rPr>
                              <w:t>Principles:</w:t>
                            </w:r>
                          </w:p>
                          <w:p w14:paraId="782FAF2A" w14:textId="77777777" w:rsidR="00815057" w:rsidRPr="00815057" w:rsidRDefault="00815057" w:rsidP="00815057">
                            <w:pPr>
                              <w:pStyle w:val="ListParagraph"/>
                              <w:numPr>
                                <w:ilvl w:val="0"/>
                                <w:numId w:val="2"/>
                              </w:numPr>
                              <w:ind w:left="714" w:hanging="357"/>
                              <w:contextualSpacing w:val="0"/>
                              <w:rPr>
                                <w:rFonts w:ascii="Arial" w:hAnsi="Arial" w:cs="Arial"/>
                                <w:color w:val="FFFFFF" w:themeColor="background1"/>
                                <w:sz w:val="24"/>
                                <w:szCs w:val="24"/>
                              </w:rPr>
                            </w:pPr>
                            <w:r w:rsidRPr="00815057">
                              <w:rPr>
                                <w:rFonts w:ascii="Arial" w:hAnsi="Arial" w:cs="Arial"/>
                                <w:color w:val="FFFFFF" w:themeColor="background1"/>
                                <w:sz w:val="24"/>
                                <w:szCs w:val="24"/>
                              </w:rPr>
                              <w:t>Funding and investment strategy are linked</w:t>
                            </w:r>
                          </w:p>
                          <w:p w14:paraId="585FD59E" w14:textId="77777777" w:rsidR="00815057" w:rsidRPr="00815057" w:rsidRDefault="00815057" w:rsidP="00815057">
                            <w:pPr>
                              <w:pStyle w:val="ListParagraph"/>
                              <w:numPr>
                                <w:ilvl w:val="0"/>
                                <w:numId w:val="2"/>
                              </w:numPr>
                              <w:ind w:left="714" w:hanging="357"/>
                              <w:contextualSpacing w:val="0"/>
                              <w:rPr>
                                <w:rFonts w:ascii="Arial" w:hAnsi="Arial" w:cs="Arial"/>
                                <w:color w:val="FFFFFF" w:themeColor="background1"/>
                                <w:sz w:val="24"/>
                                <w:szCs w:val="24"/>
                              </w:rPr>
                            </w:pPr>
                            <w:r w:rsidRPr="00815057">
                              <w:rPr>
                                <w:rFonts w:ascii="Arial" w:hAnsi="Arial" w:cs="Arial"/>
                                <w:color w:val="FFFFFF" w:themeColor="background1"/>
                                <w:sz w:val="24"/>
                                <w:szCs w:val="24"/>
                              </w:rPr>
                              <w:t>Strategic asset allocation is a key determinant of risk and return</w:t>
                            </w:r>
                          </w:p>
                          <w:p w14:paraId="6F92F5DF" w14:textId="77777777" w:rsidR="00815057" w:rsidRPr="00815057" w:rsidRDefault="00815057" w:rsidP="00815057">
                            <w:pPr>
                              <w:pStyle w:val="ListParagraph"/>
                              <w:numPr>
                                <w:ilvl w:val="0"/>
                                <w:numId w:val="2"/>
                              </w:numPr>
                              <w:ind w:left="714" w:hanging="357"/>
                              <w:contextualSpacing w:val="0"/>
                              <w:rPr>
                                <w:rFonts w:ascii="Arial" w:hAnsi="Arial" w:cs="Arial"/>
                                <w:color w:val="FFFFFF" w:themeColor="background1"/>
                                <w:sz w:val="24"/>
                                <w:szCs w:val="24"/>
                              </w:rPr>
                            </w:pPr>
                            <w:r w:rsidRPr="00815057">
                              <w:rPr>
                                <w:rFonts w:ascii="Arial" w:hAnsi="Arial" w:cs="Arial"/>
                                <w:color w:val="FFFFFF" w:themeColor="background1"/>
                                <w:sz w:val="24"/>
                                <w:szCs w:val="24"/>
                              </w:rPr>
                              <w:t>Clear and well-defined objectives are essential to achieve future success</w:t>
                            </w:r>
                          </w:p>
                          <w:p w14:paraId="73EF664B" w14:textId="77777777" w:rsidR="00815057" w:rsidRPr="00815057" w:rsidRDefault="00815057" w:rsidP="00815057">
                            <w:pPr>
                              <w:pStyle w:val="ListParagraph"/>
                              <w:numPr>
                                <w:ilvl w:val="0"/>
                                <w:numId w:val="2"/>
                              </w:numPr>
                              <w:ind w:left="714" w:hanging="357"/>
                              <w:contextualSpacing w:val="0"/>
                              <w:rPr>
                                <w:rFonts w:ascii="Arial" w:hAnsi="Arial" w:cs="Arial"/>
                                <w:color w:val="FFFFFF" w:themeColor="background1"/>
                                <w:sz w:val="24"/>
                                <w:szCs w:val="24"/>
                              </w:rPr>
                            </w:pPr>
                            <w:r w:rsidRPr="00815057">
                              <w:rPr>
                                <w:rFonts w:ascii="Arial" w:hAnsi="Arial" w:cs="Arial"/>
                                <w:color w:val="FFFFFF" w:themeColor="background1"/>
                                <w:sz w:val="24"/>
                                <w:szCs w:val="24"/>
                              </w:rPr>
                              <w:t>Responsible Investment (RI) is important to the Pension Fund and can have a material impact on the long-term performance of its investments</w:t>
                            </w:r>
                          </w:p>
                          <w:p w14:paraId="423435DF" w14:textId="77777777" w:rsidR="00815057" w:rsidRPr="00815057" w:rsidRDefault="00815057" w:rsidP="00815057">
                            <w:pPr>
                              <w:pStyle w:val="ListParagraph"/>
                              <w:numPr>
                                <w:ilvl w:val="0"/>
                                <w:numId w:val="2"/>
                              </w:numPr>
                              <w:ind w:left="714" w:hanging="357"/>
                              <w:contextualSpacing w:val="0"/>
                              <w:rPr>
                                <w:rFonts w:ascii="Arial" w:hAnsi="Arial" w:cs="Arial"/>
                                <w:color w:val="FFFFFF" w:themeColor="background1"/>
                                <w:sz w:val="24"/>
                                <w:szCs w:val="24"/>
                              </w:rPr>
                            </w:pPr>
                            <w:r w:rsidRPr="00815057">
                              <w:rPr>
                                <w:rFonts w:ascii="Arial" w:hAnsi="Arial" w:cs="Arial"/>
                                <w:color w:val="FFFFFF" w:themeColor="background1"/>
                                <w:sz w:val="24"/>
                                <w:szCs w:val="24"/>
                              </w:rPr>
                              <w:t xml:space="preserve">The Pension Fund will take an appropriate level of investment risk </w:t>
                            </w:r>
                          </w:p>
                          <w:p w14:paraId="680371C5" w14:textId="77777777" w:rsidR="00815057" w:rsidRPr="00815057" w:rsidRDefault="00815057" w:rsidP="00815057">
                            <w:pPr>
                              <w:pStyle w:val="ListParagraph"/>
                              <w:numPr>
                                <w:ilvl w:val="0"/>
                                <w:numId w:val="2"/>
                              </w:numPr>
                              <w:ind w:left="714" w:hanging="357"/>
                              <w:contextualSpacing w:val="0"/>
                              <w:rPr>
                                <w:rFonts w:ascii="Arial" w:hAnsi="Arial" w:cs="Arial"/>
                                <w:color w:val="FFFFFF" w:themeColor="background1"/>
                                <w:sz w:val="24"/>
                                <w:szCs w:val="24"/>
                              </w:rPr>
                            </w:pPr>
                            <w:r w:rsidRPr="00815057">
                              <w:rPr>
                                <w:rFonts w:ascii="Arial" w:hAnsi="Arial" w:cs="Arial"/>
                                <w:color w:val="FFFFFF" w:themeColor="background1"/>
                                <w:sz w:val="24"/>
                                <w:szCs w:val="24"/>
                              </w:rPr>
                              <w:t>Long-term investing provides opportunities for enhancing returns</w:t>
                            </w:r>
                          </w:p>
                          <w:p w14:paraId="67307086" w14:textId="77777777" w:rsidR="00815057" w:rsidRPr="00815057" w:rsidRDefault="00815057" w:rsidP="00815057">
                            <w:pPr>
                              <w:pStyle w:val="ListParagraph"/>
                              <w:numPr>
                                <w:ilvl w:val="0"/>
                                <w:numId w:val="2"/>
                              </w:numPr>
                              <w:ind w:left="714" w:hanging="357"/>
                              <w:contextualSpacing w:val="0"/>
                              <w:rPr>
                                <w:rFonts w:ascii="Arial" w:hAnsi="Arial" w:cs="Arial"/>
                                <w:color w:val="FFFFFF" w:themeColor="background1"/>
                                <w:sz w:val="24"/>
                                <w:szCs w:val="24"/>
                              </w:rPr>
                            </w:pPr>
                            <w:r w:rsidRPr="00815057">
                              <w:rPr>
                                <w:rFonts w:ascii="Arial" w:hAnsi="Arial" w:cs="Arial"/>
                                <w:color w:val="FFFFFF" w:themeColor="background1"/>
                                <w:sz w:val="24"/>
                                <w:szCs w:val="24"/>
                              </w:rPr>
                              <w:t>Decision-making must be evidence based</w:t>
                            </w:r>
                          </w:p>
                          <w:p w14:paraId="3381AD91" w14:textId="77777777" w:rsidR="00BB5F26" w:rsidRPr="0017252F" w:rsidRDefault="00BB5F26" w:rsidP="00BB5F26">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0434B1" id="_x0000_s1028" type="#_x0000_t202" style="position:absolute;margin-left:0;margin-top:3.95pt;width:325.6pt;height:264.7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" fillcolor="#156082 [3204]" strokecolor="#156082 [3204]">
                <v:textbox>
                  <w:txbxContent>
                    <w:p w14:paraId="32DA34FD" w14:textId="77777777" w:rsidR="00815057" w:rsidRPr="00815057" w:rsidRDefault="00815057" w:rsidP="00815057">
                      <w:pPr>
                        <w:rPr>
                          <w:rFonts w:ascii="Arial" w:hAnsi="Arial" w:cs="Arial"/>
                          <w:b/>
                          <w:bCs/>
                          <w:color w:val="FFFFFF" w:themeColor="background1"/>
                          <w:sz w:val="24"/>
                          <w:szCs w:val="24"/>
                        </w:rPr>
                      </w:pPr>
                      <w:r w:rsidRPr="00815057">
                        <w:rPr>
                          <w:rFonts w:ascii="Arial" w:hAnsi="Arial" w:cs="Arial"/>
                          <w:b/>
                          <w:bCs/>
                          <w:color w:val="FFFFFF" w:themeColor="background1"/>
                          <w:sz w:val="24"/>
                          <w:szCs w:val="24"/>
                        </w:rPr>
                        <w:t>Principles:</w:t>
                      </w:r>
                    </w:p>
                    <w:p w14:paraId="782FAF2A" w14:textId="77777777" w:rsidR="00815057" w:rsidRPr="00815057" w:rsidRDefault="00815057" w:rsidP="00815057">
                      <w:pPr>
                        <w:pStyle w:val="ListParagraph"/>
                        <w:numPr>
                          <w:ilvl w:val="0"/>
                          <w:numId w:val="2"/>
                        </w:numPr>
                        <w:ind w:left="714" w:hanging="357"/>
                        <w:contextualSpacing w:val="0"/>
                        <w:rPr>
                          <w:rFonts w:ascii="Arial" w:hAnsi="Arial" w:cs="Arial"/>
                          <w:color w:val="FFFFFF" w:themeColor="background1"/>
                          <w:sz w:val="24"/>
                          <w:szCs w:val="24"/>
                        </w:rPr>
                      </w:pPr>
                      <w:r w:rsidRPr="00815057">
                        <w:rPr>
                          <w:rFonts w:ascii="Arial" w:hAnsi="Arial" w:cs="Arial"/>
                          <w:color w:val="FFFFFF" w:themeColor="background1"/>
                          <w:sz w:val="24"/>
                          <w:szCs w:val="24"/>
                        </w:rPr>
                        <w:t>Funding and investment strategy are linked</w:t>
                      </w:r>
                    </w:p>
                    <w:p w14:paraId="585FD59E" w14:textId="77777777" w:rsidR="00815057" w:rsidRPr="00815057" w:rsidRDefault="00815057" w:rsidP="00815057">
                      <w:pPr>
                        <w:pStyle w:val="ListParagraph"/>
                        <w:numPr>
                          <w:ilvl w:val="0"/>
                          <w:numId w:val="2"/>
                        </w:numPr>
                        <w:ind w:left="714" w:hanging="357"/>
                        <w:contextualSpacing w:val="0"/>
                        <w:rPr>
                          <w:rFonts w:ascii="Arial" w:hAnsi="Arial" w:cs="Arial"/>
                          <w:color w:val="FFFFFF" w:themeColor="background1"/>
                          <w:sz w:val="24"/>
                          <w:szCs w:val="24"/>
                        </w:rPr>
                      </w:pPr>
                      <w:r w:rsidRPr="00815057">
                        <w:rPr>
                          <w:rFonts w:ascii="Arial" w:hAnsi="Arial" w:cs="Arial"/>
                          <w:color w:val="FFFFFF" w:themeColor="background1"/>
                          <w:sz w:val="24"/>
                          <w:szCs w:val="24"/>
                        </w:rPr>
                        <w:t>Strategic asset allocation is a key determinant of risk and return</w:t>
                      </w:r>
                    </w:p>
                    <w:p w14:paraId="6F92F5DF" w14:textId="77777777" w:rsidR="00815057" w:rsidRPr="00815057" w:rsidRDefault="00815057" w:rsidP="00815057">
                      <w:pPr>
                        <w:pStyle w:val="ListParagraph"/>
                        <w:numPr>
                          <w:ilvl w:val="0"/>
                          <w:numId w:val="2"/>
                        </w:numPr>
                        <w:ind w:left="714" w:hanging="357"/>
                        <w:contextualSpacing w:val="0"/>
                        <w:rPr>
                          <w:rFonts w:ascii="Arial" w:hAnsi="Arial" w:cs="Arial"/>
                          <w:color w:val="FFFFFF" w:themeColor="background1"/>
                          <w:sz w:val="24"/>
                          <w:szCs w:val="24"/>
                        </w:rPr>
                      </w:pPr>
                      <w:r w:rsidRPr="00815057">
                        <w:rPr>
                          <w:rFonts w:ascii="Arial" w:hAnsi="Arial" w:cs="Arial"/>
                          <w:color w:val="FFFFFF" w:themeColor="background1"/>
                          <w:sz w:val="24"/>
                          <w:szCs w:val="24"/>
                        </w:rPr>
                        <w:t>Clear and well-defined objectives are essential to achieve future success</w:t>
                      </w:r>
                    </w:p>
                    <w:p w14:paraId="73EF664B" w14:textId="77777777" w:rsidR="00815057" w:rsidRPr="00815057" w:rsidRDefault="00815057" w:rsidP="00815057">
                      <w:pPr>
                        <w:pStyle w:val="ListParagraph"/>
                        <w:numPr>
                          <w:ilvl w:val="0"/>
                          <w:numId w:val="2"/>
                        </w:numPr>
                        <w:ind w:left="714" w:hanging="357"/>
                        <w:contextualSpacing w:val="0"/>
                        <w:rPr>
                          <w:rFonts w:ascii="Arial" w:hAnsi="Arial" w:cs="Arial"/>
                          <w:color w:val="FFFFFF" w:themeColor="background1"/>
                          <w:sz w:val="24"/>
                          <w:szCs w:val="24"/>
                        </w:rPr>
                      </w:pPr>
                      <w:r w:rsidRPr="00815057">
                        <w:rPr>
                          <w:rFonts w:ascii="Arial" w:hAnsi="Arial" w:cs="Arial"/>
                          <w:color w:val="FFFFFF" w:themeColor="background1"/>
                          <w:sz w:val="24"/>
                          <w:szCs w:val="24"/>
                        </w:rPr>
                        <w:t>Responsible Investment (RI) is important to the Pension Fund and can have a material impact on the long-term performance of its investments</w:t>
                      </w:r>
                    </w:p>
                    <w:p w14:paraId="423435DF" w14:textId="77777777" w:rsidR="00815057" w:rsidRPr="00815057" w:rsidRDefault="00815057" w:rsidP="00815057">
                      <w:pPr>
                        <w:pStyle w:val="ListParagraph"/>
                        <w:numPr>
                          <w:ilvl w:val="0"/>
                          <w:numId w:val="2"/>
                        </w:numPr>
                        <w:ind w:left="714" w:hanging="357"/>
                        <w:contextualSpacing w:val="0"/>
                        <w:rPr>
                          <w:rFonts w:ascii="Arial" w:hAnsi="Arial" w:cs="Arial"/>
                          <w:color w:val="FFFFFF" w:themeColor="background1"/>
                          <w:sz w:val="24"/>
                          <w:szCs w:val="24"/>
                        </w:rPr>
                      </w:pPr>
                      <w:r w:rsidRPr="00815057">
                        <w:rPr>
                          <w:rFonts w:ascii="Arial" w:hAnsi="Arial" w:cs="Arial"/>
                          <w:color w:val="FFFFFF" w:themeColor="background1"/>
                          <w:sz w:val="24"/>
                          <w:szCs w:val="24"/>
                        </w:rPr>
                        <w:t xml:space="preserve">The Pension Fund will take an appropriate level of investment risk </w:t>
                      </w:r>
                    </w:p>
                    <w:p w14:paraId="680371C5" w14:textId="77777777" w:rsidR="00815057" w:rsidRPr="00815057" w:rsidRDefault="00815057" w:rsidP="00815057">
                      <w:pPr>
                        <w:pStyle w:val="ListParagraph"/>
                        <w:numPr>
                          <w:ilvl w:val="0"/>
                          <w:numId w:val="2"/>
                        </w:numPr>
                        <w:ind w:left="714" w:hanging="357"/>
                        <w:contextualSpacing w:val="0"/>
                        <w:rPr>
                          <w:rFonts w:ascii="Arial" w:hAnsi="Arial" w:cs="Arial"/>
                          <w:color w:val="FFFFFF" w:themeColor="background1"/>
                          <w:sz w:val="24"/>
                          <w:szCs w:val="24"/>
                        </w:rPr>
                      </w:pPr>
                      <w:r w:rsidRPr="00815057">
                        <w:rPr>
                          <w:rFonts w:ascii="Arial" w:hAnsi="Arial" w:cs="Arial"/>
                          <w:color w:val="FFFFFF" w:themeColor="background1"/>
                          <w:sz w:val="24"/>
                          <w:szCs w:val="24"/>
                        </w:rPr>
                        <w:t>Long-term investing provides opportunities for enhancing returns</w:t>
                      </w:r>
                    </w:p>
                    <w:p w14:paraId="67307086" w14:textId="77777777" w:rsidR="00815057" w:rsidRPr="00815057" w:rsidRDefault="00815057" w:rsidP="00815057">
                      <w:pPr>
                        <w:pStyle w:val="ListParagraph"/>
                        <w:numPr>
                          <w:ilvl w:val="0"/>
                          <w:numId w:val="2"/>
                        </w:numPr>
                        <w:ind w:left="714" w:hanging="357"/>
                        <w:contextualSpacing w:val="0"/>
                        <w:rPr>
                          <w:rFonts w:ascii="Arial" w:hAnsi="Arial" w:cs="Arial"/>
                          <w:color w:val="FFFFFF" w:themeColor="background1"/>
                          <w:sz w:val="24"/>
                          <w:szCs w:val="24"/>
                        </w:rPr>
                      </w:pPr>
                      <w:r w:rsidRPr="00815057">
                        <w:rPr>
                          <w:rFonts w:ascii="Arial" w:hAnsi="Arial" w:cs="Arial"/>
                          <w:color w:val="FFFFFF" w:themeColor="background1"/>
                          <w:sz w:val="24"/>
                          <w:szCs w:val="24"/>
                        </w:rPr>
                        <w:t>Decision-making must be evidence based</w:t>
                      </w:r>
                    </w:p>
                    <w:p w14:paraId="3381AD91" w14:textId="77777777" w:rsidR="00BB5F26" w:rsidRPr="0017252F" w:rsidRDefault="00BB5F26" w:rsidP="00BB5F26">
                      <w:pPr>
                        <w:rPr>
                          <w:color w:val="FFFFFF" w:themeColor="background1"/>
                        </w:rPr>
                      </w:pPr>
                    </w:p>
                  </w:txbxContent>
                </v:textbox>
                <w10:wrap type="square" anchorx="margin"/>
              </v:shape>
            </w:pict>
          </mc:Fallback>
        </mc:AlternateContent>
      </w:r>
    </w:p>
    <w:p w14:paraId="5B773805" w14:textId="6BB63139" w:rsidR="00C5495F" w:rsidRDefault="00C5495F" w:rsidP="00660329">
      <w:pPr>
        <w:pStyle w:val="Heading2"/>
        <w:spacing w:before="320"/>
        <w:rPr>
          <w:color w:val="0F4761" w:themeColor="accent1" w:themeShade="BF"/>
          <w:sz w:val="32"/>
          <w:szCs w:val="32"/>
        </w:rPr>
        <w:sectPr w:rsidR="00C5495F" w:rsidSect="005D460F">
          <w:pgSz w:w="15840" w:h="12240" w:orient="landscape"/>
          <w:pgMar w:top="1440" w:right="1440" w:bottom="1440" w:left="1440" w:header="720" w:footer="720" w:gutter="0"/>
          <w:cols w:space="720"/>
          <w:docGrid w:linePitch="360"/>
        </w:sectPr>
      </w:pPr>
    </w:p>
    <w:p w14:paraId="695795FB" w14:textId="0E8128F6" w:rsidR="00660329" w:rsidRPr="00660329" w:rsidRDefault="0052389E" w:rsidP="00660329">
      <w:pPr>
        <w:pStyle w:val="Heading2"/>
        <w:spacing w:before="320"/>
        <w:rPr>
          <w:color w:val="0F4761" w:themeColor="accent1" w:themeShade="BF"/>
          <w:sz w:val="32"/>
          <w:szCs w:val="32"/>
        </w:rPr>
        <w:sectPr w:rsidR="00660329" w:rsidRPr="00660329" w:rsidSect="00056D4C">
          <w:pgSz w:w="15840" w:h="12240" w:orient="landscape"/>
          <w:pgMar w:top="1440" w:right="1440" w:bottom="1440" w:left="1440" w:header="720" w:footer="720" w:gutter="0"/>
          <w:cols w:num="2" w:space="720"/>
          <w:docGrid w:linePitch="360"/>
        </w:sectPr>
      </w:pPr>
      <w:bookmarkStart w:id="4" w:name="_Toc224113538"/>
      <w:r w:rsidRPr="00B67B1A">
        <w:rPr>
          <w:color w:val="0F4761" w:themeColor="accent1" w:themeShade="BF"/>
          <w:sz w:val="32"/>
          <w:szCs w:val="32"/>
        </w:rPr>
        <w:t>Variety of investments</w:t>
      </w:r>
      <w:bookmarkEnd w:id="4"/>
      <w:r w:rsidRPr="00B67B1A">
        <w:rPr>
          <w:color w:val="0F4761" w:themeColor="accent1" w:themeShade="BF"/>
          <w:sz w:val="32"/>
          <w:szCs w:val="32"/>
        </w:rPr>
        <w:t xml:space="preserve"> </w:t>
      </w:r>
    </w:p>
    <w:p w14:paraId="3EBB596F" w14:textId="21A5C8D0" w:rsidR="0052389E" w:rsidRPr="0052389E" w:rsidRDefault="0052389E" w:rsidP="0052389E">
      <w:pPr>
        <w:rPr>
          <w:rFonts w:ascii="Arial" w:hAnsi="Arial" w:cs="Arial"/>
          <w:sz w:val="24"/>
          <w:szCs w:val="24"/>
        </w:rPr>
      </w:pPr>
      <w:proofErr w:type="gramStart"/>
      <w:r w:rsidRPr="0052389E">
        <w:rPr>
          <w:rFonts w:ascii="Arial" w:hAnsi="Arial" w:cs="Arial"/>
          <w:sz w:val="24"/>
          <w:szCs w:val="24"/>
        </w:rPr>
        <w:t>In order to</w:t>
      </w:r>
      <w:proofErr w:type="gramEnd"/>
      <w:r w:rsidRPr="0052389E">
        <w:rPr>
          <w:rFonts w:ascii="Arial" w:hAnsi="Arial" w:cs="Arial"/>
          <w:sz w:val="24"/>
          <w:szCs w:val="24"/>
        </w:rPr>
        <w:t xml:space="preserve"> achieve the return in its Funding Strategy, the Investment Regulations require the Pension Fund to invest money in a wide variety of investments and state the maximum percentage that it will invest </w:t>
      </w:r>
      <w:proofErr w:type="gramStart"/>
      <w:r w:rsidRPr="0052389E">
        <w:rPr>
          <w:rFonts w:ascii="Arial" w:hAnsi="Arial" w:cs="Arial"/>
          <w:sz w:val="24"/>
          <w:szCs w:val="24"/>
        </w:rPr>
        <w:t>in particular investments</w:t>
      </w:r>
      <w:proofErr w:type="gramEnd"/>
      <w:r w:rsidRPr="0052389E">
        <w:rPr>
          <w:rFonts w:ascii="Arial" w:hAnsi="Arial" w:cs="Arial"/>
          <w:sz w:val="24"/>
          <w:szCs w:val="24"/>
        </w:rPr>
        <w:t xml:space="preserve"> or classes of investment. </w:t>
      </w:r>
    </w:p>
    <w:p w14:paraId="7C303E4D" w14:textId="77777777" w:rsidR="00056D4C" w:rsidRDefault="0052389E" w:rsidP="003D1D8F">
      <w:pPr>
        <w:rPr>
          <w:rFonts w:ascii="Arial" w:hAnsi="Arial" w:cs="Arial"/>
          <w:sz w:val="24"/>
          <w:szCs w:val="24"/>
        </w:rPr>
      </w:pPr>
      <w:r w:rsidRPr="0052389E">
        <w:rPr>
          <w:rFonts w:ascii="Arial" w:hAnsi="Arial" w:cs="Arial"/>
          <w:sz w:val="24"/>
          <w:szCs w:val="24"/>
        </w:rPr>
        <w:t xml:space="preserve">The strength of the majority of the Fund’s employers’ covenants and the present positive annual </w:t>
      </w:r>
      <w:r w:rsidR="00563079" w:rsidRPr="0052389E">
        <w:rPr>
          <w:rFonts w:ascii="Arial" w:hAnsi="Arial" w:cs="Arial"/>
          <w:sz w:val="24"/>
          <w:szCs w:val="24"/>
        </w:rPr>
        <w:t>cashflows</w:t>
      </w:r>
      <w:r w:rsidRPr="0052389E">
        <w:rPr>
          <w:rFonts w:ascii="Arial" w:hAnsi="Arial" w:cs="Arial"/>
          <w:sz w:val="24"/>
          <w:szCs w:val="24"/>
        </w:rPr>
        <w:t xml:space="preserve"> allow the Fund to have set a long-term </w:t>
      </w:r>
      <w:r w:rsidR="00563079" w:rsidRPr="0052389E">
        <w:rPr>
          <w:rFonts w:ascii="Arial" w:hAnsi="Arial" w:cs="Arial"/>
          <w:sz w:val="24"/>
          <w:szCs w:val="24"/>
        </w:rPr>
        <w:t>deficit</w:t>
      </w:r>
      <w:r w:rsidRPr="0052389E">
        <w:rPr>
          <w:rFonts w:ascii="Arial" w:hAnsi="Arial" w:cs="Arial"/>
          <w:sz w:val="24"/>
          <w:szCs w:val="24"/>
        </w:rPr>
        <w:t xml:space="preserve"> recovery period and to take a corresponding long-term view of investment strategy. </w:t>
      </w:r>
    </w:p>
    <w:p w14:paraId="2E26BB2C" w14:textId="054594BE" w:rsidR="00C13237" w:rsidRDefault="0052389E" w:rsidP="003D1D8F">
      <w:pPr>
        <w:rPr>
          <w:color w:val="0F4761" w:themeColor="accent1" w:themeShade="BF"/>
          <w:sz w:val="32"/>
          <w:szCs w:val="32"/>
        </w:rPr>
      </w:pPr>
      <w:r w:rsidRPr="00B67B1A">
        <w:rPr>
          <w:color w:val="0F4761" w:themeColor="accent1" w:themeShade="BF"/>
          <w:sz w:val="32"/>
          <w:szCs w:val="32"/>
        </w:rPr>
        <w:t xml:space="preserve">Suitability of investments and receipt of </w:t>
      </w:r>
      <w:r w:rsidR="003251AB">
        <w:rPr>
          <w:color w:val="0F4761" w:themeColor="accent1" w:themeShade="BF"/>
          <w:sz w:val="32"/>
          <w:szCs w:val="32"/>
        </w:rPr>
        <w:t>i</w:t>
      </w:r>
      <w:r w:rsidRPr="00B67B1A">
        <w:rPr>
          <w:color w:val="0F4761" w:themeColor="accent1" w:themeShade="BF"/>
          <w:sz w:val="32"/>
          <w:szCs w:val="32"/>
        </w:rPr>
        <w:t xml:space="preserve">nvestment advice </w:t>
      </w:r>
    </w:p>
    <w:p w14:paraId="68225101" w14:textId="17DF35AD" w:rsidR="0052389E" w:rsidRDefault="0052389E" w:rsidP="003D1D8F">
      <w:pPr>
        <w:rPr>
          <w:rFonts w:ascii="Arial" w:hAnsi="Arial" w:cs="Arial"/>
          <w:sz w:val="24"/>
          <w:szCs w:val="24"/>
        </w:rPr>
      </w:pPr>
      <w:r w:rsidRPr="0052389E">
        <w:rPr>
          <w:rFonts w:ascii="Arial" w:hAnsi="Arial" w:cs="Arial"/>
          <w:sz w:val="24"/>
          <w:szCs w:val="24"/>
        </w:rPr>
        <w:t xml:space="preserve">The Pension Fund has access to the necessary skills, expertise and resources to manage the whole Fund. When making investment decisions the Pension Fund Panel and Board </w:t>
      </w:r>
      <w:r w:rsidR="002B41BF">
        <w:rPr>
          <w:rFonts w:ascii="Arial" w:hAnsi="Arial" w:cs="Arial"/>
          <w:sz w:val="24"/>
          <w:szCs w:val="24"/>
        </w:rPr>
        <w:t xml:space="preserve">has </w:t>
      </w:r>
      <w:r w:rsidRPr="0052389E">
        <w:rPr>
          <w:rFonts w:ascii="Arial" w:hAnsi="Arial" w:cs="Arial"/>
          <w:sz w:val="24"/>
          <w:szCs w:val="24"/>
        </w:rPr>
        <w:t>take</w:t>
      </w:r>
      <w:r w:rsidR="002B41BF">
        <w:rPr>
          <w:rFonts w:ascii="Arial" w:hAnsi="Arial" w:cs="Arial"/>
          <w:sz w:val="24"/>
          <w:szCs w:val="24"/>
        </w:rPr>
        <w:t>n</w:t>
      </w:r>
      <w:r w:rsidRPr="0052389E">
        <w:rPr>
          <w:rFonts w:ascii="Arial" w:hAnsi="Arial" w:cs="Arial"/>
          <w:sz w:val="24"/>
          <w:szCs w:val="24"/>
        </w:rPr>
        <w:t xml:space="preserve"> advice from appropriate specialist investment professionals including </w:t>
      </w:r>
      <w:r w:rsidR="00635B1E" w:rsidRPr="0052389E">
        <w:rPr>
          <w:rFonts w:ascii="Arial" w:hAnsi="Arial" w:cs="Arial"/>
          <w:sz w:val="24"/>
          <w:szCs w:val="24"/>
        </w:rPr>
        <w:t>officers</w:t>
      </w:r>
      <w:r w:rsidRPr="0052389E">
        <w:rPr>
          <w:rFonts w:ascii="Arial" w:hAnsi="Arial" w:cs="Arial"/>
          <w:sz w:val="24"/>
          <w:szCs w:val="24"/>
        </w:rPr>
        <w:t>, consultants and</w:t>
      </w:r>
      <w:r w:rsidR="00F27CB6">
        <w:rPr>
          <w:rFonts w:ascii="Arial" w:hAnsi="Arial" w:cs="Arial"/>
          <w:sz w:val="24"/>
          <w:szCs w:val="24"/>
        </w:rPr>
        <w:t xml:space="preserve"> its</w:t>
      </w:r>
      <w:r w:rsidRPr="0052389E">
        <w:rPr>
          <w:rFonts w:ascii="Arial" w:hAnsi="Arial" w:cs="Arial"/>
          <w:sz w:val="24"/>
          <w:szCs w:val="24"/>
        </w:rPr>
        <w:t xml:space="preserve"> independent adviser. The Panel and Board have appointed a permanent independent adviser (currently Investment Trustee and Adviser Ltd) to provide advice on all investment decisions. </w:t>
      </w:r>
    </w:p>
    <w:p w14:paraId="03B591F7" w14:textId="4F6BAAFB" w:rsidR="0052389E" w:rsidRPr="0052389E" w:rsidRDefault="0052389E" w:rsidP="0052389E">
      <w:pPr>
        <w:rPr>
          <w:rFonts w:ascii="Arial" w:hAnsi="Arial" w:cs="Arial"/>
          <w:sz w:val="24"/>
          <w:szCs w:val="24"/>
        </w:rPr>
      </w:pPr>
      <w:r w:rsidRPr="0052389E">
        <w:rPr>
          <w:rFonts w:ascii="Arial" w:hAnsi="Arial" w:cs="Arial"/>
          <w:sz w:val="24"/>
          <w:szCs w:val="24"/>
        </w:rPr>
        <w:t xml:space="preserve">The Pension Fund recognises the importance of ensuring that all </w:t>
      </w:r>
      <w:r w:rsidR="00635B1E" w:rsidRPr="0052389E">
        <w:rPr>
          <w:rFonts w:ascii="Arial" w:hAnsi="Arial" w:cs="Arial"/>
          <w:sz w:val="24"/>
          <w:szCs w:val="24"/>
        </w:rPr>
        <w:t>staff</w:t>
      </w:r>
      <w:r w:rsidRPr="0052389E">
        <w:rPr>
          <w:rFonts w:ascii="Arial" w:hAnsi="Arial" w:cs="Arial"/>
          <w:sz w:val="24"/>
          <w:szCs w:val="24"/>
        </w:rPr>
        <w:t xml:space="preserve"> and Panel and Board members charged with the </w:t>
      </w:r>
      <w:r w:rsidR="00635B1E" w:rsidRPr="0052389E">
        <w:rPr>
          <w:rFonts w:ascii="Arial" w:hAnsi="Arial" w:cs="Arial"/>
          <w:sz w:val="24"/>
          <w:szCs w:val="24"/>
        </w:rPr>
        <w:t>financial</w:t>
      </w:r>
      <w:r w:rsidRPr="0052389E">
        <w:rPr>
          <w:rFonts w:ascii="Arial" w:hAnsi="Arial" w:cs="Arial"/>
          <w:sz w:val="24"/>
          <w:szCs w:val="24"/>
        </w:rPr>
        <w:t xml:space="preserve"> management and decision making </w:t>
      </w:r>
      <w:proofErr w:type="gramStart"/>
      <w:r w:rsidRPr="0052389E">
        <w:rPr>
          <w:rFonts w:ascii="Arial" w:hAnsi="Arial" w:cs="Arial"/>
          <w:sz w:val="24"/>
          <w:szCs w:val="24"/>
        </w:rPr>
        <w:t>with regard to</w:t>
      </w:r>
      <w:proofErr w:type="gramEnd"/>
      <w:r w:rsidRPr="0052389E">
        <w:rPr>
          <w:rFonts w:ascii="Arial" w:hAnsi="Arial" w:cs="Arial"/>
          <w:sz w:val="24"/>
          <w:szCs w:val="24"/>
        </w:rPr>
        <w:t xml:space="preserve"> the Fund are fully equipped with the knowledge and skills to discharge the duties and responsibilities allocated to them. The members of the Panel and Board annually complete a training needs analysis based on CIPFA’s Knowledge and Skills Framework for pension funds, which includes investments, and a training plan is prepared to meet the requirements </w:t>
      </w:r>
      <w:r w:rsidR="00191BED" w:rsidRPr="0052389E">
        <w:rPr>
          <w:rFonts w:ascii="Arial" w:hAnsi="Arial" w:cs="Arial"/>
          <w:sz w:val="24"/>
          <w:szCs w:val="24"/>
        </w:rPr>
        <w:t>identified</w:t>
      </w:r>
      <w:r w:rsidRPr="0052389E">
        <w:rPr>
          <w:rFonts w:ascii="Arial" w:hAnsi="Arial" w:cs="Arial"/>
          <w:sz w:val="24"/>
          <w:szCs w:val="24"/>
        </w:rPr>
        <w:t xml:space="preserve">. </w:t>
      </w:r>
    </w:p>
    <w:p w14:paraId="19BEF892" w14:textId="77777777" w:rsidR="00C81DE6" w:rsidRDefault="0052389E" w:rsidP="00C13237">
      <w:pPr>
        <w:rPr>
          <w:rFonts w:ascii="Arial" w:hAnsi="Arial" w:cs="Arial"/>
          <w:sz w:val="24"/>
          <w:szCs w:val="24"/>
        </w:rPr>
      </w:pPr>
      <w:r w:rsidRPr="0052389E">
        <w:rPr>
          <w:rFonts w:ascii="Arial" w:hAnsi="Arial" w:cs="Arial"/>
          <w:sz w:val="24"/>
          <w:szCs w:val="24"/>
        </w:rPr>
        <w:t xml:space="preserve">To </w:t>
      </w:r>
      <w:r w:rsidR="00191BED" w:rsidRPr="0052389E">
        <w:rPr>
          <w:rFonts w:ascii="Arial" w:hAnsi="Arial" w:cs="Arial"/>
          <w:sz w:val="24"/>
          <w:szCs w:val="24"/>
        </w:rPr>
        <w:t>fulfil</w:t>
      </w:r>
      <w:r w:rsidRPr="0052389E">
        <w:rPr>
          <w:rFonts w:ascii="Arial" w:hAnsi="Arial" w:cs="Arial"/>
          <w:sz w:val="24"/>
          <w:szCs w:val="24"/>
        </w:rPr>
        <w:t xml:space="preserve"> the training needs of </w:t>
      </w:r>
      <w:r w:rsidR="00191BED" w:rsidRPr="0052389E">
        <w:rPr>
          <w:rFonts w:ascii="Arial" w:hAnsi="Arial" w:cs="Arial"/>
          <w:sz w:val="24"/>
          <w:szCs w:val="24"/>
        </w:rPr>
        <w:t>officers</w:t>
      </w:r>
      <w:r w:rsidRPr="0052389E">
        <w:rPr>
          <w:rFonts w:ascii="Arial" w:hAnsi="Arial" w:cs="Arial"/>
          <w:sz w:val="24"/>
          <w:szCs w:val="24"/>
        </w:rPr>
        <w:t xml:space="preserve"> and Panel and Board members the Pension Fund will access training from </w:t>
      </w:r>
      <w:r w:rsidR="008E23F3">
        <w:rPr>
          <w:rFonts w:ascii="Arial" w:hAnsi="Arial" w:cs="Arial"/>
          <w:sz w:val="24"/>
          <w:szCs w:val="24"/>
        </w:rPr>
        <w:t>the most appropriate source</w:t>
      </w:r>
      <w:r w:rsidRPr="0052389E">
        <w:rPr>
          <w:rFonts w:ascii="Arial" w:hAnsi="Arial" w:cs="Arial"/>
          <w:sz w:val="24"/>
          <w:szCs w:val="24"/>
        </w:rPr>
        <w:t xml:space="preserve">. </w:t>
      </w:r>
      <w:r w:rsidR="00B10E11" w:rsidRPr="0052389E">
        <w:rPr>
          <w:rFonts w:ascii="Arial" w:hAnsi="Arial" w:cs="Arial"/>
          <w:sz w:val="24"/>
          <w:szCs w:val="24"/>
        </w:rPr>
        <w:t xml:space="preserve">The </w:t>
      </w:r>
      <w:r w:rsidR="00B10E11">
        <w:rPr>
          <w:rFonts w:ascii="Arial" w:hAnsi="Arial" w:cs="Arial"/>
          <w:sz w:val="24"/>
          <w:szCs w:val="24"/>
        </w:rPr>
        <w:t>Panel</w:t>
      </w:r>
      <w:r w:rsidR="008E23F3">
        <w:rPr>
          <w:rFonts w:ascii="Arial" w:hAnsi="Arial" w:cs="Arial"/>
          <w:sz w:val="24"/>
          <w:szCs w:val="24"/>
        </w:rPr>
        <w:t xml:space="preserve"> and Board will </w:t>
      </w:r>
      <w:r w:rsidR="00356A28">
        <w:rPr>
          <w:rFonts w:ascii="Arial" w:hAnsi="Arial" w:cs="Arial"/>
          <w:sz w:val="24"/>
          <w:szCs w:val="24"/>
        </w:rPr>
        <w:t>review</w:t>
      </w:r>
      <w:r w:rsidR="008E23F3">
        <w:rPr>
          <w:rFonts w:ascii="Arial" w:hAnsi="Arial" w:cs="Arial"/>
          <w:sz w:val="24"/>
          <w:szCs w:val="24"/>
        </w:rPr>
        <w:t xml:space="preserve"> this I</w:t>
      </w:r>
      <w:r w:rsidR="00CA2AAE">
        <w:rPr>
          <w:rFonts w:ascii="Arial" w:hAnsi="Arial" w:cs="Arial"/>
          <w:sz w:val="24"/>
          <w:szCs w:val="24"/>
        </w:rPr>
        <w:t>nvestment Strategy Statement</w:t>
      </w:r>
      <w:r w:rsidR="008E23F3" w:rsidRPr="0052389E">
        <w:rPr>
          <w:rFonts w:ascii="Arial" w:hAnsi="Arial" w:cs="Arial"/>
          <w:sz w:val="24"/>
          <w:szCs w:val="24"/>
        </w:rPr>
        <w:t xml:space="preserve"> from time to time and at least every three years following the actuarial valuation. </w:t>
      </w:r>
    </w:p>
    <w:p w14:paraId="6DCB010C" w14:textId="77777777" w:rsidR="00A80F91" w:rsidRPr="00B67B1A" w:rsidRDefault="00A80F91" w:rsidP="00A80F91">
      <w:pPr>
        <w:pStyle w:val="Heading2"/>
        <w:spacing w:before="320"/>
        <w:rPr>
          <w:color w:val="0F4761" w:themeColor="accent1" w:themeShade="BF"/>
          <w:sz w:val="32"/>
          <w:szCs w:val="32"/>
        </w:rPr>
      </w:pPr>
      <w:bookmarkStart w:id="5" w:name="_Toc224113539"/>
      <w:r w:rsidRPr="00A63565">
        <w:rPr>
          <w:color w:val="0F4761" w:themeColor="accent1" w:themeShade="BF"/>
          <w:sz w:val="32"/>
          <w:szCs w:val="32"/>
        </w:rPr>
        <w:t>Approach to risk</w:t>
      </w:r>
      <w:bookmarkEnd w:id="5"/>
      <w:r w:rsidRPr="00B67B1A">
        <w:rPr>
          <w:color w:val="0F4761" w:themeColor="accent1" w:themeShade="BF"/>
          <w:sz w:val="32"/>
          <w:szCs w:val="32"/>
        </w:rPr>
        <w:t xml:space="preserve"> </w:t>
      </w:r>
    </w:p>
    <w:p w14:paraId="176E35D9" w14:textId="5D94D227" w:rsidR="00A80F91" w:rsidRDefault="00A80F91" w:rsidP="00A80F91">
      <w:pPr>
        <w:rPr>
          <w:rFonts w:ascii="Arial" w:hAnsi="Arial" w:cs="Arial"/>
          <w:sz w:val="24"/>
          <w:szCs w:val="24"/>
        </w:rPr>
      </w:pPr>
      <w:r>
        <w:rPr>
          <w:rFonts w:ascii="Arial" w:hAnsi="Arial" w:cs="Arial"/>
          <w:sz w:val="24"/>
          <w:szCs w:val="24"/>
        </w:rPr>
        <w:t>Based on advice from its Actuary, the Fund’s Actuarial Valuation is based on a probability of funding success of 80%</w:t>
      </w:r>
      <w:r w:rsidR="002F6F1F">
        <w:rPr>
          <w:rFonts w:ascii="Arial" w:hAnsi="Arial" w:cs="Arial"/>
          <w:sz w:val="24"/>
          <w:szCs w:val="24"/>
        </w:rPr>
        <w:t xml:space="preserve"> - based on the economic modelling of its </w:t>
      </w:r>
      <w:r w:rsidR="004972A2">
        <w:rPr>
          <w:rFonts w:ascii="Arial" w:hAnsi="Arial" w:cs="Arial"/>
          <w:sz w:val="24"/>
          <w:szCs w:val="24"/>
        </w:rPr>
        <w:t>Actuary, the Fund expects to have an 80% chance of meeting</w:t>
      </w:r>
      <w:r w:rsidR="008876CD">
        <w:rPr>
          <w:rFonts w:ascii="Arial" w:hAnsi="Arial" w:cs="Arial"/>
          <w:sz w:val="24"/>
          <w:szCs w:val="24"/>
        </w:rPr>
        <w:t xml:space="preserve"> its long-term funding aim, which it considers prudent.</w:t>
      </w:r>
    </w:p>
    <w:p w14:paraId="1FF422E5" w14:textId="54F007F5" w:rsidR="00A80F91" w:rsidRPr="0052389E" w:rsidRDefault="00A80F91" w:rsidP="00A80F91">
      <w:pPr>
        <w:rPr>
          <w:rFonts w:ascii="Arial" w:hAnsi="Arial" w:cs="Arial"/>
          <w:sz w:val="24"/>
          <w:szCs w:val="24"/>
        </w:rPr>
      </w:pPr>
      <w:r w:rsidRPr="0052389E">
        <w:rPr>
          <w:rFonts w:ascii="Arial" w:hAnsi="Arial" w:cs="Arial"/>
          <w:sz w:val="24"/>
          <w:szCs w:val="24"/>
        </w:rPr>
        <w:t xml:space="preserve">The Pension Fund has identified </w:t>
      </w:r>
      <w:proofErr w:type="gramStart"/>
      <w:r w:rsidRPr="0052389E">
        <w:rPr>
          <w:rFonts w:ascii="Arial" w:hAnsi="Arial" w:cs="Arial"/>
          <w:sz w:val="24"/>
          <w:szCs w:val="24"/>
        </w:rPr>
        <w:t>a number of</w:t>
      </w:r>
      <w:proofErr w:type="gramEnd"/>
      <w:r w:rsidRPr="0052389E">
        <w:rPr>
          <w:rFonts w:ascii="Arial" w:hAnsi="Arial" w:cs="Arial"/>
          <w:sz w:val="24"/>
          <w:szCs w:val="24"/>
        </w:rPr>
        <w:t xml:space="preserve"> risks on its risk register that may impact its funding and investment strategies which is reviewed at least annually by the Panel and Board. The Pension Fund maintains a risk register to identity key risks, consider and assess their significance, likelihood of occurrence and potential impact of the risk. </w:t>
      </w:r>
    </w:p>
    <w:p w14:paraId="58856C48" w14:textId="229CEFF2" w:rsidR="00056D4C" w:rsidRDefault="00A80F91" w:rsidP="00C13237">
      <w:pPr>
        <w:rPr>
          <w:color w:val="0F4761" w:themeColor="accent1" w:themeShade="BF"/>
          <w:sz w:val="32"/>
          <w:szCs w:val="32"/>
        </w:rPr>
      </w:pPr>
      <w:r w:rsidRPr="0052389E">
        <w:rPr>
          <w:rFonts w:ascii="Arial" w:hAnsi="Arial" w:cs="Arial"/>
          <w:sz w:val="24"/>
          <w:szCs w:val="24"/>
        </w:rPr>
        <w:t>The Panel and Board is aware that the Fund has a need to take risk (e.g. investing in growth assets) to help it achieve its funding objectives. The Fund’s appetite for risk is to minimise the overall portfolio risk while delivering the target returns through a diversified portfolio.</w:t>
      </w:r>
    </w:p>
    <w:p w14:paraId="7506FBF2" w14:textId="6098947D" w:rsidR="003D1D8F" w:rsidRDefault="0052389E" w:rsidP="00C13237">
      <w:pPr>
        <w:rPr>
          <w:color w:val="0F4761" w:themeColor="accent1" w:themeShade="BF"/>
          <w:sz w:val="32"/>
          <w:szCs w:val="32"/>
        </w:rPr>
      </w:pPr>
      <w:r w:rsidRPr="00B67B1A">
        <w:rPr>
          <w:color w:val="0F4761" w:themeColor="accent1" w:themeShade="BF"/>
          <w:sz w:val="32"/>
          <w:szCs w:val="32"/>
        </w:rPr>
        <w:t xml:space="preserve">Strategic asset allocation </w:t>
      </w:r>
    </w:p>
    <w:p w14:paraId="6AF39969" w14:textId="729FA0DB" w:rsidR="00EA5BC0" w:rsidRDefault="0052389E" w:rsidP="00C13237">
      <w:pPr>
        <w:rPr>
          <w:rFonts w:ascii="Arial" w:hAnsi="Arial" w:cs="Arial"/>
          <w:sz w:val="24"/>
          <w:szCs w:val="24"/>
        </w:rPr>
      </w:pPr>
      <w:r w:rsidRPr="0052389E">
        <w:rPr>
          <w:rFonts w:ascii="Arial" w:hAnsi="Arial" w:cs="Arial"/>
          <w:sz w:val="24"/>
          <w:szCs w:val="24"/>
        </w:rPr>
        <w:t>To implement the Pension Fund’s Investment Strategy the Pension Fund Panel and Board sets a Strategic Asset Allocation with the aim of achieving the Fund’s overall long-term target return without exposing the Fund to</w:t>
      </w:r>
      <w:r w:rsidR="00191BED" w:rsidRPr="00191BED">
        <w:rPr>
          <w:rFonts w:ascii="Arial" w:hAnsi="Arial" w:cs="Arial"/>
          <w:sz w:val="24"/>
          <w:szCs w:val="24"/>
        </w:rPr>
        <w:t xml:space="preserve"> </w:t>
      </w:r>
      <w:r w:rsidR="00191BED" w:rsidRPr="0052389E">
        <w:rPr>
          <w:rFonts w:ascii="Arial" w:hAnsi="Arial" w:cs="Arial"/>
          <w:sz w:val="24"/>
          <w:szCs w:val="24"/>
        </w:rPr>
        <w:t xml:space="preserve">excessive risk. In setting the Strategic Asset Allocation advice was commissioned from Hymans Robertson on the options for the Fund’s asset allocation and the most effective allocation for achieving the Fund’s target return with the degree of certainty specified in the Funding Strategy Statement. </w:t>
      </w:r>
      <w:r w:rsidR="00D45266">
        <w:rPr>
          <w:rFonts w:ascii="Arial" w:hAnsi="Arial" w:cs="Arial"/>
          <w:sz w:val="24"/>
          <w:szCs w:val="24"/>
        </w:rPr>
        <w:t>The Pension Fund considers assets in three main categories:</w:t>
      </w:r>
    </w:p>
    <w:p w14:paraId="7C1F277D" w14:textId="2A5B7462" w:rsidR="00D45266" w:rsidRDefault="00D45266" w:rsidP="00D45266">
      <w:pPr>
        <w:pStyle w:val="ListParagraph"/>
        <w:numPr>
          <w:ilvl w:val="0"/>
          <w:numId w:val="2"/>
        </w:numPr>
        <w:rPr>
          <w:rFonts w:ascii="Arial" w:hAnsi="Arial" w:cs="Arial"/>
          <w:sz w:val="24"/>
          <w:szCs w:val="24"/>
        </w:rPr>
      </w:pPr>
      <w:r>
        <w:rPr>
          <w:rFonts w:ascii="Arial" w:hAnsi="Arial" w:cs="Arial"/>
          <w:sz w:val="24"/>
          <w:szCs w:val="24"/>
        </w:rPr>
        <w:t>Growth - t</w:t>
      </w:r>
      <w:r w:rsidRPr="00F46D1C">
        <w:rPr>
          <w:rFonts w:ascii="Arial" w:hAnsi="Arial" w:cs="Arial"/>
          <w:sz w:val="24"/>
          <w:szCs w:val="24"/>
        </w:rPr>
        <w:t>o deliver sufficient return to meet the funding target and maintain the affordability of the target level of contributions</w:t>
      </w:r>
      <w:r>
        <w:rPr>
          <w:rFonts w:ascii="Arial" w:hAnsi="Arial" w:cs="Arial"/>
          <w:sz w:val="24"/>
          <w:szCs w:val="24"/>
        </w:rPr>
        <w:t>.</w:t>
      </w:r>
    </w:p>
    <w:p w14:paraId="5D429595" w14:textId="49C5A756" w:rsidR="00D45266" w:rsidRDefault="00D45266" w:rsidP="00D45266">
      <w:pPr>
        <w:pStyle w:val="ListParagraph"/>
        <w:numPr>
          <w:ilvl w:val="0"/>
          <w:numId w:val="2"/>
        </w:numPr>
        <w:rPr>
          <w:rFonts w:ascii="Arial" w:hAnsi="Arial" w:cs="Arial"/>
          <w:sz w:val="24"/>
          <w:szCs w:val="24"/>
        </w:rPr>
      </w:pPr>
      <w:r>
        <w:rPr>
          <w:rFonts w:ascii="Arial" w:hAnsi="Arial" w:cs="Arial"/>
          <w:sz w:val="24"/>
          <w:szCs w:val="24"/>
        </w:rPr>
        <w:t>Income - s</w:t>
      </w:r>
      <w:r w:rsidRPr="00F46D1C">
        <w:rPr>
          <w:rFonts w:ascii="Arial" w:hAnsi="Arial" w:cs="Arial"/>
          <w:sz w:val="24"/>
          <w:szCs w:val="24"/>
        </w:rPr>
        <w:t>tructuring the assets to meet the Fund’s income requirements or increase the confidence of achieving required returns through a more stable and observable return stream</w:t>
      </w:r>
      <w:r>
        <w:rPr>
          <w:rFonts w:ascii="Arial" w:hAnsi="Arial" w:cs="Arial"/>
          <w:sz w:val="24"/>
          <w:szCs w:val="24"/>
        </w:rPr>
        <w:t>.</w:t>
      </w:r>
    </w:p>
    <w:p w14:paraId="3873EDF9" w14:textId="1B997F47" w:rsidR="00D45266" w:rsidRDefault="00D45266" w:rsidP="00D45266">
      <w:pPr>
        <w:pStyle w:val="ListParagraph"/>
        <w:numPr>
          <w:ilvl w:val="0"/>
          <w:numId w:val="2"/>
        </w:numPr>
        <w:rPr>
          <w:rFonts w:ascii="Arial" w:hAnsi="Arial" w:cs="Arial"/>
          <w:sz w:val="24"/>
          <w:szCs w:val="24"/>
        </w:rPr>
      </w:pPr>
      <w:r>
        <w:rPr>
          <w:rFonts w:ascii="Arial" w:hAnsi="Arial" w:cs="Arial"/>
          <w:sz w:val="24"/>
          <w:szCs w:val="24"/>
        </w:rPr>
        <w:t>Protection - e</w:t>
      </w:r>
      <w:r w:rsidRPr="00F46D1C">
        <w:rPr>
          <w:rFonts w:ascii="Arial" w:hAnsi="Arial" w:cs="Arial"/>
          <w:sz w:val="24"/>
          <w:szCs w:val="24"/>
        </w:rPr>
        <w:t>mploying investment strategies that provide some downside protection or diversification benefit to maintain stability in the level of contributions</w:t>
      </w:r>
      <w:r>
        <w:rPr>
          <w:rFonts w:ascii="Arial" w:hAnsi="Arial" w:cs="Arial"/>
          <w:sz w:val="24"/>
          <w:szCs w:val="24"/>
        </w:rPr>
        <w:t>.</w:t>
      </w:r>
    </w:p>
    <w:p w14:paraId="101E843A" w14:textId="02559C8E" w:rsidR="00C25B76" w:rsidRPr="00C25B76" w:rsidRDefault="00C25B76" w:rsidP="00C25B76">
      <w:pPr>
        <w:rPr>
          <w:rFonts w:ascii="Arial" w:hAnsi="Arial" w:cs="Arial"/>
          <w:sz w:val="24"/>
          <w:szCs w:val="24"/>
        </w:rPr>
      </w:pPr>
      <w:proofErr w:type="gramStart"/>
      <w:r w:rsidRPr="00C25B76">
        <w:rPr>
          <w:rFonts w:ascii="Arial" w:hAnsi="Arial" w:cs="Arial"/>
          <w:sz w:val="24"/>
          <w:szCs w:val="24"/>
        </w:rPr>
        <w:t>For the purpose of</w:t>
      </w:r>
      <w:proofErr w:type="gramEnd"/>
      <w:r w:rsidRPr="00C25B76">
        <w:rPr>
          <w:rFonts w:ascii="Arial" w:hAnsi="Arial" w:cs="Arial"/>
          <w:sz w:val="24"/>
          <w:szCs w:val="24"/>
        </w:rPr>
        <w:t xml:space="preserve"> setting maximum limits the Pension Fund has done </w:t>
      </w:r>
      <w:r w:rsidR="007D5543">
        <w:rPr>
          <w:rFonts w:ascii="Arial" w:hAnsi="Arial" w:cs="Arial"/>
          <w:sz w:val="24"/>
          <w:szCs w:val="24"/>
        </w:rPr>
        <w:t>based on these categories</w:t>
      </w:r>
      <w:r w:rsidRPr="00C25B76">
        <w:rPr>
          <w:rFonts w:ascii="Arial" w:hAnsi="Arial" w:cs="Arial"/>
          <w:sz w:val="24"/>
          <w:szCs w:val="24"/>
        </w:rPr>
        <w:t>. The total is deliberately greater than 100% to allow flexibility between the categories. The allocation below favours growth assets as the Fund believes that participation in economic growth is a major source of long-term equity returns, which will be required to meet its long-term investment return target and mean that employer contributions can be kept lower.</w:t>
      </w:r>
    </w:p>
    <w:p w14:paraId="5036BABF" w14:textId="742F504D" w:rsidR="0052389E" w:rsidRPr="0052389E" w:rsidRDefault="00D15534" w:rsidP="0052389E">
      <w:pPr>
        <w:rPr>
          <w:rFonts w:ascii="Arial" w:hAnsi="Arial" w:cs="Arial"/>
          <w:sz w:val="24"/>
          <w:szCs w:val="24"/>
        </w:rPr>
      </w:pPr>
      <w:r w:rsidRPr="0052389E">
        <w:rPr>
          <w:rFonts w:ascii="Arial" w:hAnsi="Arial" w:cs="Arial"/>
          <w:sz w:val="24"/>
          <w:szCs w:val="24"/>
        </w:rPr>
        <w:t>In line with the Regulations, the Fund’s investment strategy does not permit more than 5% of the total value</w:t>
      </w:r>
      <w:r w:rsidR="00B656FC" w:rsidRPr="00B656FC">
        <w:rPr>
          <w:rFonts w:ascii="Arial" w:hAnsi="Arial" w:cs="Arial"/>
          <w:sz w:val="24"/>
          <w:szCs w:val="24"/>
        </w:rPr>
        <w:t xml:space="preserve"> </w:t>
      </w:r>
      <w:r w:rsidR="00B656FC" w:rsidRPr="0052389E">
        <w:rPr>
          <w:rFonts w:ascii="Arial" w:hAnsi="Arial" w:cs="Arial"/>
          <w:sz w:val="24"/>
          <w:szCs w:val="24"/>
        </w:rPr>
        <w:t>of all investments of Fund money to be invested i</w:t>
      </w:r>
      <w:r w:rsidR="00A5262A">
        <w:rPr>
          <w:rFonts w:ascii="Arial" w:hAnsi="Arial" w:cs="Arial"/>
          <w:sz w:val="24"/>
          <w:szCs w:val="24"/>
        </w:rPr>
        <w:t xml:space="preserve">n </w:t>
      </w:r>
      <w:r w:rsidR="0052389E" w:rsidRPr="0052389E">
        <w:rPr>
          <w:rFonts w:ascii="Arial" w:hAnsi="Arial" w:cs="Arial"/>
          <w:sz w:val="24"/>
          <w:szCs w:val="24"/>
        </w:rPr>
        <w:t xml:space="preserve">entities which </w:t>
      </w:r>
      <w:proofErr w:type="gramStart"/>
      <w:r w:rsidR="0052389E" w:rsidRPr="0052389E">
        <w:rPr>
          <w:rFonts w:ascii="Arial" w:hAnsi="Arial" w:cs="Arial"/>
          <w:sz w:val="24"/>
          <w:szCs w:val="24"/>
        </w:rPr>
        <w:t>are connected with</w:t>
      </w:r>
      <w:proofErr w:type="gramEnd"/>
      <w:r w:rsidR="0052389E" w:rsidRPr="0052389E">
        <w:rPr>
          <w:rFonts w:ascii="Arial" w:hAnsi="Arial" w:cs="Arial"/>
          <w:sz w:val="24"/>
          <w:szCs w:val="24"/>
        </w:rPr>
        <w:t xml:space="preserve"> the County Council within the meaning of section 212 of the Local Government and Public Involvement in Health Act 2007. </w:t>
      </w:r>
    </w:p>
    <w:p w14:paraId="745F69EA" w14:textId="77777777" w:rsidR="00321055" w:rsidRPr="00321055" w:rsidRDefault="00321055" w:rsidP="00321055">
      <w:pPr>
        <w:rPr>
          <w:rFonts w:ascii="Arial" w:hAnsi="Arial" w:cs="Arial"/>
          <w:sz w:val="24"/>
          <w:szCs w:val="24"/>
        </w:rPr>
      </w:pPr>
      <w:r w:rsidRPr="00321055">
        <w:rPr>
          <w:rFonts w:ascii="Arial" w:hAnsi="Arial" w:cs="Arial"/>
          <w:sz w:val="24"/>
          <w:szCs w:val="24"/>
        </w:rPr>
        <w:t xml:space="preserve">At the 2025 valuation 1.2% of the Fund’s liabilities were orphan liabilities. The Administering Authority currently operates a single investment strategy as outlined above.  Therefore, orphaned liabilities have been valued on a consistent basis to that of other employers in the Fund who would need to meet any underfunding of these employers. </w:t>
      </w:r>
    </w:p>
    <w:p w14:paraId="632EB340" w14:textId="77777777" w:rsidR="00056D4C" w:rsidRDefault="00056D4C" w:rsidP="00356A28">
      <w:pPr>
        <w:rPr>
          <w:rFonts w:ascii="Arial" w:hAnsi="Arial" w:cs="Arial"/>
          <w:sz w:val="24"/>
          <w:szCs w:val="24"/>
        </w:rPr>
        <w:sectPr w:rsidR="00056D4C" w:rsidSect="005D460F">
          <w:type w:val="continuous"/>
          <w:pgSz w:w="15840" w:h="12240" w:orient="landscape"/>
          <w:pgMar w:top="1440" w:right="1440" w:bottom="1440" w:left="1440" w:header="720" w:footer="720" w:gutter="0"/>
          <w:cols w:num="2" w:space="720"/>
          <w:docGrid w:linePitch="360"/>
        </w:sectPr>
      </w:pPr>
    </w:p>
    <w:p w14:paraId="672AD6FF" w14:textId="0BFD82EB" w:rsidR="005B2CB6" w:rsidRDefault="005B2CB6" w:rsidP="00356A28">
      <w:pPr>
        <w:rPr>
          <w:rFonts w:ascii="Arial" w:hAnsi="Arial" w:cs="Arial"/>
          <w:sz w:val="24"/>
          <w:szCs w:val="24"/>
        </w:rPr>
      </w:pPr>
    </w:p>
    <w:p w14:paraId="15AB571C" w14:textId="77777777" w:rsidR="00056D4C" w:rsidRDefault="00056D4C" w:rsidP="00356A28">
      <w:pPr>
        <w:rPr>
          <w:rFonts w:ascii="Arial" w:hAnsi="Arial" w:cs="Arial"/>
          <w:sz w:val="24"/>
          <w:szCs w:val="24"/>
        </w:rPr>
      </w:pPr>
      <w:r>
        <w:rPr>
          <w:rFonts w:ascii="Arial" w:hAnsi="Arial" w:cs="Arial"/>
          <w:sz w:val="24"/>
          <w:szCs w:val="24"/>
        </w:rPr>
        <w:br w:type="page"/>
      </w:r>
    </w:p>
    <w:p w14:paraId="000EDA4B" w14:textId="77A1CFBC" w:rsidR="00356A28" w:rsidRDefault="00356A28" w:rsidP="00356A28">
      <w:pPr>
        <w:rPr>
          <w:rFonts w:ascii="Arial" w:hAnsi="Arial" w:cs="Arial"/>
          <w:sz w:val="24"/>
          <w:szCs w:val="24"/>
        </w:rPr>
      </w:pPr>
      <w:r>
        <w:rPr>
          <w:rFonts w:ascii="Arial" w:hAnsi="Arial" w:cs="Arial"/>
          <w:sz w:val="24"/>
          <w:szCs w:val="24"/>
        </w:rPr>
        <w:t>The following table shows the Strategic Asset Allocation that the Pension Fund has been working towards and the Asset Allocation that has been set u</w:t>
      </w:r>
      <w:r w:rsidR="00DB3525">
        <w:rPr>
          <w:rFonts w:ascii="Arial" w:hAnsi="Arial" w:cs="Arial"/>
          <w:sz w:val="24"/>
          <w:szCs w:val="24"/>
        </w:rPr>
        <w:t>nder the draft ‘Fit for the Future’ regulations.</w:t>
      </w:r>
    </w:p>
    <w:p w14:paraId="6727234E" w14:textId="77777777" w:rsidR="00356A28" w:rsidRDefault="00356A28" w:rsidP="00BA02F8">
      <w:pPr>
        <w:spacing w:after="0" w:line="240" w:lineRule="auto"/>
        <w:rPr>
          <w:rFonts w:ascii="Times New Roman" w:eastAsia="Times New Roman" w:hAnsi="Times New Roman" w:cs="Times New Roman"/>
          <w:b/>
          <w:bCs/>
          <w:color w:val="FFFFFF" w:themeColor="background1"/>
          <w:sz w:val="24"/>
          <w:szCs w:val="24"/>
          <w:lang w:eastAsia="en-GB"/>
        </w:rPr>
        <w:sectPr w:rsidR="00356A28" w:rsidSect="005D460F">
          <w:type w:val="continuous"/>
          <w:pgSz w:w="15840" w:h="12240" w:orient="landscape"/>
          <w:pgMar w:top="1440" w:right="1440" w:bottom="1440" w:left="1440" w:header="720" w:footer="720" w:gutter="0"/>
          <w:cols w:space="720"/>
          <w:docGrid w:linePitch="360"/>
        </w:sectPr>
      </w:pPr>
    </w:p>
    <w:tbl>
      <w:tblPr>
        <w:tblW w:w="12704" w:type="dxa"/>
        <w:tblInd w:w="-15" w:type="dxa"/>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Look w:val="04A0" w:firstRow="1" w:lastRow="0" w:firstColumn="1" w:lastColumn="0" w:noHBand="0" w:noVBand="1"/>
      </w:tblPr>
      <w:tblGrid>
        <w:gridCol w:w="1427"/>
        <w:gridCol w:w="2102"/>
        <w:gridCol w:w="1063"/>
        <w:gridCol w:w="2197"/>
        <w:gridCol w:w="1549"/>
        <w:gridCol w:w="1853"/>
        <w:gridCol w:w="1438"/>
        <w:gridCol w:w="1075"/>
      </w:tblGrid>
      <w:tr w:rsidR="008C0FCF" w:rsidRPr="00736FEB" w14:paraId="754B370C" w14:textId="366DEB90" w:rsidTr="00DF6465">
        <w:trPr>
          <w:trHeight w:val="590"/>
        </w:trPr>
        <w:tc>
          <w:tcPr>
            <w:tcW w:w="1427" w:type="dxa"/>
            <w:tcBorders>
              <w:top w:val="single" w:sz="12" w:space="0" w:color="153D63" w:themeColor="text2" w:themeTint="E6"/>
              <w:left w:val="single" w:sz="12" w:space="0" w:color="153D63" w:themeColor="text2" w:themeTint="E6"/>
              <w:bottom w:val="single" w:sz="12" w:space="0" w:color="153D63" w:themeColor="text2" w:themeTint="E6"/>
              <w:right w:val="single" w:sz="4" w:space="0" w:color="C1E4F5" w:themeColor="accent1" w:themeTint="33"/>
            </w:tcBorders>
            <w:shd w:val="clear" w:color="auto" w:fill="156082" w:themeFill="accent1"/>
            <w:noWrap/>
            <w:vAlign w:val="center"/>
            <w:hideMark/>
          </w:tcPr>
          <w:p w14:paraId="1EA8DC41" w14:textId="77777777" w:rsidR="00D03B34" w:rsidRPr="00BA02F8" w:rsidRDefault="00D03B34" w:rsidP="00BA02F8">
            <w:pPr>
              <w:spacing w:after="0" w:line="240" w:lineRule="auto"/>
              <w:rPr>
                <w:rFonts w:ascii="Times New Roman" w:eastAsia="Times New Roman" w:hAnsi="Times New Roman" w:cs="Times New Roman"/>
                <w:b/>
                <w:bCs/>
                <w:color w:val="FFFFFF" w:themeColor="background1"/>
                <w:sz w:val="24"/>
                <w:szCs w:val="24"/>
                <w:lang w:eastAsia="en-GB"/>
              </w:rPr>
            </w:pPr>
          </w:p>
        </w:tc>
        <w:tc>
          <w:tcPr>
            <w:tcW w:w="3165" w:type="dxa"/>
            <w:gridSpan w:val="2"/>
            <w:tcBorders>
              <w:top w:val="single" w:sz="12" w:space="0" w:color="153D63" w:themeColor="text2" w:themeTint="E6"/>
              <w:left w:val="single" w:sz="4" w:space="0" w:color="C1E4F5" w:themeColor="accent1" w:themeTint="33"/>
              <w:bottom w:val="single" w:sz="12" w:space="0" w:color="153D63" w:themeColor="text2" w:themeTint="E6"/>
              <w:right w:val="single" w:sz="4" w:space="0" w:color="C1E4F5" w:themeColor="accent1" w:themeTint="33"/>
            </w:tcBorders>
            <w:shd w:val="clear" w:color="auto" w:fill="156082" w:themeFill="accent1"/>
            <w:noWrap/>
            <w:vAlign w:val="center"/>
            <w:hideMark/>
          </w:tcPr>
          <w:p w14:paraId="4F166E3F" w14:textId="77777777" w:rsidR="00D03B34" w:rsidRPr="00BA02F8" w:rsidRDefault="00D03B34" w:rsidP="00BA02F8">
            <w:pPr>
              <w:spacing w:after="0" w:line="240" w:lineRule="auto"/>
              <w:rPr>
                <w:rFonts w:ascii="Arial" w:eastAsia="Times New Roman" w:hAnsi="Arial" w:cs="Arial"/>
                <w:b/>
                <w:bCs/>
                <w:color w:val="FFFFFF" w:themeColor="background1"/>
                <w:sz w:val="22"/>
                <w:szCs w:val="22"/>
                <w:lang w:eastAsia="en-GB"/>
              </w:rPr>
            </w:pPr>
            <w:r w:rsidRPr="00BA02F8">
              <w:rPr>
                <w:rFonts w:ascii="Arial" w:eastAsia="Times New Roman" w:hAnsi="Arial" w:cs="Arial"/>
                <w:b/>
                <w:bCs/>
                <w:color w:val="FFFFFF" w:themeColor="background1"/>
                <w:sz w:val="22"/>
                <w:szCs w:val="22"/>
                <w:lang w:eastAsia="en-GB"/>
              </w:rPr>
              <w:t>Asset Allocation</w:t>
            </w:r>
          </w:p>
        </w:tc>
        <w:tc>
          <w:tcPr>
            <w:tcW w:w="2197" w:type="dxa"/>
            <w:tcBorders>
              <w:top w:val="single" w:sz="12" w:space="0" w:color="153D63" w:themeColor="text2" w:themeTint="E6"/>
              <w:left w:val="single" w:sz="4" w:space="0" w:color="C1E4F5" w:themeColor="accent1" w:themeTint="33"/>
              <w:bottom w:val="single" w:sz="12" w:space="0" w:color="153D63" w:themeColor="text2" w:themeTint="E6"/>
              <w:right w:val="single" w:sz="4" w:space="0" w:color="C1E4F5" w:themeColor="accent1" w:themeTint="33"/>
            </w:tcBorders>
            <w:shd w:val="clear" w:color="auto" w:fill="156082" w:themeFill="accent1"/>
            <w:noWrap/>
            <w:vAlign w:val="center"/>
            <w:hideMark/>
          </w:tcPr>
          <w:p w14:paraId="2A904F6A" w14:textId="77777777" w:rsidR="00D03B34" w:rsidRPr="00BA02F8" w:rsidRDefault="00D03B34" w:rsidP="00BA02F8">
            <w:pPr>
              <w:spacing w:after="0" w:line="240" w:lineRule="auto"/>
              <w:rPr>
                <w:rFonts w:ascii="Arial" w:eastAsia="Times New Roman" w:hAnsi="Arial" w:cs="Arial"/>
                <w:b/>
                <w:bCs/>
                <w:color w:val="FFFFFF" w:themeColor="background1"/>
                <w:sz w:val="22"/>
                <w:szCs w:val="22"/>
                <w:lang w:eastAsia="en-GB"/>
              </w:rPr>
            </w:pPr>
            <w:r w:rsidRPr="00BA02F8">
              <w:rPr>
                <w:rFonts w:ascii="Arial" w:eastAsia="Times New Roman" w:hAnsi="Arial" w:cs="Arial"/>
                <w:b/>
                <w:bCs/>
                <w:color w:val="FFFFFF" w:themeColor="background1"/>
                <w:sz w:val="22"/>
                <w:szCs w:val="22"/>
                <w:lang w:eastAsia="en-GB"/>
              </w:rPr>
              <w:t>Benchmark</w:t>
            </w:r>
          </w:p>
        </w:tc>
        <w:tc>
          <w:tcPr>
            <w:tcW w:w="1549" w:type="dxa"/>
            <w:tcBorders>
              <w:top w:val="single" w:sz="12" w:space="0" w:color="153D63" w:themeColor="text2" w:themeTint="E6"/>
              <w:left w:val="single" w:sz="4" w:space="0" w:color="C1E4F5" w:themeColor="accent1" w:themeTint="33"/>
              <w:bottom w:val="single" w:sz="12" w:space="0" w:color="153D63" w:themeColor="text2" w:themeTint="E6"/>
              <w:right w:val="single" w:sz="4" w:space="0" w:color="C1E4F5" w:themeColor="accent1" w:themeTint="33"/>
            </w:tcBorders>
            <w:shd w:val="clear" w:color="auto" w:fill="156082" w:themeFill="accent1"/>
            <w:noWrap/>
            <w:vAlign w:val="center"/>
            <w:hideMark/>
          </w:tcPr>
          <w:p w14:paraId="7D4357E4" w14:textId="77777777" w:rsidR="00D03B34" w:rsidRPr="00BA02F8" w:rsidRDefault="00D03B34" w:rsidP="00BA02F8">
            <w:pPr>
              <w:spacing w:after="0" w:line="240" w:lineRule="auto"/>
              <w:rPr>
                <w:rFonts w:ascii="Arial" w:eastAsia="Times New Roman" w:hAnsi="Arial" w:cs="Arial"/>
                <w:b/>
                <w:bCs/>
                <w:color w:val="FFFFFF" w:themeColor="background1"/>
                <w:sz w:val="22"/>
                <w:szCs w:val="22"/>
                <w:lang w:eastAsia="en-GB"/>
              </w:rPr>
            </w:pPr>
            <w:r w:rsidRPr="00BA02F8">
              <w:rPr>
                <w:rFonts w:ascii="Arial" w:eastAsia="Times New Roman" w:hAnsi="Arial" w:cs="Arial"/>
                <w:b/>
                <w:bCs/>
                <w:color w:val="FFFFFF" w:themeColor="background1"/>
                <w:sz w:val="22"/>
                <w:szCs w:val="22"/>
                <w:lang w:eastAsia="en-GB"/>
              </w:rPr>
              <w:t>Target (net)</w:t>
            </w:r>
          </w:p>
        </w:tc>
        <w:tc>
          <w:tcPr>
            <w:tcW w:w="3291" w:type="dxa"/>
            <w:gridSpan w:val="2"/>
            <w:tcBorders>
              <w:top w:val="single" w:sz="12" w:space="0" w:color="153D63" w:themeColor="text2" w:themeTint="E6"/>
              <w:left w:val="single" w:sz="4" w:space="0" w:color="C1E4F5" w:themeColor="accent1" w:themeTint="33"/>
              <w:bottom w:val="single" w:sz="12" w:space="0" w:color="153D63" w:themeColor="text2" w:themeTint="E6"/>
              <w:right w:val="single" w:sz="4" w:space="0" w:color="C1E4F5" w:themeColor="accent1" w:themeTint="33"/>
            </w:tcBorders>
            <w:shd w:val="clear" w:color="auto" w:fill="156082" w:themeFill="accent1"/>
            <w:noWrap/>
            <w:vAlign w:val="center"/>
            <w:hideMark/>
          </w:tcPr>
          <w:p w14:paraId="1B8FC37C" w14:textId="77777777" w:rsidR="00D03B34" w:rsidRPr="00BA02F8" w:rsidRDefault="00D03B34" w:rsidP="00BA02F8">
            <w:pPr>
              <w:spacing w:after="0" w:line="240" w:lineRule="auto"/>
              <w:rPr>
                <w:rFonts w:ascii="Arial" w:eastAsia="Times New Roman" w:hAnsi="Arial" w:cs="Arial"/>
                <w:b/>
                <w:bCs/>
                <w:color w:val="FFFFFF" w:themeColor="background1"/>
                <w:sz w:val="22"/>
                <w:szCs w:val="22"/>
                <w:lang w:eastAsia="en-GB"/>
              </w:rPr>
            </w:pPr>
            <w:r w:rsidRPr="00BA02F8">
              <w:rPr>
                <w:rFonts w:ascii="Arial" w:eastAsia="Times New Roman" w:hAnsi="Arial" w:cs="Arial"/>
                <w:b/>
                <w:bCs/>
                <w:color w:val="FFFFFF" w:themeColor="background1"/>
                <w:sz w:val="22"/>
                <w:szCs w:val="22"/>
                <w:lang w:eastAsia="en-GB"/>
              </w:rPr>
              <w:t>'Fit for the Future' allocation</w:t>
            </w:r>
          </w:p>
        </w:tc>
        <w:tc>
          <w:tcPr>
            <w:tcW w:w="1075" w:type="dxa"/>
            <w:tcBorders>
              <w:top w:val="single" w:sz="12" w:space="0" w:color="153D63" w:themeColor="text2" w:themeTint="E6"/>
              <w:left w:val="single" w:sz="4" w:space="0" w:color="C1E4F5" w:themeColor="accent1" w:themeTint="33"/>
              <w:bottom w:val="single" w:sz="12" w:space="0" w:color="153D63" w:themeColor="text2" w:themeTint="E6"/>
              <w:right w:val="single" w:sz="12" w:space="0" w:color="153D63" w:themeColor="text2" w:themeTint="E6"/>
            </w:tcBorders>
            <w:shd w:val="clear" w:color="auto" w:fill="156082" w:themeFill="accent1"/>
            <w:vAlign w:val="center"/>
          </w:tcPr>
          <w:p w14:paraId="31F2B94C" w14:textId="3B8AA8C0" w:rsidR="00D03B34" w:rsidRPr="00BA02F8" w:rsidRDefault="00D03B34" w:rsidP="00BA02F8">
            <w:pPr>
              <w:spacing w:after="0" w:line="240" w:lineRule="auto"/>
              <w:rPr>
                <w:rFonts w:ascii="Arial" w:eastAsia="Times New Roman" w:hAnsi="Arial" w:cs="Arial"/>
                <w:b/>
                <w:bCs/>
                <w:color w:val="FFFFFF" w:themeColor="background1"/>
                <w:sz w:val="22"/>
                <w:szCs w:val="22"/>
                <w:lang w:eastAsia="en-GB"/>
              </w:rPr>
            </w:pPr>
            <w:r>
              <w:rPr>
                <w:rFonts w:ascii="Arial" w:eastAsia="Times New Roman" w:hAnsi="Arial" w:cs="Arial"/>
                <w:b/>
                <w:bCs/>
                <w:color w:val="FFFFFF" w:themeColor="background1"/>
                <w:sz w:val="22"/>
                <w:szCs w:val="22"/>
                <w:lang w:eastAsia="en-GB"/>
              </w:rPr>
              <w:t>Range</w:t>
            </w:r>
          </w:p>
        </w:tc>
      </w:tr>
      <w:tr w:rsidR="008C0FCF" w:rsidRPr="00BA02F8" w14:paraId="6880C05F" w14:textId="0157AFA2" w:rsidTr="00DF6465">
        <w:trPr>
          <w:trHeight w:val="290"/>
        </w:trPr>
        <w:tc>
          <w:tcPr>
            <w:tcW w:w="1427" w:type="dxa"/>
            <w:vMerge w:val="restart"/>
            <w:tcBorders>
              <w:top w:val="single" w:sz="12" w:space="0" w:color="153D63" w:themeColor="text2" w:themeTint="E6"/>
              <w:left w:val="single" w:sz="12" w:space="0" w:color="153D63" w:themeColor="text2" w:themeTint="E6"/>
              <w:right w:val="single" w:sz="4" w:space="0" w:color="C1E4F5" w:themeColor="accent1" w:themeTint="33"/>
            </w:tcBorders>
            <w:noWrap/>
            <w:hideMark/>
          </w:tcPr>
          <w:p w14:paraId="47745FCE" w14:textId="77777777" w:rsidR="00D03B34" w:rsidRPr="00DF6465" w:rsidRDefault="00D03B34" w:rsidP="00BA02F8">
            <w:pPr>
              <w:spacing w:after="0" w:line="240" w:lineRule="auto"/>
              <w:rPr>
                <w:rFonts w:ascii="Arial" w:eastAsia="Times New Roman" w:hAnsi="Arial" w:cs="Arial"/>
                <w:b/>
                <w:bCs/>
                <w:color w:val="000000"/>
                <w:sz w:val="22"/>
                <w:szCs w:val="22"/>
                <w:lang w:eastAsia="en-GB"/>
              </w:rPr>
            </w:pPr>
            <w:r w:rsidRPr="00DF6465">
              <w:rPr>
                <w:rFonts w:ascii="Arial" w:eastAsia="Times New Roman" w:hAnsi="Arial" w:cs="Arial"/>
                <w:b/>
                <w:bCs/>
                <w:color w:val="000000"/>
                <w:sz w:val="22"/>
                <w:szCs w:val="22"/>
                <w:lang w:eastAsia="en-GB"/>
              </w:rPr>
              <w:t>Growth</w:t>
            </w:r>
          </w:p>
        </w:tc>
        <w:tc>
          <w:tcPr>
            <w:tcW w:w="2102" w:type="dxa"/>
            <w:tcBorders>
              <w:top w:val="single" w:sz="12" w:space="0" w:color="153D63" w:themeColor="text2" w:themeTint="E6"/>
              <w:left w:val="single" w:sz="4" w:space="0" w:color="C1E4F5" w:themeColor="accent1" w:themeTint="33"/>
              <w:right w:val="single" w:sz="4" w:space="0" w:color="C1E4F5" w:themeColor="accent1" w:themeTint="33"/>
            </w:tcBorders>
            <w:shd w:val="clear" w:color="auto" w:fill="C1E4F5" w:themeFill="accent1" w:themeFillTint="33"/>
            <w:noWrap/>
            <w:vAlign w:val="bottom"/>
            <w:hideMark/>
          </w:tcPr>
          <w:p w14:paraId="568C457D" w14:textId="77777777"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Active equities</w:t>
            </w:r>
          </w:p>
        </w:tc>
        <w:tc>
          <w:tcPr>
            <w:tcW w:w="1063" w:type="dxa"/>
            <w:tcBorders>
              <w:top w:val="single" w:sz="12" w:space="0" w:color="153D63" w:themeColor="text2" w:themeTint="E6"/>
              <w:left w:val="single" w:sz="4" w:space="0" w:color="C1E4F5" w:themeColor="accent1" w:themeTint="33"/>
              <w:right w:val="single" w:sz="4" w:space="0" w:color="C1E4F5" w:themeColor="accent1" w:themeTint="33"/>
            </w:tcBorders>
            <w:shd w:val="clear" w:color="auto" w:fill="C1E4F5" w:themeFill="accent1" w:themeFillTint="33"/>
            <w:noWrap/>
            <w:vAlign w:val="bottom"/>
            <w:hideMark/>
          </w:tcPr>
          <w:p w14:paraId="5E52BC94" w14:textId="77777777" w:rsidR="00D03B34" w:rsidRPr="00BA02F8" w:rsidRDefault="00D03B34" w:rsidP="00BA02F8">
            <w:pPr>
              <w:spacing w:after="0" w:line="240" w:lineRule="auto"/>
              <w:jc w:val="right"/>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20.0%</w:t>
            </w:r>
          </w:p>
        </w:tc>
        <w:tc>
          <w:tcPr>
            <w:tcW w:w="2197" w:type="dxa"/>
            <w:tcBorders>
              <w:top w:val="single" w:sz="12" w:space="0" w:color="153D63" w:themeColor="text2" w:themeTint="E6"/>
              <w:left w:val="single" w:sz="4" w:space="0" w:color="C1E4F5" w:themeColor="accent1" w:themeTint="33"/>
              <w:right w:val="single" w:sz="4" w:space="0" w:color="C1E4F5" w:themeColor="accent1" w:themeTint="33"/>
            </w:tcBorders>
            <w:shd w:val="clear" w:color="auto" w:fill="C1E4F5" w:themeFill="accent1" w:themeFillTint="33"/>
            <w:noWrap/>
            <w:vAlign w:val="bottom"/>
            <w:hideMark/>
          </w:tcPr>
          <w:p w14:paraId="27195062" w14:textId="77777777"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MSCI All Countries</w:t>
            </w:r>
          </w:p>
        </w:tc>
        <w:tc>
          <w:tcPr>
            <w:tcW w:w="1549" w:type="dxa"/>
            <w:tcBorders>
              <w:top w:val="single" w:sz="12" w:space="0" w:color="153D63" w:themeColor="text2" w:themeTint="E6"/>
              <w:left w:val="single" w:sz="4" w:space="0" w:color="C1E4F5" w:themeColor="accent1" w:themeTint="33"/>
              <w:right w:val="single" w:sz="4" w:space="0" w:color="C1E4F5" w:themeColor="accent1" w:themeTint="33"/>
            </w:tcBorders>
            <w:shd w:val="clear" w:color="auto" w:fill="C1E4F5" w:themeFill="accent1" w:themeFillTint="33"/>
            <w:noWrap/>
            <w:vAlign w:val="bottom"/>
            <w:hideMark/>
          </w:tcPr>
          <w:p w14:paraId="112D988B" w14:textId="7F9CDC32"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+1/</w:t>
            </w:r>
            <w:r>
              <w:rPr>
                <w:rFonts w:ascii="Arial" w:eastAsia="Times New Roman" w:hAnsi="Arial" w:cs="Arial"/>
                <w:color w:val="000000"/>
                <w:sz w:val="22"/>
                <w:szCs w:val="22"/>
                <w:lang w:eastAsia="en-GB"/>
              </w:rPr>
              <w:t>1.</w:t>
            </w:r>
            <w:r w:rsidRPr="00BA02F8">
              <w:rPr>
                <w:rFonts w:ascii="Arial" w:eastAsia="Times New Roman" w:hAnsi="Arial" w:cs="Arial"/>
                <w:color w:val="000000"/>
                <w:sz w:val="22"/>
                <w:szCs w:val="22"/>
                <w:lang w:eastAsia="en-GB"/>
              </w:rPr>
              <w:t>5%</w:t>
            </w:r>
          </w:p>
        </w:tc>
        <w:tc>
          <w:tcPr>
            <w:tcW w:w="1853" w:type="dxa"/>
            <w:tcBorders>
              <w:top w:val="single" w:sz="12" w:space="0" w:color="153D63" w:themeColor="text2" w:themeTint="E6"/>
              <w:left w:val="single" w:sz="4" w:space="0" w:color="C1E4F5" w:themeColor="accent1" w:themeTint="33"/>
              <w:right w:val="single" w:sz="4" w:space="0" w:color="C1E4F5" w:themeColor="accent1" w:themeTint="33"/>
            </w:tcBorders>
            <w:shd w:val="clear" w:color="auto" w:fill="C1E4F5" w:themeFill="accent1" w:themeFillTint="33"/>
            <w:noWrap/>
            <w:vAlign w:val="bottom"/>
            <w:hideMark/>
          </w:tcPr>
          <w:p w14:paraId="1D41D747" w14:textId="77777777"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Listed equity</w:t>
            </w:r>
          </w:p>
        </w:tc>
        <w:tc>
          <w:tcPr>
            <w:tcW w:w="1438" w:type="dxa"/>
            <w:tcBorders>
              <w:top w:val="single" w:sz="12" w:space="0" w:color="153D63" w:themeColor="text2" w:themeTint="E6"/>
              <w:left w:val="single" w:sz="4" w:space="0" w:color="C1E4F5" w:themeColor="accent1" w:themeTint="33"/>
              <w:right w:val="single" w:sz="4" w:space="0" w:color="C1E4F5" w:themeColor="accent1" w:themeTint="33"/>
            </w:tcBorders>
            <w:shd w:val="clear" w:color="auto" w:fill="C1E4F5" w:themeFill="accent1" w:themeFillTint="33"/>
            <w:noWrap/>
            <w:vAlign w:val="bottom"/>
            <w:hideMark/>
          </w:tcPr>
          <w:p w14:paraId="01EC7CEA" w14:textId="77777777" w:rsidR="00D03B34" w:rsidRPr="00BA02F8" w:rsidRDefault="00D03B34" w:rsidP="00BA02F8">
            <w:pPr>
              <w:spacing w:after="0" w:line="240" w:lineRule="auto"/>
              <w:jc w:val="right"/>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31.0%</w:t>
            </w:r>
          </w:p>
        </w:tc>
        <w:tc>
          <w:tcPr>
            <w:tcW w:w="1075" w:type="dxa"/>
            <w:tcBorders>
              <w:top w:val="single" w:sz="12" w:space="0" w:color="153D63" w:themeColor="text2" w:themeTint="E6"/>
              <w:left w:val="single" w:sz="4" w:space="0" w:color="C1E4F5" w:themeColor="accent1" w:themeTint="33"/>
              <w:right w:val="single" w:sz="12" w:space="0" w:color="153D63" w:themeColor="text2" w:themeTint="E6"/>
            </w:tcBorders>
            <w:shd w:val="clear" w:color="auto" w:fill="C1E4F5" w:themeFill="accent1" w:themeFillTint="33"/>
          </w:tcPr>
          <w:p w14:paraId="1BF98BD5" w14:textId="77777777" w:rsidR="00D03B34" w:rsidRPr="00BA02F8" w:rsidRDefault="00D03B34" w:rsidP="00BA02F8">
            <w:pPr>
              <w:spacing w:after="0" w:line="240" w:lineRule="auto"/>
              <w:jc w:val="right"/>
              <w:rPr>
                <w:rFonts w:ascii="Arial" w:eastAsia="Times New Roman" w:hAnsi="Arial" w:cs="Arial"/>
                <w:color w:val="000000"/>
                <w:sz w:val="22"/>
                <w:szCs w:val="22"/>
                <w:lang w:eastAsia="en-GB"/>
              </w:rPr>
            </w:pPr>
          </w:p>
        </w:tc>
      </w:tr>
      <w:tr w:rsidR="008C0FCF" w:rsidRPr="00BA02F8" w14:paraId="79EFF34A" w14:textId="089ADE3E" w:rsidTr="00DF6465">
        <w:trPr>
          <w:trHeight w:val="290"/>
        </w:trPr>
        <w:tc>
          <w:tcPr>
            <w:tcW w:w="1427" w:type="dxa"/>
            <w:vMerge/>
            <w:tcBorders>
              <w:left w:val="single" w:sz="12" w:space="0" w:color="153D63" w:themeColor="text2" w:themeTint="E6"/>
              <w:right w:val="single" w:sz="4" w:space="0" w:color="C1E4F5" w:themeColor="accent1" w:themeTint="33"/>
            </w:tcBorders>
            <w:noWrap/>
            <w:hideMark/>
          </w:tcPr>
          <w:p w14:paraId="2E60F287" w14:textId="77777777" w:rsidR="00D03B34" w:rsidRPr="00DF6465" w:rsidRDefault="00D03B34" w:rsidP="00BA02F8">
            <w:pPr>
              <w:spacing w:after="0" w:line="240" w:lineRule="auto"/>
              <w:jc w:val="right"/>
              <w:rPr>
                <w:rFonts w:ascii="Arial" w:eastAsia="Times New Roman" w:hAnsi="Arial" w:cs="Arial"/>
                <w:b/>
                <w:bCs/>
                <w:color w:val="000000"/>
                <w:sz w:val="22"/>
                <w:szCs w:val="22"/>
                <w:lang w:eastAsia="en-GB"/>
              </w:rPr>
            </w:pPr>
          </w:p>
        </w:tc>
        <w:tc>
          <w:tcPr>
            <w:tcW w:w="2102" w:type="dxa"/>
            <w:tcBorders>
              <w:left w:val="single" w:sz="4" w:space="0" w:color="C1E4F5" w:themeColor="accent1" w:themeTint="33"/>
              <w:bottom w:val="single" w:sz="4" w:space="0" w:color="83CAEB" w:themeColor="accent1" w:themeTint="66"/>
              <w:right w:val="single" w:sz="4" w:space="0" w:color="C1E4F5" w:themeColor="accent1" w:themeTint="33"/>
            </w:tcBorders>
            <w:shd w:val="clear" w:color="auto" w:fill="C1E4F5" w:themeFill="accent1" w:themeFillTint="33"/>
            <w:noWrap/>
            <w:vAlign w:val="bottom"/>
            <w:hideMark/>
          </w:tcPr>
          <w:p w14:paraId="5844F2BE" w14:textId="77777777"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Passive equities</w:t>
            </w:r>
          </w:p>
        </w:tc>
        <w:tc>
          <w:tcPr>
            <w:tcW w:w="1063" w:type="dxa"/>
            <w:tcBorders>
              <w:left w:val="single" w:sz="4" w:space="0" w:color="C1E4F5" w:themeColor="accent1" w:themeTint="33"/>
              <w:bottom w:val="single" w:sz="4" w:space="0" w:color="83CAEB" w:themeColor="accent1" w:themeTint="66"/>
              <w:right w:val="single" w:sz="4" w:space="0" w:color="C1E4F5" w:themeColor="accent1" w:themeTint="33"/>
            </w:tcBorders>
            <w:shd w:val="clear" w:color="auto" w:fill="C1E4F5" w:themeFill="accent1" w:themeFillTint="33"/>
            <w:noWrap/>
            <w:vAlign w:val="bottom"/>
            <w:hideMark/>
          </w:tcPr>
          <w:p w14:paraId="68214AB9" w14:textId="77777777" w:rsidR="00D03B34" w:rsidRPr="00BA02F8" w:rsidRDefault="00D03B34" w:rsidP="00BA02F8">
            <w:pPr>
              <w:spacing w:after="0" w:line="240" w:lineRule="auto"/>
              <w:jc w:val="right"/>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11.0%</w:t>
            </w:r>
          </w:p>
        </w:tc>
        <w:tc>
          <w:tcPr>
            <w:tcW w:w="2197" w:type="dxa"/>
            <w:tcBorders>
              <w:left w:val="single" w:sz="4" w:space="0" w:color="C1E4F5" w:themeColor="accent1" w:themeTint="33"/>
              <w:bottom w:val="single" w:sz="4" w:space="0" w:color="83CAEB" w:themeColor="accent1" w:themeTint="66"/>
              <w:right w:val="single" w:sz="4" w:space="0" w:color="C1E4F5" w:themeColor="accent1" w:themeTint="33"/>
            </w:tcBorders>
            <w:shd w:val="clear" w:color="auto" w:fill="C1E4F5" w:themeFill="accent1" w:themeFillTint="33"/>
            <w:noWrap/>
            <w:vAlign w:val="bottom"/>
            <w:hideMark/>
          </w:tcPr>
          <w:p w14:paraId="603C8408" w14:textId="77777777"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MSCI All Countries</w:t>
            </w:r>
          </w:p>
        </w:tc>
        <w:tc>
          <w:tcPr>
            <w:tcW w:w="1549" w:type="dxa"/>
            <w:tcBorders>
              <w:left w:val="single" w:sz="4" w:space="0" w:color="C1E4F5" w:themeColor="accent1" w:themeTint="33"/>
              <w:bottom w:val="single" w:sz="4" w:space="0" w:color="83CAEB" w:themeColor="accent1" w:themeTint="66"/>
              <w:right w:val="single" w:sz="4" w:space="0" w:color="C1E4F5" w:themeColor="accent1" w:themeTint="33"/>
            </w:tcBorders>
            <w:shd w:val="clear" w:color="auto" w:fill="C1E4F5" w:themeFill="accent1" w:themeFillTint="33"/>
            <w:noWrap/>
            <w:vAlign w:val="bottom"/>
            <w:hideMark/>
          </w:tcPr>
          <w:p w14:paraId="0CA2052B" w14:textId="77777777"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 </w:t>
            </w:r>
          </w:p>
        </w:tc>
        <w:tc>
          <w:tcPr>
            <w:tcW w:w="1853" w:type="dxa"/>
            <w:tcBorders>
              <w:left w:val="single" w:sz="4" w:space="0" w:color="C1E4F5" w:themeColor="accent1" w:themeTint="33"/>
              <w:bottom w:val="single" w:sz="4" w:space="0" w:color="83CAEB" w:themeColor="accent1" w:themeTint="66"/>
              <w:right w:val="single" w:sz="4" w:space="0" w:color="C1E4F5" w:themeColor="accent1" w:themeTint="33"/>
            </w:tcBorders>
            <w:shd w:val="clear" w:color="auto" w:fill="C1E4F5" w:themeFill="accent1" w:themeFillTint="33"/>
            <w:noWrap/>
            <w:vAlign w:val="bottom"/>
            <w:hideMark/>
          </w:tcPr>
          <w:p w14:paraId="3EAD096E" w14:textId="77777777"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 </w:t>
            </w:r>
          </w:p>
        </w:tc>
        <w:tc>
          <w:tcPr>
            <w:tcW w:w="1438" w:type="dxa"/>
            <w:tcBorders>
              <w:left w:val="single" w:sz="4" w:space="0" w:color="C1E4F5" w:themeColor="accent1" w:themeTint="33"/>
              <w:bottom w:val="single" w:sz="4" w:space="0" w:color="83CAEB" w:themeColor="accent1" w:themeTint="66"/>
              <w:right w:val="single" w:sz="4" w:space="0" w:color="C1E4F5" w:themeColor="accent1" w:themeTint="33"/>
            </w:tcBorders>
            <w:shd w:val="clear" w:color="auto" w:fill="C1E4F5" w:themeFill="accent1" w:themeFillTint="33"/>
            <w:noWrap/>
            <w:vAlign w:val="bottom"/>
            <w:hideMark/>
          </w:tcPr>
          <w:p w14:paraId="0F4F8D64" w14:textId="77777777"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 </w:t>
            </w:r>
          </w:p>
        </w:tc>
        <w:tc>
          <w:tcPr>
            <w:tcW w:w="1075" w:type="dxa"/>
            <w:tcBorders>
              <w:left w:val="single" w:sz="4" w:space="0" w:color="C1E4F5" w:themeColor="accent1" w:themeTint="33"/>
              <w:bottom w:val="single" w:sz="4" w:space="0" w:color="83CAEB" w:themeColor="accent1" w:themeTint="66"/>
              <w:right w:val="single" w:sz="12" w:space="0" w:color="153D63" w:themeColor="text2" w:themeTint="E6"/>
            </w:tcBorders>
            <w:shd w:val="clear" w:color="auto" w:fill="C1E4F5" w:themeFill="accent1" w:themeFillTint="33"/>
          </w:tcPr>
          <w:p w14:paraId="384CAE44" w14:textId="77777777" w:rsidR="00D03B34" w:rsidRPr="00BA02F8" w:rsidRDefault="00D03B34" w:rsidP="00BA02F8">
            <w:pPr>
              <w:spacing w:after="0" w:line="240" w:lineRule="auto"/>
              <w:rPr>
                <w:rFonts w:ascii="Arial" w:eastAsia="Times New Roman" w:hAnsi="Arial" w:cs="Arial"/>
                <w:color w:val="000000"/>
                <w:sz w:val="22"/>
                <w:szCs w:val="22"/>
                <w:lang w:eastAsia="en-GB"/>
              </w:rPr>
            </w:pPr>
          </w:p>
        </w:tc>
      </w:tr>
      <w:tr w:rsidR="00D03B34" w:rsidRPr="00BA02F8" w14:paraId="39F4B673" w14:textId="3FA35B88" w:rsidTr="00DF6465">
        <w:trPr>
          <w:trHeight w:val="290"/>
        </w:trPr>
        <w:tc>
          <w:tcPr>
            <w:tcW w:w="1427" w:type="dxa"/>
            <w:vMerge/>
            <w:tcBorders>
              <w:left w:val="single" w:sz="12" w:space="0" w:color="153D63" w:themeColor="text2" w:themeTint="E6"/>
              <w:right w:val="single" w:sz="4" w:space="0" w:color="C1E4F5" w:themeColor="accent1" w:themeTint="33"/>
            </w:tcBorders>
            <w:noWrap/>
            <w:hideMark/>
          </w:tcPr>
          <w:p w14:paraId="05556668" w14:textId="77777777" w:rsidR="00D03B34" w:rsidRPr="00DF6465" w:rsidRDefault="00D03B34" w:rsidP="00BA02F8">
            <w:pPr>
              <w:spacing w:after="0" w:line="240" w:lineRule="auto"/>
              <w:rPr>
                <w:rFonts w:ascii="Arial" w:eastAsia="Times New Roman" w:hAnsi="Arial" w:cs="Arial"/>
                <w:b/>
                <w:bCs/>
                <w:color w:val="000000"/>
                <w:sz w:val="22"/>
                <w:szCs w:val="22"/>
                <w:lang w:eastAsia="en-GB"/>
              </w:rPr>
            </w:pPr>
          </w:p>
        </w:tc>
        <w:tc>
          <w:tcPr>
            <w:tcW w:w="2102" w:type="dxa"/>
            <w:tcBorders>
              <w:left w:val="single" w:sz="4" w:space="0" w:color="C1E4F5" w:themeColor="accent1" w:themeTint="33"/>
              <w:right w:val="single" w:sz="4" w:space="0" w:color="C1E4F5" w:themeColor="accent1" w:themeTint="33"/>
            </w:tcBorders>
            <w:noWrap/>
            <w:vAlign w:val="bottom"/>
            <w:hideMark/>
          </w:tcPr>
          <w:p w14:paraId="38465576" w14:textId="77777777"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Private Equity</w:t>
            </w:r>
          </w:p>
        </w:tc>
        <w:tc>
          <w:tcPr>
            <w:tcW w:w="1063" w:type="dxa"/>
            <w:tcBorders>
              <w:left w:val="single" w:sz="4" w:space="0" w:color="C1E4F5" w:themeColor="accent1" w:themeTint="33"/>
              <w:right w:val="single" w:sz="4" w:space="0" w:color="C1E4F5" w:themeColor="accent1" w:themeTint="33"/>
            </w:tcBorders>
            <w:noWrap/>
            <w:vAlign w:val="bottom"/>
            <w:hideMark/>
          </w:tcPr>
          <w:p w14:paraId="7D4953C0" w14:textId="77777777" w:rsidR="00D03B34" w:rsidRPr="00BA02F8" w:rsidRDefault="00D03B34" w:rsidP="00BA02F8">
            <w:pPr>
              <w:spacing w:after="0" w:line="240" w:lineRule="auto"/>
              <w:jc w:val="right"/>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7.5%</w:t>
            </w:r>
          </w:p>
        </w:tc>
        <w:tc>
          <w:tcPr>
            <w:tcW w:w="2197" w:type="dxa"/>
            <w:tcBorders>
              <w:left w:val="single" w:sz="4" w:space="0" w:color="C1E4F5" w:themeColor="accent1" w:themeTint="33"/>
              <w:right w:val="single" w:sz="4" w:space="0" w:color="C1E4F5" w:themeColor="accent1" w:themeTint="33"/>
            </w:tcBorders>
            <w:noWrap/>
            <w:vAlign w:val="bottom"/>
            <w:hideMark/>
          </w:tcPr>
          <w:p w14:paraId="011EDC53" w14:textId="77777777" w:rsidR="00D03B34" w:rsidRPr="00BA02F8" w:rsidRDefault="00D03B34" w:rsidP="00BA02F8">
            <w:pPr>
              <w:spacing w:after="0" w:line="240" w:lineRule="auto"/>
              <w:jc w:val="right"/>
              <w:rPr>
                <w:rFonts w:ascii="Arial" w:eastAsia="Times New Roman" w:hAnsi="Arial" w:cs="Arial"/>
                <w:color w:val="000000"/>
                <w:sz w:val="22"/>
                <w:szCs w:val="22"/>
                <w:lang w:eastAsia="en-GB"/>
              </w:rPr>
            </w:pPr>
          </w:p>
        </w:tc>
        <w:tc>
          <w:tcPr>
            <w:tcW w:w="1549" w:type="dxa"/>
            <w:tcBorders>
              <w:left w:val="single" w:sz="4" w:space="0" w:color="C1E4F5" w:themeColor="accent1" w:themeTint="33"/>
              <w:right w:val="single" w:sz="4" w:space="0" w:color="C1E4F5" w:themeColor="accent1" w:themeTint="33"/>
            </w:tcBorders>
            <w:noWrap/>
            <w:vAlign w:val="bottom"/>
            <w:hideMark/>
          </w:tcPr>
          <w:p w14:paraId="17F6FB1A" w14:textId="137CCEE2"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+9-1</w:t>
            </w:r>
            <w:r>
              <w:rPr>
                <w:rFonts w:ascii="Arial" w:eastAsia="Times New Roman" w:hAnsi="Arial" w:cs="Arial"/>
                <w:color w:val="000000"/>
                <w:sz w:val="22"/>
                <w:szCs w:val="22"/>
                <w:lang w:eastAsia="en-GB"/>
              </w:rPr>
              <w:t>1</w:t>
            </w:r>
            <w:r w:rsidRPr="00BA02F8">
              <w:rPr>
                <w:rFonts w:ascii="Arial" w:eastAsia="Times New Roman" w:hAnsi="Arial" w:cs="Arial"/>
                <w:color w:val="000000"/>
                <w:sz w:val="22"/>
                <w:szCs w:val="22"/>
                <w:lang w:eastAsia="en-GB"/>
              </w:rPr>
              <w:t>.5%</w:t>
            </w:r>
          </w:p>
        </w:tc>
        <w:tc>
          <w:tcPr>
            <w:tcW w:w="1853" w:type="dxa"/>
            <w:tcBorders>
              <w:left w:val="single" w:sz="4" w:space="0" w:color="C1E4F5" w:themeColor="accent1" w:themeTint="33"/>
              <w:right w:val="single" w:sz="4" w:space="0" w:color="C1E4F5" w:themeColor="accent1" w:themeTint="33"/>
            </w:tcBorders>
            <w:noWrap/>
            <w:vAlign w:val="bottom"/>
            <w:hideMark/>
          </w:tcPr>
          <w:p w14:paraId="790BC898" w14:textId="77777777"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Private equity</w:t>
            </w:r>
          </w:p>
        </w:tc>
        <w:tc>
          <w:tcPr>
            <w:tcW w:w="1438" w:type="dxa"/>
            <w:tcBorders>
              <w:left w:val="single" w:sz="4" w:space="0" w:color="C1E4F5" w:themeColor="accent1" w:themeTint="33"/>
              <w:right w:val="single" w:sz="4" w:space="0" w:color="C1E4F5" w:themeColor="accent1" w:themeTint="33"/>
            </w:tcBorders>
            <w:noWrap/>
            <w:vAlign w:val="bottom"/>
            <w:hideMark/>
          </w:tcPr>
          <w:p w14:paraId="541B64BE" w14:textId="77777777" w:rsidR="00D03B34" w:rsidRPr="00BA02F8" w:rsidRDefault="00D03B34" w:rsidP="00BA02F8">
            <w:pPr>
              <w:spacing w:after="0" w:line="240" w:lineRule="auto"/>
              <w:jc w:val="right"/>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7.5%</w:t>
            </w:r>
          </w:p>
        </w:tc>
        <w:tc>
          <w:tcPr>
            <w:tcW w:w="1075" w:type="dxa"/>
            <w:tcBorders>
              <w:left w:val="single" w:sz="4" w:space="0" w:color="C1E4F5" w:themeColor="accent1" w:themeTint="33"/>
              <w:right w:val="single" w:sz="12" w:space="0" w:color="153D63" w:themeColor="text2" w:themeTint="E6"/>
            </w:tcBorders>
          </w:tcPr>
          <w:p w14:paraId="78FB3410" w14:textId="77777777" w:rsidR="00D03B34" w:rsidRPr="00BA02F8" w:rsidRDefault="00D03B34" w:rsidP="00BA02F8">
            <w:pPr>
              <w:spacing w:after="0" w:line="240" w:lineRule="auto"/>
              <w:jc w:val="right"/>
              <w:rPr>
                <w:rFonts w:ascii="Arial" w:eastAsia="Times New Roman" w:hAnsi="Arial" w:cs="Arial"/>
                <w:color w:val="000000"/>
                <w:sz w:val="22"/>
                <w:szCs w:val="22"/>
                <w:lang w:eastAsia="en-GB"/>
              </w:rPr>
            </w:pPr>
          </w:p>
        </w:tc>
      </w:tr>
      <w:tr w:rsidR="008C0FCF" w:rsidRPr="00BA02F8" w14:paraId="276DE616" w14:textId="5ACCEA8D" w:rsidTr="00DF6465">
        <w:trPr>
          <w:trHeight w:val="290"/>
        </w:trPr>
        <w:tc>
          <w:tcPr>
            <w:tcW w:w="1427" w:type="dxa"/>
            <w:vMerge/>
            <w:tcBorders>
              <w:left w:val="single" w:sz="12" w:space="0" w:color="153D63" w:themeColor="text2" w:themeTint="E6"/>
              <w:bottom w:val="single" w:sz="12" w:space="0" w:color="153D63" w:themeColor="text2" w:themeTint="E6"/>
              <w:right w:val="single" w:sz="4" w:space="0" w:color="C1E4F5" w:themeColor="accent1" w:themeTint="33"/>
            </w:tcBorders>
            <w:noWrap/>
            <w:hideMark/>
          </w:tcPr>
          <w:p w14:paraId="7C08230E" w14:textId="77777777" w:rsidR="00D03B34" w:rsidRPr="00DF6465" w:rsidRDefault="00D03B34" w:rsidP="00BA02F8">
            <w:pPr>
              <w:spacing w:after="0" w:line="240" w:lineRule="auto"/>
              <w:jc w:val="right"/>
              <w:rPr>
                <w:rFonts w:ascii="Arial" w:eastAsia="Times New Roman" w:hAnsi="Arial" w:cs="Arial"/>
                <w:b/>
                <w:bCs/>
                <w:color w:val="000000"/>
                <w:sz w:val="22"/>
                <w:szCs w:val="22"/>
                <w:lang w:eastAsia="en-GB"/>
              </w:rPr>
            </w:pPr>
          </w:p>
        </w:tc>
        <w:tc>
          <w:tcPr>
            <w:tcW w:w="2102" w:type="dxa"/>
            <w:tcBorders>
              <w:left w:val="single" w:sz="4" w:space="0" w:color="C1E4F5" w:themeColor="accent1" w:themeTint="33"/>
              <w:bottom w:val="single" w:sz="12" w:space="0" w:color="153D63" w:themeColor="text2" w:themeTint="E6"/>
              <w:right w:val="single" w:sz="4" w:space="0" w:color="C1E4F5" w:themeColor="accent1" w:themeTint="33"/>
            </w:tcBorders>
            <w:shd w:val="clear" w:color="auto" w:fill="C1E4F5" w:themeFill="accent1" w:themeFillTint="33"/>
            <w:noWrap/>
            <w:vAlign w:val="bottom"/>
            <w:hideMark/>
          </w:tcPr>
          <w:p w14:paraId="5F35C2A6" w14:textId="77777777" w:rsidR="00D03B34" w:rsidRPr="00BA02F8" w:rsidRDefault="00D03B34" w:rsidP="00BA02F8">
            <w:pPr>
              <w:spacing w:after="0" w:line="240" w:lineRule="auto"/>
              <w:rPr>
                <w:rFonts w:ascii="Times New Roman" w:eastAsia="Times New Roman" w:hAnsi="Times New Roman" w:cs="Times New Roman"/>
                <w:lang w:eastAsia="en-GB"/>
              </w:rPr>
            </w:pPr>
          </w:p>
        </w:tc>
        <w:tc>
          <w:tcPr>
            <w:tcW w:w="1063" w:type="dxa"/>
            <w:tcBorders>
              <w:left w:val="single" w:sz="4" w:space="0" w:color="C1E4F5" w:themeColor="accent1" w:themeTint="33"/>
              <w:bottom w:val="single" w:sz="12" w:space="0" w:color="153D63" w:themeColor="text2" w:themeTint="E6"/>
              <w:right w:val="single" w:sz="4" w:space="0" w:color="C1E4F5" w:themeColor="accent1" w:themeTint="33"/>
            </w:tcBorders>
            <w:shd w:val="clear" w:color="auto" w:fill="C1E4F5" w:themeFill="accent1" w:themeFillTint="33"/>
            <w:noWrap/>
            <w:vAlign w:val="bottom"/>
            <w:hideMark/>
          </w:tcPr>
          <w:p w14:paraId="2C79502B" w14:textId="77777777" w:rsidR="00D03B34" w:rsidRPr="00BA02F8" w:rsidRDefault="00D03B34" w:rsidP="00BA02F8">
            <w:pPr>
              <w:spacing w:after="0" w:line="240" w:lineRule="auto"/>
              <w:rPr>
                <w:rFonts w:ascii="Times New Roman" w:eastAsia="Times New Roman" w:hAnsi="Times New Roman" w:cs="Times New Roman"/>
                <w:lang w:eastAsia="en-GB"/>
              </w:rPr>
            </w:pPr>
          </w:p>
        </w:tc>
        <w:tc>
          <w:tcPr>
            <w:tcW w:w="2197" w:type="dxa"/>
            <w:tcBorders>
              <w:left w:val="single" w:sz="4" w:space="0" w:color="C1E4F5" w:themeColor="accent1" w:themeTint="33"/>
              <w:bottom w:val="single" w:sz="12" w:space="0" w:color="153D63" w:themeColor="text2" w:themeTint="E6"/>
              <w:right w:val="single" w:sz="4" w:space="0" w:color="C1E4F5" w:themeColor="accent1" w:themeTint="33"/>
            </w:tcBorders>
            <w:shd w:val="clear" w:color="auto" w:fill="C1E4F5" w:themeFill="accent1" w:themeFillTint="33"/>
            <w:noWrap/>
            <w:vAlign w:val="bottom"/>
            <w:hideMark/>
          </w:tcPr>
          <w:p w14:paraId="450550BF" w14:textId="77777777" w:rsidR="00D03B34" w:rsidRPr="00BA02F8" w:rsidRDefault="00D03B34" w:rsidP="00BA02F8">
            <w:pPr>
              <w:spacing w:after="0" w:line="240" w:lineRule="auto"/>
              <w:rPr>
                <w:rFonts w:ascii="Times New Roman" w:eastAsia="Times New Roman" w:hAnsi="Times New Roman" w:cs="Times New Roman"/>
                <w:lang w:eastAsia="en-GB"/>
              </w:rPr>
            </w:pPr>
          </w:p>
        </w:tc>
        <w:tc>
          <w:tcPr>
            <w:tcW w:w="1549" w:type="dxa"/>
            <w:tcBorders>
              <w:left w:val="single" w:sz="4" w:space="0" w:color="C1E4F5" w:themeColor="accent1" w:themeTint="33"/>
              <w:bottom w:val="single" w:sz="12" w:space="0" w:color="153D63" w:themeColor="text2" w:themeTint="E6"/>
              <w:right w:val="single" w:sz="4" w:space="0" w:color="C1E4F5" w:themeColor="accent1" w:themeTint="33"/>
            </w:tcBorders>
            <w:shd w:val="clear" w:color="auto" w:fill="C1E4F5" w:themeFill="accent1" w:themeFillTint="33"/>
            <w:noWrap/>
            <w:vAlign w:val="bottom"/>
            <w:hideMark/>
          </w:tcPr>
          <w:p w14:paraId="77F78208" w14:textId="77777777" w:rsidR="00D03B34" w:rsidRPr="00BA02F8" w:rsidRDefault="00D03B34" w:rsidP="00BA02F8">
            <w:pPr>
              <w:spacing w:after="0" w:line="240" w:lineRule="auto"/>
              <w:rPr>
                <w:rFonts w:ascii="Times New Roman" w:eastAsia="Times New Roman" w:hAnsi="Times New Roman" w:cs="Times New Roman"/>
                <w:lang w:eastAsia="en-GB"/>
              </w:rPr>
            </w:pPr>
          </w:p>
        </w:tc>
        <w:tc>
          <w:tcPr>
            <w:tcW w:w="1853" w:type="dxa"/>
            <w:tcBorders>
              <w:left w:val="single" w:sz="4" w:space="0" w:color="C1E4F5" w:themeColor="accent1" w:themeTint="33"/>
              <w:bottom w:val="single" w:sz="12" w:space="0" w:color="153D63" w:themeColor="text2" w:themeTint="E6"/>
              <w:right w:val="single" w:sz="4" w:space="0" w:color="C1E4F5" w:themeColor="accent1" w:themeTint="33"/>
            </w:tcBorders>
            <w:shd w:val="clear" w:color="auto" w:fill="C1E4F5" w:themeFill="accent1" w:themeFillTint="33"/>
            <w:noWrap/>
            <w:vAlign w:val="bottom"/>
            <w:hideMark/>
          </w:tcPr>
          <w:p w14:paraId="6D445428" w14:textId="77777777" w:rsidR="00D03B34" w:rsidRPr="00BA02F8" w:rsidRDefault="00D03B34" w:rsidP="00BA02F8">
            <w:pPr>
              <w:spacing w:after="0" w:line="240" w:lineRule="auto"/>
              <w:rPr>
                <w:rFonts w:ascii="Times New Roman" w:eastAsia="Times New Roman" w:hAnsi="Times New Roman" w:cs="Times New Roman"/>
                <w:lang w:eastAsia="en-GB"/>
              </w:rPr>
            </w:pPr>
          </w:p>
        </w:tc>
        <w:tc>
          <w:tcPr>
            <w:tcW w:w="1438" w:type="dxa"/>
            <w:tcBorders>
              <w:left w:val="single" w:sz="4" w:space="0" w:color="C1E4F5" w:themeColor="accent1" w:themeTint="33"/>
              <w:bottom w:val="single" w:sz="12" w:space="0" w:color="153D63" w:themeColor="text2" w:themeTint="E6"/>
              <w:right w:val="single" w:sz="4" w:space="0" w:color="C1E4F5" w:themeColor="accent1" w:themeTint="33"/>
            </w:tcBorders>
            <w:shd w:val="clear" w:color="auto" w:fill="C1E4F5" w:themeFill="accent1" w:themeFillTint="33"/>
            <w:noWrap/>
            <w:vAlign w:val="bottom"/>
            <w:hideMark/>
          </w:tcPr>
          <w:p w14:paraId="715D680E" w14:textId="77777777" w:rsidR="00D03B34" w:rsidRPr="00BA02F8" w:rsidRDefault="00D03B34" w:rsidP="00BA02F8">
            <w:pPr>
              <w:spacing w:after="0" w:line="240" w:lineRule="auto"/>
              <w:rPr>
                <w:rFonts w:ascii="Times New Roman" w:eastAsia="Times New Roman" w:hAnsi="Times New Roman" w:cs="Times New Roman"/>
                <w:lang w:eastAsia="en-GB"/>
              </w:rPr>
            </w:pPr>
          </w:p>
        </w:tc>
        <w:tc>
          <w:tcPr>
            <w:tcW w:w="1075" w:type="dxa"/>
            <w:tcBorders>
              <w:left w:val="single" w:sz="4" w:space="0" w:color="C1E4F5" w:themeColor="accent1" w:themeTint="33"/>
              <w:bottom w:val="single" w:sz="12" w:space="0" w:color="153D63" w:themeColor="text2" w:themeTint="E6"/>
              <w:right w:val="single" w:sz="12" w:space="0" w:color="153D63" w:themeColor="text2" w:themeTint="E6"/>
            </w:tcBorders>
            <w:shd w:val="clear" w:color="auto" w:fill="C1E4F5" w:themeFill="accent1" w:themeFillTint="33"/>
          </w:tcPr>
          <w:p w14:paraId="024F13D8" w14:textId="2A1F5F30" w:rsidR="00D03B34" w:rsidRPr="00BA02F8" w:rsidRDefault="00C908A6" w:rsidP="00B63EE0">
            <w:pPr>
              <w:spacing w:after="0" w:line="240" w:lineRule="auto"/>
              <w:jc w:val="right"/>
              <w:rPr>
                <w:rFonts w:ascii="Times New Roman" w:eastAsia="Times New Roman" w:hAnsi="Times New Roman" w:cs="Times New Roman"/>
                <w:lang w:eastAsia="en-GB"/>
              </w:rPr>
            </w:pPr>
            <w:r w:rsidRPr="00C908A6">
              <w:rPr>
                <w:rFonts w:ascii="Arial" w:eastAsia="Times New Roman" w:hAnsi="Arial" w:cs="Arial"/>
                <w:color w:val="000000"/>
                <w:sz w:val="22"/>
                <w:szCs w:val="22"/>
                <w:lang w:eastAsia="en-GB"/>
              </w:rPr>
              <w:t>30-60%</w:t>
            </w:r>
          </w:p>
        </w:tc>
      </w:tr>
      <w:tr w:rsidR="00D03B34" w:rsidRPr="00BA02F8" w14:paraId="09856DD8" w14:textId="563C018E" w:rsidTr="00DF6465">
        <w:trPr>
          <w:trHeight w:val="290"/>
        </w:trPr>
        <w:tc>
          <w:tcPr>
            <w:tcW w:w="1427" w:type="dxa"/>
            <w:vMerge w:val="restart"/>
            <w:tcBorders>
              <w:top w:val="single" w:sz="12" w:space="0" w:color="153D63" w:themeColor="text2" w:themeTint="E6"/>
              <w:left w:val="single" w:sz="12" w:space="0" w:color="153D63" w:themeColor="text2" w:themeTint="E6"/>
            </w:tcBorders>
            <w:noWrap/>
            <w:hideMark/>
          </w:tcPr>
          <w:p w14:paraId="3E209D5A" w14:textId="77777777" w:rsidR="00D03B34" w:rsidRPr="00DF6465" w:rsidRDefault="00D03B34" w:rsidP="00BA02F8">
            <w:pPr>
              <w:spacing w:after="0" w:line="240" w:lineRule="auto"/>
              <w:rPr>
                <w:rFonts w:ascii="Arial" w:eastAsia="Times New Roman" w:hAnsi="Arial" w:cs="Arial"/>
                <w:b/>
                <w:bCs/>
                <w:color w:val="000000"/>
                <w:sz w:val="22"/>
                <w:szCs w:val="22"/>
                <w:lang w:eastAsia="en-GB"/>
              </w:rPr>
            </w:pPr>
            <w:r w:rsidRPr="00DF6465">
              <w:rPr>
                <w:rFonts w:ascii="Arial" w:eastAsia="Times New Roman" w:hAnsi="Arial" w:cs="Arial"/>
                <w:b/>
                <w:bCs/>
                <w:color w:val="000000"/>
                <w:sz w:val="22"/>
                <w:szCs w:val="22"/>
                <w:lang w:eastAsia="en-GB"/>
              </w:rPr>
              <w:t>Income</w:t>
            </w:r>
          </w:p>
        </w:tc>
        <w:tc>
          <w:tcPr>
            <w:tcW w:w="2102" w:type="dxa"/>
            <w:tcBorders>
              <w:top w:val="single" w:sz="12" w:space="0" w:color="153D63" w:themeColor="text2" w:themeTint="E6"/>
            </w:tcBorders>
            <w:noWrap/>
            <w:vAlign w:val="bottom"/>
            <w:hideMark/>
          </w:tcPr>
          <w:p w14:paraId="04416ADA" w14:textId="77777777"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Private Debt</w:t>
            </w:r>
          </w:p>
        </w:tc>
        <w:tc>
          <w:tcPr>
            <w:tcW w:w="1063" w:type="dxa"/>
            <w:tcBorders>
              <w:top w:val="single" w:sz="12" w:space="0" w:color="153D63" w:themeColor="text2" w:themeTint="E6"/>
            </w:tcBorders>
            <w:noWrap/>
            <w:vAlign w:val="bottom"/>
            <w:hideMark/>
          </w:tcPr>
          <w:p w14:paraId="5CACE8E9" w14:textId="77777777" w:rsidR="00D03B34" w:rsidRPr="00BA02F8" w:rsidRDefault="00D03B34" w:rsidP="00BA02F8">
            <w:pPr>
              <w:spacing w:after="0" w:line="240" w:lineRule="auto"/>
              <w:jc w:val="right"/>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5.0%</w:t>
            </w:r>
          </w:p>
        </w:tc>
        <w:tc>
          <w:tcPr>
            <w:tcW w:w="2197" w:type="dxa"/>
            <w:tcBorders>
              <w:top w:val="single" w:sz="12" w:space="0" w:color="153D63" w:themeColor="text2" w:themeTint="E6"/>
            </w:tcBorders>
            <w:noWrap/>
            <w:vAlign w:val="bottom"/>
            <w:hideMark/>
          </w:tcPr>
          <w:p w14:paraId="707029EE" w14:textId="77777777"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3-month Sonia</w:t>
            </w:r>
          </w:p>
        </w:tc>
        <w:tc>
          <w:tcPr>
            <w:tcW w:w="1549" w:type="dxa"/>
            <w:tcBorders>
              <w:top w:val="single" w:sz="12" w:space="0" w:color="153D63" w:themeColor="text2" w:themeTint="E6"/>
            </w:tcBorders>
            <w:noWrap/>
            <w:vAlign w:val="bottom"/>
            <w:hideMark/>
          </w:tcPr>
          <w:p w14:paraId="1A056FE5" w14:textId="77777777"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+4%</w:t>
            </w:r>
          </w:p>
        </w:tc>
        <w:tc>
          <w:tcPr>
            <w:tcW w:w="1853" w:type="dxa"/>
            <w:tcBorders>
              <w:top w:val="single" w:sz="12" w:space="0" w:color="153D63" w:themeColor="text2" w:themeTint="E6"/>
            </w:tcBorders>
            <w:noWrap/>
            <w:vAlign w:val="bottom"/>
            <w:hideMark/>
          </w:tcPr>
          <w:p w14:paraId="5DA27556" w14:textId="77777777"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Private credit</w:t>
            </w:r>
          </w:p>
        </w:tc>
        <w:tc>
          <w:tcPr>
            <w:tcW w:w="1438" w:type="dxa"/>
            <w:tcBorders>
              <w:top w:val="single" w:sz="12" w:space="0" w:color="153D63" w:themeColor="text2" w:themeTint="E6"/>
            </w:tcBorders>
            <w:noWrap/>
            <w:vAlign w:val="bottom"/>
            <w:hideMark/>
          </w:tcPr>
          <w:p w14:paraId="3C7C5995" w14:textId="77777777" w:rsidR="00D03B34" w:rsidRPr="00BA02F8" w:rsidRDefault="00D03B34" w:rsidP="00BA02F8">
            <w:pPr>
              <w:spacing w:after="0" w:line="240" w:lineRule="auto"/>
              <w:jc w:val="right"/>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5.0%</w:t>
            </w:r>
          </w:p>
        </w:tc>
        <w:tc>
          <w:tcPr>
            <w:tcW w:w="1075" w:type="dxa"/>
            <w:tcBorders>
              <w:top w:val="single" w:sz="12" w:space="0" w:color="153D63" w:themeColor="text2" w:themeTint="E6"/>
              <w:right w:val="single" w:sz="12" w:space="0" w:color="153D63" w:themeColor="text2" w:themeTint="E6"/>
            </w:tcBorders>
          </w:tcPr>
          <w:p w14:paraId="5714913B" w14:textId="77777777" w:rsidR="00D03B34" w:rsidRPr="00BA02F8" w:rsidRDefault="00D03B34" w:rsidP="00B63EE0">
            <w:pPr>
              <w:spacing w:after="0" w:line="240" w:lineRule="auto"/>
              <w:jc w:val="right"/>
              <w:rPr>
                <w:rFonts w:ascii="Arial" w:eastAsia="Times New Roman" w:hAnsi="Arial" w:cs="Arial"/>
                <w:color w:val="000000"/>
                <w:sz w:val="22"/>
                <w:szCs w:val="22"/>
                <w:lang w:eastAsia="en-GB"/>
              </w:rPr>
            </w:pPr>
          </w:p>
        </w:tc>
      </w:tr>
      <w:tr w:rsidR="00D03B34" w:rsidRPr="00BA02F8" w14:paraId="3537A1CC" w14:textId="18027EA0" w:rsidTr="00DF6465">
        <w:trPr>
          <w:trHeight w:val="290"/>
        </w:trPr>
        <w:tc>
          <w:tcPr>
            <w:tcW w:w="1427" w:type="dxa"/>
            <w:vMerge/>
            <w:tcBorders>
              <w:left w:val="single" w:sz="12" w:space="0" w:color="153D63" w:themeColor="text2" w:themeTint="E6"/>
            </w:tcBorders>
            <w:noWrap/>
            <w:hideMark/>
          </w:tcPr>
          <w:p w14:paraId="5ED39A3C" w14:textId="77777777" w:rsidR="00D03B34" w:rsidRPr="00DF6465" w:rsidRDefault="00D03B34" w:rsidP="00BA02F8">
            <w:pPr>
              <w:spacing w:after="0" w:line="240" w:lineRule="auto"/>
              <w:jc w:val="right"/>
              <w:rPr>
                <w:rFonts w:ascii="Arial" w:eastAsia="Times New Roman" w:hAnsi="Arial" w:cs="Arial"/>
                <w:b/>
                <w:bCs/>
                <w:color w:val="000000"/>
                <w:sz w:val="22"/>
                <w:szCs w:val="22"/>
                <w:lang w:eastAsia="en-GB"/>
              </w:rPr>
            </w:pPr>
          </w:p>
        </w:tc>
        <w:tc>
          <w:tcPr>
            <w:tcW w:w="2102" w:type="dxa"/>
            <w:shd w:val="clear" w:color="auto" w:fill="C1E4F5" w:themeFill="accent1" w:themeFillTint="33"/>
            <w:noWrap/>
            <w:vAlign w:val="bottom"/>
            <w:hideMark/>
          </w:tcPr>
          <w:p w14:paraId="76D0D46C" w14:textId="77777777"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Property</w:t>
            </w:r>
          </w:p>
        </w:tc>
        <w:tc>
          <w:tcPr>
            <w:tcW w:w="1063" w:type="dxa"/>
            <w:shd w:val="clear" w:color="auto" w:fill="C1E4F5" w:themeFill="accent1" w:themeFillTint="33"/>
            <w:noWrap/>
            <w:vAlign w:val="bottom"/>
            <w:hideMark/>
          </w:tcPr>
          <w:p w14:paraId="44723144" w14:textId="77777777" w:rsidR="00D03B34" w:rsidRPr="00BA02F8" w:rsidRDefault="00D03B34" w:rsidP="00BA02F8">
            <w:pPr>
              <w:spacing w:after="0" w:line="240" w:lineRule="auto"/>
              <w:jc w:val="right"/>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10.0%</w:t>
            </w:r>
          </w:p>
        </w:tc>
        <w:tc>
          <w:tcPr>
            <w:tcW w:w="2197" w:type="dxa"/>
            <w:shd w:val="clear" w:color="auto" w:fill="C1E4F5" w:themeFill="accent1" w:themeFillTint="33"/>
            <w:noWrap/>
            <w:vAlign w:val="bottom"/>
            <w:hideMark/>
          </w:tcPr>
          <w:p w14:paraId="6BD8C542" w14:textId="77777777"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RPI</w:t>
            </w:r>
          </w:p>
        </w:tc>
        <w:tc>
          <w:tcPr>
            <w:tcW w:w="1549" w:type="dxa"/>
            <w:shd w:val="clear" w:color="auto" w:fill="C1E4F5" w:themeFill="accent1" w:themeFillTint="33"/>
            <w:noWrap/>
            <w:vAlign w:val="bottom"/>
            <w:hideMark/>
          </w:tcPr>
          <w:p w14:paraId="761460B8" w14:textId="77777777"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+3.5%</w:t>
            </w:r>
          </w:p>
        </w:tc>
        <w:tc>
          <w:tcPr>
            <w:tcW w:w="1853" w:type="dxa"/>
            <w:shd w:val="clear" w:color="auto" w:fill="C1E4F5" w:themeFill="accent1" w:themeFillTint="33"/>
            <w:noWrap/>
            <w:vAlign w:val="bottom"/>
            <w:hideMark/>
          </w:tcPr>
          <w:p w14:paraId="06CF7AD8" w14:textId="04FBDC5D"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Real estate</w:t>
            </w:r>
          </w:p>
        </w:tc>
        <w:tc>
          <w:tcPr>
            <w:tcW w:w="1438" w:type="dxa"/>
            <w:shd w:val="clear" w:color="auto" w:fill="C1E4F5" w:themeFill="accent1" w:themeFillTint="33"/>
            <w:noWrap/>
            <w:vAlign w:val="bottom"/>
            <w:hideMark/>
          </w:tcPr>
          <w:p w14:paraId="60A857A8" w14:textId="77777777" w:rsidR="00D03B34" w:rsidRPr="00BA02F8" w:rsidRDefault="00D03B34" w:rsidP="00BA02F8">
            <w:pPr>
              <w:spacing w:after="0" w:line="240" w:lineRule="auto"/>
              <w:jc w:val="right"/>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12.5%</w:t>
            </w:r>
          </w:p>
        </w:tc>
        <w:tc>
          <w:tcPr>
            <w:tcW w:w="1075" w:type="dxa"/>
            <w:tcBorders>
              <w:right w:val="single" w:sz="12" w:space="0" w:color="153D63" w:themeColor="text2" w:themeTint="E6"/>
            </w:tcBorders>
            <w:shd w:val="clear" w:color="auto" w:fill="C1E4F5" w:themeFill="accent1" w:themeFillTint="33"/>
          </w:tcPr>
          <w:p w14:paraId="32C08A4E" w14:textId="77777777" w:rsidR="00D03B34" w:rsidRPr="00BA02F8" w:rsidRDefault="00D03B34" w:rsidP="00B63EE0">
            <w:pPr>
              <w:spacing w:after="0" w:line="240" w:lineRule="auto"/>
              <w:jc w:val="right"/>
              <w:rPr>
                <w:rFonts w:ascii="Arial" w:eastAsia="Times New Roman" w:hAnsi="Arial" w:cs="Arial"/>
                <w:color w:val="000000"/>
                <w:sz w:val="22"/>
                <w:szCs w:val="22"/>
                <w:lang w:eastAsia="en-GB"/>
              </w:rPr>
            </w:pPr>
          </w:p>
        </w:tc>
      </w:tr>
      <w:tr w:rsidR="008C0FCF" w:rsidRPr="00BA02F8" w14:paraId="077DA017" w14:textId="1580BB0D" w:rsidTr="00DF6465">
        <w:trPr>
          <w:trHeight w:val="290"/>
        </w:trPr>
        <w:tc>
          <w:tcPr>
            <w:tcW w:w="1427" w:type="dxa"/>
            <w:vMerge/>
            <w:tcBorders>
              <w:left w:val="single" w:sz="12" w:space="0" w:color="153D63" w:themeColor="text2" w:themeTint="E6"/>
            </w:tcBorders>
            <w:noWrap/>
            <w:hideMark/>
          </w:tcPr>
          <w:p w14:paraId="3246D9D0" w14:textId="77777777" w:rsidR="00D03B34" w:rsidRPr="00DF6465" w:rsidRDefault="00D03B34" w:rsidP="00BA02F8">
            <w:pPr>
              <w:spacing w:after="0" w:line="240" w:lineRule="auto"/>
              <w:jc w:val="right"/>
              <w:rPr>
                <w:rFonts w:ascii="Arial" w:eastAsia="Times New Roman" w:hAnsi="Arial" w:cs="Arial"/>
                <w:b/>
                <w:bCs/>
                <w:color w:val="000000"/>
                <w:sz w:val="22"/>
                <w:szCs w:val="22"/>
                <w:lang w:eastAsia="en-GB"/>
              </w:rPr>
            </w:pPr>
          </w:p>
        </w:tc>
        <w:tc>
          <w:tcPr>
            <w:tcW w:w="2102" w:type="dxa"/>
            <w:tcBorders>
              <w:bottom w:val="single" w:sz="4" w:space="0" w:color="83CAEB" w:themeColor="accent1" w:themeTint="66"/>
            </w:tcBorders>
            <w:shd w:val="clear" w:color="auto" w:fill="C1E4F5" w:themeFill="accent1" w:themeFillTint="33"/>
            <w:noWrap/>
            <w:vAlign w:val="bottom"/>
            <w:hideMark/>
          </w:tcPr>
          <w:p w14:paraId="631EDE12" w14:textId="77777777"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Timber</w:t>
            </w:r>
          </w:p>
        </w:tc>
        <w:tc>
          <w:tcPr>
            <w:tcW w:w="1063" w:type="dxa"/>
            <w:tcBorders>
              <w:bottom w:val="single" w:sz="4" w:space="0" w:color="83CAEB" w:themeColor="accent1" w:themeTint="66"/>
            </w:tcBorders>
            <w:shd w:val="clear" w:color="auto" w:fill="C1E4F5" w:themeFill="accent1" w:themeFillTint="33"/>
            <w:noWrap/>
            <w:vAlign w:val="bottom"/>
            <w:hideMark/>
          </w:tcPr>
          <w:p w14:paraId="323A4CC1" w14:textId="77777777" w:rsidR="00D03B34" w:rsidRPr="00BA02F8" w:rsidRDefault="00D03B34" w:rsidP="00BA02F8">
            <w:pPr>
              <w:spacing w:after="0" w:line="240" w:lineRule="auto"/>
              <w:jc w:val="right"/>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2.5%</w:t>
            </w:r>
          </w:p>
        </w:tc>
        <w:tc>
          <w:tcPr>
            <w:tcW w:w="2197" w:type="dxa"/>
            <w:tcBorders>
              <w:bottom w:val="single" w:sz="4" w:space="0" w:color="83CAEB" w:themeColor="accent1" w:themeTint="66"/>
            </w:tcBorders>
            <w:shd w:val="clear" w:color="auto" w:fill="C1E4F5" w:themeFill="accent1" w:themeFillTint="33"/>
            <w:noWrap/>
            <w:vAlign w:val="bottom"/>
            <w:hideMark/>
          </w:tcPr>
          <w:p w14:paraId="019F5764" w14:textId="77777777"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 </w:t>
            </w:r>
          </w:p>
        </w:tc>
        <w:tc>
          <w:tcPr>
            <w:tcW w:w="1549" w:type="dxa"/>
            <w:tcBorders>
              <w:bottom w:val="single" w:sz="4" w:space="0" w:color="83CAEB" w:themeColor="accent1" w:themeTint="66"/>
            </w:tcBorders>
            <w:shd w:val="clear" w:color="auto" w:fill="C1E4F5" w:themeFill="accent1" w:themeFillTint="33"/>
            <w:noWrap/>
            <w:vAlign w:val="bottom"/>
            <w:hideMark/>
          </w:tcPr>
          <w:p w14:paraId="58E8518C" w14:textId="77777777"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+6%</w:t>
            </w:r>
          </w:p>
        </w:tc>
        <w:tc>
          <w:tcPr>
            <w:tcW w:w="1853" w:type="dxa"/>
            <w:tcBorders>
              <w:bottom w:val="single" w:sz="4" w:space="0" w:color="83CAEB" w:themeColor="accent1" w:themeTint="66"/>
            </w:tcBorders>
            <w:shd w:val="clear" w:color="auto" w:fill="C1E4F5" w:themeFill="accent1" w:themeFillTint="33"/>
            <w:noWrap/>
            <w:vAlign w:val="bottom"/>
            <w:hideMark/>
          </w:tcPr>
          <w:p w14:paraId="638D46DE" w14:textId="77777777"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 </w:t>
            </w:r>
          </w:p>
        </w:tc>
        <w:tc>
          <w:tcPr>
            <w:tcW w:w="1438" w:type="dxa"/>
            <w:tcBorders>
              <w:bottom w:val="single" w:sz="4" w:space="0" w:color="83CAEB" w:themeColor="accent1" w:themeTint="66"/>
            </w:tcBorders>
            <w:shd w:val="clear" w:color="auto" w:fill="C1E4F5" w:themeFill="accent1" w:themeFillTint="33"/>
            <w:noWrap/>
            <w:vAlign w:val="bottom"/>
            <w:hideMark/>
          </w:tcPr>
          <w:p w14:paraId="3DE4A43D" w14:textId="77777777"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 </w:t>
            </w:r>
          </w:p>
        </w:tc>
        <w:tc>
          <w:tcPr>
            <w:tcW w:w="1075" w:type="dxa"/>
            <w:tcBorders>
              <w:bottom w:val="single" w:sz="4" w:space="0" w:color="83CAEB" w:themeColor="accent1" w:themeTint="66"/>
              <w:right w:val="single" w:sz="12" w:space="0" w:color="153D63" w:themeColor="text2" w:themeTint="E6"/>
            </w:tcBorders>
            <w:shd w:val="clear" w:color="auto" w:fill="C1E4F5" w:themeFill="accent1" w:themeFillTint="33"/>
          </w:tcPr>
          <w:p w14:paraId="06948E3C" w14:textId="77777777" w:rsidR="00D03B34" w:rsidRPr="00BA02F8" w:rsidRDefault="00D03B34" w:rsidP="00B63EE0">
            <w:pPr>
              <w:spacing w:after="0" w:line="240" w:lineRule="auto"/>
              <w:jc w:val="right"/>
              <w:rPr>
                <w:rFonts w:ascii="Arial" w:eastAsia="Times New Roman" w:hAnsi="Arial" w:cs="Arial"/>
                <w:color w:val="000000"/>
                <w:sz w:val="22"/>
                <w:szCs w:val="22"/>
                <w:lang w:eastAsia="en-GB"/>
              </w:rPr>
            </w:pPr>
          </w:p>
        </w:tc>
      </w:tr>
      <w:tr w:rsidR="00D03B34" w:rsidRPr="00BA02F8" w14:paraId="05D29B54" w14:textId="35F3DABD" w:rsidTr="00DF6465">
        <w:trPr>
          <w:trHeight w:val="290"/>
        </w:trPr>
        <w:tc>
          <w:tcPr>
            <w:tcW w:w="1427" w:type="dxa"/>
            <w:vMerge/>
            <w:tcBorders>
              <w:left w:val="single" w:sz="12" w:space="0" w:color="153D63" w:themeColor="text2" w:themeTint="E6"/>
            </w:tcBorders>
            <w:noWrap/>
            <w:hideMark/>
          </w:tcPr>
          <w:p w14:paraId="7973435B" w14:textId="77777777" w:rsidR="00D03B34" w:rsidRPr="00DF6465" w:rsidRDefault="00D03B34" w:rsidP="00BA02F8">
            <w:pPr>
              <w:spacing w:after="0" w:line="240" w:lineRule="auto"/>
              <w:rPr>
                <w:rFonts w:ascii="Arial" w:eastAsia="Times New Roman" w:hAnsi="Arial" w:cs="Arial"/>
                <w:b/>
                <w:bCs/>
                <w:color w:val="000000"/>
                <w:sz w:val="22"/>
                <w:szCs w:val="22"/>
                <w:lang w:eastAsia="en-GB"/>
              </w:rPr>
            </w:pPr>
          </w:p>
        </w:tc>
        <w:tc>
          <w:tcPr>
            <w:tcW w:w="2102" w:type="dxa"/>
            <w:noWrap/>
            <w:vAlign w:val="bottom"/>
            <w:hideMark/>
          </w:tcPr>
          <w:p w14:paraId="55EBF251" w14:textId="77777777"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Infrastructure</w:t>
            </w:r>
          </w:p>
        </w:tc>
        <w:tc>
          <w:tcPr>
            <w:tcW w:w="1063" w:type="dxa"/>
            <w:noWrap/>
            <w:vAlign w:val="bottom"/>
            <w:hideMark/>
          </w:tcPr>
          <w:p w14:paraId="57BBFBCB" w14:textId="77777777" w:rsidR="00D03B34" w:rsidRPr="00BA02F8" w:rsidRDefault="00D03B34" w:rsidP="00BA02F8">
            <w:pPr>
              <w:spacing w:after="0" w:line="240" w:lineRule="auto"/>
              <w:jc w:val="right"/>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10.0%</w:t>
            </w:r>
          </w:p>
        </w:tc>
        <w:tc>
          <w:tcPr>
            <w:tcW w:w="2197" w:type="dxa"/>
            <w:noWrap/>
            <w:vAlign w:val="bottom"/>
            <w:hideMark/>
          </w:tcPr>
          <w:p w14:paraId="61B789F0" w14:textId="77777777" w:rsidR="00D03B34" w:rsidRPr="00BA02F8" w:rsidRDefault="00D03B34" w:rsidP="00BA02F8">
            <w:pPr>
              <w:spacing w:after="0" w:line="240" w:lineRule="auto"/>
              <w:jc w:val="right"/>
              <w:rPr>
                <w:rFonts w:ascii="Arial" w:eastAsia="Times New Roman" w:hAnsi="Arial" w:cs="Arial"/>
                <w:color w:val="000000"/>
                <w:sz w:val="22"/>
                <w:szCs w:val="22"/>
                <w:lang w:eastAsia="en-GB"/>
              </w:rPr>
            </w:pPr>
          </w:p>
        </w:tc>
        <w:tc>
          <w:tcPr>
            <w:tcW w:w="1549" w:type="dxa"/>
            <w:noWrap/>
            <w:vAlign w:val="bottom"/>
            <w:hideMark/>
          </w:tcPr>
          <w:p w14:paraId="5933AB4E" w14:textId="7342560A"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+7.5-</w:t>
            </w:r>
            <w:r>
              <w:rPr>
                <w:rFonts w:ascii="Arial" w:eastAsia="Times New Roman" w:hAnsi="Arial" w:cs="Arial"/>
                <w:color w:val="000000"/>
                <w:sz w:val="22"/>
                <w:szCs w:val="22"/>
                <w:lang w:eastAsia="en-GB"/>
              </w:rPr>
              <w:t>10</w:t>
            </w:r>
            <w:r w:rsidRPr="00BA02F8">
              <w:rPr>
                <w:rFonts w:ascii="Arial" w:eastAsia="Times New Roman" w:hAnsi="Arial" w:cs="Arial"/>
                <w:color w:val="000000"/>
                <w:sz w:val="22"/>
                <w:szCs w:val="22"/>
                <w:lang w:eastAsia="en-GB"/>
              </w:rPr>
              <w:t>%</w:t>
            </w:r>
          </w:p>
        </w:tc>
        <w:tc>
          <w:tcPr>
            <w:tcW w:w="1853" w:type="dxa"/>
            <w:noWrap/>
            <w:vAlign w:val="bottom"/>
            <w:hideMark/>
          </w:tcPr>
          <w:p w14:paraId="2E3FB77D" w14:textId="77777777"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Infrastructure</w:t>
            </w:r>
          </w:p>
        </w:tc>
        <w:tc>
          <w:tcPr>
            <w:tcW w:w="1438" w:type="dxa"/>
            <w:noWrap/>
            <w:vAlign w:val="bottom"/>
            <w:hideMark/>
          </w:tcPr>
          <w:p w14:paraId="5D6EFC51" w14:textId="77777777" w:rsidR="00D03B34" w:rsidRPr="00BA02F8" w:rsidRDefault="00D03B34" w:rsidP="00BA02F8">
            <w:pPr>
              <w:spacing w:after="0" w:line="240" w:lineRule="auto"/>
              <w:jc w:val="right"/>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10.0%</w:t>
            </w:r>
          </w:p>
        </w:tc>
        <w:tc>
          <w:tcPr>
            <w:tcW w:w="1075" w:type="dxa"/>
            <w:tcBorders>
              <w:right w:val="single" w:sz="12" w:space="0" w:color="153D63" w:themeColor="text2" w:themeTint="E6"/>
            </w:tcBorders>
          </w:tcPr>
          <w:p w14:paraId="671B6517" w14:textId="77777777" w:rsidR="00D03B34" w:rsidRPr="00BA02F8" w:rsidRDefault="00D03B34" w:rsidP="00B63EE0">
            <w:pPr>
              <w:spacing w:after="0" w:line="240" w:lineRule="auto"/>
              <w:jc w:val="right"/>
              <w:rPr>
                <w:rFonts w:ascii="Arial" w:eastAsia="Times New Roman" w:hAnsi="Arial" w:cs="Arial"/>
                <w:color w:val="000000"/>
                <w:sz w:val="22"/>
                <w:szCs w:val="22"/>
                <w:lang w:eastAsia="en-GB"/>
              </w:rPr>
            </w:pPr>
          </w:p>
        </w:tc>
      </w:tr>
      <w:tr w:rsidR="00D03B34" w:rsidRPr="00BA02F8" w14:paraId="1E729D0B" w14:textId="4145A5F2" w:rsidTr="00DF6465">
        <w:trPr>
          <w:trHeight w:val="290"/>
        </w:trPr>
        <w:tc>
          <w:tcPr>
            <w:tcW w:w="1427" w:type="dxa"/>
            <w:vMerge/>
            <w:tcBorders>
              <w:left w:val="single" w:sz="12" w:space="0" w:color="153D63" w:themeColor="text2" w:themeTint="E6"/>
            </w:tcBorders>
            <w:noWrap/>
            <w:hideMark/>
          </w:tcPr>
          <w:p w14:paraId="7B9D8834" w14:textId="77777777" w:rsidR="00D03B34" w:rsidRPr="00DF6465" w:rsidRDefault="00D03B34" w:rsidP="00BA02F8">
            <w:pPr>
              <w:spacing w:after="0" w:line="240" w:lineRule="auto"/>
              <w:jc w:val="right"/>
              <w:rPr>
                <w:rFonts w:ascii="Arial" w:eastAsia="Times New Roman" w:hAnsi="Arial" w:cs="Arial"/>
                <w:b/>
                <w:bCs/>
                <w:color w:val="000000"/>
                <w:sz w:val="22"/>
                <w:szCs w:val="22"/>
                <w:lang w:eastAsia="en-GB"/>
              </w:rPr>
            </w:pPr>
          </w:p>
        </w:tc>
        <w:tc>
          <w:tcPr>
            <w:tcW w:w="2102" w:type="dxa"/>
            <w:shd w:val="clear" w:color="auto" w:fill="C1E4F5" w:themeFill="accent1" w:themeFillTint="33"/>
            <w:noWrap/>
            <w:vAlign w:val="bottom"/>
            <w:hideMark/>
          </w:tcPr>
          <w:p w14:paraId="657F36EA" w14:textId="77777777"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Multi-asset Credit</w:t>
            </w:r>
          </w:p>
        </w:tc>
        <w:tc>
          <w:tcPr>
            <w:tcW w:w="1063" w:type="dxa"/>
            <w:shd w:val="clear" w:color="auto" w:fill="C1E4F5" w:themeFill="accent1" w:themeFillTint="33"/>
            <w:noWrap/>
            <w:vAlign w:val="bottom"/>
            <w:hideMark/>
          </w:tcPr>
          <w:p w14:paraId="5C6A8AF2" w14:textId="77777777" w:rsidR="00D03B34" w:rsidRPr="00BA02F8" w:rsidRDefault="00D03B34" w:rsidP="00BA02F8">
            <w:pPr>
              <w:spacing w:after="0" w:line="240" w:lineRule="auto"/>
              <w:jc w:val="right"/>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10.0%</w:t>
            </w:r>
          </w:p>
        </w:tc>
        <w:tc>
          <w:tcPr>
            <w:tcW w:w="2197" w:type="dxa"/>
            <w:shd w:val="clear" w:color="auto" w:fill="C1E4F5" w:themeFill="accent1" w:themeFillTint="33"/>
            <w:noWrap/>
            <w:vAlign w:val="bottom"/>
            <w:hideMark/>
          </w:tcPr>
          <w:p w14:paraId="7E613AE1" w14:textId="77777777"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3-month Sonia</w:t>
            </w:r>
          </w:p>
        </w:tc>
        <w:tc>
          <w:tcPr>
            <w:tcW w:w="1549" w:type="dxa"/>
            <w:shd w:val="clear" w:color="auto" w:fill="C1E4F5" w:themeFill="accent1" w:themeFillTint="33"/>
            <w:noWrap/>
            <w:vAlign w:val="bottom"/>
            <w:hideMark/>
          </w:tcPr>
          <w:p w14:paraId="731CC930" w14:textId="77777777"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+3%</w:t>
            </w:r>
          </w:p>
        </w:tc>
        <w:tc>
          <w:tcPr>
            <w:tcW w:w="1853" w:type="dxa"/>
            <w:shd w:val="clear" w:color="auto" w:fill="C1E4F5" w:themeFill="accent1" w:themeFillTint="33"/>
            <w:noWrap/>
            <w:vAlign w:val="bottom"/>
            <w:hideMark/>
          </w:tcPr>
          <w:p w14:paraId="325F3598" w14:textId="77777777"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Credit</w:t>
            </w:r>
          </w:p>
        </w:tc>
        <w:tc>
          <w:tcPr>
            <w:tcW w:w="1438" w:type="dxa"/>
            <w:shd w:val="clear" w:color="auto" w:fill="C1E4F5" w:themeFill="accent1" w:themeFillTint="33"/>
            <w:noWrap/>
            <w:vAlign w:val="bottom"/>
            <w:hideMark/>
          </w:tcPr>
          <w:p w14:paraId="0997C524" w14:textId="77777777" w:rsidR="00D03B34" w:rsidRPr="00BA02F8" w:rsidRDefault="00D03B34" w:rsidP="00BA02F8">
            <w:pPr>
              <w:spacing w:after="0" w:line="240" w:lineRule="auto"/>
              <w:jc w:val="right"/>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17.0%</w:t>
            </w:r>
          </w:p>
        </w:tc>
        <w:tc>
          <w:tcPr>
            <w:tcW w:w="1075" w:type="dxa"/>
            <w:tcBorders>
              <w:right w:val="single" w:sz="12" w:space="0" w:color="153D63" w:themeColor="text2" w:themeTint="E6"/>
            </w:tcBorders>
            <w:shd w:val="clear" w:color="auto" w:fill="C1E4F5" w:themeFill="accent1" w:themeFillTint="33"/>
          </w:tcPr>
          <w:p w14:paraId="27FBFDAC" w14:textId="77777777" w:rsidR="00D03B34" w:rsidRPr="00BA02F8" w:rsidRDefault="00D03B34" w:rsidP="00B63EE0">
            <w:pPr>
              <w:spacing w:after="0" w:line="240" w:lineRule="auto"/>
              <w:jc w:val="right"/>
              <w:rPr>
                <w:rFonts w:ascii="Arial" w:eastAsia="Times New Roman" w:hAnsi="Arial" w:cs="Arial"/>
                <w:color w:val="000000"/>
                <w:sz w:val="22"/>
                <w:szCs w:val="22"/>
                <w:lang w:eastAsia="en-GB"/>
              </w:rPr>
            </w:pPr>
          </w:p>
        </w:tc>
      </w:tr>
      <w:tr w:rsidR="00D03B34" w:rsidRPr="00BA02F8" w14:paraId="12FB4E7F" w14:textId="4EBBDF23" w:rsidTr="00DF6465">
        <w:trPr>
          <w:trHeight w:val="290"/>
        </w:trPr>
        <w:tc>
          <w:tcPr>
            <w:tcW w:w="1427" w:type="dxa"/>
            <w:vMerge/>
            <w:tcBorders>
              <w:left w:val="single" w:sz="12" w:space="0" w:color="153D63" w:themeColor="text2" w:themeTint="E6"/>
            </w:tcBorders>
            <w:noWrap/>
            <w:hideMark/>
          </w:tcPr>
          <w:p w14:paraId="2DFF73DB" w14:textId="77777777" w:rsidR="00D03B34" w:rsidRPr="00DF6465" w:rsidRDefault="00D03B34" w:rsidP="00BA02F8">
            <w:pPr>
              <w:spacing w:after="0" w:line="240" w:lineRule="auto"/>
              <w:jc w:val="right"/>
              <w:rPr>
                <w:rFonts w:ascii="Arial" w:eastAsia="Times New Roman" w:hAnsi="Arial" w:cs="Arial"/>
                <w:b/>
                <w:bCs/>
                <w:color w:val="000000"/>
                <w:sz w:val="22"/>
                <w:szCs w:val="22"/>
                <w:lang w:eastAsia="en-GB"/>
              </w:rPr>
            </w:pPr>
          </w:p>
        </w:tc>
        <w:tc>
          <w:tcPr>
            <w:tcW w:w="2102" w:type="dxa"/>
            <w:shd w:val="clear" w:color="auto" w:fill="C1E4F5" w:themeFill="accent1" w:themeFillTint="33"/>
            <w:noWrap/>
            <w:vAlign w:val="bottom"/>
            <w:hideMark/>
          </w:tcPr>
          <w:p w14:paraId="3C0C6FA0" w14:textId="77777777"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Asset-backed Securities</w:t>
            </w:r>
          </w:p>
        </w:tc>
        <w:tc>
          <w:tcPr>
            <w:tcW w:w="1063" w:type="dxa"/>
            <w:shd w:val="clear" w:color="auto" w:fill="C1E4F5" w:themeFill="accent1" w:themeFillTint="33"/>
            <w:noWrap/>
            <w:vAlign w:val="bottom"/>
            <w:hideMark/>
          </w:tcPr>
          <w:p w14:paraId="44232983" w14:textId="77777777" w:rsidR="00D03B34" w:rsidRPr="00BA02F8" w:rsidRDefault="00D03B34" w:rsidP="00BA02F8">
            <w:pPr>
              <w:spacing w:after="0" w:line="240" w:lineRule="auto"/>
              <w:jc w:val="right"/>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2.0%</w:t>
            </w:r>
          </w:p>
        </w:tc>
        <w:tc>
          <w:tcPr>
            <w:tcW w:w="2197" w:type="dxa"/>
            <w:shd w:val="clear" w:color="auto" w:fill="C1E4F5" w:themeFill="accent1" w:themeFillTint="33"/>
            <w:noWrap/>
            <w:vAlign w:val="bottom"/>
            <w:hideMark/>
          </w:tcPr>
          <w:p w14:paraId="13FC5F02" w14:textId="77777777"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3-month Sonia</w:t>
            </w:r>
          </w:p>
        </w:tc>
        <w:tc>
          <w:tcPr>
            <w:tcW w:w="1549" w:type="dxa"/>
            <w:shd w:val="clear" w:color="auto" w:fill="C1E4F5" w:themeFill="accent1" w:themeFillTint="33"/>
            <w:noWrap/>
            <w:vAlign w:val="bottom"/>
            <w:hideMark/>
          </w:tcPr>
          <w:p w14:paraId="53D59017" w14:textId="77777777"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+2%</w:t>
            </w:r>
          </w:p>
        </w:tc>
        <w:tc>
          <w:tcPr>
            <w:tcW w:w="1853" w:type="dxa"/>
            <w:shd w:val="clear" w:color="auto" w:fill="C1E4F5" w:themeFill="accent1" w:themeFillTint="33"/>
            <w:noWrap/>
            <w:vAlign w:val="bottom"/>
            <w:hideMark/>
          </w:tcPr>
          <w:p w14:paraId="43059D52" w14:textId="77777777" w:rsidR="00D03B34" w:rsidRPr="00BA02F8" w:rsidRDefault="00D03B34" w:rsidP="00BA02F8">
            <w:pPr>
              <w:spacing w:after="0" w:line="240" w:lineRule="auto"/>
              <w:rPr>
                <w:rFonts w:ascii="Arial" w:eastAsia="Times New Roman" w:hAnsi="Arial" w:cs="Arial"/>
                <w:color w:val="000000"/>
                <w:sz w:val="22"/>
                <w:szCs w:val="22"/>
                <w:lang w:eastAsia="en-GB"/>
              </w:rPr>
            </w:pPr>
          </w:p>
        </w:tc>
        <w:tc>
          <w:tcPr>
            <w:tcW w:w="1438" w:type="dxa"/>
            <w:shd w:val="clear" w:color="auto" w:fill="C1E4F5" w:themeFill="accent1" w:themeFillTint="33"/>
            <w:noWrap/>
            <w:vAlign w:val="bottom"/>
            <w:hideMark/>
          </w:tcPr>
          <w:p w14:paraId="497119E5" w14:textId="77777777"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 </w:t>
            </w:r>
          </w:p>
        </w:tc>
        <w:tc>
          <w:tcPr>
            <w:tcW w:w="1075" w:type="dxa"/>
            <w:tcBorders>
              <w:right w:val="single" w:sz="12" w:space="0" w:color="153D63" w:themeColor="text2" w:themeTint="E6"/>
            </w:tcBorders>
            <w:shd w:val="clear" w:color="auto" w:fill="C1E4F5" w:themeFill="accent1" w:themeFillTint="33"/>
          </w:tcPr>
          <w:p w14:paraId="186C3123" w14:textId="77777777" w:rsidR="00D03B34" w:rsidRPr="00BA02F8" w:rsidRDefault="00D03B34" w:rsidP="00B63EE0">
            <w:pPr>
              <w:spacing w:after="0" w:line="240" w:lineRule="auto"/>
              <w:jc w:val="right"/>
              <w:rPr>
                <w:rFonts w:ascii="Arial" w:eastAsia="Times New Roman" w:hAnsi="Arial" w:cs="Arial"/>
                <w:color w:val="000000"/>
                <w:sz w:val="22"/>
                <w:szCs w:val="22"/>
                <w:lang w:eastAsia="en-GB"/>
              </w:rPr>
            </w:pPr>
          </w:p>
        </w:tc>
      </w:tr>
      <w:tr w:rsidR="008C0FCF" w:rsidRPr="00BA02F8" w14:paraId="632C7253" w14:textId="59B4EFC5" w:rsidTr="00DF6465">
        <w:trPr>
          <w:trHeight w:val="290"/>
        </w:trPr>
        <w:tc>
          <w:tcPr>
            <w:tcW w:w="1427" w:type="dxa"/>
            <w:vMerge/>
            <w:tcBorders>
              <w:left w:val="single" w:sz="12" w:space="0" w:color="153D63" w:themeColor="text2" w:themeTint="E6"/>
              <w:bottom w:val="single" w:sz="12" w:space="0" w:color="153D63" w:themeColor="text2" w:themeTint="E6"/>
            </w:tcBorders>
            <w:noWrap/>
            <w:hideMark/>
          </w:tcPr>
          <w:p w14:paraId="4DFF0B9E" w14:textId="77777777" w:rsidR="00D03B34" w:rsidRPr="00DF6465" w:rsidRDefault="00D03B34" w:rsidP="00BA02F8">
            <w:pPr>
              <w:spacing w:after="0" w:line="240" w:lineRule="auto"/>
              <w:rPr>
                <w:rFonts w:ascii="Arial" w:eastAsia="Times New Roman" w:hAnsi="Arial" w:cs="Arial"/>
                <w:b/>
                <w:bCs/>
                <w:color w:val="000000"/>
                <w:sz w:val="22"/>
                <w:szCs w:val="22"/>
                <w:lang w:eastAsia="en-GB"/>
              </w:rPr>
            </w:pPr>
          </w:p>
        </w:tc>
        <w:tc>
          <w:tcPr>
            <w:tcW w:w="2102" w:type="dxa"/>
            <w:tcBorders>
              <w:bottom w:val="single" w:sz="12" w:space="0" w:color="153D63" w:themeColor="text2" w:themeTint="E6"/>
            </w:tcBorders>
            <w:shd w:val="clear" w:color="auto" w:fill="C1E4F5" w:themeFill="accent1" w:themeFillTint="33"/>
            <w:noWrap/>
            <w:vAlign w:val="bottom"/>
            <w:hideMark/>
          </w:tcPr>
          <w:p w14:paraId="4C6D900D" w14:textId="77777777"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 </w:t>
            </w:r>
          </w:p>
        </w:tc>
        <w:tc>
          <w:tcPr>
            <w:tcW w:w="1063" w:type="dxa"/>
            <w:tcBorders>
              <w:bottom w:val="single" w:sz="12" w:space="0" w:color="153D63" w:themeColor="text2" w:themeTint="E6"/>
            </w:tcBorders>
            <w:shd w:val="clear" w:color="auto" w:fill="C1E4F5" w:themeFill="accent1" w:themeFillTint="33"/>
            <w:noWrap/>
            <w:vAlign w:val="bottom"/>
            <w:hideMark/>
          </w:tcPr>
          <w:p w14:paraId="223C32E4" w14:textId="77777777" w:rsidR="00D03B34" w:rsidRPr="00BA02F8" w:rsidRDefault="00D03B34" w:rsidP="00BA02F8">
            <w:pPr>
              <w:spacing w:after="0" w:line="240" w:lineRule="auto"/>
              <w:rPr>
                <w:rFonts w:ascii="Arial" w:eastAsia="Times New Roman" w:hAnsi="Arial" w:cs="Arial"/>
                <w:color w:val="000000"/>
                <w:sz w:val="22"/>
                <w:szCs w:val="22"/>
                <w:lang w:eastAsia="en-GB"/>
              </w:rPr>
            </w:pPr>
          </w:p>
        </w:tc>
        <w:tc>
          <w:tcPr>
            <w:tcW w:w="2197" w:type="dxa"/>
            <w:tcBorders>
              <w:bottom w:val="single" w:sz="12" w:space="0" w:color="153D63" w:themeColor="text2" w:themeTint="E6"/>
            </w:tcBorders>
            <w:shd w:val="clear" w:color="auto" w:fill="C1E4F5" w:themeFill="accent1" w:themeFillTint="33"/>
            <w:noWrap/>
            <w:vAlign w:val="bottom"/>
            <w:hideMark/>
          </w:tcPr>
          <w:p w14:paraId="7A792B71" w14:textId="77777777" w:rsidR="00D03B34" w:rsidRPr="00BA02F8" w:rsidRDefault="00D03B34" w:rsidP="00BA02F8">
            <w:pPr>
              <w:spacing w:after="0" w:line="240" w:lineRule="auto"/>
              <w:rPr>
                <w:rFonts w:ascii="Times New Roman" w:eastAsia="Times New Roman" w:hAnsi="Times New Roman" w:cs="Times New Roman"/>
                <w:lang w:eastAsia="en-GB"/>
              </w:rPr>
            </w:pPr>
          </w:p>
        </w:tc>
        <w:tc>
          <w:tcPr>
            <w:tcW w:w="1549" w:type="dxa"/>
            <w:tcBorders>
              <w:bottom w:val="single" w:sz="12" w:space="0" w:color="153D63" w:themeColor="text2" w:themeTint="E6"/>
            </w:tcBorders>
            <w:shd w:val="clear" w:color="auto" w:fill="C1E4F5" w:themeFill="accent1" w:themeFillTint="33"/>
            <w:noWrap/>
            <w:vAlign w:val="bottom"/>
            <w:hideMark/>
          </w:tcPr>
          <w:p w14:paraId="15848D5B" w14:textId="77777777" w:rsidR="00D03B34" w:rsidRPr="00BA02F8" w:rsidRDefault="00D03B34" w:rsidP="00BA02F8">
            <w:pPr>
              <w:spacing w:after="0" w:line="240" w:lineRule="auto"/>
              <w:rPr>
                <w:rFonts w:ascii="Times New Roman" w:eastAsia="Times New Roman" w:hAnsi="Times New Roman" w:cs="Times New Roman"/>
                <w:lang w:eastAsia="en-GB"/>
              </w:rPr>
            </w:pPr>
          </w:p>
        </w:tc>
        <w:tc>
          <w:tcPr>
            <w:tcW w:w="1853" w:type="dxa"/>
            <w:tcBorders>
              <w:bottom w:val="single" w:sz="12" w:space="0" w:color="153D63" w:themeColor="text2" w:themeTint="E6"/>
            </w:tcBorders>
            <w:shd w:val="clear" w:color="auto" w:fill="C1E4F5" w:themeFill="accent1" w:themeFillTint="33"/>
            <w:noWrap/>
            <w:vAlign w:val="bottom"/>
            <w:hideMark/>
          </w:tcPr>
          <w:p w14:paraId="192FA6EA" w14:textId="77777777" w:rsidR="00D03B34" w:rsidRPr="00BA02F8" w:rsidRDefault="00D03B34" w:rsidP="00BA02F8">
            <w:pPr>
              <w:spacing w:after="0" w:line="240" w:lineRule="auto"/>
              <w:rPr>
                <w:rFonts w:ascii="Times New Roman" w:eastAsia="Times New Roman" w:hAnsi="Times New Roman" w:cs="Times New Roman"/>
                <w:lang w:eastAsia="en-GB"/>
              </w:rPr>
            </w:pPr>
          </w:p>
        </w:tc>
        <w:tc>
          <w:tcPr>
            <w:tcW w:w="1438" w:type="dxa"/>
            <w:tcBorders>
              <w:bottom w:val="single" w:sz="12" w:space="0" w:color="153D63" w:themeColor="text2" w:themeTint="E6"/>
            </w:tcBorders>
            <w:shd w:val="clear" w:color="auto" w:fill="C1E4F5" w:themeFill="accent1" w:themeFillTint="33"/>
            <w:noWrap/>
            <w:vAlign w:val="bottom"/>
            <w:hideMark/>
          </w:tcPr>
          <w:p w14:paraId="54232417" w14:textId="77777777"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 </w:t>
            </w:r>
          </w:p>
        </w:tc>
        <w:tc>
          <w:tcPr>
            <w:tcW w:w="1075" w:type="dxa"/>
            <w:tcBorders>
              <w:bottom w:val="single" w:sz="12" w:space="0" w:color="153D63" w:themeColor="text2" w:themeTint="E6"/>
              <w:right w:val="single" w:sz="12" w:space="0" w:color="153D63" w:themeColor="text2" w:themeTint="E6"/>
            </w:tcBorders>
            <w:shd w:val="clear" w:color="auto" w:fill="C1E4F5" w:themeFill="accent1" w:themeFillTint="33"/>
          </w:tcPr>
          <w:p w14:paraId="0D5F39E7" w14:textId="0F543A11" w:rsidR="00D03B34" w:rsidRPr="00BA02F8" w:rsidRDefault="00DF6465" w:rsidP="00B63EE0">
            <w:pPr>
              <w:spacing w:after="0" w:line="240" w:lineRule="auto"/>
              <w:jc w:val="right"/>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20-50%</w:t>
            </w:r>
          </w:p>
        </w:tc>
      </w:tr>
      <w:tr w:rsidR="008C0FCF" w:rsidRPr="00BA02F8" w14:paraId="52925DAE" w14:textId="2DF1CBE9" w:rsidTr="00DF6465">
        <w:trPr>
          <w:trHeight w:val="290"/>
        </w:trPr>
        <w:tc>
          <w:tcPr>
            <w:tcW w:w="1427" w:type="dxa"/>
            <w:vMerge w:val="restart"/>
            <w:tcBorders>
              <w:top w:val="single" w:sz="12" w:space="0" w:color="153D63" w:themeColor="text2" w:themeTint="E6"/>
              <w:left w:val="single" w:sz="12" w:space="0" w:color="153D63" w:themeColor="text2" w:themeTint="E6"/>
            </w:tcBorders>
            <w:noWrap/>
            <w:hideMark/>
          </w:tcPr>
          <w:p w14:paraId="3B2AD08A" w14:textId="77777777" w:rsidR="00D03B34" w:rsidRPr="00DF6465" w:rsidRDefault="00D03B34" w:rsidP="00BA02F8">
            <w:pPr>
              <w:spacing w:after="0" w:line="240" w:lineRule="auto"/>
              <w:rPr>
                <w:rFonts w:ascii="Arial" w:eastAsia="Times New Roman" w:hAnsi="Arial" w:cs="Arial"/>
                <w:b/>
                <w:bCs/>
                <w:color w:val="000000"/>
                <w:sz w:val="22"/>
                <w:szCs w:val="22"/>
                <w:lang w:eastAsia="en-GB"/>
              </w:rPr>
            </w:pPr>
            <w:r w:rsidRPr="00DF6465">
              <w:rPr>
                <w:rFonts w:ascii="Arial" w:eastAsia="Times New Roman" w:hAnsi="Arial" w:cs="Arial"/>
                <w:b/>
                <w:bCs/>
                <w:color w:val="000000"/>
                <w:sz w:val="22"/>
                <w:szCs w:val="22"/>
                <w:lang w:eastAsia="en-GB"/>
              </w:rPr>
              <w:t>Protection</w:t>
            </w:r>
          </w:p>
        </w:tc>
        <w:tc>
          <w:tcPr>
            <w:tcW w:w="2102" w:type="dxa"/>
            <w:tcBorders>
              <w:top w:val="single" w:sz="12" w:space="0" w:color="153D63" w:themeColor="text2" w:themeTint="E6"/>
              <w:bottom w:val="single" w:sz="4" w:space="0" w:color="83CAEB" w:themeColor="accent1" w:themeTint="66"/>
            </w:tcBorders>
            <w:shd w:val="clear" w:color="auto" w:fill="C1E4F5" w:themeFill="accent1" w:themeFillTint="33"/>
            <w:noWrap/>
            <w:vAlign w:val="bottom"/>
            <w:hideMark/>
          </w:tcPr>
          <w:p w14:paraId="748F17AB" w14:textId="77777777"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Investment-grade Credit</w:t>
            </w:r>
          </w:p>
        </w:tc>
        <w:tc>
          <w:tcPr>
            <w:tcW w:w="1063" w:type="dxa"/>
            <w:tcBorders>
              <w:top w:val="single" w:sz="12" w:space="0" w:color="153D63" w:themeColor="text2" w:themeTint="E6"/>
              <w:bottom w:val="single" w:sz="4" w:space="0" w:color="83CAEB" w:themeColor="accent1" w:themeTint="66"/>
            </w:tcBorders>
            <w:shd w:val="clear" w:color="auto" w:fill="C1E4F5" w:themeFill="accent1" w:themeFillTint="33"/>
            <w:noWrap/>
            <w:vAlign w:val="bottom"/>
            <w:hideMark/>
          </w:tcPr>
          <w:p w14:paraId="308BFDA6" w14:textId="77777777" w:rsidR="00D03B34" w:rsidRPr="00BA02F8" w:rsidRDefault="00D03B34" w:rsidP="00BA02F8">
            <w:pPr>
              <w:spacing w:after="0" w:line="240" w:lineRule="auto"/>
              <w:jc w:val="right"/>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5.0%</w:t>
            </w:r>
          </w:p>
        </w:tc>
        <w:tc>
          <w:tcPr>
            <w:tcW w:w="2197" w:type="dxa"/>
            <w:tcBorders>
              <w:top w:val="single" w:sz="12" w:space="0" w:color="153D63" w:themeColor="text2" w:themeTint="E6"/>
              <w:bottom w:val="single" w:sz="4" w:space="0" w:color="83CAEB" w:themeColor="accent1" w:themeTint="66"/>
            </w:tcBorders>
            <w:shd w:val="clear" w:color="auto" w:fill="C1E4F5" w:themeFill="accent1" w:themeFillTint="33"/>
            <w:noWrap/>
            <w:vAlign w:val="bottom"/>
            <w:hideMark/>
          </w:tcPr>
          <w:p w14:paraId="058E8CF8" w14:textId="77777777"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 xml:space="preserve">ICE </w:t>
            </w:r>
            <w:proofErr w:type="spellStart"/>
            <w:r w:rsidRPr="00BA02F8">
              <w:rPr>
                <w:rFonts w:ascii="Arial" w:eastAsia="Times New Roman" w:hAnsi="Arial" w:cs="Arial"/>
                <w:color w:val="000000"/>
                <w:sz w:val="22"/>
                <w:szCs w:val="22"/>
                <w:lang w:eastAsia="en-GB"/>
              </w:rPr>
              <w:t>BoA</w:t>
            </w:r>
            <w:proofErr w:type="spellEnd"/>
            <w:r w:rsidRPr="00BA02F8">
              <w:rPr>
                <w:rFonts w:ascii="Arial" w:eastAsia="Times New Roman" w:hAnsi="Arial" w:cs="Arial"/>
                <w:color w:val="000000"/>
                <w:sz w:val="22"/>
                <w:szCs w:val="22"/>
                <w:lang w:eastAsia="en-GB"/>
              </w:rPr>
              <w:t xml:space="preserve"> Euro Sterling </w:t>
            </w:r>
          </w:p>
        </w:tc>
        <w:tc>
          <w:tcPr>
            <w:tcW w:w="1549" w:type="dxa"/>
            <w:tcBorders>
              <w:top w:val="single" w:sz="12" w:space="0" w:color="153D63" w:themeColor="text2" w:themeTint="E6"/>
              <w:bottom w:val="single" w:sz="4" w:space="0" w:color="83CAEB" w:themeColor="accent1" w:themeTint="66"/>
            </w:tcBorders>
            <w:shd w:val="clear" w:color="auto" w:fill="C1E4F5" w:themeFill="accent1" w:themeFillTint="33"/>
            <w:noWrap/>
            <w:vAlign w:val="bottom"/>
            <w:hideMark/>
          </w:tcPr>
          <w:p w14:paraId="48C2BA65" w14:textId="77777777"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+1%</w:t>
            </w:r>
          </w:p>
        </w:tc>
        <w:tc>
          <w:tcPr>
            <w:tcW w:w="1853" w:type="dxa"/>
            <w:tcBorders>
              <w:top w:val="single" w:sz="12" w:space="0" w:color="153D63" w:themeColor="text2" w:themeTint="E6"/>
              <w:bottom w:val="single" w:sz="4" w:space="0" w:color="83CAEB" w:themeColor="accent1" w:themeTint="66"/>
            </w:tcBorders>
            <w:shd w:val="clear" w:color="auto" w:fill="C1E4F5" w:themeFill="accent1" w:themeFillTint="33"/>
            <w:noWrap/>
            <w:vAlign w:val="bottom"/>
            <w:hideMark/>
          </w:tcPr>
          <w:p w14:paraId="71758649" w14:textId="77777777"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 </w:t>
            </w:r>
          </w:p>
        </w:tc>
        <w:tc>
          <w:tcPr>
            <w:tcW w:w="1438" w:type="dxa"/>
            <w:tcBorders>
              <w:top w:val="single" w:sz="12" w:space="0" w:color="153D63" w:themeColor="text2" w:themeTint="E6"/>
              <w:bottom w:val="single" w:sz="4" w:space="0" w:color="83CAEB" w:themeColor="accent1" w:themeTint="66"/>
            </w:tcBorders>
            <w:shd w:val="clear" w:color="auto" w:fill="C1E4F5" w:themeFill="accent1" w:themeFillTint="33"/>
            <w:noWrap/>
            <w:vAlign w:val="bottom"/>
            <w:hideMark/>
          </w:tcPr>
          <w:p w14:paraId="44AD974E" w14:textId="77777777"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 </w:t>
            </w:r>
          </w:p>
        </w:tc>
        <w:tc>
          <w:tcPr>
            <w:tcW w:w="1075" w:type="dxa"/>
            <w:tcBorders>
              <w:top w:val="single" w:sz="12" w:space="0" w:color="153D63" w:themeColor="text2" w:themeTint="E6"/>
              <w:bottom w:val="single" w:sz="4" w:space="0" w:color="83CAEB" w:themeColor="accent1" w:themeTint="66"/>
              <w:right w:val="single" w:sz="12" w:space="0" w:color="153D63" w:themeColor="text2" w:themeTint="E6"/>
            </w:tcBorders>
            <w:shd w:val="clear" w:color="auto" w:fill="C1E4F5" w:themeFill="accent1" w:themeFillTint="33"/>
          </w:tcPr>
          <w:p w14:paraId="30286E81" w14:textId="77777777" w:rsidR="00D03B34" w:rsidRPr="00BA02F8" w:rsidRDefault="00D03B34" w:rsidP="00B63EE0">
            <w:pPr>
              <w:spacing w:after="0" w:line="240" w:lineRule="auto"/>
              <w:jc w:val="right"/>
              <w:rPr>
                <w:rFonts w:ascii="Arial" w:eastAsia="Times New Roman" w:hAnsi="Arial" w:cs="Arial"/>
                <w:color w:val="000000"/>
                <w:sz w:val="22"/>
                <w:szCs w:val="22"/>
                <w:lang w:eastAsia="en-GB"/>
              </w:rPr>
            </w:pPr>
          </w:p>
        </w:tc>
      </w:tr>
      <w:tr w:rsidR="00D03B34" w:rsidRPr="00BA02F8" w14:paraId="3A8746E4" w14:textId="016CF440" w:rsidTr="00DF6465">
        <w:trPr>
          <w:trHeight w:val="290"/>
        </w:trPr>
        <w:tc>
          <w:tcPr>
            <w:tcW w:w="1427" w:type="dxa"/>
            <w:vMerge/>
            <w:tcBorders>
              <w:left w:val="single" w:sz="12" w:space="0" w:color="153D63" w:themeColor="text2" w:themeTint="E6"/>
            </w:tcBorders>
            <w:noWrap/>
            <w:vAlign w:val="bottom"/>
          </w:tcPr>
          <w:p w14:paraId="59B7AB6A" w14:textId="77777777" w:rsidR="00D03B34" w:rsidRPr="00BA02F8" w:rsidRDefault="00D03B34" w:rsidP="00BA02F8">
            <w:pPr>
              <w:spacing w:after="0" w:line="240" w:lineRule="auto"/>
              <w:rPr>
                <w:rFonts w:ascii="Arial" w:eastAsia="Times New Roman" w:hAnsi="Arial" w:cs="Arial"/>
                <w:b/>
                <w:bCs/>
                <w:color w:val="000000"/>
                <w:sz w:val="22"/>
                <w:szCs w:val="22"/>
                <w:lang w:eastAsia="en-GB"/>
              </w:rPr>
            </w:pPr>
          </w:p>
        </w:tc>
        <w:tc>
          <w:tcPr>
            <w:tcW w:w="2102" w:type="dxa"/>
            <w:noWrap/>
            <w:vAlign w:val="bottom"/>
          </w:tcPr>
          <w:p w14:paraId="7637DD84" w14:textId="4E0032C8" w:rsidR="00D03B34" w:rsidRPr="00BA02F8" w:rsidRDefault="00D03B34" w:rsidP="00BA02F8">
            <w:pPr>
              <w:spacing w:after="0" w:line="240" w:lineRule="auto"/>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Cash</w:t>
            </w:r>
          </w:p>
        </w:tc>
        <w:tc>
          <w:tcPr>
            <w:tcW w:w="1063" w:type="dxa"/>
            <w:noWrap/>
            <w:vAlign w:val="bottom"/>
          </w:tcPr>
          <w:p w14:paraId="583A1341" w14:textId="6A74445D" w:rsidR="00D03B34" w:rsidRPr="00BA02F8" w:rsidRDefault="00D03B34" w:rsidP="00BA02F8">
            <w:pPr>
              <w:spacing w:after="0" w:line="240" w:lineRule="auto"/>
              <w:jc w:val="right"/>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0.0%</w:t>
            </w:r>
          </w:p>
        </w:tc>
        <w:tc>
          <w:tcPr>
            <w:tcW w:w="3746" w:type="dxa"/>
            <w:gridSpan w:val="2"/>
            <w:noWrap/>
            <w:vAlign w:val="bottom"/>
          </w:tcPr>
          <w:p w14:paraId="470179A8" w14:textId="77777777" w:rsidR="00D03B34" w:rsidRPr="00BA02F8" w:rsidRDefault="00D03B34" w:rsidP="00BA02F8">
            <w:pPr>
              <w:spacing w:after="0" w:line="240" w:lineRule="auto"/>
              <w:rPr>
                <w:rFonts w:ascii="Arial" w:eastAsia="Times New Roman" w:hAnsi="Arial" w:cs="Arial"/>
                <w:color w:val="000000"/>
                <w:sz w:val="22"/>
                <w:szCs w:val="22"/>
                <w:lang w:eastAsia="en-GB"/>
              </w:rPr>
            </w:pPr>
          </w:p>
        </w:tc>
        <w:tc>
          <w:tcPr>
            <w:tcW w:w="1853" w:type="dxa"/>
            <w:noWrap/>
            <w:vAlign w:val="bottom"/>
          </w:tcPr>
          <w:p w14:paraId="1EA50217" w14:textId="1F8415E2" w:rsidR="00D03B34" w:rsidRPr="00BA02F8" w:rsidRDefault="00D03B34" w:rsidP="00BA02F8">
            <w:pPr>
              <w:spacing w:after="0" w:line="240" w:lineRule="auto"/>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Cash</w:t>
            </w:r>
          </w:p>
        </w:tc>
        <w:tc>
          <w:tcPr>
            <w:tcW w:w="1438" w:type="dxa"/>
            <w:noWrap/>
            <w:vAlign w:val="bottom"/>
          </w:tcPr>
          <w:p w14:paraId="3B4E00F3" w14:textId="41E48E2E" w:rsidR="00D03B34" w:rsidRPr="00BA02F8" w:rsidRDefault="00D03B34" w:rsidP="00BA02F8">
            <w:pPr>
              <w:spacing w:after="0" w:line="240" w:lineRule="auto"/>
              <w:jc w:val="right"/>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0.0%</w:t>
            </w:r>
          </w:p>
        </w:tc>
        <w:tc>
          <w:tcPr>
            <w:tcW w:w="1075" w:type="dxa"/>
            <w:tcBorders>
              <w:right w:val="single" w:sz="12" w:space="0" w:color="153D63" w:themeColor="text2" w:themeTint="E6"/>
            </w:tcBorders>
          </w:tcPr>
          <w:p w14:paraId="4BE2FB9D" w14:textId="77777777" w:rsidR="00D03B34" w:rsidRDefault="00D03B34" w:rsidP="00B63EE0">
            <w:pPr>
              <w:spacing w:after="0" w:line="240" w:lineRule="auto"/>
              <w:jc w:val="right"/>
              <w:rPr>
                <w:rFonts w:ascii="Arial" w:eastAsia="Times New Roman" w:hAnsi="Arial" w:cs="Arial"/>
                <w:color w:val="000000"/>
                <w:sz w:val="22"/>
                <w:szCs w:val="22"/>
                <w:lang w:eastAsia="en-GB"/>
              </w:rPr>
            </w:pPr>
          </w:p>
        </w:tc>
      </w:tr>
      <w:tr w:rsidR="00D03B34" w:rsidRPr="00BA02F8" w14:paraId="468BD0C9" w14:textId="5068E452" w:rsidTr="00DF6465">
        <w:trPr>
          <w:trHeight w:val="290"/>
        </w:trPr>
        <w:tc>
          <w:tcPr>
            <w:tcW w:w="1427" w:type="dxa"/>
            <w:vMerge/>
            <w:tcBorders>
              <w:left w:val="single" w:sz="12" w:space="0" w:color="153D63" w:themeColor="text2" w:themeTint="E6"/>
            </w:tcBorders>
            <w:noWrap/>
            <w:vAlign w:val="bottom"/>
            <w:hideMark/>
          </w:tcPr>
          <w:p w14:paraId="5420CDF4" w14:textId="77777777" w:rsidR="00D03B34" w:rsidRPr="00BA02F8" w:rsidRDefault="00D03B34" w:rsidP="00BA02F8">
            <w:pPr>
              <w:spacing w:after="0" w:line="240" w:lineRule="auto"/>
              <w:rPr>
                <w:rFonts w:ascii="Arial" w:eastAsia="Times New Roman" w:hAnsi="Arial" w:cs="Arial"/>
                <w:b/>
                <w:bCs/>
                <w:color w:val="000000"/>
                <w:sz w:val="22"/>
                <w:szCs w:val="22"/>
                <w:lang w:eastAsia="en-GB"/>
              </w:rPr>
            </w:pPr>
          </w:p>
        </w:tc>
        <w:tc>
          <w:tcPr>
            <w:tcW w:w="2102" w:type="dxa"/>
            <w:shd w:val="clear" w:color="auto" w:fill="C1E4F5" w:themeFill="accent1" w:themeFillTint="33"/>
            <w:noWrap/>
            <w:vAlign w:val="bottom"/>
            <w:hideMark/>
          </w:tcPr>
          <w:p w14:paraId="0989D925" w14:textId="77777777"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Index-linked Gilts</w:t>
            </w:r>
          </w:p>
        </w:tc>
        <w:tc>
          <w:tcPr>
            <w:tcW w:w="1063" w:type="dxa"/>
            <w:shd w:val="clear" w:color="auto" w:fill="C1E4F5" w:themeFill="accent1" w:themeFillTint="33"/>
            <w:noWrap/>
            <w:vAlign w:val="bottom"/>
            <w:hideMark/>
          </w:tcPr>
          <w:p w14:paraId="085C0935" w14:textId="77777777" w:rsidR="00D03B34" w:rsidRPr="00BA02F8" w:rsidRDefault="00D03B34" w:rsidP="00BA02F8">
            <w:pPr>
              <w:spacing w:after="0" w:line="240" w:lineRule="auto"/>
              <w:jc w:val="right"/>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14.5%</w:t>
            </w:r>
          </w:p>
        </w:tc>
        <w:tc>
          <w:tcPr>
            <w:tcW w:w="2197" w:type="dxa"/>
            <w:shd w:val="clear" w:color="auto" w:fill="C1E4F5" w:themeFill="accent1" w:themeFillTint="33"/>
            <w:noWrap/>
            <w:vAlign w:val="bottom"/>
            <w:hideMark/>
          </w:tcPr>
          <w:p w14:paraId="1CEE249D" w14:textId="77777777"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FTSE index-linked +5 years</w:t>
            </w:r>
          </w:p>
        </w:tc>
        <w:tc>
          <w:tcPr>
            <w:tcW w:w="1549" w:type="dxa"/>
            <w:shd w:val="clear" w:color="auto" w:fill="C1E4F5" w:themeFill="accent1" w:themeFillTint="33"/>
            <w:vAlign w:val="bottom"/>
          </w:tcPr>
          <w:p w14:paraId="4DD9E289" w14:textId="7643AA6E" w:rsidR="00D03B34" w:rsidRPr="00BA02F8" w:rsidRDefault="00D03B34" w:rsidP="00BA02F8">
            <w:pPr>
              <w:spacing w:after="0" w:line="240" w:lineRule="auto"/>
              <w:rPr>
                <w:rFonts w:ascii="Arial" w:eastAsia="Times New Roman" w:hAnsi="Arial" w:cs="Arial"/>
                <w:color w:val="000000"/>
                <w:sz w:val="22"/>
                <w:szCs w:val="22"/>
                <w:lang w:eastAsia="en-GB"/>
              </w:rPr>
            </w:pPr>
          </w:p>
        </w:tc>
        <w:tc>
          <w:tcPr>
            <w:tcW w:w="1853" w:type="dxa"/>
            <w:shd w:val="clear" w:color="auto" w:fill="C1E4F5" w:themeFill="accent1" w:themeFillTint="33"/>
            <w:noWrap/>
            <w:vAlign w:val="bottom"/>
            <w:hideMark/>
          </w:tcPr>
          <w:p w14:paraId="3AD48905" w14:textId="77777777"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UK Government Bonds</w:t>
            </w:r>
          </w:p>
        </w:tc>
        <w:tc>
          <w:tcPr>
            <w:tcW w:w="1438" w:type="dxa"/>
            <w:shd w:val="clear" w:color="auto" w:fill="C1E4F5" w:themeFill="accent1" w:themeFillTint="33"/>
            <w:noWrap/>
            <w:vAlign w:val="bottom"/>
            <w:hideMark/>
          </w:tcPr>
          <w:p w14:paraId="06996A33" w14:textId="77777777" w:rsidR="00D03B34" w:rsidRPr="00BA02F8" w:rsidRDefault="00D03B34" w:rsidP="00BA02F8">
            <w:pPr>
              <w:spacing w:after="0" w:line="240" w:lineRule="auto"/>
              <w:jc w:val="right"/>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17.0%</w:t>
            </w:r>
          </w:p>
        </w:tc>
        <w:tc>
          <w:tcPr>
            <w:tcW w:w="1075" w:type="dxa"/>
            <w:tcBorders>
              <w:right w:val="single" w:sz="12" w:space="0" w:color="153D63" w:themeColor="text2" w:themeTint="E6"/>
            </w:tcBorders>
            <w:shd w:val="clear" w:color="auto" w:fill="C1E4F5" w:themeFill="accent1" w:themeFillTint="33"/>
          </w:tcPr>
          <w:p w14:paraId="630C0749" w14:textId="77777777" w:rsidR="00D03B34" w:rsidRPr="00BA02F8" w:rsidRDefault="00D03B34" w:rsidP="00B63EE0">
            <w:pPr>
              <w:spacing w:after="0" w:line="240" w:lineRule="auto"/>
              <w:jc w:val="right"/>
              <w:rPr>
                <w:rFonts w:ascii="Arial" w:eastAsia="Times New Roman" w:hAnsi="Arial" w:cs="Arial"/>
                <w:color w:val="000000"/>
                <w:sz w:val="22"/>
                <w:szCs w:val="22"/>
                <w:lang w:eastAsia="en-GB"/>
              </w:rPr>
            </w:pPr>
          </w:p>
        </w:tc>
      </w:tr>
      <w:tr w:rsidR="008C0FCF" w:rsidRPr="00BA02F8" w14:paraId="1172D3BD" w14:textId="75DF541F" w:rsidTr="00DF6465">
        <w:trPr>
          <w:trHeight w:val="290"/>
        </w:trPr>
        <w:tc>
          <w:tcPr>
            <w:tcW w:w="1427" w:type="dxa"/>
            <w:vMerge/>
            <w:tcBorders>
              <w:left w:val="single" w:sz="12" w:space="0" w:color="153D63" w:themeColor="text2" w:themeTint="E6"/>
            </w:tcBorders>
            <w:noWrap/>
            <w:vAlign w:val="bottom"/>
            <w:hideMark/>
          </w:tcPr>
          <w:p w14:paraId="7CD599F0" w14:textId="77777777" w:rsidR="00D03B34" w:rsidRPr="00BA02F8" w:rsidRDefault="00D03B34" w:rsidP="00BA02F8">
            <w:pPr>
              <w:spacing w:after="0" w:line="240" w:lineRule="auto"/>
              <w:jc w:val="right"/>
              <w:rPr>
                <w:rFonts w:ascii="Arial" w:eastAsia="Times New Roman" w:hAnsi="Arial" w:cs="Arial"/>
                <w:b/>
                <w:bCs/>
                <w:color w:val="000000"/>
                <w:sz w:val="22"/>
                <w:szCs w:val="22"/>
                <w:lang w:eastAsia="en-GB"/>
              </w:rPr>
            </w:pPr>
          </w:p>
        </w:tc>
        <w:tc>
          <w:tcPr>
            <w:tcW w:w="2102" w:type="dxa"/>
            <w:tcBorders>
              <w:bottom w:val="single" w:sz="4" w:space="0" w:color="83CAEB" w:themeColor="accent1" w:themeTint="66"/>
            </w:tcBorders>
            <w:shd w:val="clear" w:color="auto" w:fill="C1E4F5" w:themeFill="accent1" w:themeFillTint="33"/>
            <w:noWrap/>
            <w:vAlign w:val="bottom"/>
            <w:hideMark/>
          </w:tcPr>
          <w:p w14:paraId="297F941C" w14:textId="77777777"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Fixed interest Gilts</w:t>
            </w:r>
          </w:p>
        </w:tc>
        <w:tc>
          <w:tcPr>
            <w:tcW w:w="1063" w:type="dxa"/>
            <w:tcBorders>
              <w:bottom w:val="single" w:sz="4" w:space="0" w:color="83CAEB" w:themeColor="accent1" w:themeTint="66"/>
            </w:tcBorders>
            <w:shd w:val="clear" w:color="auto" w:fill="C1E4F5" w:themeFill="accent1" w:themeFillTint="33"/>
            <w:noWrap/>
            <w:vAlign w:val="bottom"/>
            <w:hideMark/>
          </w:tcPr>
          <w:p w14:paraId="1E61BCD5" w14:textId="77777777" w:rsidR="00D03B34" w:rsidRPr="00BA02F8" w:rsidRDefault="00D03B34" w:rsidP="00BA02F8">
            <w:pPr>
              <w:spacing w:after="0" w:line="240" w:lineRule="auto"/>
              <w:jc w:val="right"/>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2.5%</w:t>
            </w:r>
          </w:p>
        </w:tc>
        <w:tc>
          <w:tcPr>
            <w:tcW w:w="2197" w:type="dxa"/>
            <w:tcBorders>
              <w:bottom w:val="single" w:sz="4" w:space="0" w:color="83CAEB" w:themeColor="accent1" w:themeTint="66"/>
            </w:tcBorders>
            <w:shd w:val="clear" w:color="auto" w:fill="C1E4F5" w:themeFill="accent1" w:themeFillTint="33"/>
            <w:noWrap/>
            <w:vAlign w:val="bottom"/>
            <w:hideMark/>
          </w:tcPr>
          <w:p w14:paraId="2695F5DF" w14:textId="4EAF8C27" w:rsidR="00D03B34" w:rsidRPr="00BA02F8" w:rsidRDefault="00D03B34" w:rsidP="00BA02F8">
            <w:pPr>
              <w:spacing w:after="0" w:line="240" w:lineRule="auto"/>
              <w:rPr>
                <w:rFonts w:ascii="Arial" w:eastAsia="Times New Roman" w:hAnsi="Arial" w:cs="Arial"/>
                <w:color w:val="000000"/>
                <w:sz w:val="22"/>
                <w:szCs w:val="22"/>
                <w:lang w:eastAsia="en-GB"/>
              </w:rPr>
            </w:pPr>
            <w:r w:rsidRPr="00F00714">
              <w:rPr>
                <w:rFonts w:ascii="Arial" w:eastAsia="Times New Roman" w:hAnsi="Arial" w:cs="Arial"/>
                <w:color w:val="000000"/>
                <w:sz w:val="22"/>
                <w:szCs w:val="22"/>
                <w:lang w:eastAsia="en-GB"/>
              </w:rPr>
              <w:t>All Stocks Gilts</w:t>
            </w:r>
          </w:p>
        </w:tc>
        <w:tc>
          <w:tcPr>
            <w:tcW w:w="1549" w:type="dxa"/>
            <w:tcBorders>
              <w:bottom w:val="single" w:sz="4" w:space="0" w:color="83CAEB" w:themeColor="accent1" w:themeTint="66"/>
            </w:tcBorders>
            <w:shd w:val="clear" w:color="auto" w:fill="C1E4F5" w:themeFill="accent1" w:themeFillTint="33"/>
            <w:noWrap/>
            <w:vAlign w:val="bottom"/>
            <w:hideMark/>
          </w:tcPr>
          <w:p w14:paraId="62063238" w14:textId="77777777"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 </w:t>
            </w:r>
          </w:p>
        </w:tc>
        <w:tc>
          <w:tcPr>
            <w:tcW w:w="1853" w:type="dxa"/>
            <w:tcBorders>
              <w:bottom w:val="single" w:sz="4" w:space="0" w:color="83CAEB" w:themeColor="accent1" w:themeTint="66"/>
            </w:tcBorders>
            <w:shd w:val="clear" w:color="auto" w:fill="C1E4F5" w:themeFill="accent1" w:themeFillTint="33"/>
            <w:noWrap/>
            <w:vAlign w:val="bottom"/>
            <w:hideMark/>
          </w:tcPr>
          <w:p w14:paraId="22C16FC1" w14:textId="77777777"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 </w:t>
            </w:r>
          </w:p>
        </w:tc>
        <w:tc>
          <w:tcPr>
            <w:tcW w:w="1438" w:type="dxa"/>
            <w:tcBorders>
              <w:bottom w:val="single" w:sz="4" w:space="0" w:color="83CAEB" w:themeColor="accent1" w:themeTint="66"/>
            </w:tcBorders>
            <w:shd w:val="clear" w:color="auto" w:fill="C1E4F5" w:themeFill="accent1" w:themeFillTint="33"/>
            <w:noWrap/>
            <w:vAlign w:val="bottom"/>
            <w:hideMark/>
          </w:tcPr>
          <w:p w14:paraId="71E8F7AE" w14:textId="77777777"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 </w:t>
            </w:r>
          </w:p>
        </w:tc>
        <w:tc>
          <w:tcPr>
            <w:tcW w:w="1075" w:type="dxa"/>
            <w:tcBorders>
              <w:bottom w:val="single" w:sz="4" w:space="0" w:color="83CAEB" w:themeColor="accent1" w:themeTint="66"/>
              <w:right w:val="single" w:sz="12" w:space="0" w:color="153D63" w:themeColor="text2" w:themeTint="E6"/>
            </w:tcBorders>
            <w:shd w:val="clear" w:color="auto" w:fill="C1E4F5" w:themeFill="accent1" w:themeFillTint="33"/>
          </w:tcPr>
          <w:p w14:paraId="13AB1443" w14:textId="77777777" w:rsidR="00D03B34" w:rsidRPr="00BA02F8" w:rsidRDefault="00D03B34" w:rsidP="00B63EE0">
            <w:pPr>
              <w:spacing w:after="0" w:line="240" w:lineRule="auto"/>
              <w:jc w:val="right"/>
              <w:rPr>
                <w:rFonts w:ascii="Arial" w:eastAsia="Times New Roman" w:hAnsi="Arial" w:cs="Arial"/>
                <w:color w:val="000000"/>
                <w:sz w:val="22"/>
                <w:szCs w:val="22"/>
                <w:lang w:eastAsia="en-GB"/>
              </w:rPr>
            </w:pPr>
          </w:p>
        </w:tc>
      </w:tr>
      <w:tr w:rsidR="00D03B34" w:rsidRPr="00BA02F8" w14:paraId="4D9277C3" w14:textId="0CA2598C" w:rsidTr="00DF6465">
        <w:trPr>
          <w:trHeight w:val="290"/>
        </w:trPr>
        <w:tc>
          <w:tcPr>
            <w:tcW w:w="1427" w:type="dxa"/>
            <w:vMerge/>
            <w:tcBorders>
              <w:left w:val="single" w:sz="12" w:space="0" w:color="153D63" w:themeColor="text2" w:themeTint="E6"/>
            </w:tcBorders>
            <w:noWrap/>
            <w:vAlign w:val="bottom"/>
            <w:hideMark/>
          </w:tcPr>
          <w:p w14:paraId="7D31A125" w14:textId="77777777" w:rsidR="00D03B34" w:rsidRPr="00BA02F8" w:rsidRDefault="00D03B34" w:rsidP="00BA02F8">
            <w:pPr>
              <w:spacing w:after="0" w:line="240" w:lineRule="auto"/>
              <w:rPr>
                <w:rFonts w:ascii="Arial" w:eastAsia="Times New Roman" w:hAnsi="Arial" w:cs="Arial"/>
                <w:b/>
                <w:bCs/>
                <w:color w:val="000000"/>
                <w:sz w:val="22"/>
                <w:szCs w:val="22"/>
                <w:lang w:eastAsia="en-GB"/>
              </w:rPr>
            </w:pPr>
          </w:p>
        </w:tc>
        <w:tc>
          <w:tcPr>
            <w:tcW w:w="2102" w:type="dxa"/>
            <w:tcBorders>
              <w:bottom w:val="single" w:sz="4" w:space="0" w:color="83CAEB" w:themeColor="accent1" w:themeTint="66"/>
            </w:tcBorders>
            <w:noWrap/>
            <w:vAlign w:val="bottom"/>
          </w:tcPr>
          <w:p w14:paraId="73FFFE13" w14:textId="57585476"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Other</w:t>
            </w:r>
          </w:p>
        </w:tc>
        <w:tc>
          <w:tcPr>
            <w:tcW w:w="1063" w:type="dxa"/>
            <w:tcBorders>
              <w:bottom w:val="single" w:sz="4" w:space="0" w:color="83CAEB" w:themeColor="accent1" w:themeTint="66"/>
            </w:tcBorders>
            <w:noWrap/>
            <w:vAlign w:val="bottom"/>
          </w:tcPr>
          <w:p w14:paraId="3EC32600" w14:textId="72AD2953" w:rsidR="00D03B34" w:rsidRPr="00BA02F8" w:rsidRDefault="00D03B34" w:rsidP="00BA02F8">
            <w:pPr>
              <w:spacing w:after="0" w:line="240" w:lineRule="auto"/>
              <w:jc w:val="right"/>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0.0%</w:t>
            </w:r>
          </w:p>
        </w:tc>
        <w:tc>
          <w:tcPr>
            <w:tcW w:w="2197" w:type="dxa"/>
            <w:tcBorders>
              <w:bottom w:val="single" w:sz="4" w:space="0" w:color="83CAEB" w:themeColor="accent1" w:themeTint="66"/>
            </w:tcBorders>
            <w:noWrap/>
            <w:vAlign w:val="bottom"/>
          </w:tcPr>
          <w:p w14:paraId="5F9594A8" w14:textId="77777777" w:rsidR="00D03B34" w:rsidRPr="00BA02F8" w:rsidRDefault="00D03B34" w:rsidP="00BA02F8">
            <w:pPr>
              <w:spacing w:after="0" w:line="240" w:lineRule="auto"/>
              <w:jc w:val="right"/>
              <w:rPr>
                <w:rFonts w:ascii="Arial" w:eastAsia="Times New Roman" w:hAnsi="Arial" w:cs="Arial"/>
                <w:color w:val="000000"/>
                <w:sz w:val="22"/>
                <w:szCs w:val="22"/>
                <w:lang w:eastAsia="en-GB"/>
              </w:rPr>
            </w:pPr>
          </w:p>
        </w:tc>
        <w:tc>
          <w:tcPr>
            <w:tcW w:w="1549" w:type="dxa"/>
            <w:tcBorders>
              <w:bottom w:val="single" w:sz="4" w:space="0" w:color="83CAEB" w:themeColor="accent1" w:themeTint="66"/>
            </w:tcBorders>
            <w:noWrap/>
            <w:vAlign w:val="bottom"/>
          </w:tcPr>
          <w:p w14:paraId="0874D5E3" w14:textId="77777777" w:rsidR="00D03B34" w:rsidRPr="00BA02F8" w:rsidRDefault="00D03B34" w:rsidP="00BA02F8">
            <w:pPr>
              <w:spacing w:after="0" w:line="240" w:lineRule="auto"/>
              <w:rPr>
                <w:rFonts w:ascii="Times New Roman" w:eastAsia="Times New Roman" w:hAnsi="Times New Roman" w:cs="Times New Roman"/>
                <w:lang w:eastAsia="en-GB"/>
              </w:rPr>
            </w:pPr>
          </w:p>
        </w:tc>
        <w:tc>
          <w:tcPr>
            <w:tcW w:w="1853" w:type="dxa"/>
            <w:tcBorders>
              <w:bottom w:val="single" w:sz="4" w:space="0" w:color="83CAEB" w:themeColor="accent1" w:themeTint="66"/>
            </w:tcBorders>
            <w:noWrap/>
            <w:vAlign w:val="bottom"/>
          </w:tcPr>
          <w:p w14:paraId="053E2BAD" w14:textId="78175C05" w:rsidR="00D03B34" w:rsidRPr="00BA02F8" w:rsidRDefault="00D03B34" w:rsidP="00BA02F8">
            <w:pPr>
              <w:spacing w:after="0" w:line="240" w:lineRule="auto"/>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Other</w:t>
            </w:r>
          </w:p>
        </w:tc>
        <w:tc>
          <w:tcPr>
            <w:tcW w:w="1438" w:type="dxa"/>
            <w:tcBorders>
              <w:bottom w:val="single" w:sz="4" w:space="0" w:color="83CAEB" w:themeColor="accent1" w:themeTint="66"/>
            </w:tcBorders>
            <w:noWrap/>
            <w:vAlign w:val="bottom"/>
          </w:tcPr>
          <w:p w14:paraId="3D1E46E4" w14:textId="33322A39" w:rsidR="00D03B34" w:rsidRPr="00BA02F8" w:rsidRDefault="00D03B34" w:rsidP="00BA02F8">
            <w:pPr>
              <w:spacing w:after="0" w:line="240" w:lineRule="auto"/>
              <w:jc w:val="right"/>
              <w:rPr>
                <w:rFonts w:ascii="Arial" w:eastAsia="Times New Roman" w:hAnsi="Arial" w:cs="Arial"/>
                <w:color w:val="000000"/>
                <w:sz w:val="22"/>
                <w:szCs w:val="22"/>
                <w:lang w:eastAsia="en-GB"/>
              </w:rPr>
            </w:pPr>
            <w:r w:rsidRPr="00BA02F8">
              <w:rPr>
                <w:rFonts w:ascii="Arial" w:eastAsia="Times New Roman" w:hAnsi="Arial" w:cs="Arial"/>
                <w:color w:val="000000"/>
                <w:sz w:val="22"/>
                <w:szCs w:val="22"/>
                <w:lang w:eastAsia="en-GB"/>
              </w:rPr>
              <w:t>0.0%</w:t>
            </w:r>
          </w:p>
        </w:tc>
        <w:tc>
          <w:tcPr>
            <w:tcW w:w="1075" w:type="dxa"/>
            <w:tcBorders>
              <w:bottom w:val="single" w:sz="4" w:space="0" w:color="83CAEB" w:themeColor="accent1" w:themeTint="66"/>
              <w:right w:val="single" w:sz="12" w:space="0" w:color="153D63" w:themeColor="text2" w:themeTint="E6"/>
            </w:tcBorders>
          </w:tcPr>
          <w:p w14:paraId="4B51F480" w14:textId="77777777" w:rsidR="00D03B34" w:rsidRPr="00BA02F8" w:rsidRDefault="00D03B34" w:rsidP="00B63EE0">
            <w:pPr>
              <w:spacing w:after="0" w:line="240" w:lineRule="auto"/>
              <w:jc w:val="right"/>
              <w:rPr>
                <w:rFonts w:ascii="Arial" w:eastAsia="Times New Roman" w:hAnsi="Arial" w:cs="Arial"/>
                <w:color w:val="000000"/>
                <w:sz w:val="22"/>
                <w:szCs w:val="22"/>
                <w:lang w:eastAsia="en-GB"/>
              </w:rPr>
            </w:pPr>
          </w:p>
        </w:tc>
      </w:tr>
      <w:tr w:rsidR="008C0FCF" w:rsidRPr="00BA02F8" w14:paraId="6F2E59A1" w14:textId="1C3E7422" w:rsidTr="00DF6465">
        <w:trPr>
          <w:trHeight w:val="290"/>
        </w:trPr>
        <w:tc>
          <w:tcPr>
            <w:tcW w:w="1427" w:type="dxa"/>
            <w:vMerge/>
            <w:tcBorders>
              <w:left w:val="single" w:sz="12" w:space="0" w:color="153D63" w:themeColor="text2" w:themeTint="E6"/>
              <w:bottom w:val="single" w:sz="12" w:space="0" w:color="153D63" w:themeColor="text2" w:themeTint="E6"/>
            </w:tcBorders>
            <w:noWrap/>
            <w:vAlign w:val="bottom"/>
          </w:tcPr>
          <w:p w14:paraId="0606C2B0" w14:textId="77777777" w:rsidR="00D03B34" w:rsidRPr="00BA02F8" w:rsidRDefault="00D03B34" w:rsidP="00BA02F8">
            <w:pPr>
              <w:spacing w:after="0" w:line="240" w:lineRule="auto"/>
              <w:rPr>
                <w:rFonts w:ascii="Arial" w:eastAsia="Times New Roman" w:hAnsi="Arial" w:cs="Arial"/>
                <w:b/>
                <w:bCs/>
                <w:color w:val="000000"/>
                <w:sz w:val="22"/>
                <w:szCs w:val="22"/>
                <w:lang w:eastAsia="en-GB"/>
              </w:rPr>
            </w:pPr>
          </w:p>
        </w:tc>
        <w:tc>
          <w:tcPr>
            <w:tcW w:w="2102" w:type="dxa"/>
            <w:tcBorders>
              <w:bottom w:val="single" w:sz="12" w:space="0" w:color="153D63" w:themeColor="text2" w:themeTint="E6"/>
            </w:tcBorders>
            <w:shd w:val="clear" w:color="auto" w:fill="C1E4F5" w:themeFill="accent1" w:themeFillTint="33"/>
            <w:noWrap/>
            <w:vAlign w:val="bottom"/>
          </w:tcPr>
          <w:p w14:paraId="4C677EE0" w14:textId="77777777" w:rsidR="00D03B34" w:rsidRPr="00BA02F8" w:rsidRDefault="00D03B34" w:rsidP="00BA02F8">
            <w:pPr>
              <w:spacing w:after="0" w:line="240" w:lineRule="auto"/>
              <w:rPr>
                <w:rFonts w:ascii="Arial" w:eastAsia="Times New Roman" w:hAnsi="Arial" w:cs="Arial"/>
                <w:color w:val="000000"/>
                <w:sz w:val="22"/>
                <w:szCs w:val="22"/>
                <w:lang w:eastAsia="en-GB"/>
              </w:rPr>
            </w:pPr>
          </w:p>
        </w:tc>
        <w:tc>
          <w:tcPr>
            <w:tcW w:w="1063" w:type="dxa"/>
            <w:tcBorders>
              <w:bottom w:val="single" w:sz="12" w:space="0" w:color="153D63" w:themeColor="text2" w:themeTint="E6"/>
            </w:tcBorders>
            <w:shd w:val="clear" w:color="auto" w:fill="C1E4F5" w:themeFill="accent1" w:themeFillTint="33"/>
            <w:noWrap/>
            <w:vAlign w:val="bottom"/>
          </w:tcPr>
          <w:p w14:paraId="397B4645" w14:textId="77777777" w:rsidR="00D03B34" w:rsidRPr="00BA02F8" w:rsidRDefault="00D03B34" w:rsidP="00BA02F8">
            <w:pPr>
              <w:spacing w:after="0" w:line="240" w:lineRule="auto"/>
              <w:jc w:val="right"/>
              <w:rPr>
                <w:rFonts w:ascii="Arial" w:eastAsia="Times New Roman" w:hAnsi="Arial" w:cs="Arial"/>
                <w:color w:val="000000"/>
                <w:sz w:val="22"/>
                <w:szCs w:val="22"/>
                <w:lang w:eastAsia="en-GB"/>
              </w:rPr>
            </w:pPr>
          </w:p>
        </w:tc>
        <w:tc>
          <w:tcPr>
            <w:tcW w:w="2197" w:type="dxa"/>
            <w:tcBorders>
              <w:bottom w:val="single" w:sz="12" w:space="0" w:color="153D63" w:themeColor="text2" w:themeTint="E6"/>
            </w:tcBorders>
            <w:shd w:val="clear" w:color="auto" w:fill="C1E4F5" w:themeFill="accent1" w:themeFillTint="33"/>
            <w:noWrap/>
            <w:vAlign w:val="bottom"/>
          </w:tcPr>
          <w:p w14:paraId="49439850" w14:textId="77777777" w:rsidR="00D03B34" w:rsidRPr="00BA02F8" w:rsidRDefault="00D03B34" w:rsidP="00BA02F8">
            <w:pPr>
              <w:spacing w:after="0" w:line="240" w:lineRule="auto"/>
              <w:jc w:val="right"/>
              <w:rPr>
                <w:rFonts w:ascii="Arial" w:eastAsia="Times New Roman" w:hAnsi="Arial" w:cs="Arial"/>
                <w:color w:val="000000"/>
                <w:sz w:val="22"/>
                <w:szCs w:val="22"/>
                <w:lang w:eastAsia="en-GB"/>
              </w:rPr>
            </w:pPr>
          </w:p>
        </w:tc>
        <w:tc>
          <w:tcPr>
            <w:tcW w:w="1549" w:type="dxa"/>
            <w:tcBorders>
              <w:bottom w:val="single" w:sz="12" w:space="0" w:color="153D63" w:themeColor="text2" w:themeTint="E6"/>
            </w:tcBorders>
            <w:shd w:val="clear" w:color="auto" w:fill="C1E4F5" w:themeFill="accent1" w:themeFillTint="33"/>
            <w:noWrap/>
            <w:vAlign w:val="bottom"/>
          </w:tcPr>
          <w:p w14:paraId="41370756" w14:textId="77777777" w:rsidR="00D03B34" w:rsidRPr="00BA02F8" w:rsidRDefault="00D03B34" w:rsidP="00BA02F8">
            <w:pPr>
              <w:spacing w:after="0" w:line="240" w:lineRule="auto"/>
              <w:rPr>
                <w:rFonts w:ascii="Times New Roman" w:eastAsia="Times New Roman" w:hAnsi="Times New Roman" w:cs="Times New Roman"/>
                <w:lang w:eastAsia="en-GB"/>
              </w:rPr>
            </w:pPr>
          </w:p>
        </w:tc>
        <w:tc>
          <w:tcPr>
            <w:tcW w:w="1853" w:type="dxa"/>
            <w:tcBorders>
              <w:bottom w:val="single" w:sz="12" w:space="0" w:color="153D63" w:themeColor="text2" w:themeTint="E6"/>
            </w:tcBorders>
            <w:shd w:val="clear" w:color="auto" w:fill="C1E4F5" w:themeFill="accent1" w:themeFillTint="33"/>
            <w:noWrap/>
            <w:vAlign w:val="bottom"/>
          </w:tcPr>
          <w:p w14:paraId="772132A6" w14:textId="77777777" w:rsidR="00D03B34" w:rsidRPr="00BA02F8" w:rsidRDefault="00D03B34" w:rsidP="00BA02F8">
            <w:pPr>
              <w:spacing w:after="0" w:line="240" w:lineRule="auto"/>
              <w:rPr>
                <w:rFonts w:ascii="Arial" w:eastAsia="Times New Roman" w:hAnsi="Arial" w:cs="Arial"/>
                <w:color w:val="000000"/>
                <w:sz w:val="22"/>
                <w:szCs w:val="22"/>
                <w:lang w:eastAsia="en-GB"/>
              </w:rPr>
            </w:pPr>
          </w:p>
        </w:tc>
        <w:tc>
          <w:tcPr>
            <w:tcW w:w="1438" w:type="dxa"/>
            <w:tcBorders>
              <w:bottom w:val="single" w:sz="12" w:space="0" w:color="153D63" w:themeColor="text2" w:themeTint="E6"/>
            </w:tcBorders>
            <w:shd w:val="clear" w:color="auto" w:fill="C1E4F5" w:themeFill="accent1" w:themeFillTint="33"/>
            <w:noWrap/>
            <w:vAlign w:val="bottom"/>
          </w:tcPr>
          <w:p w14:paraId="4FA1044A" w14:textId="77777777" w:rsidR="00D03B34" w:rsidRPr="00BA02F8" w:rsidRDefault="00D03B34" w:rsidP="00BA02F8">
            <w:pPr>
              <w:spacing w:after="0" w:line="240" w:lineRule="auto"/>
              <w:jc w:val="right"/>
              <w:rPr>
                <w:rFonts w:ascii="Arial" w:eastAsia="Times New Roman" w:hAnsi="Arial" w:cs="Arial"/>
                <w:color w:val="000000"/>
                <w:sz w:val="22"/>
                <w:szCs w:val="22"/>
                <w:lang w:eastAsia="en-GB"/>
              </w:rPr>
            </w:pPr>
          </w:p>
        </w:tc>
        <w:tc>
          <w:tcPr>
            <w:tcW w:w="1075" w:type="dxa"/>
            <w:tcBorders>
              <w:bottom w:val="single" w:sz="12" w:space="0" w:color="153D63" w:themeColor="text2" w:themeTint="E6"/>
              <w:right w:val="single" w:sz="12" w:space="0" w:color="153D63" w:themeColor="text2" w:themeTint="E6"/>
            </w:tcBorders>
            <w:shd w:val="clear" w:color="auto" w:fill="C1E4F5" w:themeFill="accent1" w:themeFillTint="33"/>
          </w:tcPr>
          <w:p w14:paraId="22FA0EDA" w14:textId="5B9C4D38" w:rsidR="00D03B34" w:rsidRPr="00BA02F8" w:rsidRDefault="00B63EE0" w:rsidP="00B63EE0">
            <w:pPr>
              <w:spacing w:after="0" w:line="240" w:lineRule="auto"/>
              <w:jc w:val="right"/>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10-30%</w:t>
            </w:r>
          </w:p>
        </w:tc>
      </w:tr>
      <w:tr w:rsidR="00D03B34" w:rsidRPr="00BA02F8" w14:paraId="7CA286BE" w14:textId="39923EC3" w:rsidTr="00DF6465">
        <w:trPr>
          <w:trHeight w:val="290"/>
        </w:trPr>
        <w:tc>
          <w:tcPr>
            <w:tcW w:w="1427" w:type="dxa"/>
            <w:tcBorders>
              <w:top w:val="single" w:sz="12" w:space="0" w:color="153D63" w:themeColor="text2" w:themeTint="E6"/>
              <w:left w:val="single" w:sz="12" w:space="0" w:color="153D63" w:themeColor="text2" w:themeTint="E6"/>
              <w:bottom w:val="single" w:sz="12" w:space="0" w:color="153D63" w:themeColor="text2" w:themeTint="E6"/>
            </w:tcBorders>
            <w:noWrap/>
            <w:vAlign w:val="bottom"/>
            <w:hideMark/>
          </w:tcPr>
          <w:p w14:paraId="09B12A81" w14:textId="0892F340" w:rsidR="00D03B34" w:rsidRPr="00BA02F8" w:rsidRDefault="00D03B34" w:rsidP="00DB3525">
            <w:pPr>
              <w:spacing w:after="0" w:line="240" w:lineRule="auto"/>
              <w:rPr>
                <w:rFonts w:ascii="Arial" w:eastAsia="Times New Roman" w:hAnsi="Arial" w:cs="Arial"/>
                <w:b/>
                <w:bCs/>
                <w:color w:val="000000"/>
                <w:sz w:val="22"/>
                <w:szCs w:val="22"/>
                <w:lang w:eastAsia="en-GB"/>
              </w:rPr>
            </w:pPr>
            <w:r w:rsidRPr="00BA02F8">
              <w:rPr>
                <w:rFonts w:ascii="Arial" w:eastAsia="Times New Roman" w:hAnsi="Arial" w:cs="Arial"/>
                <w:b/>
                <w:bCs/>
                <w:color w:val="000000"/>
                <w:sz w:val="22"/>
                <w:szCs w:val="22"/>
                <w:lang w:eastAsia="en-GB"/>
              </w:rPr>
              <w:t>Total</w:t>
            </w:r>
          </w:p>
        </w:tc>
        <w:tc>
          <w:tcPr>
            <w:tcW w:w="2102" w:type="dxa"/>
            <w:tcBorders>
              <w:top w:val="single" w:sz="12" w:space="0" w:color="153D63" w:themeColor="text2" w:themeTint="E6"/>
              <w:bottom w:val="single" w:sz="12" w:space="0" w:color="153D63" w:themeColor="text2" w:themeTint="E6"/>
            </w:tcBorders>
            <w:noWrap/>
            <w:vAlign w:val="bottom"/>
            <w:hideMark/>
          </w:tcPr>
          <w:p w14:paraId="6CB84863" w14:textId="77777777" w:rsidR="00D03B34" w:rsidRPr="00BA02F8" w:rsidRDefault="00D03B34" w:rsidP="00BA02F8">
            <w:pPr>
              <w:spacing w:after="0" w:line="240" w:lineRule="auto"/>
              <w:rPr>
                <w:rFonts w:ascii="Times New Roman" w:eastAsia="Times New Roman" w:hAnsi="Times New Roman" w:cs="Times New Roman"/>
                <w:lang w:eastAsia="en-GB"/>
              </w:rPr>
            </w:pPr>
          </w:p>
        </w:tc>
        <w:tc>
          <w:tcPr>
            <w:tcW w:w="1063" w:type="dxa"/>
            <w:tcBorders>
              <w:top w:val="single" w:sz="12" w:space="0" w:color="153D63" w:themeColor="text2" w:themeTint="E6"/>
              <w:bottom w:val="single" w:sz="12" w:space="0" w:color="153D63" w:themeColor="text2" w:themeTint="E6"/>
            </w:tcBorders>
            <w:noWrap/>
            <w:vAlign w:val="bottom"/>
            <w:hideMark/>
          </w:tcPr>
          <w:p w14:paraId="74BE00A3" w14:textId="088AA403" w:rsidR="00D03B34" w:rsidRPr="00BA02F8" w:rsidRDefault="00D03B34" w:rsidP="00BA02F8">
            <w:pPr>
              <w:spacing w:after="0" w:line="240" w:lineRule="auto"/>
              <w:rPr>
                <w:rFonts w:ascii="Times New Roman" w:eastAsia="Times New Roman" w:hAnsi="Times New Roman" w:cs="Times New Roman"/>
                <w:lang w:eastAsia="en-GB"/>
              </w:rPr>
            </w:pPr>
            <w:r w:rsidRPr="00BA02F8">
              <w:rPr>
                <w:rFonts w:ascii="Arial" w:eastAsia="Times New Roman" w:hAnsi="Arial" w:cs="Arial"/>
                <w:color w:val="000000"/>
                <w:sz w:val="22"/>
                <w:szCs w:val="22"/>
                <w:lang w:eastAsia="en-GB"/>
              </w:rPr>
              <w:t>100.0%</w:t>
            </w:r>
          </w:p>
        </w:tc>
        <w:tc>
          <w:tcPr>
            <w:tcW w:w="2197" w:type="dxa"/>
            <w:tcBorders>
              <w:top w:val="single" w:sz="12" w:space="0" w:color="153D63" w:themeColor="text2" w:themeTint="E6"/>
              <w:bottom w:val="single" w:sz="12" w:space="0" w:color="153D63" w:themeColor="text2" w:themeTint="E6"/>
            </w:tcBorders>
            <w:noWrap/>
            <w:vAlign w:val="bottom"/>
            <w:hideMark/>
          </w:tcPr>
          <w:p w14:paraId="382B6507" w14:textId="77777777" w:rsidR="00D03B34" w:rsidRPr="00BA02F8" w:rsidRDefault="00D03B34" w:rsidP="00BA02F8">
            <w:pPr>
              <w:spacing w:after="0" w:line="240" w:lineRule="auto"/>
              <w:rPr>
                <w:rFonts w:ascii="Times New Roman" w:eastAsia="Times New Roman" w:hAnsi="Times New Roman" w:cs="Times New Roman"/>
                <w:lang w:eastAsia="en-GB"/>
              </w:rPr>
            </w:pPr>
          </w:p>
        </w:tc>
        <w:tc>
          <w:tcPr>
            <w:tcW w:w="1549" w:type="dxa"/>
            <w:tcBorders>
              <w:top w:val="single" w:sz="12" w:space="0" w:color="153D63" w:themeColor="text2" w:themeTint="E6"/>
              <w:bottom w:val="single" w:sz="12" w:space="0" w:color="153D63" w:themeColor="text2" w:themeTint="E6"/>
            </w:tcBorders>
            <w:noWrap/>
            <w:vAlign w:val="bottom"/>
            <w:hideMark/>
          </w:tcPr>
          <w:p w14:paraId="73CF8219" w14:textId="77777777" w:rsidR="00D03B34" w:rsidRPr="00BA02F8" w:rsidRDefault="00D03B34" w:rsidP="00BA02F8">
            <w:pPr>
              <w:spacing w:after="0" w:line="240" w:lineRule="auto"/>
              <w:rPr>
                <w:rFonts w:ascii="Times New Roman" w:eastAsia="Times New Roman" w:hAnsi="Times New Roman" w:cs="Times New Roman"/>
                <w:lang w:eastAsia="en-GB"/>
              </w:rPr>
            </w:pPr>
          </w:p>
        </w:tc>
        <w:tc>
          <w:tcPr>
            <w:tcW w:w="1853" w:type="dxa"/>
            <w:tcBorders>
              <w:top w:val="single" w:sz="12" w:space="0" w:color="153D63" w:themeColor="text2" w:themeTint="E6"/>
              <w:bottom w:val="single" w:sz="12" w:space="0" w:color="153D63" w:themeColor="text2" w:themeTint="E6"/>
            </w:tcBorders>
            <w:noWrap/>
            <w:vAlign w:val="bottom"/>
            <w:hideMark/>
          </w:tcPr>
          <w:p w14:paraId="7ABF0100" w14:textId="77777777" w:rsidR="00D03B34" w:rsidRPr="00BA02F8" w:rsidRDefault="00D03B34" w:rsidP="00BA02F8">
            <w:pPr>
              <w:spacing w:after="0" w:line="240" w:lineRule="auto"/>
              <w:rPr>
                <w:rFonts w:ascii="Times New Roman" w:eastAsia="Times New Roman" w:hAnsi="Times New Roman" w:cs="Times New Roman"/>
                <w:lang w:eastAsia="en-GB"/>
              </w:rPr>
            </w:pPr>
          </w:p>
        </w:tc>
        <w:tc>
          <w:tcPr>
            <w:tcW w:w="1438" w:type="dxa"/>
            <w:tcBorders>
              <w:top w:val="single" w:sz="12" w:space="0" w:color="153D63" w:themeColor="text2" w:themeTint="E6"/>
              <w:bottom w:val="single" w:sz="12" w:space="0" w:color="153D63" w:themeColor="text2" w:themeTint="E6"/>
            </w:tcBorders>
            <w:noWrap/>
            <w:vAlign w:val="bottom"/>
            <w:hideMark/>
          </w:tcPr>
          <w:p w14:paraId="0C964A06" w14:textId="49C2BEB0" w:rsidR="00D03B34" w:rsidRPr="00BA02F8" w:rsidRDefault="00D03B34" w:rsidP="00BA02F8">
            <w:pPr>
              <w:spacing w:after="0" w:line="240" w:lineRule="auto"/>
              <w:rPr>
                <w:rFonts w:ascii="Times New Roman" w:eastAsia="Times New Roman" w:hAnsi="Times New Roman" w:cs="Times New Roman"/>
                <w:lang w:eastAsia="en-GB"/>
              </w:rPr>
            </w:pPr>
            <w:r w:rsidRPr="00BA02F8">
              <w:rPr>
                <w:rFonts w:ascii="Arial" w:eastAsia="Times New Roman" w:hAnsi="Arial" w:cs="Arial"/>
                <w:color w:val="000000"/>
                <w:sz w:val="22"/>
                <w:szCs w:val="22"/>
                <w:lang w:eastAsia="en-GB"/>
              </w:rPr>
              <w:t>100.0%</w:t>
            </w:r>
          </w:p>
        </w:tc>
        <w:tc>
          <w:tcPr>
            <w:tcW w:w="1075" w:type="dxa"/>
            <w:tcBorders>
              <w:top w:val="single" w:sz="12" w:space="0" w:color="153D63" w:themeColor="text2" w:themeTint="E6"/>
              <w:bottom w:val="single" w:sz="12" w:space="0" w:color="153D63" w:themeColor="text2" w:themeTint="E6"/>
              <w:right w:val="single" w:sz="12" w:space="0" w:color="153D63" w:themeColor="text2" w:themeTint="E6"/>
            </w:tcBorders>
          </w:tcPr>
          <w:p w14:paraId="3A7E9169" w14:textId="77777777" w:rsidR="00D03B34" w:rsidRPr="00BA02F8" w:rsidRDefault="00D03B34" w:rsidP="00BA02F8">
            <w:pPr>
              <w:spacing w:after="0" w:line="240" w:lineRule="auto"/>
              <w:rPr>
                <w:rFonts w:ascii="Arial" w:eastAsia="Times New Roman" w:hAnsi="Arial" w:cs="Arial"/>
                <w:color w:val="000000"/>
                <w:sz w:val="22"/>
                <w:szCs w:val="22"/>
                <w:lang w:eastAsia="en-GB"/>
              </w:rPr>
            </w:pPr>
          </w:p>
        </w:tc>
      </w:tr>
    </w:tbl>
    <w:p w14:paraId="3D49BA88" w14:textId="77777777" w:rsidR="00CA2AAE" w:rsidRDefault="00CA2AAE" w:rsidP="00B67B1A">
      <w:pPr>
        <w:pStyle w:val="Heading2"/>
        <w:spacing w:before="320"/>
        <w:rPr>
          <w:color w:val="0F4761" w:themeColor="accent1" w:themeShade="BF"/>
          <w:sz w:val="32"/>
          <w:szCs w:val="32"/>
          <w:highlight w:val="yellow"/>
        </w:rPr>
        <w:sectPr w:rsidR="00CA2AAE" w:rsidSect="005D460F">
          <w:type w:val="continuous"/>
          <w:pgSz w:w="15840" w:h="12240" w:orient="landscape"/>
          <w:pgMar w:top="1440" w:right="1440" w:bottom="1440" w:left="1440" w:header="720" w:footer="720" w:gutter="0"/>
          <w:cols w:num="2" w:space="720"/>
          <w:docGrid w:linePitch="360"/>
        </w:sectPr>
      </w:pPr>
    </w:p>
    <w:p w14:paraId="3B22BBC6" w14:textId="77777777" w:rsidR="00530B44" w:rsidRDefault="00530B44" w:rsidP="00E76CA0">
      <w:pPr>
        <w:pStyle w:val="Heading2"/>
        <w:spacing w:before="0"/>
        <w:rPr>
          <w:color w:val="0F4761" w:themeColor="accent1" w:themeShade="BF"/>
          <w:sz w:val="32"/>
          <w:szCs w:val="32"/>
        </w:rPr>
      </w:pPr>
      <w:bookmarkStart w:id="6" w:name="_Toc224113540"/>
      <w:r>
        <w:rPr>
          <w:color w:val="0F4761" w:themeColor="accent1" w:themeShade="BF"/>
          <w:sz w:val="32"/>
          <w:szCs w:val="32"/>
        </w:rPr>
        <w:t>Rebalancing</w:t>
      </w:r>
      <w:bookmarkEnd w:id="6"/>
    </w:p>
    <w:p w14:paraId="3E8A6170" w14:textId="7C22AF8E" w:rsidR="00530B44" w:rsidRPr="00130325" w:rsidRDefault="005619A5" w:rsidP="00530B44">
      <w:pPr>
        <w:rPr>
          <w:rFonts w:ascii="Arial" w:hAnsi="Arial" w:cs="Arial"/>
          <w:sz w:val="24"/>
          <w:szCs w:val="24"/>
        </w:rPr>
      </w:pPr>
      <w:r>
        <w:rPr>
          <w:rFonts w:ascii="Arial" w:hAnsi="Arial" w:cs="Arial"/>
          <w:sz w:val="24"/>
          <w:szCs w:val="24"/>
        </w:rPr>
        <w:t>In addition to the ranges above</w:t>
      </w:r>
      <w:r w:rsidR="00B8528D">
        <w:rPr>
          <w:rFonts w:ascii="Arial" w:hAnsi="Arial" w:cs="Arial"/>
          <w:sz w:val="24"/>
          <w:szCs w:val="24"/>
        </w:rPr>
        <w:t>,</w:t>
      </w:r>
      <w:r w:rsidR="00530B44" w:rsidRPr="00130325">
        <w:rPr>
          <w:rFonts w:ascii="Arial" w:hAnsi="Arial" w:cs="Arial"/>
          <w:sz w:val="24"/>
          <w:szCs w:val="24"/>
        </w:rPr>
        <w:t xml:space="preserve"> to ensure that the Pension Fund’s investment allocations remain in line with the agreed strategy, the Pension Fund Panel and Board has agreed minimum allocations</w:t>
      </w:r>
      <w:r w:rsidR="00560D47">
        <w:rPr>
          <w:rFonts w:ascii="Arial" w:hAnsi="Arial" w:cs="Arial"/>
          <w:sz w:val="24"/>
          <w:szCs w:val="24"/>
        </w:rPr>
        <w:t xml:space="preserve"> for specific asset classes</w:t>
      </w:r>
      <w:r w:rsidR="00530B44" w:rsidRPr="00130325">
        <w:rPr>
          <w:rFonts w:ascii="Arial" w:hAnsi="Arial" w:cs="Arial"/>
          <w:sz w:val="24"/>
          <w:szCs w:val="24"/>
        </w:rPr>
        <w:t xml:space="preserve"> to ensure allocations do not drift too far through the natural movement of valuations of different asset classes over time. The following minimum allocations </w:t>
      </w:r>
      <w:r w:rsidR="00530B44">
        <w:rPr>
          <w:rFonts w:ascii="Arial" w:hAnsi="Arial" w:cs="Arial"/>
          <w:sz w:val="24"/>
          <w:szCs w:val="24"/>
        </w:rPr>
        <w:t>below that</w:t>
      </w:r>
      <w:r w:rsidR="00530B44" w:rsidRPr="00130325">
        <w:rPr>
          <w:rFonts w:ascii="Arial" w:hAnsi="Arial" w:cs="Arial"/>
          <w:sz w:val="24"/>
          <w:szCs w:val="24"/>
        </w:rPr>
        <w:t xml:space="preserve"> been agreed</w:t>
      </w:r>
      <w:r w:rsidR="00C1092D">
        <w:rPr>
          <w:rFonts w:ascii="Arial" w:hAnsi="Arial" w:cs="Arial"/>
          <w:sz w:val="24"/>
          <w:szCs w:val="24"/>
        </w:rPr>
        <w:t>, in addition to the ranges in the asset allocation,</w:t>
      </w:r>
      <w:r w:rsidR="00530B44" w:rsidRPr="00130325">
        <w:rPr>
          <w:rFonts w:ascii="Arial" w:hAnsi="Arial" w:cs="Arial"/>
          <w:sz w:val="24"/>
          <w:szCs w:val="24"/>
        </w:rPr>
        <w:t xml:space="preserve"> </w:t>
      </w:r>
      <w:r w:rsidR="00530B44">
        <w:rPr>
          <w:rFonts w:ascii="Arial" w:hAnsi="Arial" w:cs="Arial"/>
          <w:sz w:val="24"/>
          <w:szCs w:val="24"/>
        </w:rPr>
        <w:t xml:space="preserve">would trigger a review and </w:t>
      </w:r>
      <w:r w:rsidR="00530B44" w:rsidRPr="00130325">
        <w:rPr>
          <w:rFonts w:ascii="Arial" w:hAnsi="Arial" w:cs="Arial"/>
          <w:sz w:val="24"/>
          <w:szCs w:val="24"/>
        </w:rPr>
        <w:t xml:space="preserve">Pension </w:t>
      </w:r>
      <w:r w:rsidR="00530B44">
        <w:rPr>
          <w:rFonts w:ascii="Arial" w:hAnsi="Arial" w:cs="Arial"/>
          <w:sz w:val="24"/>
          <w:szCs w:val="24"/>
        </w:rPr>
        <w:t>Fund Panel and Board would take advice (in the first instance from LGPS Central - LGPSC) to consider whether the strategic allocation needed to be amended</w:t>
      </w:r>
      <w:r w:rsidR="00530B44" w:rsidRPr="00130325">
        <w:rPr>
          <w:rFonts w:ascii="Arial" w:hAnsi="Arial" w:cs="Arial"/>
          <w:sz w:val="24"/>
          <w:szCs w:val="24"/>
        </w:rPr>
        <w:t>.</w:t>
      </w:r>
    </w:p>
    <w:tbl>
      <w:tblPr>
        <w:tblStyle w:val="TableGrid"/>
        <w:tblW w:w="5270" w:type="dxa"/>
        <w:tblInd w:w="108" w:type="dxa"/>
        <w:tblBorders>
          <w:top w:val="single" w:sz="4" w:space="0" w:color="C1E4F5" w:themeColor="accent1" w:themeTint="33"/>
          <w:left w:val="single" w:sz="4" w:space="0" w:color="C1E4F5" w:themeColor="accent1" w:themeTint="33"/>
          <w:bottom w:val="single" w:sz="4" w:space="0" w:color="C1E4F5" w:themeColor="accent1" w:themeTint="33"/>
          <w:right w:val="single" w:sz="4" w:space="0" w:color="C1E4F5" w:themeColor="accent1" w:themeTint="33"/>
          <w:insideH w:val="single" w:sz="4" w:space="0" w:color="C1E4F5" w:themeColor="accent1" w:themeTint="33"/>
          <w:insideV w:val="single" w:sz="4" w:space="0" w:color="C1E4F5" w:themeColor="accent1" w:themeTint="33"/>
        </w:tblBorders>
        <w:shd w:val="clear" w:color="auto" w:fill="156082" w:themeFill="accent1"/>
        <w:tblLook w:val="04A0" w:firstRow="1" w:lastRow="0" w:firstColumn="1" w:lastColumn="0" w:noHBand="0" w:noVBand="1"/>
      </w:tblPr>
      <w:tblGrid>
        <w:gridCol w:w="2577"/>
        <w:gridCol w:w="1275"/>
        <w:gridCol w:w="1418"/>
      </w:tblGrid>
      <w:tr w:rsidR="00530B44" w:rsidRPr="004F0A6B" w14:paraId="295FD97B" w14:textId="77777777" w:rsidTr="005666AE">
        <w:tc>
          <w:tcPr>
            <w:tcW w:w="2577" w:type="dxa"/>
            <w:tcBorders>
              <w:bottom w:val="single" w:sz="4" w:space="0" w:color="C1E4F5" w:themeColor="accent1" w:themeTint="33"/>
            </w:tcBorders>
            <w:shd w:val="clear" w:color="auto" w:fill="156082" w:themeFill="accent1"/>
          </w:tcPr>
          <w:p w14:paraId="5DC8DC9A" w14:textId="77777777" w:rsidR="00530B44" w:rsidRPr="007D3289" w:rsidRDefault="00530B44" w:rsidP="005666AE">
            <w:pPr>
              <w:rPr>
                <w:rFonts w:ascii="Arial" w:eastAsia="Times New Roman" w:hAnsi="Arial" w:cs="Arial"/>
                <w:color w:val="FFFFFF" w:themeColor="background1"/>
                <w:sz w:val="22"/>
                <w:szCs w:val="22"/>
                <w:lang w:eastAsia="en-GB"/>
              </w:rPr>
            </w:pPr>
            <w:r w:rsidRPr="007D3289">
              <w:rPr>
                <w:rFonts w:ascii="Arial" w:eastAsia="Times New Roman" w:hAnsi="Arial" w:cs="Arial"/>
                <w:color w:val="FFFFFF" w:themeColor="background1"/>
                <w:sz w:val="22"/>
                <w:szCs w:val="22"/>
                <w:lang w:eastAsia="en-GB"/>
              </w:rPr>
              <w:t>Asset class</w:t>
            </w:r>
          </w:p>
        </w:tc>
        <w:tc>
          <w:tcPr>
            <w:tcW w:w="1275" w:type="dxa"/>
            <w:tcBorders>
              <w:bottom w:val="single" w:sz="4" w:space="0" w:color="C1E4F5" w:themeColor="accent1" w:themeTint="33"/>
            </w:tcBorders>
            <w:shd w:val="clear" w:color="auto" w:fill="156082" w:themeFill="accent1"/>
          </w:tcPr>
          <w:p w14:paraId="7DC3F4C1" w14:textId="77777777" w:rsidR="00530B44" w:rsidRPr="007D3289" w:rsidRDefault="00530B44" w:rsidP="005666AE">
            <w:pPr>
              <w:rPr>
                <w:rFonts w:ascii="Arial" w:eastAsia="Times New Roman" w:hAnsi="Arial" w:cs="Arial"/>
                <w:color w:val="FFFFFF" w:themeColor="background1"/>
                <w:sz w:val="22"/>
                <w:szCs w:val="22"/>
                <w:lang w:eastAsia="en-GB"/>
              </w:rPr>
            </w:pPr>
            <w:r w:rsidRPr="007D3289">
              <w:rPr>
                <w:rFonts w:ascii="Arial" w:eastAsia="Times New Roman" w:hAnsi="Arial" w:cs="Arial"/>
                <w:color w:val="FFFFFF" w:themeColor="background1"/>
                <w:sz w:val="22"/>
                <w:szCs w:val="22"/>
                <w:lang w:eastAsia="en-GB"/>
              </w:rPr>
              <w:t>Strategic allocation</w:t>
            </w:r>
          </w:p>
        </w:tc>
        <w:tc>
          <w:tcPr>
            <w:tcW w:w="1418" w:type="dxa"/>
            <w:tcBorders>
              <w:bottom w:val="single" w:sz="4" w:space="0" w:color="C1E4F5" w:themeColor="accent1" w:themeTint="33"/>
            </w:tcBorders>
            <w:shd w:val="clear" w:color="auto" w:fill="156082" w:themeFill="accent1"/>
          </w:tcPr>
          <w:p w14:paraId="61919722" w14:textId="77777777" w:rsidR="00530B44" w:rsidRPr="007D3289" w:rsidRDefault="00530B44" w:rsidP="005666AE">
            <w:pPr>
              <w:rPr>
                <w:rFonts w:ascii="Arial" w:eastAsia="Times New Roman" w:hAnsi="Arial" w:cs="Arial"/>
                <w:color w:val="FFFFFF" w:themeColor="background1"/>
                <w:sz w:val="22"/>
                <w:szCs w:val="22"/>
                <w:lang w:eastAsia="en-GB"/>
              </w:rPr>
            </w:pPr>
            <w:r w:rsidRPr="007D3289">
              <w:rPr>
                <w:rFonts w:ascii="Arial" w:eastAsia="Times New Roman" w:hAnsi="Arial" w:cs="Arial"/>
                <w:color w:val="FFFFFF" w:themeColor="background1"/>
                <w:sz w:val="22"/>
                <w:szCs w:val="22"/>
                <w:lang w:eastAsia="en-GB"/>
              </w:rPr>
              <w:t>Minimum allocation</w:t>
            </w:r>
          </w:p>
        </w:tc>
      </w:tr>
      <w:tr w:rsidR="00530B44" w:rsidRPr="004F0A6B" w14:paraId="08C38339" w14:textId="77777777" w:rsidTr="005666AE">
        <w:tc>
          <w:tcPr>
            <w:tcW w:w="2577" w:type="dxa"/>
            <w:tcBorders>
              <w:bottom w:val="single" w:sz="4" w:space="0" w:color="C1E4F5" w:themeColor="accent1" w:themeTint="33"/>
            </w:tcBorders>
          </w:tcPr>
          <w:p w14:paraId="5D270D43" w14:textId="77777777" w:rsidR="00530B44" w:rsidRPr="00971903" w:rsidRDefault="00530B44" w:rsidP="005666AE">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Credit</w:t>
            </w:r>
          </w:p>
        </w:tc>
        <w:tc>
          <w:tcPr>
            <w:tcW w:w="1275" w:type="dxa"/>
            <w:tcBorders>
              <w:bottom w:val="single" w:sz="4" w:space="0" w:color="C1E4F5" w:themeColor="accent1" w:themeTint="33"/>
            </w:tcBorders>
          </w:tcPr>
          <w:p w14:paraId="3E34AB6A" w14:textId="77777777" w:rsidR="00530B44" w:rsidRPr="00971903" w:rsidRDefault="00530B44" w:rsidP="005666AE">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17%</w:t>
            </w:r>
          </w:p>
        </w:tc>
        <w:tc>
          <w:tcPr>
            <w:tcW w:w="1418" w:type="dxa"/>
            <w:tcBorders>
              <w:bottom w:val="single" w:sz="4" w:space="0" w:color="C1E4F5" w:themeColor="accent1" w:themeTint="33"/>
            </w:tcBorders>
          </w:tcPr>
          <w:p w14:paraId="05A0E6D1" w14:textId="77777777" w:rsidR="00530B44" w:rsidRPr="00971903" w:rsidRDefault="00530B44" w:rsidP="005666AE">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13</w:t>
            </w:r>
            <w:r w:rsidRPr="00971903">
              <w:rPr>
                <w:rFonts w:ascii="Arial" w:eastAsia="Times New Roman" w:hAnsi="Arial" w:cs="Arial"/>
                <w:color w:val="000000"/>
                <w:sz w:val="22"/>
                <w:szCs w:val="22"/>
                <w:lang w:eastAsia="en-GB"/>
              </w:rPr>
              <w:t>%</w:t>
            </w:r>
          </w:p>
        </w:tc>
      </w:tr>
      <w:tr w:rsidR="00530B44" w:rsidRPr="004F0A6B" w14:paraId="28F85F16" w14:textId="77777777" w:rsidTr="005666AE">
        <w:tc>
          <w:tcPr>
            <w:tcW w:w="2577" w:type="dxa"/>
            <w:shd w:val="clear" w:color="auto" w:fill="C1E4F5" w:themeFill="accent1" w:themeFillTint="33"/>
          </w:tcPr>
          <w:p w14:paraId="4F8DC406" w14:textId="77777777" w:rsidR="00530B44" w:rsidRPr="00971903" w:rsidRDefault="00530B44" w:rsidP="005666AE">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UK Government bonds</w:t>
            </w:r>
          </w:p>
        </w:tc>
        <w:tc>
          <w:tcPr>
            <w:tcW w:w="1275" w:type="dxa"/>
            <w:shd w:val="clear" w:color="auto" w:fill="C1E4F5" w:themeFill="accent1" w:themeFillTint="33"/>
          </w:tcPr>
          <w:p w14:paraId="0CA5FB5D" w14:textId="77777777" w:rsidR="00530B44" w:rsidRPr="00971903" w:rsidRDefault="00530B44" w:rsidP="005666AE">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17%</w:t>
            </w:r>
          </w:p>
        </w:tc>
        <w:tc>
          <w:tcPr>
            <w:tcW w:w="1418" w:type="dxa"/>
            <w:shd w:val="clear" w:color="auto" w:fill="C1E4F5" w:themeFill="accent1" w:themeFillTint="33"/>
          </w:tcPr>
          <w:p w14:paraId="56A8E8D0" w14:textId="77777777" w:rsidR="00530B44" w:rsidRPr="00971903" w:rsidRDefault="00530B44" w:rsidP="005666AE">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13</w:t>
            </w:r>
            <w:r w:rsidRPr="00971903">
              <w:rPr>
                <w:rFonts w:ascii="Arial" w:eastAsia="Times New Roman" w:hAnsi="Arial" w:cs="Arial"/>
                <w:color w:val="000000"/>
                <w:sz w:val="22"/>
                <w:szCs w:val="22"/>
                <w:lang w:eastAsia="en-GB"/>
              </w:rPr>
              <w:t>%</w:t>
            </w:r>
          </w:p>
        </w:tc>
      </w:tr>
    </w:tbl>
    <w:p w14:paraId="33E7B57A" w14:textId="77777777" w:rsidR="00933B94" w:rsidRPr="00D34AEE" w:rsidRDefault="00933B94" w:rsidP="00B67B1A">
      <w:pPr>
        <w:pStyle w:val="Heading2"/>
        <w:spacing w:before="320"/>
        <w:rPr>
          <w:color w:val="0F4761" w:themeColor="accent1" w:themeShade="BF"/>
          <w:sz w:val="32"/>
          <w:szCs w:val="32"/>
        </w:rPr>
      </w:pPr>
      <w:bookmarkStart w:id="7" w:name="_Toc224113541"/>
      <w:r w:rsidRPr="00D34AEE">
        <w:rPr>
          <w:color w:val="0F4761" w:themeColor="accent1" w:themeShade="BF"/>
          <w:sz w:val="32"/>
          <w:szCs w:val="32"/>
        </w:rPr>
        <w:t>Liquidity</w:t>
      </w:r>
      <w:bookmarkEnd w:id="7"/>
    </w:p>
    <w:p w14:paraId="1B4C4A7E" w14:textId="16765CC0" w:rsidR="004B2847" w:rsidRDefault="00E61868" w:rsidP="004B2847">
      <w:pPr>
        <w:rPr>
          <w:rFonts w:ascii="Arial" w:hAnsi="Arial" w:cs="Arial"/>
          <w:sz w:val="24"/>
          <w:szCs w:val="24"/>
        </w:rPr>
      </w:pPr>
      <w:r>
        <w:rPr>
          <w:rFonts w:ascii="Arial" w:hAnsi="Arial" w:cs="Arial"/>
          <w:sz w:val="24"/>
          <w:szCs w:val="24"/>
        </w:rPr>
        <w:t>Based on the 2025 Actuarial Valuation, the Pension Fund estimates that its cashflow</w:t>
      </w:r>
      <w:r w:rsidR="0010173E">
        <w:rPr>
          <w:rFonts w:ascii="Arial" w:hAnsi="Arial" w:cs="Arial"/>
          <w:sz w:val="24"/>
          <w:szCs w:val="24"/>
        </w:rPr>
        <w:t xml:space="preserve"> from dealing with members (</w:t>
      </w:r>
      <w:r w:rsidR="00027607">
        <w:rPr>
          <w:rFonts w:ascii="Arial" w:hAnsi="Arial" w:cs="Arial"/>
          <w:sz w:val="24"/>
          <w:szCs w:val="24"/>
        </w:rPr>
        <w:t xml:space="preserve">contributions received less pension benefits paid) will be a </w:t>
      </w:r>
      <w:r w:rsidR="00E03E0E">
        <w:rPr>
          <w:rFonts w:ascii="Arial" w:hAnsi="Arial" w:cs="Arial"/>
          <w:sz w:val="24"/>
          <w:szCs w:val="24"/>
        </w:rPr>
        <w:t>deficit of approximately £70m pa for the three financial years</w:t>
      </w:r>
      <w:r w:rsidR="00BF4D85">
        <w:rPr>
          <w:rFonts w:ascii="Arial" w:hAnsi="Arial" w:cs="Arial"/>
          <w:sz w:val="24"/>
          <w:szCs w:val="24"/>
        </w:rPr>
        <w:t xml:space="preserve"> starting in 2026/27. The Pension </w:t>
      </w:r>
      <w:r w:rsidR="009B3EA3">
        <w:rPr>
          <w:rFonts w:ascii="Arial" w:hAnsi="Arial" w:cs="Arial"/>
          <w:sz w:val="24"/>
          <w:szCs w:val="24"/>
        </w:rPr>
        <w:t>Fund forecasts</w:t>
      </w:r>
      <w:r w:rsidR="00BF4D85">
        <w:rPr>
          <w:rFonts w:ascii="Arial" w:hAnsi="Arial" w:cs="Arial"/>
          <w:sz w:val="24"/>
          <w:szCs w:val="24"/>
        </w:rPr>
        <w:t xml:space="preserve"> this deficit to be more than met from the net income </w:t>
      </w:r>
      <w:r w:rsidR="00C07E3E">
        <w:rPr>
          <w:rFonts w:ascii="Arial" w:hAnsi="Arial" w:cs="Arial"/>
          <w:sz w:val="24"/>
          <w:szCs w:val="24"/>
        </w:rPr>
        <w:t>from investments (income less expenses)</w:t>
      </w:r>
      <w:r w:rsidR="00B7239D">
        <w:rPr>
          <w:rFonts w:ascii="Arial" w:hAnsi="Arial" w:cs="Arial"/>
          <w:sz w:val="24"/>
          <w:szCs w:val="24"/>
        </w:rPr>
        <w:t xml:space="preserve"> if the Fund continues t</w:t>
      </w:r>
      <w:r w:rsidR="00F120FA">
        <w:rPr>
          <w:rFonts w:ascii="Arial" w:hAnsi="Arial" w:cs="Arial"/>
          <w:sz w:val="24"/>
          <w:szCs w:val="24"/>
        </w:rPr>
        <w:t>o</w:t>
      </w:r>
      <w:r w:rsidR="00EE2633">
        <w:rPr>
          <w:rFonts w:ascii="Arial" w:hAnsi="Arial" w:cs="Arial"/>
          <w:sz w:val="24"/>
          <w:szCs w:val="24"/>
        </w:rPr>
        <w:t xml:space="preserve"> receive </w:t>
      </w:r>
      <w:r w:rsidR="00EF08EE">
        <w:rPr>
          <w:rFonts w:ascii="Arial" w:hAnsi="Arial" w:cs="Arial"/>
          <w:sz w:val="24"/>
          <w:szCs w:val="24"/>
        </w:rPr>
        <w:t>income as it is distributed rather than these funds being reinvested</w:t>
      </w:r>
      <w:r w:rsidR="00413E72">
        <w:rPr>
          <w:rFonts w:ascii="Arial" w:hAnsi="Arial" w:cs="Arial"/>
          <w:sz w:val="24"/>
          <w:szCs w:val="24"/>
        </w:rPr>
        <w:t xml:space="preserve">. </w:t>
      </w:r>
    </w:p>
    <w:p w14:paraId="7E16AAC6" w14:textId="1C387DB4" w:rsidR="00F92A31" w:rsidRPr="00F92A31" w:rsidRDefault="00F92A31" w:rsidP="00F92A31">
      <w:pPr>
        <w:rPr>
          <w:rFonts w:ascii="Arial" w:hAnsi="Arial" w:cs="Arial"/>
          <w:sz w:val="24"/>
          <w:szCs w:val="24"/>
        </w:rPr>
      </w:pPr>
      <w:r w:rsidRPr="00F92A31">
        <w:rPr>
          <w:rFonts w:ascii="Arial" w:hAnsi="Arial" w:cs="Arial"/>
          <w:sz w:val="24"/>
          <w:szCs w:val="24"/>
        </w:rPr>
        <w:t xml:space="preserve">The </w:t>
      </w:r>
      <w:r>
        <w:rPr>
          <w:rFonts w:ascii="Arial" w:hAnsi="Arial" w:cs="Arial"/>
          <w:sz w:val="24"/>
          <w:szCs w:val="24"/>
        </w:rPr>
        <w:t xml:space="preserve">Pension Fund </w:t>
      </w:r>
      <w:r w:rsidRPr="00F92A31">
        <w:rPr>
          <w:rFonts w:ascii="Arial" w:hAnsi="Arial" w:cs="Arial"/>
          <w:sz w:val="24"/>
          <w:szCs w:val="24"/>
        </w:rPr>
        <w:t>aims to maintain a minimum cash buffer of £</w:t>
      </w:r>
      <w:r>
        <w:rPr>
          <w:rFonts w:ascii="Arial" w:hAnsi="Arial" w:cs="Arial"/>
          <w:sz w:val="24"/>
          <w:szCs w:val="24"/>
        </w:rPr>
        <w:t>60m</w:t>
      </w:r>
      <w:r w:rsidRPr="00F92A31">
        <w:rPr>
          <w:rFonts w:ascii="Arial" w:hAnsi="Arial" w:cs="Arial"/>
          <w:sz w:val="24"/>
          <w:szCs w:val="24"/>
        </w:rPr>
        <w:t xml:space="preserve"> available throughout the valuation period, to account for a higher-than-expected growth in liabilities</w:t>
      </w:r>
      <w:r w:rsidR="006D2132">
        <w:rPr>
          <w:rFonts w:ascii="Arial" w:hAnsi="Arial" w:cs="Arial"/>
          <w:sz w:val="24"/>
          <w:szCs w:val="24"/>
        </w:rPr>
        <w:t xml:space="preserve"> or unexpected </w:t>
      </w:r>
      <w:r w:rsidR="00F717EB">
        <w:rPr>
          <w:rFonts w:ascii="Arial" w:hAnsi="Arial" w:cs="Arial"/>
          <w:sz w:val="24"/>
          <w:szCs w:val="24"/>
        </w:rPr>
        <w:t>obligations</w:t>
      </w:r>
      <w:r w:rsidRPr="00F92A31">
        <w:rPr>
          <w:rFonts w:ascii="Arial" w:hAnsi="Arial" w:cs="Arial"/>
          <w:sz w:val="24"/>
          <w:szCs w:val="24"/>
        </w:rPr>
        <w:t>.</w:t>
      </w:r>
    </w:p>
    <w:p w14:paraId="44878018" w14:textId="5EB24B82" w:rsidR="00AB75FC" w:rsidRPr="00E61868" w:rsidRDefault="00AB75FC" w:rsidP="004B2847">
      <w:pPr>
        <w:rPr>
          <w:rFonts w:ascii="Arial" w:hAnsi="Arial" w:cs="Arial"/>
          <w:sz w:val="24"/>
          <w:szCs w:val="24"/>
        </w:rPr>
      </w:pPr>
      <w:r>
        <w:rPr>
          <w:rFonts w:ascii="Arial" w:hAnsi="Arial" w:cs="Arial"/>
          <w:sz w:val="24"/>
          <w:szCs w:val="24"/>
        </w:rPr>
        <w:t xml:space="preserve">The Fund will </w:t>
      </w:r>
      <w:r w:rsidR="00B7239D">
        <w:rPr>
          <w:rFonts w:ascii="Arial" w:hAnsi="Arial" w:cs="Arial"/>
          <w:sz w:val="24"/>
          <w:szCs w:val="24"/>
        </w:rPr>
        <w:t xml:space="preserve">continue to monitor </w:t>
      </w:r>
      <w:r w:rsidR="00EF08EE">
        <w:rPr>
          <w:rFonts w:ascii="Arial" w:hAnsi="Arial" w:cs="Arial"/>
          <w:sz w:val="24"/>
          <w:szCs w:val="24"/>
        </w:rPr>
        <w:t>i</w:t>
      </w:r>
      <w:r>
        <w:rPr>
          <w:rFonts w:ascii="Arial" w:hAnsi="Arial" w:cs="Arial"/>
          <w:sz w:val="24"/>
          <w:szCs w:val="24"/>
        </w:rPr>
        <w:t xml:space="preserve">ts cashflow position </w:t>
      </w:r>
      <w:r w:rsidR="00EF08EE">
        <w:rPr>
          <w:rFonts w:ascii="Arial" w:hAnsi="Arial" w:cs="Arial"/>
          <w:sz w:val="24"/>
          <w:szCs w:val="24"/>
        </w:rPr>
        <w:t xml:space="preserve">alongside LGPSC in their management of the Fund’s investments, to ensure that </w:t>
      </w:r>
      <w:r w:rsidR="005B4648">
        <w:rPr>
          <w:rFonts w:ascii="Arial" w:hAnsi="Arial" w:cs="Arial"/>
          <w:sz w:val="24"/>
          <w:szCs w:val="24"/>
        </w:rPr>
        <w:t>the Fund can continue to meet its obligations.</w:t>
      </w:r>
    </w:p>
    <w:p w14:paraId="63EE75EA" w14:textId="1B95C733" w:rsidR="006C6B72" w:rsidRDefault="006C6B72" w:rsidP="00B67B1A">
      <w:pPr>
        <w:pStyle w:val="Heading2"/>
        <w:spacing w:before="320"/>
        <w:rPr>
          <w:color w:val="0F4761" w:themeColor="accent1" w:themeShade="BF"/>
          <w:sz w:val="32"/>
          <w:szCs w:val="32"/>
        </w:rPr>
      </w:pPr>
      <w:bookmarkStart w:id="8" w:name="_Toc224113542"/>
      <w:r>
        <w:rPr>
          <w:color w:val="0F4761" w:themeColor="accent1" w:themeShade="BF"/>
          <w:sz w:val="32"/>
          <w:szCs w:val="32"/>
        </w:rPr>
        <w:t>Local Investment</w:t>
      </w:r>
      <w:bookmarkEnd w:id="8"/>
    </w:p>
    <w:p w14:paraId="722F6EE6" w14:textId="77777777" w:rsidR="00CF1205" w:rsidRPr="00CF1205" w:rsidRDefault="00CF1205" w:rsidP="00CF1205">
      <w:pPr>
        <w:rPr>
          <w:rFonts w:ascii="Arial" w:hAnsi="Arial" w:cs="Arial"/>
          <w:sz w:val="24"/>
          <w:szCs w:val="24"/>
        </w:rPr>
      </w:pPr>
      <w:r w:rsidRPr="00CF1205">
        <w:rPr>
          <w:rFonts w:ascii="Arial" w:hAnsi="Arial" w:cs="Arial"/>
          <w:sz w:val="24"/>
          <w:szCs w:val="24"/>
        </w:rPr>
        <w:t xml:space="preserve">The Pension Fund supports investment in the local area </w:t>
      </w:r>
      <w:proofErr w:type="gramStart"/>
      <w:r w:rsidRPr="00CF1205">
        <w:rPr>
          <w:rFonts w:ascii="Arial" w:hAnsi="Arial" w:cs="Arial"/>
          <w:sz w:val="24"/>
          <w:szCs w:val="24"/>
        </w:rPr>
        <w:t>as a means to</w:t>
      </w:r>
      <w:proofErr w:type="gramEnd"/>
      <w:r w:rsidRPr="00CF1205">
        <w:rPr>
          <w:rFonts w:ascii="Arial" w:hAnsi="Arial" w:cs="Arial"/>
          <w:sz w:val="24"/>
          <w:szCs w:val="24"/>
        </w:rPr>
        <w:t xml:space="preserve"> achieve the dual aims of providing the necessary investment returns required to pay pensions and supporting the local economy which will be a wider benefit to pension scheme members.</w:t>
      </w:r>
    </w:p>
    <w:p w14:paraId="20BE727B" w14:textId="46E8FCB3" w:rsidR="00CF1205" w:rsidRPr="00CF1205" w:rsidRDefault="00CF1205" w:rsidP="00CF1205">
      <w:pPr>
        <w:rPr>
          <w:rFonts w:ascii="Arial" w:hAnsi="Arial" w:cs="Arial"/>
          <w:sz w:val="24"/>
          <w:szCs w:val="24"/>
        </w:rPr>
      </w:pPr>
      <w:r w:rsidRPr="008461B5">
        <w:rPr>
          <w:rFonts w:ascii="Arial" w:hAnsi="Arial" w:cs="Arial"/>
          <w:sz w:val="24"/>
          <w:szCs w:val="24"/>
        </w:rPr>
        <w:t>To achieve this the Pension Fund sets a long-term range of 3-5% (8.6-14.3% of the Fund’s allocation to private market portfolios) for local investments</w:t>
      </w:r>
      <w:r w:rsidR="00AE360B" w:rsidRPr="008461B5">
        <w:rPr>
          <w:rFonts w:ascii="Arial" w:hAnsi="Arial" w:cs="Arial"/>
          <w:sz w:val="24"/>
          <w:szCs w:val="24"/>
        </w:rPr>
        <w:t xml:space="preserve">. This includes </w:t>
      </w:r>
      <w:r w:rsidR="00D30E93" w:rsidRPr="008461B5">
        <w:rPr>
          <w:rFonts w:ascii="Arial" w:hAnsi="Arial" w:cs="Arial"/>
          <w:sz w:val="24"/>
          <w:szCs w:val="24"/>
        </w:rPr>
        <w:t>local investments in Hampshire’s current portfolios. The target is sub-divided</w:t>
      </w:r>
      <w:r w:rsidRPr="008461B5">
        <w:rPr>
          <w:rFonts w:ascii="Arial" w:hAnsi="Arial" w:cs="Arial"/>
          <w:sz w:val="24"/>
          <w:szCs w:val="24"/>
        </w:rPr>
        <w:t xml:space="preserve"> as follows:</w:t>
      </w:r>
    </w:p>
    <w:p w14:paraId="453A9527" w14:textId="77777777" w:rsidR="00CF1205" w:rsidRPr="00CF1205" w:rsidRDefault="00CF1205" w:rsidP="00CF1205">
      <w:pPr>
        <w:pStyle w:val="ListParagraph"/>
        <w:numPr>
          <w:ilvl w:val="0"/>
          <w:numId w:val="19"/>
        </w:numPr>
        <w:rPr>
          <w:rFonts w:ascii="Arial" w:hAnsi="Arial" w:cs="Arial"/>
          <w:sz w:val="24"/>
          <w:szCs w:val="24"/>
        </w:rPr>
      </w:pPr>
      <w:r w:rsidRPr="00CF1205">
        <w:rPr>
          <w:rFonts w:ascii="Arial" w:hAnsi="Arial" w:cs="Arial"/>
          <w:sz w:val="24"/>
          <w:szCs w:val="24"/>
        </w:rPr>
        <w:t>1-2% in the Hampshire and the Solent Combined County Authority area.</w:t>
      </w:r>
    </w:p>
    <w:p w14:paraId="7378C30B" w14:textId="77777777" w:rsidR="00CF1205" w:rsidRPr="00CF1205" w:rsidRDefault="00CF1205" w:rsidP="00CF1205">
      <w:pPr>
        <w:pStyle w:val="ListParagraph"/>
        <w:numPr>
          <w:ilvl w:val="0"/>
          <w:numId w:val="19"/>
        </w:numPr>
        <w:rPr>
          <w:rFonts w:ascii="Arial" w:hAnsi="Arial" w:cs="Arial"/>
          <w:sz w:val="24"/>
          <w:szCs w:val="24"/>
        </w:rPr>
      </w:pPr>
      <w:r w:rsidRPr="00CF1205">
        <w:rPr>
          <w:rFonts w:ascii="Arial" w:hAnsi="Arial" w:cs="Arial"/>
          <w:sz w:val="24"/>
          <w:szCs w:val="24"/>
        </w:rPr>
        <w:t>2-3% in the wider LGPSC area (subject to seeing the details of LGPSC’s local investment fund).</w:t>
      </w:r>
    </w:p>
    <w:p w14:paraId="7ADF80F1" w14:textId="08A41C3A" w:rsidR="00CF1205" w:rsidRDefault="00CF1205" w:rsidP="00CF1205">
      <w:pPr>
        <w:rPr>
          <w:rFonts w:ascii="Arial" w:hAnsi="Arial" w:cs="Arial"/>
          <w:sz w:val="24"/>
          <w:szCs w:val="24"/>
        </w:rPr>
      </w:pPr>
      <w:r w:rsidRPr="00CF1205">
        <w:rPr>
          <w:rFonts w:ascii="Arial" w:hAnsi="Arial" w:cs="Arial"/>
          <w:sz w:val="24"/>
          <w:szCs w:val="24"/>
        </w:rPr>
        <w:t xml:space="preserve">The local investment target should be met through the Pension Fund’s strategic allocation to private markets (private equity, private credit, infrastructure and real estate). </w:t>
      </w:r>
      <w:r w:rsidRPr="008461B5">
        <w:rPr>
          <w:rFonts w:ascii="Arial" w:hAnsi="Arial" w:cs="Arial"/>
          <w:sz w:val="24"/>
          <w:szCs w:val="24"/>
        </w:rPr>
        <w:t>The Pension Fund expects its target to local investments to be broadly allocated in line with its allocations with private markets</w:t>
      </w:r>
      <w:r w:rsidR="00933B94" w:rsidRPr="008461B5">
        <w:rPr>
          <w:rFonts w:ascii="Arial" w:hAnsi="Arial" w:cs="Arial"/>
          <w:sz w:val="24"/>
          <w:szCs w:val="24"/>
        </w:rPr>
        <w:t xml:space="preserve"> (as shown in the chart below)</w:t>
      </w:r>
      <w:r w:rsidRPr="008461B5">
        <w:rPr>
          <w:rFonts w:ascii="Arial" w:hAnsi="Arial" w:cs="Arial"/>
          <w:sz w:val="24"/>
          <w:szCs w:val="24"/>
        </w:rPr>
        <w:t xml:space="preserve"> and to achieve the same target returns as other investments in these asset classes</w:t>
      </w:r>
      <w:r w:rsidR="00A443A1" w:rsidRPr="008461B5">
        <w:rPr>
          <w:rFonts w:ascii="Arial" w:hAnsi="Arial" w:cs="Arial"/>
          <w:sz w:val="24"/>
          <w:szCs w:val="24"/>
        </w:rPr>
        <w:t>,</w:t>
      </w:r>
      <w:r w:rsidR="5F0863C2" w:rsidRPr="008461B5">
        <w:rPr>
          <w:rFonts w:ascii="Arial" w:hAnsi="Arial" w:cs="Arial"/>
          <w:sz w:val="24"/>
          <w:szCs w:val="24"/>
        </w:rPr>
        <w:t xml:space="preserve"> present</w:t>
      </w:r>
      <w:r w:rsidR="00A443A1" w:rsidRPr="008461B5">
        <w:rPr>
          <w:rFonts w:ascii="Arial" w:hAnsi="Arial" w:cs="Arial"/>
          <w:sz w:val="24"/>
          <w:szCs w:val="24"/>
        </w:rPr>
        <w:t>ing</w:t>
      </w:r>
      <w:r w:rsidR="5F0863C2" w:rsidRPr="008461B5">
        <w:rPr>
          <w:rFonts w:ascii="Arial" w:hAnsi="Arial" w:cs="Arial"/>
          <w:sz w:val="24"/>
          <w:szCs w:val="24"/>
        </w:rPr>
        <w:t xml:space="preserve"> as good or better benefits to the Pension Fund from investing in them</w:t>
      </w:r>
      <w:r w:rsidRPr="008461B5">
        <w:rPr>
          <w:rFonts w:ascii="Arial" w:hAnsi="Arial" w:cs="Arial"/>
          <w:sz w:val="24"/>
          <w:szCs w:val="24"/>
        </w:rPr>
        <w:t>.</w:t>
      </w:r>
    </w:p>
    <w:p w14:paraId="5A2DA064" w14:textId="2DBDAA15" w:rsidR="00C376A5" w:rsidRDefault="0084286F" w:rsidP="00C376A5">
      <w:pPr>
        <w:rPr>
          <w:rFonts w:ascii="Arial" w:hAnsi="Arial" w:cs="Arial"/>
          <w:sz w:val="24"/>
          <w:szCs w:val="24"/>
        </w:rPr>
      </w:pPr>
      <w:r>
        <w:rPr>
          <w:rFonts w:ascii="Arial" w:hAnsi="Arial" w:cs="Arial"/>
          <w:noProof/>
          <w:sz w:val="24"/>
          <w:szCs w:val="24"/>
        </w:rPr>
        <w:drawing>
          <wp:inline distT="0" distB="0" distL="0" distR="0" wp14:anchorId="3C3FCED8" wp14:editId="7CC072CE">
            <wp:extent cx="3911600" cy="2124075"/>
            <wp:effectExtent l="0" t="0" r="0" b="9525"/>
            <wp:docPr id="2012338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25233" cy="2131478"/>
                    </a:xfrm>
                    <a:prstGeom prst="rect">
                      <a:avLst/>
                    </a:prstGeom>
                    <a:noFill/>
                  </pic:spPr>
                </pic:pic>
              </a:graphicData>
            </a:graphic>
          </wp:inline>
        </w:drawing>
      </w:r>
    </w:p>
    <w:p w14:paraId="3073EEAA" w14:textId="05019B82" w:rsidR="008461B5" w:rsidRDefault="008461B5" w:rsidP="00C376A5">
      <w:pPr>
        <w:rPr>
          <w:rFonts w:ascii="Arial" w:hAnsi="Arial" w:cs="Arial"/>
          <w:sz w:val="24"/>
          <w:szCs w:val="24"/>
        </w:rPr>
      </w:pPr>
      <w:r>
        <w:rPr>
          <w:rFonts w:ascii="Arial" w:hAnsi="Arial" w:cs="Arial"/>
          <w:sz w:val="24"/>
          <w:szCs w:val="24"/>
        </w:rPr>
        <w:t xml:space="preserve">In addition to achieving its target investment return, the Pension Fund </w:t>
      </w:r>
      <w:r w:rsidR="007A7552">
        <w:rPr>
          <w:rFonts w:ascii="Arial" w:hAnsi="Arial" w:cs="Arial"/>
          <w:sz w:val="24"/>
          <w:szCs w:val="24"/>
        </w:rPr>
        <w:t xml:space="preserve">recognises the importance of demonstrating the </w:t>
      </w:r>
      <w:r w:rsidR="00281B29">
        <w:rPr>
          <w:rFonts w:ascii="Arial" w:hAnsi="Arial" w:cs="Arial"/>
          <w:sz w:val="24"/>
          <w:szCs w:val="24"/>
        </w:rPr>
        <w:t>impact of local investments. Given the wide range of po</w:t>
      </w:r>
      <w:r w:rsidR="00966AB0">
        <w:rPr>
          <w:rFonts w:ascii="Arial" w:hAnsi="Arial" w:cs="Arial"/>
          <w:sz w:val="24"/>
          <w:szCs w:val="24"/>
        </w:rPr>
        <w:t xml:space="preserve">tential </w:t>
      </w:r>
      <w:r w:rsidR="005945A1">
        <w:rPr>
          <w:rFonts w:ascii="Arial" w:hAnsi="Arial" w:cs="Arial"/>
          <w:sz w:val="24"/>
          <w:szCs w:val="24"/>
        </w:rPr>
        <w:t xml:space="preserve">local </w:t>
      </w:r>
      <w:r w:rsidR="00966AB0">
        <w:rPr>
          <w:rFonts w:ascii="Arial" w:hAnsi="Arial" w:cs="Arial"/>
          <w:sz w:val="24"/>
          <w:szCs w:val="24"/>
        </w:rPr>
        <w:t xml:space="preserve">investments, there is </w:t>
      </w:r>
      <w:r w:rsidR="005945A1">
        <w:rPr>
          <w:rFonts w:ascii="Arial" w:hAnsi="Arial" w:cs="Arial"/>
          <w:sz w:val="24"/>
          <w:szCs w:val="24"/>
        </w:rPr>
        <w:t>no single measure of impact</w:t>
      </w:r>
      <w:r w:rsidR="00E4131C">
        <w:rPr>
          <w:rFonts w:ascii="Arial" w:hAnsi="Arial" w:cs="Arial"/>
          <w:sz w:val="24"/>
          <w:szCs w:val="24"/>
        </w:rPr>
        <w:t xml:space="preserve">, but </w:t>
      </w:r>
      <w:r w:rsidR="0077451A">
        <w:rPr>
          <w:rFonts w:ascii="Arial" w:hAnsi="Arial" w:cs="Arial"/>
          <w:sz w:val="24"/>
          <w:szCs w:val="24"/>
        </w:rPr>
        <w:t xml:space="preserve">priority </w:t>
      </w:r>
      <w:r w:rsidR="00A27309">
        <w:rPr>
          <w:rFonts w:ascii="Arial" w:hAnsi="Arial" w:cs="Arial"/>
          <w:sz w:val="24"/>
          <w:szCs w:val="24"/>
        </w:rPr>
        <w:t>areas of impact will be</w:t>
      </w:r>
      <w:r w:rsidR="003A17A7">
        <w:rPr>
          <w:rFonts w:ascii="Arial" w:hAnsi="Arial" w:cs="Arial"/>
          <w:sz w:val="24"/>
          <w:szCs w:val="24"/>
        </w:rPr>
        <w:t>:</w:t>
      </w:r>
    </w:p>
    <w:p w14:paraId="7EE2999F" w14:textId="2E049829" w:rsidR="003A17A7" w:rsidRDefault="003A17A7" w:rsidP="003A17A7">
      <w:pPr>
        <w:pStyle w:val="ListParagraph"/>
        <w:numPr>
          <w:ilvl w:val="0"/>
          <w:numId w:val="19"/>
        </w:numPr>
        <w:rPr>
          <w:rFonts w:ascii="Arial" w:hAnsi="Arial" w:cs="Arial"/>
          <w:sz w:val="24"/>
          <w:szCs w:val="24"/>
        </w:rPr>
      </w:pPr>
      <w:r>
        <w:rPr>
          <w:rFonts w:ascii="Arial" w:hAnsi="Arial" w:cs="Arial"/>
          <w:sz w:val="24"/>
          <w:szCs w:val="24"/>
        </w:rPr>
        <w:t>Supporting the local ec</w:t>
      </w:r>
      <w:r w:rsidR="005C1134">
        <w:rPr>
          <w:rFonts w:ascii="Arial" w:hAnsi="Arial" w:cs="Arial"/>
          <w:sz w:val="24"/>
          <w:szCs w:val="24"/>
        </w:rPr>
        <w:t>onomy</w:t>
      </w:r>
    </w:p>
    <w:p w14:paraId="2BC85352" w14:textId="4A9FDE34" w:rsidR="005C1134" w:rsidRDefault="00B93B92" w:rsidP="003A17A7">
      <w:pPr>
        <w:pStyle w:val="ListParagraph"/>
        <w:numPr>
          <w:ilvl w:val="0"/>
          <w:numId w:val="19"/>
        </w:numPr>
        <w:rPr>
          <w:rFonts w:ascii="Arial" w:hAnsi="Arial" w:cs="Arial"/>
          <w:sz w:val="24"/>
          <w:szCs w:val="24"/>
        </w:rPr>
      </w:pPr>
      <w:r>
        <w:rPr>
          <w:rFonts w:ascii="Arial" w:hAnsi="Arial" w:cs="Arial"/>
          <w:sz w:val="24"/>
          <w:szCs w:val="24"/>
        </w:rPr>
        <w:t xml:space="preserve">Alignment to </w:t>
      </w:r>
      <w:r w:rsidR="001C4561">
        <w:rPr>
          <w:rFonts w:ascii="Arial" w:hAnsi="Arial" w:cs="Arial"/>
          <w:sz w:val="24"/>
          <w:szCs w:val="24"/>
        </w:rPr>
        <w:t>the Pension Fund’s net-zero target</w:t>
      </w:r>
    </w:p>
    <w:p w14:paraId="42F2D387" w14:textId="692803DF" w:rsidR="001C4561" w:rsidRDefault="00794A8D" w:rsidP="003A17A7">
      <w:pPr>
        <w:pStyle w:val="ListParagraph"/>
        <w:numPr>
          <w:ilvl w:val="0"/>
          <w:numId w:val="19"/>
        </w:numPr>
        <w:rPr>
          <w:rFonts w:ascii="Arial" w:hAnsi="Arial" w:cs="Arial"/>
          <w:sz w:val="24"/>
          <w:szCs w:val="24"/>
        </w:rPr>
      </w:pPr>
      <w:r>
        <w:rPr>
          <w:rFonts w:ascii="Arial" w:hAnsi="Arial" w:cs="Arial"/>
          <w:sz w:val="24"/>
          <w:szCs w:val="24"/>
        </w:rPr>
        <w:t>Positive social impact</w:t>
      </w:r>
    </w:p>
    <w:p w14:paraId="33141095" w14:textId="1A903361" w:rsidR="00794A8D" w:rsidRPr="00794A8D" w:rsidRDefault="00794A8D" w:rsidP="00794A8D">
      <w:pPr>
        <w:rPr>
          <w:rFonts w:ascii="Arial" w:hAnsi="Arial" w:cs="Arial"/>
          <w:sz w:val="24"/>
          <w:szCs w:val="24"/>
        </w:rPr>
      </w:pPr>
      <w:r>
        <w:rPr>
          <w:rFonts w:ascii="Arial" w:hAnsi="Arial" w:cs="Arial"/>
          <w:sz w:val="24"/>
          <w:szCs w:val="24"/>
        </w:rPr>
        <w:t>The Pension Fund will cont</w:t>
      </w:r>
      <w:r w:rsidR="00B071AB">
        <w:rPr>
          <w:rFonts w:ascii="Arial" w:hAnsi="Arial" w:cs="Arial"/>
          <w:sz w:val="24"/>
          <w:szCs w:val="24"/>
        </w:rPr>
        <w:t xml:space="preserve">inue to </w:t>
      </w:r>
      <w:r w:rsidR="00AF78A2">
        <w:rPr>
          <w:rFonts w:ascii="Arial" w:hAnsi="Arial" w:cs="Arial"/>
          <w:sz w:val="24"/>
          <w:szCs w:val="24"/>
        </w:rPr>
        <w:t>report on its local investments including the impact of those investments.</w:t>
      </w:r>
    </w:p>
    <w:p w14:paraId="53CD0626" w14:textId="67E3FD29" w:rsidR="00C376A5" w:rsidRDefault="00C376A5" w:rsidP="00C376A5">
      <w:pPr>
        <w:rPr>
          <w:rFonts w:ascii="Arial" w:hAnsi="Arial" w:cs="Arial"/>
          <w:sz w:val="24"/>
          <w:szCs w:val="24"/>
        </w:rPr>
      </w:pPr>
      <w:r w:rsidRPr="00C376A5">
        <w:rPr>
          <w:rFonts w:ascii="Arial" w:hAnsi="Arial" w:cs="Arial"/>
          <w:sz w:val="24"/>
          <w:szCs w:val="24"/>
        </w:rPr>
        <w:t xml:space="preserve">The </w:t>
      </w:r>
      <w:r>
        <w:rPr>
          <w:rFonts w:ascii="Arial" w:hAnsi="Arial" w:cs="Arial"/>
          <w:sz w:val="24"/>
          <w:szCs w:val="24"/>
        </w:rPr>
        <w:t xml:space="preserve">Pension Fund will review its </w:t>
      </w:r>
      <w:r w:rsidR="00EE5A1A">
        <w:rPr>
          <w:rFonts w:ascii="Arial" w:hAnsi="Arial" w:cs="Arial"/>
          <w:sz w:val="24"/>
          <w:szCs w:val="24"/>
        </w:rPr>
        <w:t>targets for local investment with the Hampshire and the Solent Combined County Authority</w:t>
      </w:r>
      <w:r w:rsidR="00B76A93">
        <w:rPr>
          <w:rFonts w:ascii="Arial" w:hAnsi="Arial" w:cs="Arial"/>
          <w:sz w:val="24"/>
          <w:szCs w:val="24"/>
        </w:rPr>
        <w:t xml:space="preserve"> (</w:t>
      </w:r>
      <w:r w:rsidR="00B76A93" w:rsidRPr="003B7D29">
        <w:rPr>
          <w:rFonts w:ascii="Arial" w:hAnsi="Arial" w:cs="Arial"/>
          <w:sz w:val="24"/>
          <w:szCs w:val="24"/>
        </w:rPr>
        <w:t xml:space="preserve">HSCCA) once it is </w:t>
      </w:r>
      <w:proofErr w:type="gramStart"/>
      <w:r w:rsidR="00B76A93" w:rsidRPr="003B7D29">
        <w:rPr>
          <w:rFonts w:ascii="Arial" w:hAnsi="Arial" w:cs="Arial"/>
          <w:sz w:val="24"/>
          <w:szCs w:val="24"/>
        </w:rPr>
        <w:t>established, and</w:t>
      </w:r>
      <w:proofErr w:type="gramEnd"/>
      <w:r w:rsidR="00B76A93" w:rsidRPr="003B7D29">
        <w:rPr>
          <w:rFonts w:ascii="Arial" w:hAnsi="Arial" w:cs="Arial"/>
          <w:sz w:val="24"/>
          <w:szCs w:val="24"/>
        </w:rPr>
        <w:t xml:space="preserve"> be informed by HSCCA’s Local Growth plan.</w:t>
      </w:r>
    </w:p>
    <w:p w14:paraId="407C3B81" w14:textId="77777777" w:rsidR="0052389E" w:rsidRPr="00B67B1A" w:rsidRDefault="0052389E" w:rsidP="00B67B1A">
      <w:pPr>
        <w:pStyle w:val="Heading2"/>
        <w:spacing w:before="320"/>
        <w:rPr>
          <w:color w:val="0F4761" w:themeColor="accent1" w:themeShade="BF"/>
          <w:sz w:val="32"/>
          <w:szCs w:val="32"/>
        </w:rPr>
      </w:pPr>
      <w:bookmarkStart w:id="9" w:name="_Toc224113543"/>
      <w:r w:rsidRPr="00B67B1A">
        <w:rPr>
          <w:color w:val="0F4761" w:themeColor="accent1" w:themeShade="BF"/>
          <w:sz w:val="32"/>
          <w:szCs w:val="32"/>
        </w:rPr>
        <w:t>Approach to pooling</w:t>
      </w:r>
      <w:bookmarkEnd w:id="9"/>
      <w:r w:rsidRPr="00B67B1A">
        <w:rPr>
          <w:color w:val="0F4761" w:themeColor="accent1" w:themeShade="BF"/>
          <w:sz w:val="32"/>
          <w:szCs w:val="32"/>
        </w:rPr>
        <w:t xml:space="preserve"> </w:t>
      </w:r>
    </w:p>
    <w:p w14:paraId="2A5ADC20" w14:textId="32BAE322" w:rsidR="0052389E" w:rsidRDefault="0052389E" w:rsidP="00CA146F">
      <w:pPr>
        <w:rPr>
          <w:rFonts w:ascii="Arial" w:hAnsi="Arial" w:cs="Arial"/>
          <w:sz w:val="24"/>
          <w:szCs w:val="24"/>
        </w:rPr>
      </w:pPr>
      <w:r w:rsidRPr="00E65E3F">
        <w:rPr>
          <w:rFonts w:ascii="Arial" w:hAnsi="Arial" w:cs="Arial"/>
          <w:sz w:val="24"/>
          <w:szCs w:val="24"/>
        </w:rPr>
        <w:t xml:space="preserve">Hampshire is a member of </w:t>
      </w:r>
      <w:r w:rsidR="00CA146F">
        <w:rPr>
          <w:rFonts w:ascii="Arial" w:hAnsi="Arial" w:cs="Arial"/>
          <w:sz w:val="24"/>
          <w:szCs w:val="24"/>
        </w:rPr>
        <w:t>LGPSC</w:t>
      </w:r>
      <w:r w:rsidR="00882AD3">
        <w:rPr>
          <w:rFonts w:ascii="Arial" w:hAnsi="Arial" w:cs="Arial"/>
          <w:sz w:val="24"/>
          <w:szCs w:val="24"/>
        </w:rPr>
        <w:t>. From 1 April 2026 LGPSC will be responsible for the implementation of this investment strategy and management of the Pension Fund’s investments.</w:t>
      </w:r>
    </w:p>
    <w:p w14:paraId="53432860" w14:textId="41C324D4" w:rsidR="00882AD3" w:rsidRDefault="00882AD3" w:rsidP="0052389E">
      <w:pPr>
        <w:rPr>
          <w:rFonts w:ascii="Arial" w:hAnsi="Arial" w:cs="Arial"/>
          <w:sz w:val="24"/>
          <w:szCs w:val="24"/>
        </w:rPr>
      </w:pPr>
      <w:r>
        <w:rPr>
          <w:rFonts w:ascii="Arial" w:hAnsi="Arial" w:cs="Arial"/>
          <w:sz w:val="24"/>
          <w:szCs w:val="24"/>
        </w:rPr>
        <w:t xml:space="preserve">Hampshire will be a </w:t>
      </w:r>
      <w:r w:rsidR="00E65E3F">
        <w:rPr>
          <w:rFonts w:ascii="Arial" w:hAnsi="Arial" w:cs="Arial"/>
          <w:sz w:val="24"/>
          <w:szCs w:val="24"/>
        </w:rPr>
        <w:t xml:space="preserve">member of </w:t>
      </w:r>
      <w:r w:rsidR="00E04C65">
        <w:rPr>
          <w:rFonts w:ascii="Arial" w:hAnsi="Arial" w:cs="Arial"/>
          <w:sz w:val="24"/>
          <w:szCs w:val="24"/>
        </w:rPr>
        <w:t>LGPSC al</w:t>
      </w:r>
      <w:r w:rsidR="00E63A19">
        <w:rPr>
          <w:rFonts w:ascii="Arial" w:hAnsi="Arial" w:cs="Arial"/>
          <w:sz w:val="24"/>
          <w:szCs w:val="24"/>
        </w:rPr>
        <w:t>ongside</w:t>
      </w:r>
      <w:r w:rsidR="00CB3D6E">
        <w:rPr>
          <w:rFonts w:ascii="Arial" w:hAnsi="Arial" w:cs="Arial"/>
          <w:sz w:val="24"/>
          <w:szCs w:val="24"/>
        </w:rPr>
        <w:t>:</w:t>
      </w:r>
    </w:p>
    <w:tbl>
      <w:tblPr>
        <w:tblStyle w:val="ListTable2-Accent1"/>
        <w:tblW w:w="0" w:type="auto"/>
        <w:tblLook w:val="04A0" w:firstRow="1" w:lastRow="0" w:firstColumn="1" w:lastColumn="0" w:noHBand="0" w:noVBand="1"/>
      </w:tblPr>
      <w:tblGrid>
        <w:gridCol w:w="3040"/>
        <w:gridCol w:w="3080"/>
      </w:tblGrid>
      <w:tr w:rsidR="00D66A8D" w:rsidRPr="002014F0" w14:paraId="223F9D11" w14:textId="77777777" w:rsidTr="00B507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E824E57" w14:textId="0929CA11" w:rsidR="00E65E3F" w:rsidRPr="002014F0" w:rsidRDefault="00E63A19">
            <w:pPr>
              <w:rPr>
                <w:rFonts w:ascii="Arial" w:hAnsi="Arial" w:cs="Arial"/>
                <w:b w:val="0"/>
                <w:bCs w:val="0"/>
                <w:sz w:val="24"/>
                <w:szCs w:val="24"/>
              </w:rPr>
            </w:pPr>
            <w:r w:rsidRPr="002014F0">
              <w:rPr>
                <w:rFonts w:ascii="Arial" w:hAnsi="Arial" w:cs="Arial"/>
                <w:b w:val="0"/>
                <w:bCs w:val="0"/>
                <w:sz w:val="24"/>
                <w:szCs w:val="24"/>
              </w:rPr>
              <w:t>Cheshire</w:t>
            </w:r>
          </w:p>
        </w:tc>
        <w:tc>
          <w:tcPr>
            <w:tcW w:w="4675" w:type="dxa"/>
          </w:tcPr>
          <w:p w14:paraId="08042657" w14:textId="1FC73EED" w:rsidR="00E65E3F" w:rsidRPr="002014F0" w:rsidRDefault="00C40DEE">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2014F0">
              <w:rPr>
                <w:rFonts w:ascii="Arial" w:hAnsi="Arial" w:cs="Arial"/>
                <w:b w:val="0"/>
                <w:bCs w:val="0"/>
                <w:sz w:val="24"/>
                <w:szCs w:val="24"/>
              </w:rPr>
              <w:t>Nottinghamshire</w:t>
            </w:r>
          </w:p>
        </w:tc>
      </w:tr>
      <w:tr w:rsidR="00D66A8D" w:rsidRPr="002014F0" w14:paraId="5BED8BBF" w14:textId="77777777" w:rsidTr="00B507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D795742" w14:textId="75E62E18" w:rsidR="00E65E3F" w:rsidRPr="002014F0" w:rsidRDefault="004061A5">
            <w:pPr>
              <w:rPr>
                <w:rFonts w:ascii="Arial" w:hAnsi="Arial" w:cs="Arial"/>
                <w:b w:val="0"/>
                <w:bCs w:val="0"/>
                <w:sz w:val="24"/>
                <w:szCs w:val="24"/>
              </w:rPr>
            </w:pPr>
            <w:r w:rsidRPr="002014F0">
              <w:rPr>
                <w:rFonts w:ascii="Arial" w:hAnsi="Arial" w:cs="Arial"/>
                <w:b w:val="0"/>
                <w:bCs w:val="0"/>
                <w:sz w:val="24"/>
                <w:szCs w:val="24"/>
              </w:rPr>
              <w:t>Derbyshire</w:t>
            </w:r>
          </w:p>
        </w:tc>
        <w:tc>
          <w:tcPr>
            <w:tcW w:w="4675" w:type="dxa"/>
          </w:tcPr>
          <w:p w14:paraId="3315871F" w14:textId="584AC1D1" w:rsidR="00E65E3F" w:rsidRPr="002014F0" w:rsidRDefault="00C40DEE">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014F0">
              <w:rPr>
                <w:rFonts w:ascii="Arial" w:hAnsi="Arial" w:cs="Arial"/>
                <w:sz w:val="24"/>
                <w:szCs w:val="24"/>
              </w:rPr>
              <w:t>Shropshire</w:t>
            </w:r>
          </w:p>
        </w:tc>
      </w:tr>
      <w:tr w:rsidR="00D66A8D" w:rsidRPr="002014F0" w14:paraId="09B22293" w14:textId="77777777" w:rsidTr="00B50774">
        <w:tc>
          <w:tcPr>
            <w:cnfStyle w:val="001000000000" w:firstRow="0" w:lastRow="0" w:firstColumn="1" w:lastColumn="0" w:oddVBand="0" w:evenVBand="0" w:oddHBand="0" w:evenHBand="0" w:firstRowFirstColumn="0" w:firstRowLastColumn="0" w:lastRowFirstColumn="0" w:lastRowLastColumn="0"/>
            <w:tcW w:w="4675" w:type="dxa"/>
          </w:tcPr>
          <w:p w14:paraId="43171646" w14:textId="62229767" w:rsidR="004061A5" w:rsidRPr="002014F0" w:rsidRDefault="004061A5" w:rsidP="004061A5">
            <w:pPr>
              <w:rPr>
                <w:rFonts w:ascii="Arial" w:hAnsi="Arial" w:cs="Arial"/>
                <w:b w:val="0"/>
                <w:bCs w:val="0"/>
                <w:sz w:val="24"/>
                <w:szCs w:val="24"/>
              </w:rPr>
            </w:pPr>
            <w:r w:rsidRPr="002014F0">
              <w:rPr>
                <w:rFonts w:ascii="Arial" w:hAnsi="Arial" w:cs="Arial"/>
                <w:b w:val="0"/>
                <w:bCs w:val="0"/>
                <w:sz w:val="24"/>
                <w:szCs w:val="24"/>
              </w:rPr>
              <w:t>Gloucestershire</w:t>
            </w:r>
          </w:p>
        </w:tc>
        <w:tc>
          <w:tcPr>
            <w:tcW w:w="4675" w:type="dxa"/>
          </w:tcPr>
          <w:p w14:paraId="67BE46E1" w14:textId="53DA7715" w:rsidR="004061A5" w:rsidRPr="002014F0" w:rsidRDefault="004061A5" w:rsidP="004061A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014F0">
              <w:rPr>
                <w:rFonts w:ascii="Arial" w:hAnsi="Arial" w:cs="Arial"/>
                <w:sz w:val="24"/>
                <w:szCs w:val="24"/>
              </w:rPr>
              <w:t>Staffordshire</w:t>
            </w:r>
          </w:p>
        </w:tc>
      </w:tr>
      <w:tr w:rsidR="00D66A8D" w:rsidRPr="002014F0" w14:paraId="3185282F" w14:textId="77777777" w:rsidTr="00B507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1E5060C" w14:textId="2384B071" w:rsidR="00C40DEE" w:rsidRPr="002014F0" w:rsidRDefault="00C40DEE" w:rsidP="00C40DEE">
            <w:pPr>
              <w:rPr>
                <w:rFonts w:ascii="Arial" w:hAnsi="Arial" w:cs="Arial"/>
                <w:b w:val="0"/>
                <w:bCs w:val="0"/>
                <w:sz w:val="24"/>
                <w:szCs w:val="24"/>
              </w:rPr>
            </w:pPr>
            <w:r w:rsidRPr="002014F0">
              <w:rPr>
                <w:rFonts w:ascii="Arial" w:hAnsi="Arial" w:cs="Arial"/>
                <w:b w:val="0"/>
                <w:bCs w:val="0"/>
                <w:sz w:val="24"/>
                <w:szCs w:val="24"/>
              </w:rPr>
              <w:t>Isle of Wight</w:t>
            </w:r>
          </w:p>
        </w:tc>
        <w:tc>
          <w:tcPr>
            <w:tcW w:w="4675" w:type="dxa"/>
          </w:tcPr>
          <w:p w14:paraId="1A25A705" w14:textId="7F1755E3" w:rsidR="00C40DEE" w:rsidRPr="002014F0" w:rsidRDefault="00C40DEE" w:rsidP="00C40DEE">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014F0">
              <w:rPr>
                <w:rFonts w:ascii="Arial" w:hAnsi="Arial" w:cs="Arial"/>
                <w:sz w:val="24"/>
                <w:szCs w:val="24"/>
              </w:rPr>
              <w:t>Suffolk</w:t>
            </w:r>
          </w:p>
        </w:tc>
      </w:tr>
      <w:tr w:rsidR="00D66A8D" w:rsidRPr="002014F0" w14:paraId="7C9BC5D4" w14:textId="77777777" w:rsidTr="00B50774">
        <w:tc>
          <w:tcPr>
            <w:cnfStyle w:val="001000000000" w:firstRow="0" w:lastRow="0" w:firstColumn="1" w:lastColumn="0" w:oddVBand="0" w:evenVBand="0" w:oddHBand="0" w:evenHBand="0" w:firstRowFirstColumn="0" w:firstRowLastColumn="0" w:lastRowFirstColumn="0" w:lastRowLastColumn="0"/>
            <w:tcW w:w="4675" w:type="dxa"/>
          </w:tcPr>
          <w:p w14:paraId="5C6363D8" w14:textId="73E6846C" w:rsidR="00C40DEE" w:rsidRPr="002014F0" w:rsidRDefault="00C40DEE" w:rsidP="00C40DEE">
            <w:pPr>
              <w:rPr>
                <w:rFonts w:ascii="Arial" w:hAnsi="Arial" w:cs="Arial"/>
                <w:b w:val="0"/>
                <w:bCs w:val="0"/>
                <w:sz w:val="24"/>
                <w:szCs w:val="24"/>
              </w:rPr>
            </w:pPr>
            <w:r w:rsidRPr="002014F0">
              <w:rPr>
                <w:rFonts w:ascii="Arial" w:hAnsi="Arial" w:cs="Arial"/>
                <w:b w:val="0"/>
                <w:bCs w:val="0"/>
                <w:sz w:val="24"/>
                <w:szCs w:val="24"/>
              </w:rPr>
              <w:t>Leicestershire</w:t>
            </w:r>
          </w:p>
        </w:tc>
        <w:tc>
          <w:tcPr>
            <w:tcW w:w="4675" w:type="dxa"/>
          </w:tcPr>
          <w:p w14:paraId="6BFA4E53" w14:textId="3D46EFEF" w:rsidR="00C40DEE" w:rsidRPr="002014F0" w:rsidRDefault="00C40DEE" w:rsidP="00C40DE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014F0">
              <w:rPr>
                <w:rFonts w:ascii="Arial" w:hAnsi="Arial" w:cs="Arial"/>
                <w:sz w:val="24"/>
                <w:szCs w:val="24"/>
              </w:rPr>
              <w:t>West Midlands</w:t>
            </w:r>
          </w:p>
        </w:tc>
      </w:tr>
      <w:tr w:rsidR="00D66A8D" w:rsidRPr="002014F0" w14:paraId="4F1F74CF" w14:textId="77777777" w:rsidTr="00B507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A36AEA9" w14:textId="6D732B4D" w:rsidR="00C40DEE" w:rsidRPr="002014F0" w:rsidRDefault="00C40DEE" w:rsidP="00C40DEE">
            <w:pPr>
              <w:rPr>
                <w:rFonts w:ascii="Arial" w:hAnsi="Arial" w:cs="Arial"/>
                <w:b w:val="0"/>
                <w:bCs w:val="0"/>
                <w:sz w:val="24"/>
                <w:szCs w:val="24"/>
              </w:rPr>
            </w:pPr>
            <w:r w:rsidRPr="002014F0">
              <w:rPr>
                <w:rFonts w:ascii="Arial" w:hAnsi="Arial" w:cs="Arial"/>
                <w:b w:val="0"/>
                <w:bCs w:val="0"/>
                <w:sz w:val="24"/>
                <w:szCs w:val="24"/>
              </w:rPr>
              <w:t>Oxfordshire</w:t>
            </w:r>
          </w:p>
        </w:tc>
        <w:tc>
          <w:tcPr>
            <w:tcW w:w="4675" w:type="dxa"/>
          </w:tcPr>
          <w:p w14:paraId="1ED79297" w14:textId="2557D96D" w:rsidR="00C40DEE" w:rsidRPr="002014F0" w:rsidRDefault="00C40DEE" w:rsidP="00C40DEE">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501264D9">
              <w:rPr>
                <w:rFonts w:ascii="Arial" w:hAnsi="Arial" w:cs="Arial"/>
                <w:sz w:val="24"/>
                <w:szCs w:val="24"/>
              </w:rPr>
              <w:t>Wil</w:t>
            </w:r>
            <w:r w:rsidR="19E30406" w:rsidRPr="501264D9">
              <w:rPr>
                <w:rFonts w:ascii="Arial" w:hAnsi="Arial" w:cs="Arial"/>
                <w:sz w:val="24"/>
                <w:szCs w:val="24"/>
              </w:rPr>
              <w:t>t</w:t>
            </w:r>
            <w:r w:rsidRPr="501264D9">
              <w:rPr>
                <w:rFonts w:ascii="Arial" w:hAnsi="Arial" w:cs="Arial"/>
                <w:sz w:val="24"/>
                <w:szCs w:val="24"/>
              </w:rPr>
              <w:t>shire</w:t>
            </w:r>
          </w:p>
        </w:tc>
      </w:tr>
      <w:tr w:rsidR="00D66A8D" w:rsidRPr="002014F0" w14:paraId="31491DB4" w14:textId="77777777" w:rsidTr="00B50774">
        <w:tc>
          <w:tcPr>
            <w:cnfStyle w:val="001000000000" w:firstRow="0" w:lastRow="0" w:firstColumn="1" w:lastColumn="0" w:oddVBand="0" w:evenVBand="0" w:oddHBand="0" w:evenHBand="0" w:firstRowFirstColumn="0" w:firstRowLastColumn="0" w:lastRowFirstColumn="0" w:lastRowLastColumn="0"/>
            <w:tcW w:w="4675" w:type="dxa"/>
          </w:tcPr>
          <w:p w14:paraId="7CF97816" w14:textId="4CFB26F3" w:rsidR="00C40DEE" w:rsidRPr="002014F0" w:rsidRDefault="00C40DEE" w:rsidP="00C40DEE">
            <w:pPr>
              <w:rPr>
                <w:rFonts w:ascii="Arial" w:hAnsi="Arial" w:cs="Arial"/>
                <w:b w:val="0"/>
                <w:bCs w:val="0"/>
                <w:sz w:val="24"/>
                <w:szCs w:val="24"/>
              </w:rPr>
            </w:pPr>
            <w:r w:rsidRPr="002014F0">
              <w:rPr>
                <w:rFonts w:ascii="Arial" w:hAnsi="Arial" w:cs="Arial"/>
                <w:b w:val="0"/>
                <w:bCs w:val="0"/>
                <w:sz w:val="24"/>
                <w:szCs w:val="24"/>
              </w:rPr>
              <w:t>Norfolk</w:t>
            </w:r>
          </w:p>
        </w:tc>
        <w:tc>
          <w:tcPr>
            <w:tcW w:w="4675" w:type="dxa"/>
          </w:tcPr>
          <w:p w14:paraId="0980E7CB" w14:textId="0C0E5261" w:rsidR="00C40DEE" w:rsidRPr="002014F0" w:rsidRDefault="00C40DEE" w:rsidP="00C40DE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014F0">
              <w:rPr>
                <w:rFonts w:ascii="Arial" w:hAnsi="Arial" w:cs="Arial"/>
                <w:sz w:val="24"/>
                <w:szCs w:val="24"/>
              </w:rPr>
              <w:t>Worcestershire</w:t>
            </w:r>
          </w:p>
        </w:tc>
      </w:tr>
    </w:tbl>
    <w:p w14:paraId="580DADC4" w14:textId="77777777" w:rsidR="00294F53" w:rsidRDefault="00294F53" w:rsidP="00AB6D7B">
      <w:pPr>
        <w:rPr>
          <w:rFonts w:ascii="Arial" w:hAnsi="Arial" w:cs="Arial"/>
          <w:sz w:val="24"/>
          <w:szCs w:val="24"/>
        </w:rPr>
      </w:pPr>
    </w:p>
    <w:p w14:paraId="4DF68519" w14:textId="06654FB9" w:rsidR="00406B40" w:rsidRPr="00406B40" w:rsidRDefault="00406B40" w:rsidP="00406B40">
      <w:pPr>
        <w:rPr>
          <w:rFonts w:ascii="Arial" w:hAnsi="Arial" w:cs="Arial"/>
          <w:sz w:val="24"/>
          <w:szCs w:val="24"/>
        </w:rPr>
      </w:pPr>
      <w:r w:rsidRPr="00406B40">
        <w:rPr>
          <w:rFonts w:ascii="Arial" w:hAnsi="Arial" w:cs="Arial"/>
          <w:sz w:val="24"/>
          <w:szCs w:val="24"/>
        </w:rPr>
        <w:t xml:space="preserve">By law, </w:t>
      </w:r>
      <w:r>
        <w:rPr>
          <w:rFonts w:ascii="Arial" w:hAnsi="Arial" w:cs="Arial"/>
          <w:sz w:val="24"/>
          <w:szCs w:val="24"/>
        </w:rPr>
        <w:t>LGPSC</w:t>
      </w:r>
      <w:r w:rsidRPr="00406B40">
        <w:rPr>
          <w:rFonts w:ascii="Arial" w:hAnsi="Arial" w:cs="Arial"/>
          <w:sz w:val="24"/>
          <w:szCs w:val="24"/>
        </w:rPr>
        <w:t xml:space="preserve"> must be authorised by the Financial Conduct Authority to perform relevant regulated investment activities on behalf of the </w:t>
      </w:r>
      <w:r w:rsidR="00B83BBB">
        <w:rPr>
          <w:rFonts w:ascii="Arial" w:hAnsi="Arial" w:cs="Arial"/>
          <w:sz w:val="24"/>
          <w:szCs w:val="24"/>
        </w:rPr>
        <w:t xml:space="preserve">Pension </w:t>
      </w:r>
      <w:r w:rsidRPr="00406B40">
        <w:rPr>
          <w:rFonts w:ascii="Arial" w:hAnsi="Arial" w:cs="Arial"/>
          <w:sz w:val="24"/>
          <w:szCs w:val="24"/>
        </w:rPr>
        <w:t xml:space="preserve">Fund. In addition, the </w:t>
      </w:r>
      <w:r>
        <w:rPr>
          <w:rFonts w:ascii="Arial" w:hAnsi="Arial" w:cs="Arial"/>
          <w:sz w:val="24"/>
          <w:szCs w:val="24"/>
        </w:rPr>
        <w:t>Panel and Board</w:t>
      </w:r>
      <w:r w:rsidRPr="00406B40">
        <w:rPr>
          <w:rFonts w:ascii="Arial" w:hAnsi="Arial" w:cs="Arial"/>
          <w:sz w:val="24"/>
          <w:szCs w:val="24"/>
        </w:rPr>
        <w:t xml:space="preserve"> </w:t>
      </w:r>
      <w:r w:rsidR="00C71714" w:rsidRPr="00406B40">
        <w:rPr>
          <w:rFonts w:ascii="Arial" w:hAnsi="Arial" w:cs="Arial"/>
          <w:sz w:val="24"/>
          <w:szCs w:val="24"/>
        </w:rPr>
        <w:t>expect</w:t>
      </w:r>
      <w:r w:rsidRPr="00406B40">
        <w:rPr>
          <w:rFonts w:ascii="Arial" w:hAnsi="Arial" w:cs="Arial"/>
          <w:sz w:val="24"/>
          <w:szCs w:val="24"/>
        </w:rPr>
        <w:t xml:space="preserve"> any investment managers appointed by </w:t>
      </w:r>
      <w:r w:rsidR="00C53BD2">
        <w:rPr>
          <w:rFonts w:ascii="Arial" w:hAnsi="Arial" w:cs="Arial"/>
          <w:sz w:val="24"/>
          <w:szCs w:val="24"/>
        </w:rPr>
        <w:t>LGPSC</w:t>
      </w:r>
      <w:r w:rsidRPr="00406B40">
        <w:rPr>
          <w:rFonts w:ascii="Arial" w:hAnsi="Arial" w:cs="Arial"/>
          <w:sz w:val="24"/>
          <w:szCs w:val="24"/>
        </w:rPr>
        <w:t xml:space="preserve"> to be authorised under the Financial Services and Markets Act 2000 to undertake investment business.</w:t>
      </w:r>
      <w:r w:rsidR="00C71714">
        <w:rPr>
          <w:rFonts w:ascii="Arial" w:hAnsi="Arial" w:cs="Arial"/>
          <w:sz w:val="24"/>
          <w:szCs w:val="24"/>
        </w:rPr>
        <w:t xml:space="preserve"> This Investment Strategy Statement has been shared with LGPSC for their comment.</w:t>
      </w:r>
    </w:p>
    <w:p w14:paraId="055CFD55" w14:textId="07777736" w:rsidR="00406B40" w:rsidRPr="00406B40" w:rsidRDefault="00406B40" w:rsidP="00406B40">
      <w:pPr>
        <w:rPr>
          <w:rFonts w:ascii="Arial" w:hAnsi="Arial" w:cs="Arial"/>
          <w:sz w:val="24"/>
          <w:szCs w:val="24"/>
        </w:rPr>
      </w:pPr>
      <w:r w:rsidRPr="00406B40">
        <w:rPr>
          <w:rFonts w:ascii="Arial" w:hAnsi="Arial" w:cs="Arial"/>
          <w:sz w:val="24"/>
          <w:szCs w:val="24"/>
        </w:rPr>
        <w:t xml:space="preserve">The </w:t>
      </w:r>
      <w:r w:rsidR="00B83BBB">
        <w:rPr>
          <w:rFonts w:ascii="Arial" w:hAnsi="Arial" w:cs="Arial"/>
          <w:sz w:val="24"/>
          <w:szCs w:val="24"/>
        </w:rPr>
        <w:t>Panel and Board</w:t>
      </w:r>
      <w:r w:rsidRPr="00406B40">
        <w:rPr>
          <w:rFonts w:ascii="Arial" w:hAnsi="Arial" w:cs="Arial"/>
          <w:sz w:val="24"/>
          <w:szCs w:val="24"/>
        </w:rPr>
        <w:t xml:space="preserve"> </w:t>
      </w:r>
      <w:r w:rsidR="00C71714" w:rsidRPr="00406B40">
        <w:rPr>
          <w:rFonts w:ascii="Arial" w:hAnsi="Arial" w:cs="Arial"/>
          <w:sz w:val="24"/>
          <w:szCs w:val="24"/>
        </w:rPr>
        <w:t>expect</w:t>
      </w:r>
      <w:r w:rsidRPr="00406B40">
        <w:rPr>
          <w:rFonts w:ascii="Arial" w:hAnsi="Arial" w:cs="Arial"/>
          <w:sz w:val="24"/>
          <w:szCs w:val="24"/>
        </w:rPr>
        <w:t xml:space="preserve"> </w:t>
      </w:r>
      <w:r w:rsidR="00B83BBB">
        <w:rPr>
          <w:rFonts w:ascii="Arial" w:hAnsi="Arial" w:cs="Arial"/>
          <w:sz w:val="24"/>
          <w:szCs w:val="24"/>
        </w:rPr>
        <w:t>LGPSC</w:t>
      </w:r>
      <w:r w:rsidRPr="00406B40">
        <w:rPr>
          <w:rFonts w:ascii="Arial" w:hAnsi="Arial" w:cs="Arial"/>
          <w:sz w:val="24"/>
          <w:szCs w:val="24"/>
        </w:rPr>
        <w:t xml:space="preserve"> to agree specific benchmarks with each </w:t>
      </w:r>
      <w:r w:rsidR="00B83BBB">
        <w:rPr>
          <w:rFonts w:ascii="Arial" w:hAnsi="Arial" w:cs="Arial"/>
          <w:sz w:val="24"/>
          <w:szCs w:val="24"/>
        </w:rPr>
        <w:t xml:space="preserve">investment </w:t>
      </w:r>
      <w:r w:rsidRPr="00406B40">
        <w:rPr>
          <w:rFonts w:ascii="Arial" w:hAnsi="Arial" w:cs="Arial"/>
          <w:sz w:val="24"/>
          <w:szCs w:val="24"/>
        </w:rPr>
        <w:t xml:space="preserve">manager the </w:t>
      </w:r>
      <w:r w:rsidR="00B83BBB">
        <w:rPr>
          <w:rFonts w:ascii="Arial" w:hAnsi="Arial" w:cs="Arial"/>
          <w:sz w:val="24"/>
          <w:szCs w:val="24"/>
        </w:rPr>
        <w:t xml:space="preserve">Pension </w:t>
      </w:r>
      <w:r w:rsidRPr="00406B40">
        <w:rPr>
          <w:rFonts w:ascii="Arial" w:hAnsi="Arial" w:cs="Arial"/>
          <w:sz w:val="24"/>
          <w:szCs w:val="24"/>
        </w:rPr>
        <w:t xml:space="preserve">Fund’s assets are invested with so that, in aggregate, they are consistent with the overall asset allocation for the Fund. The Fund’s investment managers will be expected to hold a mix of investments which reflects their views relative to their respective benchmarks. Within each major market and asset class, the </w:t>
      </w:r>
      <w:r w:rsidR="00EF2BCA">
        <w:rPr>
          <w:rFonts w:ascii="Arial" w:hAnsi="Arial" w:cs="Arial"/>
          <w:sz w:val="24"/>
          <w:szCs w:val="24"/>
        </w:rPr>
        <w:t xml:space="preserve">investment </w:t>
      </w:r>
      <w:r w:rsidRPr="00406B40">
        <w:rPr>
          <w:rFonts w:ascii="Arial" w:hAnsi="Arial" w:cs="Arial"/>
          <w:sz w:val="24"/>
          <w:szCs w:val="24"/>
        </w:rPr>
        <w:t>managers will be expected to maintain diversified portfolios through direct investment or pooled vehicles. </w:t>
      </w:r>
      <w:r w:rsidR="00EF2BCA">
        <w:rPr>
          <w:rFonts w:ascii="Arial" w:hAnsi="Arial" w:cs="Arial"/>
          <w:sz w:val="24"/>
          <w:szCs w:val="24"/>
        </w:rPr>
        <w:t>Investment m</w:t>
      </w:r>
      <w:r w:rsidRPr="00406B40">
        <w:rPr>
          <w:rFonts w:ascii="Arial" w:hAnsi="Arial" w:cs="Arial"/>
          <w:sz w:val="24"/>
          <w:szCs w:val="24"/>
        </w:rPr>
        <w:t>anagers of index-tracking funds in which the Fund’s assets are invested in are expected to hold a mix of investments within each pooled fund that reflects that of their respective benchmark indices.</w:t>
      </w:r>
    </w:p>
    <w:p w14:paraId="5B6F52E9" w14:textId="63372EC7" w:rsidR="00406B40" w:rsidRPr="00406B40" w:rsidRDefault="00406B40" w:rsidP="00406B40">
      <w:pPr>
        <w:rPr>
          <w:rFonts w:ascii="Arial" w:hAnsi="Arial" w:cs="Arial"/>
          <w:sz w:val="24"/>
          <w:szCs w:val="24"/>
        </w:rPr>
      </w:pPr>
      <w:r w:rsidRPr="00406B40">
        <w:rPr>
          <w:rFonts w:ascii="Arial" w:hAnsi="Arial" w:cs="Arial"/>
          <w:sz w:val="24"/>
          <w:szCs w:val="24"/>
        </w:rPr>
        <w:t xml:space="preserve">The </w:t>
      </w:r>
      <w:r w:rsidR="00054FA1">
        <w:rPr>
          <w:rFonts w:ascii="Arial" w:hAnsi="Arial" w:cs="Arial"/>
          <w:sz w:val="24"/>
          <w:szCs w:val="24"/>
        </w:rPr>
        <w:t>Panel and Board</w:t>
      </w:r>
      <w:r w:rsidRPr="00406B40">
        <w:rPr>
          <w:rFonts w:ascii="Arial" w:hAnsi="Arial" w:cs="Arial"/>
          <w:sz w:val="24"/>
          <w:szCs w:val="24"/>
        </w:rPr>
        <w:t xml:space="preserve"> and </w:t>
      </w:r>
      <w:r w:rsidR="00054FA1">
        <w:rPr>
          <w:rFonts w:ascii="Arial" w:hAnsi="Arial" w:cs="Arial"/>
          <w:sz w:val="24"/>
          <w:szCs w:val="24"/>
        </w:rPr>
        <w:t>LGPSC</w:t>
      </w:r>
      <w:r w:rsidRPr="00406B40">
        <w:rPr>
          <w:rFonts w:ascii="Arial" w:hAnsi="Arial" w:cs="Arial"/>
          <w:sz w:val="24"/>
          <w:szCs w:val="24"/>
        </w:rPr>
        <w:t xml:space="preserve"> have agreed that the Pool will report </w:t>
      </w:r>
      <w:r w:rsidR="00054FA1">
        <w:rPr>
          <w:rFonts w:ascii="Arial" w:hAnsi="Arial" w:cs="Arial"/>
          <w:sz w:val="24"/>
          <w:szCs w:val="24"/>
        </w:rPr>
        <w:t>quarterly</w:t>
      </w:r>
      <w:r w:rsidRPr="00406B40">
        <w:rPr>
          <w:rFonts w:ascii="Arial" w:hAnsi="Arial" w:cs="Arial"/>
          <w:sz w:val="24"/>
          <w:szCs w:val="24"/>
        </w:rPr>
        <w:t xml:space="preserve"> on how </w:t>
      </w:r>
      <w:r w:rsidR="00054FA1">
        <w:rPr>
          <w:rFonts w:ascii="Arial" w:hAnsi="Arial" w:cs="Arial"/>
          <w:sz w:val="24"/>
          <w:szCs w:val="24"/>
        </w:rPr>
        <w:t xml:space="preserve">investment </w:t>
      </w:r>
      <w:r w:rsidRPr="00406B40">
        <w:rPr>
          <w:rFonts w:ascii="Arial" w:hAnsi="Arial" w:cs="Arial"/>
          <w:sz w:val="24"/>
          <w:szCs w:val="24"/>
        </w:rPr>
        <w:t xml:space="preserve">managers </w:t>
      </w:r>
      <w:r w:rsidR="00054FA1">
        <w:rPr>
          <w:rFonts w:ascii="Arial" w:hAnsi="Arial" w:cs="Arial"/>
          <w:sz w:val="24"/>
          <w:szCs w:val="24"/>
        </w:rPr>
        <w:t xml:space="preserve">and </w:t>
      </w:r>
      <w:r w:rsidR="00167414">
        <w:rPr>
          <w:rFonts w:ascii="Arial" w:hAnsi="Arial" w:cs="Arial"/>
          <w:sz w:val="24"/>
          <w:szCs w:val="24"/>
        </w:rPr>
        <w:t>LGPSC investment products</w:t>
      </w:r>
      <w:r w:rsidRPr="00406B40">
        <w:rPr>
          <w:rFonts w:ascii="Arial" w:hAnsi="Arial" w:cs="Arial"/>
          <w:sz w:val="24"/>
          <w:szCs w:val="24"/>
        </w:rPr>
        <w:t xml:space="preserve"> are performing in relation to the targets and expectations set for them</w:t>
      </w:r>
      <w:r w:rsidR="00167414">
        <w:rPr>
          <w:rFonts w:ascii="Arial" w:hAnsi="Arial" w:cs="Arial"/>
          <w:sz w:val="24"/>
          <w:szCs w:val="24"/>
        </w:rPr>
        <w:t>.</w:t>
      </w:r>
    </w:p>
    <w:p w14:paraId="6754E61F" w14:textId="4CE747AB" w:rsidR="00406B40" w:rsidRPr="00AB6D7B" w:rsidRDefault="00406B40" w:rsidP="00AB6D7B">
      <w:pPr>
        <w:rPr>
          <w:rFonts w:ascii="Arial" w:hAnsi="Arial" w:cs="Arial"/>
          <w:sz w:val="24"/>
          <w:szCs w:val="24"/>
        </w:rPr>
        <w:sectPr w:rsidR="00406B40" w:rsidRPr="00AB6D7B" w:rsidSect="005D460F">
          <w:pgSz w:w="15840" w:h="12240" w:orient="landscape"/>
          <w:pgMar w:top="1440" w:right="1440" w:bottom="1440" w:left="1440" w:header="720" w:footer="720" w:gutter="0"/>
          <w:cols w:num="2" w:space="720"/>
          <w:docGrid w:linePitch="360"/>
        </w:sectPr>
      </w:pPr>
    </w:p>
    <w:p w14:paraId="1294FA4F" w14:textId="77777777" w:rsidR="000459E0" w:rsidRDefault="0052389E" w:rsidP="00D73B2F">
      <w:pPr>
        <w:pStyle w:val="Heading1"/>
        <w:spacing w:before="0"/>
        <w:rPr>
          <w:sz w:val="56"/>
          <w:szCs w:val="56"/>
        </w:rPr>
        <w:sectPr w:rsidR="000459E0" w:rsidSect="005D460F">
          <w:pgSz w:w="15840" w:h="12240" w:orient="landscape"/>
          <w:pgMar w:top="1440" w:right="1440" w:bottom="1440" w:left="1440" w:header="720" w:footer="720" w:gutter="0"/>
          <w:cols w:space="720"/>
          <w:docGrid w:linePitch="360"/>
        </w:sectPr>
      </w:pPr>
      <w:bookmarkStart w:id="10" w:name="_Toc224113544"/>
      <w:r w:rsidRPr="00D73B2F">
        <w:rPr>
          <w:sz w:val="56"/>
          <w:szCs w:val="56"/>
        </w:rPr>
        <w:t>Responsible investment policy</w:t>
      </w:r>
      <w:bookmarkEnd w:id="10"/>
      <w:r w:rsidRPr="00D73B2F">
        <w:rPr>
          <w:sz w:val="56"/>
          <w:szCs w:val="56"/>
        </w:rPr>
        <w:t xml:space="preserve"> </w:t>
      </w:r>
    </w:p>
    <w:p w14:paraId="5D8DF009" w14:textId="77777777" w:rsidR="000459E0" w:rsidRDefault="000459E0" w:rsidP="00B67B1A">
      <w:pPr>
        <w:pStyle w:val="Heading2"/>
        <w:spacing w:before="320"/>
        <w:rPr>
          <w:color w:val="0F4761" w:themeColor="accent1" w:themeShade="BF"/>
          <w:sz w:val="32"/>
          <w:szCs w:val="32"/>
        </w:rPr>
        <w:sectPr w:rsidR="000459E0" w:rsidSect="005D460F">
          <w:type w:val="continuous"/>
          <w:pgSz w:w="15840" w:h="12240" w:orient="landscape"/>
          <w:pgMar w:top="1440" w:right="1440" w:bottom="1440" w:left="1440" w:header="720" w:footer="720" w:gutter="0"/>
          <w:cols w:num="2" w:space="720"/>
          <w:docGrid w:linePitch="360"/>
        </w:sectPr>
      </w:pPr>
    </w:p>
    <w:p w14:paraId="494DD22C" w14:textId="15D3D5EC" w:rsidR="0052389E" w:rsidRPr="00B67B1A" w:rsidRDefault="003B4252" w:rsidP="00B67B1A">
      <w:pPr>
        <w:pStyle w:val="Heading2"/>
        <w:spacing w:before="320"/>
        <w:rPr>
          <w:color w:val="0F4761" w:themeColor="accent1" w:themeShade="BF"/>
          <w:sz w:val="32"/>
          <w:szCs w:val="32"/>
        </w:rPr>
      </w:pPr>
      <w:bookmarkStart w:id="11" w:name="_Toc224113545"/>
      <w:r w:rsidRPr="00C45421">
        <w:rPr>
          <w:rFonts w:ascii="Arial" w:hAnsi="Arial" w:cs="Arial"/>
          <w:noProof/>
          <w:sz w:val="24"/>
          <w:szCs w:val="24"/>
        </w:rPr>
        <mc:AlternateContent>
          <mc:Choice Requires="wps">
            <w:drawing>
              <wp:anchor distT="45720" distB="45720" distL="114300" distR="114300" simplePos="0" relativeHeight="251658241" behindDoc="0" locked="0" layoutInCell="1" allowOverlap="1" wp14:anchorId="4582C332" wp14:editId="526F932A">
                <wp:simplePos x="0" y="0"/>
                <wp:positionH relativeFrom="column">
                  <wp:posOffset>4237355</wp:posOffset>
                </wp:positionH>
                <wp:positionV relativeFrom="paragraph">
                  <wp:posOffset>159385</wp:posOffset>
                </wp:positionV>
                <wp:extent cx="4135120" cy="2592705"/>
                <wp:effectExtent l="0" t="0" r="17780" b="17145"/>
                <wp:wrapSquare wrapText="bothSides"/>
                <wp:docPr id="11128846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5120" cy="2592705"/>
                        </a:xfrm>
                        <a:prstGeom prst="rect">
                          <a:avLst/>
                        </a:prstGeom>
                        <a:solidFill>
                          <a:schemeClr val="accent1"/>
                        </a:solidFill>
                        <a:ln w="9525">
                          <a:solidFill>
                            <a:schemeClr val="accent1"/>
                          </a:solidFill>
                          <a:miter lim="800000"/>
                          <a:headEnd/>
                          <a:tailEnd/>
                        </a:ln>
                      </wps:spPr>
                      <wps:txbx>
                        <w:txbxContent>
                          <w:p w14:paraId="167E5F97" w14:textId="5E275554" w:rsidR="00C45421" w:rsidRPr="0017252F" w:rsidRDefault="00C45421" w:rsidP="0017252F">
                            <w:pPr>
                              <w:pStyle w:val="ListParagraph"/>
                              <w:numPr>
                                <w:ilvl w:val="0"/>
                                <w:numId w:val="2"/>
                              </w:numPr>
                              <w:ind w:left="714" w:hanging="357"/>
                              <w:contextualSpacing w:val="0"/>
                              <w:rPr>
                                <w:rFonts w:ascii="Arial" w:hAnsi="Arial" w:cs="Arial"/>
                                <w:color w:val="FFFFFF" w:themeColor="background1"/>
                                <w:sz w:val="24"/>
                                <w:szCs w:val="24"/>
                              </w:rPr>
                            </w:pPr>
                            <w:r w:rsidRPr="0017252F">
                              <w:rPr>
                                <w:rFonts w:ascii="Arial" w:hAnsi="Arial" w:cs="Arial"/>
                                <w:b/>
                                <w:bCs/>
                                <w:color w:val="FFFFFF" w:themeColor="background1"/>
                                <w:sz w:val="24"/>
                                <w:szCs w:val="24"/>
                              </w:rPr>
                              <w:t>Environmental:</w:t>
                            </w:r>
                            <w:r w:rsidRPr="0017252F">
                              <w:rPr>
                                <w:rFonts w:ascii="Arial" w:hAnsi="Arial" w:cs="Arial"/>
                                <w:color w:val="FFFFFF" w:themeColor="background1"/>
                                <w:sz w:val="24"/>
                                <w:szCs w:val="24"/>
                              </w:rPr>
                              <w:t xml:space="preserve"> climate change, including physical risk and transition risk, resource depletion, including water, waste and pollution, deforestation </w:t>
                            </w:r>
                          </w:p>
                          <w:p w14:paraId="0925DD1B" w14:textId="77777777" w:rsidR="00C45421" w:rsidRPr="0017252F" w:rsidRDefault="00C45421" w:rsidP="0017252F">
                            <w:pPr>
                              <w:pStyle w:val="ListParagraph"/>
                              <w:numPr>
                                <w:ilvl w:val="0"/>
                                <w:numId w:val="2"/>
                              </w:numPr>
                              <w:ind w:left="714" w:hanging="357"/>
                              <w:contextualSpacing w:val="0"/>
                              <w:rPr>
                                <w:rFonts w:ascii="Arial" w:hAnsi="Arial" w:cs="Arial"/>
                                <w:color w:val="FFFFFF" w:themeColor="background1"/>
                                <w:sz w:val="24"/>
                                <w:szCs w:val="24"/>
                              </w:rPr>
                            </w:pPr>
                            <w:r w:rsidRPr="0017252F">
                              <w:rPr>
                                <w:rFonts w:ascii="Arial" w:hAnsi="Arial" w:cs="Arial"/>
                                <w:b/>
                                <w:bCs/>
                                <w:color w:val="FFFFFF" w:themeColor="background1"/>
                                <w:sz w:val="24"/>
                                <w:szCs w:val="24"/>
                              </w:rPr>
                              <w:t>Social:</w:t>
                            </w:r>
                            <w:r w:rsidRPr="0017252F">
                              <w:rPr>
                                <w:rFonts w:ascii="Arial" w:hAnsi="Arial" w:cs="Arial"/>
                                <w:color w:val="FFFFFF" w:themeColor="background1"/>
                                <w:sz w:val="24"/>
                                <w:szCs w:val="24"/>
                              </w:rPr>
                              <w:t xml:space="preserve"> working conditions, including slavery and child labour, local communities, including indigenous communities, conflict, health and safety (including health inequalities), employee relations and diversity </w:t>
                            </w:r>
                          </w:p>
                          <w:p w14:paraId="0C9FFF99" w14:textId="77777777" w:rsidR="00C45421" w:rsidRPr="0017252F" w:rsidRDefault="00C45421" w:rsidP="0017252F">
                            <w:pPr>
                              <w:pStyle w:val="ListParagraph"/>
                              <w:numPr>
                                <w:ilvl w:val="0"/>
                                <w:numId w:val="2"/>
                              </w:numPr>
                              <w:ind w:left="714" w:hanging="357"/>
                              <w:contextualSpacing w:val="0"/>
                              <w:rPr>
                                <w:rFonts w:ascii="Arial" w:hAnsi="Arial" w:cs="Arial"/>
                                <w:color w:val="FFFFFF" w:themeColor="background1"/>
                                <w:sz w:val="24"/>
                                <w:szCs w:val="24"/>
                              </w:rPr>
                            </w:pPr>
                            <w:r w:rsidRPr="0017252F">
                              <w:rPr>
                                <w:rFonts w:ascii="Arial" w:hAnsi="Arial" w:cs="Arial"/>
                                <w:b/>
                                <w:bCs/>
                                <w:color w:val="FFFFFF" w:themeColor="background1"/>
                                <w:sz w:val="24"/>
                                <w:szCs w:val="24"/>
                              </w:rPr>
                              <w:t>Governance:</w:t>
                            </w:r>
                            <w:r w:rsidRPr="0017252F">
                              <w:rPr>
                                <w:rFonts w:ascii="Arial" w:hAnsi="Arial" w:cs="Arial"/>
                                <w:color w:val="FFFFFF" w:themeColor="background1"/>
                                <w:sz w:val="24"/>
                                <w:szCs w:val="24"/>
                              </w:rPr>
                              <w:t xml:space="preserve"> executive pay, bribery and corruption, political or religious lobbying and donations, board diversity and structure, unjustifiable tax strategy </w:t>
                            </w:r>
                          </w:p>
                          <w:p w14:paraId="0BBDECBE" w14:textId="5711BA5D" w:rsidR="00C45421" w:rsidRPr="0017252F" w:rsidRDefault="00C45421">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2C332" id="_x0000_s1029" type="#_x0000_t202" style="position:absolute;margin-left:333.65pt;margin-top:12.55pt;width:325.6pt;height:204.1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" fillcolor="#156082 [3204]" strokecolor="#156082 [3204]">
                <v:textbox>
                  <w:txbxContent>
                    <w:p w14:paraId="167E5F97" w14:textId="5E275554" w:rsidR="00C45421" w:rsidRPr="0017252F" w:rsidRDefault="00C45421" w:rsidP="0017252F">
                      <w:pPr>
                        <w:pStyle w:val="ListParagraph"/>
                        <w:numPr>
                          <w:ilvl w:val="0"/>
                          <w:numId w:val="2"/>
                        </w:numPr>
                        <w:ind w:left="714" w:hanging="357"/>
                        <w:contextualSpacing w:val="0"/>
                        <w:rPr>
                          <w:rFonts w:ascii="Arial" w:hAnsi="Arial" w:cs="Arial"/>
                          <w:color w:val="FFFFFF" w:themeColor="background1"/>
                          <w:sz w:val="24"/>
                          <w:szCs w:val="24"/>
                        </w:rPr>
                      </w:pPr>
                      <w:r w:rsidRPr="0017252F">
                        <w:rPr>
                          <w:rFonts w:ascii="Arial" w:hAnsi="Arial" w:cs="Arial"/>
                          <w:b/>
                          <w:bCs/>
                          <w:color w:val="FFFFFF" w:themeColor="background1"/>
                          <w:sz w:val="24"/>
                          <w:szCs w:val="24"/>
                        </w:rPr>
                        <w:t>Environmental:</w:t>
                      </w:r>
                      <w:r w:rsidRPr="0017252F">
                        <w:rPr>
                          <w:rFonts w:ascii="Arial" w:hAnsi="Arial" w:cs="Arial"/>
                          <w:color w:val="FFFFFF" w:themeColor="background1"/>
                          <w:sz w:val="24"/>
                          <w:szCs w:val="24"/>
                        </w:rPr>
                        <w:t xml:space="preserve"> climate change, including physical risk and transition risk, resource depletion, including water, waste and pollution, deforestation </w:t>
                      </w:r>
                    </w:p>
                    <w:p w14:paraId="0925DD1B" w14:textId="77777777" w:rsidR="00C45421" w:rsidRPr="0017252F" w:rsidRDefault="00C45421" w:rsidP="0017252F">
                      <w:pPr>
                        <w:pStyle w:val="ListParagraph"/>
                        <w:numPr>
                          <w:ilvl w:val="0"/>
                          <w:numId w:val="2"/>
                        </w:numPr>
                        <w:ind w:left="714" w:hanging="357"/>
                        <w:contextualSpacing w:val="0"/>
                        <w:rPr>
                          <w:rFonts w:ascii="Arial" w:hAnsi="Arial" w:cs="Arial"/>
                          <w:color w:val="FFFFFF" w:themeColor="background1"/>
                          <w:sz w:val="24"/>
                          <w:szCs w:val="24"/>
                        </w:rPr>
                      </w:pPr>
                      <w:r w:rsidRPr="0017252F">
                        <w:rPr>
                          <w:rFonts w:ascii="Arial" w:hAnsi="Arial" w:cs="Arial"/>
                          <w:b/>
                          <w:bCs/>
                          <w:color w:val="FFFFFF" w:themeColor="background1"/>
                          <w:sz w:val="24"/>
                          <w:szCs w:val="24"/>
                        </w:rPr>
                        <w:t>Social:</w:t>
                      </w:r>
                      <w:r w:rsidRPr="0017252F">
                        <w:rPr>
                          <w:rFonts w:ascii="Arial" w:hAnsi="Arial" w:cs="Arial"/>
                          <w:color w:val="FFFFFF" w:themeColor="background1"/>
                          <w:sz w:val="24"/>
                          <w:szCs w:val="24"/>
                        </w:rPr>
                        <w:t xml:space="preserve"> working conditions, including slavery and child labour, local communities, including indigenous communities, conflict, health and safety (including health inequalities), employee relations and diversity </w:t>
                      </w:r>
                    </w:p>
                    <w:p w14:paraId="0C9FFF99" w14:textId="77777777" w:rsidR="00C45421" w:rsidRPr="0017252F" w:rsidRDefault="00C45421" w:rsidP="0017252F">
                      <w:pPr>
                        <w:pStyle w:val="ListParagraph"/>
                        <w:numPr>
                          <w:ilvl w:val="0"/>
                          <w:numId w:val="2"/>
                        </w:numPr>
                        <w:ind w:left="714" w:hanging="357"/>
                        <w:contextualSpacing w:val="0"/>
                        <w:rPr>
                          <w:rFonts w:ascii="Arial" w:hAnsi="Arial" w:cs="Arial"/>
                          <w:color w:val="FFFFFF" w:themeColor="background1"/>
                          <w:sz w:val="24"/>
                          <w:szCs w:val="24"/>
                        </w:rPr>
                      </w:pPr>
                      <w:r w:rsidRPr="0017252F">
                        <w:rPr>
                          <w:rFonts w:ascii="Arial" w:hAnsi="Arial" w:cs="Arial"/>
                          <w:b/>
                          <w:bCs/>
                          <w:color w:val="FFFFFF" w:themeColor="background1"/>
                          <w:sz w:val="24"/>
                          <w:szCs w:val="24"/>
                        </w:rPr>
                        <w:t>Governance:</w:t>
                      </w:r>
                      <w:r w:rsidRPr="0017252F">
                        <w:rPr>
                          <w:rFonts w:ascii="Arial" w:hAnsi="Arial" w:cs="Arial"/>
                          <w:color w:val="FFFFFF" w:themeColor="background1"/>
                          <w:sz w:val="24"/>
                          <w:szCs w:val="24"/>
                        </w:rPr>
                        <w:t xml:space="preserve"> executive pay, bribery and corruption, political or religious lobbying and donations, board diversity and structure, unjustifiable tax strategy </w:t>
                      </w:r>
                    </w:p>
                    <w:p w14:paraId="0BBDECBE" w14:textId="5711BA5D" w:rsidR="00C45421" w:rsidRPr="0017252F" w:rsidRDefault="00C45421">
                      <w:pPr>
                        <w:rPr>
                          <w:color w:val="FFFFFF" w:themeColor="background1"/>
                        </w:rPr>
                      </w:pPr>
                    </w:p>
                  </w:txbxContent>
                </v:textbox>
                <w10:wrap type="square"/>
              </v:shape>
            </w:pict>
          </mc:Fallback>
        </mc:AlternateContent>
      </w:r>
      <w:r w:rsidR="0052389E" w:rsidRPr="00B67B1A">
        <w:rPr>
          <w:color w:val="0F4761" w:themeColor="accent1" w:themeShade="BF"/>
          <w:sz w:val="32"/>
          <w:szCs w:val="32"/>
        </w:rPr>
        <w:t xml:space="preserve">1. Rationale, </w:t>
      </w:r>
      <w:r w:rsidR="00A95F93" w:rsidRPr="00B67B1A">
        <w:rPr>
          <w:color w:val="0F4761" w:themeColor="accent1" w:themeShade="BF"/>
          <w:sz w:val="32"/>
          <w:szCs w:val="32"/>
        </w:rPr>
        <w:t>definition</w:t>
      </w:r>
      <w:r w:rsidR="0052389E" w:rsidRPr="00B67B1A">
        <w:rPr>
          <w:color w:val="0F4761" w:themeColor="accent1" w:themeShade="BF"/>
          <w:sz w:val="32"/>
          <w:szCs w:val="32"/>
        </w:rPr>
        <w:t xml:space="preserve"> and beliefs</w:t>
      </w:r>
      <w:bookmarkEnd w:id="11"/>
      <w:r w:rsidR="0052389E" w:rsidRPr="00B67B1A">
        <w:rPr>
          <w:color w:val="0F4761" w:themeColor="accent1" w:themeShade="BF"/>
          <w:sz w:val="32"/>
          <w:szCs w:val="32"/>
        </w:rPr>
        <w:t xml:space="preserve"> </w:t>
      </w:r>
    </w:p>
    <w:p w14:paraId="053A52EA" w14:textId="4936358F" w:rsidR="0052389E" w:rsidRPr="00090F04" w:rsidRDefault="0052389E" w:rsidP="0052389E">
      <w:pPr>
        <w:rPr>
          <w:rFonts w:ascii="Arial" w:hAnsi="Arial" w:cs="Arial"/>
          <w:b/>
          <w:bCs/>
          <w:sz w:val="24"/>
          <w:szCs w:val="24"/>
        </w:rPr>
      </w:pPr>
      <w:r w:rsidRPr="00090F04">
        <w:rPr>
          <w:rFonts w:ascii="Arial" w:hAnsi="Arial" w:cs="Arial"/>
          <w:b/>
          <w:bCs/>
          <w:sz w:val="24"/>
          <w:szCs w:val="24"/>
        </w:rPr>
        <w:t xml:space="preserve">The Pension Fund’s investment principles include: </w:t>
      </w:r>
    </w:p>
    <w:p w14:paraId="49EFE25D" w14:textId="5A2601F9" w:rsidR="0052389E" w:rsidRPr="00A95F93" w:rsidRDefault="0052389E" w:rsidP="00A95F93">
      <w:pPr>
        <w:pStyle w:val="ListParagraph"/>
        <w:numPr>
          <w:ilvl w:val="0"/>
          <w:numId w:val="2"/>
        </w:numPr>
        <w:rPr>
          <w:rFonts w:ascii="Arial" w:hAnsi="Arial" w:cs="Arial"/>
          <w:sz w:val="24"/>
          <w:szCs w:val="24"/>
        </w:rPr>
      </w:pPr>
      <w:r w:rsidRPr="00A95F93">
        <w:rPr>
          <w:rFonts w:ascii="Arial" w:hAnsi="Arial" w:cs="Arial"/>
          <w:sz w:val="24"/>
          <w:szCs w:val="24"/>
        </w:rPr>
        <w:t xml:space="preserve">a long-term focus to make investment returns to meet pensions liabilities, </w:t>
      </w:r>
      <w:r w:rsidR="00A95F93" w:rsidRPr="00A95F93">
        <w:rPr>
          <w:rFonts w:ascii="Arial" w:hAnsi="Arial" w:cs="Arial"/>
          <w:sz w:val="24"/>
          <w:szCs w:val="24"/>
        </w:rPr>
        <w:t>i.e.</w:t>
      </w:r>
      <w:r w:rsidRPr="00A95F93">
        <w:rPr>
          <w:rFonts w:ascii="Arial" w:hAnsi="Arial" w:cs="Arial"/>
          <w:sz w:val="24"/>
          <w:szCs w:val="24"/>
        </w:rPr>
        <w:t xml:space="preserve"> the amount needed to fund retirees (currently calculated by the Fund’s actuary as 4.4%pa), and </w:t>
      </w:r>
    </w:p>
    <w:p w14:paraId="2BA9F04E" w14:textId="13BBB102" w:rsidR="0052389E" w:rsidRPr="00A95F93" w:rsidRDefault="0052389E" w:rsidP="00A95F93">
      <w:pPr>
        <w:pStyle w:val="ListParagraph"/>
        <w:numPr>
          <w:ilvl w:val="0"/>
          <w:numId w:val="2"/>
        </w:numPr>
        <w:rPr>
          <w:rFonts w:ascii="Arial" w:hAnsi="Arial" w:cs="Arial"/>
          <w:sz w:val="24"/>
          <w:szCs w:val="24"/>
        </w:rPr>
      </w:pPr>
      <w:r w:rsidRPr="00A95F93">
        <w:rPr>
          <w:rFonts w:ascii="Arial" w:hAnsi="Arial" w:cs="Arial"/>
          <w:sz w:val="24"/>
          <w:szCs w:val="24"/>
        </w:rPr>
        <w:t xml:space="preserve">a belief in the importance of Responsible Investment (RI), including consideration of social, environmental and corporate governance (ESG) factors, which can both positively and negatively </w:t>
      </w:r>
      <w:r w:rsidR="00A95F93" w:rsidRPr="00A95F93">
        <w:rPr>
          <w:rFonts w:ascii="Arial" w:hAnsi="Arial" w:cs="Arial"/>
          <w:sz w:val="24"/>
          <w:szCs w:val="24"/>
        </w:rPr>
        <w:t>influence</w:t>
      </w:r>
      <w:r w:rsidRPr="00A95F93">
        <w:rPr>
          <w:rFonts w:ascii="Arial" w:hAnsi="Arial" w:cs="Arial"/>
          <w:sz w:val="24"/>
          <w:szCs w:val="24"/>
        </w:rPr>
        <w:t xml:space="preserve"> investment returns. </w:t>
      </w:r>
    </w:p>
    <w:p w14:paraId="3708B303" w14:textId="5AA5BC17" w:rsidR="0052389E" w:rsidRDefault="0052389E" w:rsidP="0052389E">
      <w:pPr>
        <w:rPr>
          <w:rFonts w:ascii="Arial" w:hAnsi="Arial" w:cs="Arial"/>
          <w:sz w:val="24"/>
          <w:szCs w:val="24"/>
        </w:rPr>
      </w:pPr>
      <w:r w:rsidRPr="0052389E">
        <w:rPr>
          <w:rFonts w:ascii="Arial" w:hAnsi="Arial" w:cs="Arial"/>
          <w:sz w:val="24"/>
          <w:szCs w:val="24"/>
        </w:rPr>
        <w:t xml:space="preserve">Therefore, RI is important to the Pension Fund in </w:t>
      </w:r>
      <w:r w:rsidR="00A95F93" w:rsidRPr="0052389E">
        <w:rPr>
          <w:rFonts w:ascii="Arial" w:hAnsi="Arial" w:cs="Arial"/>
          <w:sz w:val="24"/>
          <w:szCs w:val="24"/>
        </w:rPr>
        <w:t>fulfilling</w:t>
      </w:r>
      <w:r w:rsidRPr="0052389E">
        <w:rPr>
          <w:rFonts w:ascii="Arial" w:hAnsi="Arial" w:cs="Arial"/>
          <w:sz w:val="24"/>
          <w:szCs w:val="24"/>
        </w:rPr>
        <w:t xml:space="preserve"> its role to pay scheme members </w:t>
      </w:r>
      <w:r w:rsidR="00A95F93" w:rsidRPr="0052389E">
        <w:rPr>
          <w:rFonts w:ascii="Arial" w:hAnsi="Arial" w:cs="Arial"/>
          <w:sz w:val="24"/>
          <w:szCs w:val="24"/>
        </w:rPr>
        <w:t>benefits</w:t>
      </w:r>
      <w:r w:rsidRPr="0052389E">
        <w:rPr>
          <w:rFonts w:ascii="Arial" w:hAnsi="Arial" w:cs="Arial"/>
          <w:sz w:val="24"/>
          <w:szCs w:val="24"/>
        </w:rPr>
        <w:t xml:space="preserve"> and for its reputation with scheme members, employers and the wider Hampshire community. This document sets out how the Fund’s RI responsibilities are delivered in line with these principles.</w:t>
      </w:r>
    </w:p>
    <w:p w14:paraId="1932DF4B" w14:textId="716DC068" w:rsidR="0052389E" w:rsidRDefault="0052389E" w:rsidP="0052389E">
      <w:pPr>
        <w:rPr>
          <w:rFonts w:ascii="Arial" w:hAnsi="Arial" w:cs="Arial"/>
          <w:sz w:val="24"/>
          <w:szCs w:val="24"/>
        </w:rPr>
      </w:pPr>
      <w:r w:rsidRPr="0052389E">
        <w:rPr>
          <w:rFonts w:ascii="Arial" w:hAnsi="Arial" w:cs="Arial"/>
          <w:sz w:val="24"/>
          <w:szCs w:val="24"/>
        </w:rPr>
        <w:t xml:space="preserve">The Pension Fund’s approach to RI, includes consideration of the Principles for Responsible Investment (PRI), a set of six principles that provide a global standard for responsible investing. The PRI sets out the following examples as guidance: </w:t>
      </w:r>
    </w:p>
    <w:p w14:paraId="19632D74" w14:textId="03A4544D" w:rsidR="0052389E" w:rsidRPr="0052389E" w:rsidRDefault="003B4252" w:rsidP="0052389E">
      <w:pPr>
        <w:rPr>
          <w:rFonts w:ascii="Arial" w:hAnsi="Arial" w:cs="Arial"/>
          <w:sz w:val="24"/>
          <w:szCs w:val="24"/>
        </w:rPr>
      </w:pPr>
      <w:r>
        <w:rPr>
          <w:rFonts w:ascii="Arial" w:hAnsi="Arial" w:cs="Arial"/>
          <w:sz w:val="24"/>
          <w:szCs w:val="24"/>
        </w:rPr>
        <w:br w:type="column"/>
      </w:r>
      <w:r w:rsidR="0052389E" w:rsidRPr="0052389E">
        <w:rPr>
          <w:rFonts w:ascii="Arial" w:hAnsi="Arial" w:cs="Arial"/>
          <w:sz w:val="24"/>
          <w:szCs w:val="24"/>
        </w:rPr>
        <w:t xml:space="preserve">This policy is based on the following key RI beliefs: </w:t>
      </w:r>
    </w:p>
    <w:p w14:paraId="2E5D88A2" w14:textId="7AFF2C69" w:rsidR="0052389E" w:rsidRPr="00A95F93" w:rsidRDefault="0052389E" w:rsidP="00A95F93">
      <w:pPr>
        <w:pStyle w:val="ListParagraph"/>
        <w:numPr>
          <w:ilvl w:val="0"/>
          <w:numId w:val="2"/>
        </w:numPr>
        <w:rPr>
          <w:rFonts w:ascii="Arial" w:hAnsi="Arial" w:cs="Arial"/>
          <w:sz w:val="24"/>
          <w:szCs w:val="24"/>
        </w:rPr>
      </w:pPr>
      <w:r w:rsidRPr="00A95F93">
        <w:rPr>
          <w:rFonts w:ascii="Arial" w:hAnsi="Arial" w:cs="Arial"/>
          <w:sz w:val="24"/>
          <w:szCs w:val="24"/>
        </w:rPr>
        <w:t xml:space="preserve">RI considerations are important, particularly over the longer term to both protect and enhance long-term investment return and maintain alignment to stakeholders’ values </w:t>
      </w:r>
    </w:p>
    <w:p w14:paraId="7E8AC966" w14:textId="029E8152" w:rsidR="0052389E" w:rsidRPr="00A95F93" w:rsidRDefault="0052389E" w:rsidP="00A95F93">
      <w:pPr>
        <w:pStyle w:val="ListParagraph"/>
        <w:numPr>
          <w:ilvl w:val="0"/>
          <w:numId w:val="2"/>
        </w:numPr>
        <w:rPr>
          <w:rFonts w:ascii="Arial" w:hAnsi="Arial" w:cs="Arial"/>
          <w:sz w:val="24"/>
          <w:szCs w:val="24"/>
        </w:rPr>
      </w:pPr>
      <w:r w:rsidRPr="00A95F93">
        <w:rPr>
          <w:rFonts w:ascii="Arial" w:hAnsi="Arial" w:cs="Arial"/>
          <w:sz w:val="24"/>
          <w:szCs w:val="24"/>
        </w:rPr>
        <w:t xml:space="preserve">RI considerations apply to all asset classes, but </w:t>
      </w:r>
      <w:r w:rsidR="00A95F93" w:rsidRPr="00A95F93">
        <w:rPr>
          <w:rFonts w:ascii="Arial" w:hAnsi="Arial" w:cs="Arial"/>
          <w:sz w:val="24"/>
          <w:szCs w:val="24"/>
        </w:rPr>
        <w:t>different</w:t>
      </w:r>
      <w:r w:rsidRPr="00A95F93">
        <w:rPr>
          <w:rFonts w:ascii="Arial" w:hAnsi="Arial" w:cs="Arial"/>
          <w:sz w:val="24"/>
          <w:szCs w:val="24"/>
        </w:rPr>
        <w:t xml:space="preserve"> asset classes may mean the management and implementation is </w:t>
      </w:r>
      <w:r w:rsidR="00A95F93" w:rsidRPr="00A95F93">
        <w:rPr>
          <w:rFonts w:ascii="Arial" w:hAnsi="Arial" w:cs="Arial"/>
          <w:sz w:val="24"/>
          <w:szCs w:val="24"/>
        </w:rPr>
        <w:t>different</w:t>
      </w:r>
      <w:r w:rsidRPr="00A95F93">
        <w:rPr>
          <w:rFonts w:ascii="Arial" w:hAnsi="Arial" w:cs="Arial"/>
          <w:sz w:val="24"/>
          <w:szCs w:val="24"/>
        </w:rPr>
        <w:t xml:space="preserve"> </w:t>
      </w:r>
    </w:p>
    <w:p w14:paraId="6EC3F4D4" w14:textId="314DD9F4" w:rsidR="0052389E" w:rsidRPr="00A95F93" w:rsidRDefault="0052389E" w:rsidP="00A95F93">
      <w:pPr>
        <w:pStyle w:val="ListParagraph"/>
        <w:numPr>
          <w:ilvl w:val="0"/>
          <w:numId w:val="2"/>
        </w:numPr>
        <w:rPr>
          <w:rFonts w:ascii="Arial" w:hAnsi="Arial" w:cs="Arial"/>
          <w:sz w:val="24"/>
          <w:szCs w:val="24"/>
        </w:rPr>
      </w:pPr>
      <w:r w:rsidRPr="00A95F93">
        <w:rPr>
          <w:rFonts w:ascii="Arial" w:hAnsi="Arial" w:cs="Arial"/>
          <w:sz w:val="24"/>
          <w:szCs w:val="24"/>
        </w:rPr>
        <w:t>Responsible management of RI Issues is a reputationally important issue</w:t>
      </w:r>
      <w:r w:rsidR="006C5D9A">
        <w:rPr>
          <w:rFonts w:ascii="Arial" w:hAnsi="Arial" w:cs="Arial"/>
          <w:sz w:val="24"/>
          <w:szCs w:val="24"/>
        </w:rPr>
        <w:t xml:space="preserve"> for the Pension Fund</w:t>
      </w:r>
      <w:r w:rsidRPr="00A95F93">
        <w:rPr>
          <w:rFonts w:ascii="Arial" w:hAnsi="Arial" w:cs="Arial"/>
          <w:sz w:val="24"/>
          <w:szCs w:val="24"/>
        </w:rPr>
        <w:t xml:space="preserve"> </w:t>
      </w:r>
    </w:p>
    <w:p w14:paraId="7BED0C2B" w14:textId="6A291CDE" w:rsidR="0052389E" w:rsidRPr="00A95F93" w:rsidRDefault="0052389E" w:rsidP="00A95F93">
      <w:pPr>
        <w:pStyle w:val="ListParagraph"/>
        <w:numPr>
          <w:ilvl w:val="0"/>
          <w:numId w:val="2"/>
        </w:numPr>
        <w:rPr>
          <w:rFonts w:ascii="Arial" w:hAnsi="Arial" w:cs="Arial"/>
          <w:sz w:val="24"/>
          <w:szCs w:val="24"/>
        </w:rPr>
      </w:pPr>
      <w:r w:rsidRPr="00A95F93">
        <w:rPr>
          <w:rFonts w:ascii="Arial" w:hAnsi="Arial" w:cs="Arial"/>
          <w:sz w:val="24"/>
          <w:szCs w:val="24"/>
        </w:rPr>
        <w:t xml:space="preserve">The Pension Fund expects the consideration of ESG factors to be incorporated into the portfolio construction process of all investments made by our investment managers </w:t>
      </w:r>
    </w:p>
    <w:p w14:paraId="4FF8BFF6" w14:textId="77777777" w:rsidR="0052389E" w:rsidRPr="00B67B1A" w:rsidRDefault="0052389E" w:rsidP="00B67B1A">
      <w:pPr>
        <w:pStyle w:val="Heading2"/>
        <w:spacing w:before="320"/>
        <w:rPr>
          <w:color w:val="0F4761" w:themeColor="accent1" w:themeShade="BF"/>
          <w:sz w:val="32"/>
          <w:szCs w:val="32"/>
        </w:rPr>
      </w:pPr>
      <w:bookmarkStart w:id="12" w:name="_Toc224113546"/>
      <w:r w:rsidRPr="00B67B1A">
        <w:rPr>
          <w:color w:val="0F4761" w:themeColor="accent1" w:themeShade="BF"/>
          <w:sz w:val="32"/>
          <w:szCs w:val="32"/>
        </w:rPr>
        <w:t>2. Prioritisation of RI issues</w:t>
      </w:r>
      <w:bookmarkEnd w:id="12"/>
      <w:r w:rsidRPr="00B67B1A">
        <w:rPr>
          <w:color w:val="0F4761" w:themeColor="accent1" w:themeShade="BF"/>
          <w:sz w:val="32"/>
          <w:szCs w:val="32"/>
        </w:rPr>
        <w:t xml:space="preserve"> </w:t>
      </w:r>
    </w:p>
    <w:p w14:paraId="780D39B6" w14:textId="70432868" w:rsidR="0052389E" w:rsidRPr="0052389E" w:rsidRDefault="0052389E" w:rsidP="0052389E">
      <w:pPr>
        <w:rPr>
          <w:rFonts w:ascii="Arial" w:hAnsi="Arial" w:cs="Arial"/>
          <w:sz w:val="24"/>
          <w:szCs w:val="24"/>
        </w:rPr>
      </w:pPr>
      <w:r w:rsidRPr="0052389E">
        <w:rPr>
          <w:rFonts w:ascii="Arial" w:hAnsi="Arial" w:cs="Arial"/>
          <w:sz w:val="24"/>
          <w:szCs w:val="24"/>
        </w:rPr>
        <w:t xml:space="preserve">The Pension Fund believes </w:t>
      </w:r>
      <w:proofErr w:type="gramStart"/>
      <w:r w:rsidRPr="0052389E">
        <w:rPr>
          <w:rFonts w:ascii="Arial" w:hAnsi="Arial" w:cs="Arial"/>
          <w:sz w:val="24"/>
          <w:szCs w:val="24"/>
        </w:rPr>
        <w:t>all of</w:t>
      </w:r>
      <w:proofErr w:type="gramEnd"/>
      <w:r w:rsidRPr="0052389E">
        <w:rPr>
          <w:rFonts w:ascii="Arial" w:hAnsi="Arial" w:cs="Arial"/>
          <w:sz w:val="24"/>
          <w:szCs w:val="24"/>
        </w:rPr>
        <w:t xml:space="preserve"> the issues highlighted as ESG factors above are important and need to be appropriately managed. Hampshire has aligned its RI priorities to those of the ACCESS pool </w:t>
      </w:r>
      <w:proofErr w:type="gramStart"/>
      <w:r w:rsidRPr="0052389E">
        <w:rPr>
          <w:rFonts w:ascii="Arial" w:hAnsi="Arial" w:cs="Arial"/>
          <w:sz w:val="24"/>
          <w:szCs w:val="24"/>
        </w:rPr>
        <w:t>in order to</w:t>
      </w:r>
      <w:proofErr w:type="gramEnd"/>
      <w:r w:rsidRPr="0052389E">
        <w:rPr>
          <w:rFonts w:ascii="Arial" w:hAnsi="Arial" w:cs="Arial"/>
          <w:sz w:val="24"/>
          <w:szCs w:val="24"/>
        </w:rPr>
        <w:t xml:space="preserve"> maximise both its impact in achieving these priorities and reporting to scheme members and employers. Having RI priorities does not diminish the importance of issues that are not mentioned or does not mean that these will not receive attention, but Hampshire is following best practice in setting priorities to give focus to its ESG work. </w:t>
      </w:r>
    </w:p>
    <w:p w14:paraId="2E6C01FD" w14:textId="77777777" w:rsidR="0052389E" w:rsidRPr="00A81C15" w:rsidRDefault="0052389E" w:rsidP="0052389E">
      <w:pPr>
        <w:rPr>
          <w:rFonts w:asciiTheme="majorHAnsi" w:hAnsiTheme="majorHAnsi" w:cs="Arial"/>
          <w:color w:val="0F4761" w:themeColor="accent1" w:themeShade="BF"/>
          <w:sz w:val="28"/>
          <w:szCs w:val="28"/>
        </w:rPr>
      </w:pPr>
      <w:r w:rsidRPr="00A81C15">
        <w:rPr>
          <w:rFonts w:asciiTheme="majorHAnsi" w:hAnsiTheme="majorHAnsi" w:cs="Arial"/>
          <w:color w:val="0F4761" w:themeColor="accent1" w:themeShade="BF"/>
          <w:sz w:val="28"/>
          <w:szCs w:val="28"/>
        </w:rPr>
        <w:t xml:space="preserve">Environmental factors </w:t>
      </w:r>
    </w:p>
    <w:p w14:paraId="00951EF5" w14:textId="77777777" w:rsidR="0052389E" w:rsidRPr="00A81C15" w:rsidRDefault="0052389E" w:rsidP="0052389E">
      <w:pPr>
        <w:rPr>
          <w:rFonts w:ascii="Arial" w:hAnsi="Arial" w:cs="Arial"/>
          <w:b/>
          <w:bCs/>
          <w:sz w:val="24"/>
          <w:szCs w:val="24"/>
        </w:rPr>
      </w:pPr>
      <w:r w:rsidRPr="00A81C15">
        <w:rPr>
          <w:rFonts w:ascii="Arial" w:hAnsi="Arial" w:cs="Arial"/>
          <w:b/>
          <w:bCs/>
          <w:sz w:val="24"/>
          <w:szCs w:val="24"/>
        </w:rPr>
        <w:t xml:space="preserve">Climate change </w:t>
      </w:r>
    </w:p>
    <w:p w14:paraId="09C5661A" w14:textId="3988A853" w:rsidR="0052389E" w:rsidRPr="0052389E" w:rsidRDefault="0052389E" w:rsidP="0052389E">
      <w:pPr>
        <w:rPr>
          <w:rFonts w:ascii="Arial" w:hAnsi="Arial" w:cs="Arial"/>
          <w:sz w:val="24"/>
          <w:szCs w:val="24"/>
        </w:rPr>
      </w:pPr>
      <w:r w:rsidRPr="0052389E">
        <w:rPr>
          <w:rFonts w:ascii="Arial" w:hAnsi="Arial" w:cs="Arial"/>
          <w:sz w:val="24"/>
          <w:szCs w:val="24"/>
        </w:rPr>
        <w:t xml:space="preserve">Climate change risk is aligned with the Task Force on Climate-related Financial Disclosures recommendations, which covers: </w:t>
      </w:r>
    </w:p>
    <w:p w14:paraId="74EAA68B" w14:textId="21A11ED9" w:rsidR="0052389E" w:rsidRPr="00B51F21" w:rsidRDefault="0052389E" w:rsidP="00B51F21">
      <w:pPr>
        <w:pStyle w:val="ListParagraph"/>
        <w:numPr>
          <w:ilvl w:val="0"/>
          <w:numId w:val="2"/>
        </w:numPr>
        <w:rPr>
          <w:rFonts w:ascii="Arial" w:hAnsi="Arial" w:cs="Arial"/>
          <w:sz w:val="24"/>
          <w:szCs w:val="24"/>
        </w:rPr>
      </w:pPr>
      <w:r w:rsidRPr="00B51F21">
        <w:rPr>
          <w:rFonts w:ascii="Arial" w:hAnsi="Arial" w:cs="Arial"/>
          <w:sz w:val="24"/>
          <w:szCs w:val="24"/>
        </w:rPr>
        <w:t xml:space="preserve">climate governance, </w:t>
      </w:r>
    </w:p>
    <w:p w14:paraId="69041E0D" w14:textId="01769C84" w:rsidR="0052389E" w:rsidRPr="00B51F21" w:rsidRDefault="0052389E" w:rsidP="00B51F21">
      <w:pPr>
        <w:pStyle w:val="ListParagraph"/>
        <w:numPr>
          <w:ilvl w:val="0"/>
          <w:numId w:val="2"/>
        </w:numPr>
        <w:rPr>
          <w:rFonts w:ascii="Arial" w:hAnsi="Arial" w:cs="Arial"/>
          <w:sz w:val="24"/>
          <w:szCs w:val="24"/>
        </w:rPr>
      </w:pPr>
      <w:r w:rsidRPr="00B51F21">
        <w:rPr>
          <w:rFonts w:ascii="Arial" w:hAnsi="Arial" w:cs="Arial"/>
          <w:sz w:val="24"/>
          <w:szCs w:val="24"/>
        </w:rPr>
        <w:t xml:space="preserve">strategy, </w:t>
      </w:r>
    </w:p>
    <w:p w14:paraId="5E01C6CA" w14:textId="75BD1C89" w:rsidR="0052389E" w:rsidRPr="00B51F21" w:rsidRDefault="0052389E" w:rsidP="00B51F21">
      <w:pPr>
        <w:pStyle w:val="ListParagraph"/>
        <w:numPr>
          <w:ilvl w:val="0"/>
          <w:numId w:val="2"/>
        </w:numPr>
        <w:rPr>
          <w:rFonts w:ascii="Arial" w:hAnsi="Arial" w:cs="Arial"/>
          <w:sz w:val="24"/>
          <w:szCs w:val="24"/>
        </w:rPr>
      </w:pPr>
      <w:r w:rsidRPr="00B51F21">
        <w:rPr>
          <w:rFonts w:ascii="Arial" w:hAnsi="Arial" w:cs="Arial"/>
          <w:sz w:val="24"/>
          <w:szCs w:val="24"/>
        </w:rPr>
        <w:t xml:space="preserve">risk management and </w:t>
      </w:r>
    </w:p>
    <w:p w14:paraId="3F710D05" w14:textId="15220B5A" w:rsidR="0052389E" w:rsidRPr="00B51F21" w:rsidRDefault="0052389E" w:rsidP="00B51F21">
      <w:pPr>
        <w:pStyle w:val="ListParagraph"/>
        <w:numPr>
          <w:ilvl w:val="0"/>
          <w:numId w:val="2"/>
        </w:numPr>
        <w:rPr>
          <w:rFonts w:ascii="Arial" w:hAnsi="Arial" w:cs="Arial"/>
          <w:sz w:val="24"/>
          <w:szCs w:val="24"/>
        </w:rPr>
      </w:pPr>
      <w:r w:rsidRPr="00B51F21">
        <w:rPr>
          <w:rFonts w:ascii="Arial" w:hAnsi="Arial" w:cs="Arial"/>
          <w:sz w:val="24"/>
          <w:szCs w:val="24"/>
        </w:rPr>
        <w:t>metrics and targets.</w:t>
      </w:r>
    </w:p>
    <w:p w14:paraId="69128EEE" w14:textId="77777777" w:rsidR="0052389E" w:rsidRPr="0052389E" w:rsidRDefault="0052389E" w:rsidP="0052389E">
      <w:pPr>
        <w:rPr>
          <w:rFonts w:ascii="Arial" w:hAnsi="Arial" w:cs="Arial"/>
          <w:sz w:val="24"/>
          <w:szCs w:val="24"/>
        </w:rPr>
      </w:pPr>
      <w:r w:rsidRPr="0052389E">
        <w:rPr>
          <w:rFonts w:ascii="Arial" w:hAnsi="Arial" w:cs="Arial"/>
          <w:sz w:val="24"/>
          <w:szCs w:val="24"/>
        </w:rPr>
        <w:t xml:space="preserve">Areas of focus within climate change include: </w:t>
      </w:r>
    </w:p>
    <w:p w14:paraId="54D740B6" w14:textId="0C1B0C93" w:rsidR="0052389E" w:rsidRPr="00B51F21" w:rsidRDefault="0052389E" w:rsidP="00B51F21">
      <w:pPr>
        <w:pStyle w:val="ListParagraph"/>
        <w:numPr>
          <w:ilvl w:val="0"/>
          <w:numId w:val="2"/>
        </w:numPr>
        <w:rPr>
          <w:rFonts w:ascii="Arial" w:hAnsi="Arial" w:cs="Arial"/>
          <w:sz w:val="24"/>
          <w:szCs w:val="24"/>
        </w:rPr>
      </w:pPr>
      <w:r w:rsidRPr="00B51F21">
        <w:rPr>
          <w:rFonts w:ascii="Arial" w:hAnsi="Arial" w:cs="Arial"/>
          <w:sz w:val="24"/>
          <w:szCs w:val="24"/>
        </w:rPr>
        <w:t xml:space="preserve">transition risks (shifting business models to being net zero), </w:t>
      </w:r>
    </w:p>
    <w:p w14:paraId="360A3B62" w14:textId="58FDDCD3" w:rsidR="0052389E" w:rsidRPr="00B51F21" w:rsidRDefault="0052389E" w:rsidP="00B51F21">
      <w:pPr>
        <w:pStyle w:val="ListParagraph"/>
        <w:numPr>
          <w:ilvl w:val="0"/>
          <w:numId w:val="2"/>
        </w:numPr>
        <w:rPr>
          <w:rFonts w:ascii="Arial" w:hAnsi="Arial" w:cs="Arial"/>
          <w:sz w:val="24"/>
          <w:szCs w:val="24"/>
        </w:rPr>
      </w:pPr>
      <w:r w:rsidRPr="00B51F21">
        <w:rPr>
          <w:rFonts w:ascii="Arial" w:hAnsi="Arial" w:cs="Arial"/>
          <w:sz w:val="24"/>
          <w:szCs w:val="24"/>
        </w:rPr>
        <w:t xml:space="preserve">physical risks (impact of climate change on business operations) </w:t>
      </w:r>
    </w:p>
    <w:p w14:paraId="4194E376" w14:textId="572E029A" w:rsidR="0052389E" w:rsidRPr="00B51F21" w:rsidRDefault="0052389E" w:rsidP="00B51F21">
      <w:pPr>
        <w:pStyle w:val="ListParagraph"/>
        <w:numPr>
          <w:ilvl w:val="0"/>
          <w:numId w:val="2"/>
        </w:numPr>
        <w:rPr>
          <w:rFonts w:ascii="Arial" w:hAnsi="Arial" w:cs="Arial"/>
          <w:sz w:val="24"/>
          <w:szCs w:val="24"/>
        </w:rPr>
      </w:pPr>
      <w:r w:rsidRPr="00B51F21">
        <w:rPr>
          <w:rFonts w:ascii="Arial" w:hAnsi="Arial" w:cs="Arial"/>
          <w:sz w:val="24"/>
          <w:szCs w:val="24"/>
        </w:rPr>
        <w:t xml:space="preserve">a focus on renewable energy. </w:t>
      </w:r>
    </w:p>
    <w:p w14:paraId="07E6FCF0" w14:textId="77777777" w:rsidR="0052389E" w:rsidRPr="00A81C15" w:rsidRDefault="0052389E" w:rsidP="0052389E">
      <w:pPr>
        <w:rPr>
          <w:rFonts w:ascii="Arial" w:hAnsi="Arial" w:cs="Arial"/>
          <w:b/>
          <w:bCs/>
          <w:sz w:val="24"/>
          <w:szCs w:val="24"/>
        </w:rPr>
      </w:pPr>
      <w:r w:rsidRPr="00A81C15">
        <w:rPr>
          <w:rFonts w:ascii="Arial" w:hAnsi="Arial" w:cs="Arial"/>
          <w:b/>
          <w:bCs/>
          <w:sz w:val="24"/>
          <w:szCs w:val="24"/>
        </w:rPr>
        <w:t xml:space="preserve">Just transition </w:t>
      </w:r>
    </w:p>
    <w:p w14:paraId="1D40CFE8" w14:textId="6C22CC74" w:rsidR="0052389E" w:rsidRPr="0052389E" w:rsidRDefault="0052389E" w:rsidP="0052389E">
      <w:pPr>
        <w:rPr>
          <w:rFonts w:ascii="Arial" w:hAnsi="Arial" w:cs="Arial"/>
          <w:sz w:val="24"/>
          <w:szCs w:val="24"/>
        </w:rPr>
      </w:pPr>
      <w:r w:rsidRPr="0052389E">
        <w:rPr>
          <w:rFonts w:ascii="Arial" w:hAnsi="Arial" w:cs="Arial"/>
          <w:sz w:val="24"/>
          <w:szCs w:val="24"/>
        </w:rPr>
        <w:t xml:space="preserve">Hampshire seeks a “just transition to a low carbon economy that ensures fair treatment for employees and communities that would otherwise bear the brunt of industrial change.” </w:t>
      </w:r>
    </w:p>
    <w:p w14:paraId="5A74B519" w14:textId="77777777" w:rsidR="0052389E" w:rsidRPr="00A81C15" w:rsidRDefault="0052389E" w:rsidP="0052389E">
      <w:pPr>
        <w:rPr>
          <w:rFonts w:asciiTheme="majorHAnsi" w:hAnsiTheme="majorHAnsi" w:cs="Arial"/>
          <w:color w:val="0F4761" w:themeColor="accent1" w:themeShade="BF"/>
          <w:sz w:val="28"/>
          <w:szCs w:val="28"/>
        </w:rPr>
      </w:pPr>
      <w:r w:rsidRPr="00A81C15">
        <w:rPr>
          <w:rFonts w:asciiTheme="majorHAnsi" w:hAnsiTheme="majorHAnsi" w:cs="Arial"/>
          <w:color w:val="0F4761" w:themeColor="accent1" w:themeShade="BF"/>
          <w:sz w:val="28"/>
          <w:szCs w:val="28"/>
        </w:rPr>
        <w:t xml:space="preserve">Social factors </w:t>
      </w:r>
    </w:p>
    <w:p w14:paraId="4A54544D" w14:textId="77777777" w:rsidR="0052389E" w:rsidRPr="0052389E" w:rsidRDefault="0052389E" w:rsidP="0052389E">
      <w:pPr>
        <w:rPr>
          <w:rFonts w:ascii="Arial" w:hAnsi="Arial" w:cs="Arial"/>
          <w:sz w:val="24"/>
          <w:szCs w:val="24"/>
        </w:rPr>
      </w:pPr>
      <w:r w:rsidRPr="0052389E">
        <w:rPr>
          <w:rFonts w:ascii="Arial" w:hAnsi="Arial" w:cs="Arial"/>
          <w:sz w:val="24"/>
          <w:szCs w:val="24"/>
        </w:rPr>
        <w:t xml:space="preserve">Human rights, including </w:t>
      </w:r>
    </w:p>
    <w:p w14:paraId="2032EE1C" w14:textId="196DC397" w:rsidR="0052389E" w:rsidRPr="00B51F21" w:rsidRDefault="0052389E" w:rsidP="00B51F21">
      <w:pPr>
        <w:pStyle w:val="ListParagraph"/>
        <w:numPr>
          <w:ilvl w:val="0"/>
          <w:numId w:val="2"/>
        </w:numPr>
        <w:rPr>
          <w:rFonts w:ascii="Arial" w:hAnsi="Arial" w:cs="Arial"/>
          <w:sz w:val="24"/>
          <w:szCs w:val="24"/>
        </w:rPr>
      </w:pPr>
      <w:r w:rsidRPr="00B51F21">
        <w:rPr>
          <w:rFonts w:ascii="Arial" w:hAnsi="Arial" w:cs="Arial"/>
          <w:sz w:val="24"/>
          <w:szCs w:val="24"/>
        </w:rPr>
        <w:t xml:space="preserve">modern slavery, </w:t>
      </w:r>
    </w:p>
    <w:p w14:paraId="5CE55D5F" w14:textId="08FB701A" w:rsidR="0052389E" w:rsidRPr="00B51F21" w:rsidRDefault="0052389E" w:rsidP="00B51F21">
      <w:pPr>
        <w:pStyle w:val="ListParagraph"/>
        <w:numPr>
          <w:ilvl w:val="0"/>
          <w:numId w:val="2"/>
        </w:numPr>
        <w:rPr>
          <w:rFonts w:ascii="Arial" w:hAnsi="Arial" w:cs="Arial"/>
          <w:sz w:val="24"/>
          <w:szCs w:val="24"/>
        </w:rPr>
      </w:pPr>
      <w:r w:rsidRPr="00B51F21">
        <w:rPr>
          <w:rFonts w:ascii="Arial" w:hAnsi="Arial" w:cs="Arial"/>
          <w:sz w:val="24"/>
          <w:szCs w:val="24"/>
        </w:rPr>
        <w:t xml:space="preserve">child labour and </w:t>
      </w:r>
    </w:p>
    <w:p w14:paraId="663BDE00" w14:textId="1A020C33" w:rsidR="0052389E" w:rsidRPr="00B51F21" w:rsidRDefault="0052389E" w:rsidP="00B51F21">
      <w:pPr>
        <w:pStyle w:val="ListParagraph"/>
        <w:numPr>
          <w:ilvl w:val="0"/>
          <w:numId w:val="2"/>
        </w:numPr>
        <w:rPr>
          <w:rFonts w:ascii="Arial" w:hAnsi="Arial" w:cs="Arial"/>
          <w:sz w:val="24"/>
          <w:szCs w:val="24"/>
        </w:rPr>
      </w:pPr>
      <w:r w:rsidRPr="00B51F21">
        <w:rPr>
          <w:rFonts w:ascii="Arial" w:hAnsi="Arial" w:cs="Arial"/>
          <w:sz w:val="24"/>
          <w:szCs w:val="24"/>
        </w:rPr>
        <w:t xml:space="preserve">treatment of local communities. </w:t>
      </w:r>
    </w:p>
    <w:p w14:paraId="21C093B2" w14:textId="77777777" w:rsidR="0052389E" w:rsidRPr="0052389E" w:rsidRDefault="0052389E" w:rsidP="0052389E">
      <w:pPr>
        <w:rPr>
          <w:rFonts w:ascii="Arial" w:hAnsi="Arial" w:cs="Arial"/>
          <w:sz w:val="24"/>
          <w:szCs w:val="24"/>
        </w:rPr>
      </w:pPr>
      <w:r w:rsidRPr="0052389E">
        <w:rPr>
          <w:rFonts w:ascii="Arial" w:hAnsi="Arial" w:cs="Arial"/>
          <w:sz w:val="24"/>
          <w:szCs w:val="24"/>
        </w:rPr>
        <w:t xml:space="preserve">Labour practices, including </w:t>
      </w:r>
    </w:p>
    <w:p w14:paraId="73EEEA81" w14:textId="2656D911" w:rsidR="0052389E" w:rsidRPr="00B51F21" w:rsidRDefault="0052389E" w:rsidP="00B51F21">
      <w:pPr>
        <w:pStyle w:val="ListParagraph"/>
        <w:numPr>
          <w:ilvl w:val="0"/>
          <w:numId w:val="2"/>
        </w:numPr>
        <w:rPr>
          <w:rFonts w:ascii="Arial" w:hAnsi="Arial" w:cs="Arial"/>
          <w:sz w:val="24"/>
          <w:szCs w:val="24"/>
        </w:rPr>
      </w:pPr>
      <w:r w:rsidRPr="00B51F21">
        <w:rPr>
          <w:rFonts w:ascii="Arial" w:hAnsi="Arial" w:cs="Arial"/>
          <w:sz w:val="24"/>
          <w:szCs w:val="24"/>
        </w:rPr>
        <w:t xml:space="preserve">good employment relations, </w:t>
      </w:r>
    </w:p>
    <w:p w14:paraId="2FA744B6" w14:textId="1F6AE893" w:rsidR="0052389E" w:rsidRPr="00B51F21" w:rsidRDefault="0052389E" w:rsidP="00B51F21">
      <w:pPr>
        <w:pStyle w:val="ListParagraph"/>
        <w:numPr>
          <w:ilvl w:val="0"/>
          <w:numId w:val="2"/>
        </w:numPr>
        <w:rPr>
          <w:rFonts w:ascii="Arial" w:hAnsi="Arial" w:cs="Arial"/>
          <w:sz w:val="24"/>
          <w:szCs w:val="24"/>
        </w:rPr>
      </w:pPr>
      <w:r w:rsidRPr="00B51F21">
        <w:rPr>
          <w:rFonts w:ascii="Arial" w:hAnsi="Arial" w:cs="Arial"/>
          <w:sz w:val="24"/>
          <w:szCs w:val="24"/>
        </w:rPr>
        <w:t xml:space="preserve">health and safety at work, </w:t>
      </w:r>
    </w:p>
    <w:p w14:paraId="3F03B8AF" w14:textId="0B6A6862" w:rsidR="0052389E" w:rsidRPr="00B51F21" w:rsidRDefault="0052389E" w:rsidP="00B51F21">
      <w:pPr>
        <w:pStyle w:val="ListParagraph"/>
        <w:numPr>
          <w:ilvl w:val="0"/>
          <w:numId w:val="2"/>
        </w:numPr>
        <w:rPr>
          <w:rFonts w:ascii="Arial" w:hAnsi="Arial" w:cs="Arial"/>
          <w:sz w:val="24"/>
          <w:szCs w:val="24"/>
        </w:rPr>
      </w:pPr>
      <w:r w:rsidRPr="00B51F21">
        <w:rPr>
          <w:rFonts w:ascii="Arial" w:hAnsi="Arial" w:cs="Arial"/>
          <w:sz w:val="24"/>
          <w:szCs w:val="24"/>
        </w:rPr>
        <w:t xml:space="preserve">human capital management and </w:t>
      </w:r>
    </w:p>
    <w:p w14:paraId="0CD0DEC1" w14:textId="4AE2DDB1" w:rsidR="0052389E" w:rsidRPr="00B51F21" w:rsidRDefault="0052389E" w:rsidP="00B51F21">
      <w:pPr>
        <w:pStyle w:val="ListParagraph"/>
        <w:numPr>
          <w:ilvl w:val="0"/>
          <w:numId w:val="2"/>
        </w:numPr>
        <w:rPr>
          <w:rFonts w:ascii="Arial" w:hAnsi="Arial" w:cs="Arial"/>
          <w:sz w:val="24"/>
          <w:szCs w:val="24"/>
        </w:rPr>
      </w:pPr>
      <w:r w:rsidRPr="00B51F21">
        <w:rPr>
          <w:rFonts w:ascii="Arial" w:hAnsi="Arial" w:cs="Arial"/>
          <w:sz w:val="24"/>
          <w:szCs w:val="24"/>
        </w:rPr>
        <w:t xml:space="preserve">training. </w:t>
      </w:r>
    </w:p>
    <w:p w14:paraId="43FE4909" w14:textId="77777777" w:rsidR="0052389E" w:rsidRPr="00A81C15" w:rsidRDefault="0052389E" w:rsidP="00D45026">
      <w:pPr>
        <w:keepNext/>
        <w:rPr>
          <w:rFonts w:asciiTheme="majorHAnsi" w:hAnsiTheme="majorHAnsi" w:cs="Arial"/>
          <w:color w:val="0F4761" w:themeColor="accent1" w:themeShade="BF"/>
          <w:sz w:val="28"/>
          <w:szCs w:val="28"/>
        </w:rPr>
      </w:pPr>
      <w:r w:rsidRPr="00A81C15">
        <w:rPr>
          <w:rFonts w:asciiTheme="majorHAnsi" w:hAnsiTheme="majorHAnsi" w:cs="Arial"/>
          <w:color w:val="0F4761" w:themeColor="accent1" w:themeShade="BF"/>
          <w:sz w:val="28"/>
          <w:szCs w:val="28"/>
        </w:rPr>
        <w:t xml:space="preserve">Governance </w:t>
      </w:r>
    </w:p>
    <w:p w14:paraId="0D44BD95" w14:textId="77777777" w:rsidR="0052389E" w:rsidRPr="00A81C15" w:rsidRDefault="0052389E" w:rsidP="00D45026">
      <w:pPr>
        <w:keepNext/>
        <w:rPr>
          <w:rFonts w:ascii="Arial" w:hAnsi="Arial" w:cs="Arial"/>
          <w:b/>
          <w:bCs/>
          <w:sz w:val="24"/>
          <w:szCs w:val="24"/>
        </w:rPr>
      </w:pPr>
      <w:r w:rsidRPr="00A81C15">
        <w:rPr>
          <w:rFonts w:ascii="Arial" w:hAnsi="Arial" w:cs="Arial"/>
          <w:b/>
          <w:bCs/>
          <w:sz w:val="24"/>
          <w:szCs w:val="24"/>
        </w:rPr>
        <w:t xml:space="preserve">Good governance </w:t>
      </w:r>
    </w:p>
    <w:p w14:paraId="01600B1A" w14:textId="76A70304" w:rsidR="0052389E" w:rsidRPr="0052389E" w:rsidRDefault="0052389E" w:rsidP="0052389E">
      <w:pPr>
        <w:rPr>
          <w:rFonts w:ascii="Arial" w:hAnsi="Arial" w:cs="Arial"/>
          <w:sz w:val="24"/>
          <w:szCs w:val="24"/>
        </w:rPr>
      </w:pPr>
      <w:r w:rsidRPr="0052389E">
        <w:rPr>
          <w:rFonts w:ascii="Arial" w:hAnsi="Arial" w:cs="Arial"/>
          <w:sz w:val="24"/>
          <w:szCs w:val="24"/>
        </w:rPr>
        <w:t xml:space="preserve">Aligned with the UK Corporate Governance Code, which notes that </w:t>
      </w:r>
      <w:r w:rsidR="00B51F21" w:rsidRPr="0052389E">
        <w:rPr>
          <w:rFonts w:ascii="Arial" w:hAnsi="Arial" w:cs="Arial"/>
          <w:sz w:val="24"/>
          <w:szCs w:val="24"/>
        </w:rPr>
        <w:t>effective</w:t>
      </w:r>
      <w:r w:rsidRPr="0052389E">
        <w:rPr>
          <w:rFonts w:ascii="Arial" w:hAnsi="Arial" w:cs="Arial"/>
          <w:sz w:val="24"/>
          <w:szCs w:val="24"/>
        </w:rPr>
        <w:t xml:space="preserve"> and entrepreneurial leadership is critical to the long-term success of a company and sustainable returns for investors. </w:t>
      </w:r>
    </w:p>
    <w:p w14:paraId="5C968E41" w14:textId="77777777" w:rsidR="0052389E" w:rsidRPr="0052389E" w:rsidRDefault="0052389E" w:rsidP="00794AAA">
      <w:pPr>
        <w:keepNext/>
        <w:rPr>
          <w:rFonts w:ascii="Arial" w:hAnsi="Arial" w:cs="Arial"/>
          <w:sz w:val="24"/>
          <w:szCs w:val="24"/>
        </w:rPr>
      </w:pPr>
      <w:r w:rsidRPr="0052389E">
        <w:rPr>
          <w:rFonts w:ascii="Arial" w:hAnsi="Arial" w:cs="Arial"/>
          <w:sz w:val="24"/>
          <w:szCs w:val="24"/>
        </w:rPr>
        <w:t xml:space="preserve">Good governance covers: </w:t>
      </w:r>
    </w:p>
    <w:p w14:paraId="19D3C0BE" w14:textId="3CB37827" w:rsidR="0052389E" w:rsidRPr="00B51F21" w:rsidRDefault="0052389E" w:rsidP="00B51F21">
      <w:pPr>
        <w:pStyle w:val="ListParagraph"/>
        <w:numPr>
          <w:ilvl w:val="0"/>
          <w:numId w:val="2"/>
        </w:numPr>
        <w:rPr>
          <w:rFonts w:ascii="Arial" w:hAnsi="Arial" w:cs="Arial"/>
          <w:sz w:val="24"/>
          <w:szCs w:val="24"/>
        </w:rPr>
      </w:pPr>
      <w:r w:rsidRPr="00B51F21">
        <w:rPr>
          <w:rFonts w:ascii="Arial" w:hAnsi="Arial" w:cs="Arial"/>
          <w:sz w:val="24"/>
          <w:szCs w:val="24"/>
        </w:rPr>
        <w:t xml:space="preserve">appropriate board structure to ensure internal controls and challenge, </w:t>
      </w:r>
    </w:p>
    <w:p w14:paraId="72EF0D0A" w14:textId="1B6F9DB2" w:rsidR="0052389E" w:rsidRPr="00B51F21" w:rsidRDefault="0052389E" w:rsidP="00B51F21">
      <w:pPr>
        <w:pStyle w:val="ListParagraph"/>
        <w:numPr>
          <w:ilvl w:val="0"/>
          <w:numId w:val="2"/>
        </w:numPr>
        <w:rPr>
          <w:rFonts w:ascii="Arial" w:hAnsi="Arial" w:cs="Arial"/>
          <w:sz w:val="24"/>
          <w:szCs w:val="24"/>
        </w:rPr>
      </w:pPr>
      <w:r w:rsidRPr="00B51F21">
        <w:rPr>
          <w:rFonts w:ascii="Arial" w:hAnsi="Arial" w:cs="Arial"/>
          <w:sz w:val="24"/>
          <w:szCs w:val="24"/>
        </w:rPr>
        <w:t xml:space="preserve">diverse board membership to avoid groupthink, </w:t>
      </w:r>
    </w:p>
    <w:p w14:paraId="004261C6" w14:textId="79C5C02F" w:rsidR="0052389E" w:rsidRPr="00B51F21" w:rsidRDefault="0052389E" w:rsidP="00B51F21">
      <w:pPr>
        <w:pStyle w:val="ListParagraph"/>
        <w:numPr>
          <w:ilvl w:val="0"/>
          <w:numId w:val="2"/>
        </w:numPr>
        <w:rPr>
          <w:rFonts w:ascii="Arial" w:hAnsi="Arial" w:cs="Arial"/>
          <w:sz w:val="24"/>
          <w:szCs w:val="24"/>
        </w:rPr>
      </w:pPr>
      <w:r w:rsidRPr="00B51F21">
        <w:rPr>
          <w:rFonts w:ascii="Arial" w:hAnsi="Arial" w:cs="Arial"/>
          <w:sz w:val="24"/>
          <w:szCs w:val="24"/>
        </w:rPr>
        <w:t xml:space="preserve">the skills mix required for a board to be </w:t>
      </w:r>
      <w:r w:rsidR="00B51F21" w:rsidRPr="00B51F21">
        <w:rPr>
          <w:rFonts w:ascii="Arial" w:hAnsi="Arial" w:cs="Arial"/>
          <w:sz w:val="24"/>
          <w:szCs w:val="24"/>
        </w:rPr>
        <w:t>effective</w:t>
      </w:r>
      <w:r w:rsidRPr="00B51F21">
        <w:rPr>
          <w:rFonts w:ascii="Arial" w:hAnsi="Arial" w:cs="Arial"/>
          <w:sz w:val="24"/>
          <w:szCs w:val="24"/>
        </w:rPr>
        <w:t xml:space="preserve"> and </w:t>
      </w:r>
    </w:p>
    <w:p w14:paraId="268828C2" w14:textId="6DC3C1EC" w:rsidR="0052389E" w:rsidRPr="00B51F21" w:rsidRDefault="0052389E" w:rsidP="00B51F21">
      <w:pPr>
        <w:pStyle w:val="ListParagraph"/>
        <w:numPr>
          <w:ilvl w:val="0"/>
          <w:numId w:val="2"/>
        </w:numPr>
        <w:rPr>
          <w:rFonts w:ascii="Arial" w:hAnsi="Arial" w:cs="Arial"/>
          <w:sz w:val="24"/>
          <w:szCs w:val="24"/>
        </w:rPr>
      </w:pPr>
      <w:r w:rsidRPr="00B51F21">
        <w:rPr>
          <w:rFonts w:ascii="Arial" w:hAnsi="Arial" w:cs="Arial"/>
          <w:sz w:val="24"/>
          <w:szCs w:val="24"/>
        </w:rPr>
        <w:t xml:space="preserve">adequate director independence to protect the interests of minority shareholders (such as pension funds in public equities). </w:t>
      </w:r>
    </w:p>
    <w:p w14:paraId="66E2CF28" w14:textId="5AE7B085" w:rsidR="0052389E" w:rsidRDefault="0052389E" w:rsidP="0052389E">
      <w:pPr>
        <w:rPr>
          <w:rFonts w:ascii="Arial" w:hAnsi="Arial" w:cs="Arial"/>
          <w:sz w:val="24"/>
          <w:szCs w:val="24"/>
        </w:rPr>
      </w:pPr>
      <w:r w:rsidRPr="0052389E">
        <w:rPr>
          <w:rFonts w:ascii="Arial" w:hAnsi="Arial" w:cs="Arial"/>
          <w:sz w:val="24"/>
          <w:szCs w:val="24"/>
        </w:rPr>
        <w:t>Part of good governance is also ensuring executive remuneration is not excessive, supports the long-term success of the company, rewards performance and is aligned with the interests of shareholders.</w:t>
      </w:r>
    </w:p>
    <w:p w14:paraId="234779EC" w14:textId="5C5E41F2" w:rsidR="009C5DB3" w:rsidRDefault="0052389E" w:rsidP="00B67B1A">
      <w:pPr>
        <w:pStyle w:val="Heading2"/>
        <w:spacing w:before="320"/>
        <w:rPr>
          <w:color w:val="0F4761" w:themeColor="accent1" w:themeShade="BF"/>
          <w:sz w:val="32"/>
          <w:szCs w:val="32"/>
        </w:rPr>
      </w:pPr>
      <w:bookmarkStart w:id="13" w:name="_Toc224113547"/>
      <w:r w:rsidRPr="00B67B1A">
        <w:rPr>
          <w:color w:val="0F4761" w:themeColor="accent1" w:themeShade="BF"/>
          <w:sz w:val="32"/>
          <w:szCs w:val="32"/>
        </w:rPr>
        <w:t xml:space="preserve">3. </w:t>
      </w:r>
      <w:r w:rsidR="009C5DB3">
        <w:rPr>
          <w:color w:val="0F4761" w:themeColor="accent1" w:themeShade="BF"/>
          <w:sz w:val="32"/>
          <w:szCs w:val="32"/>
        </w:rPr>
        <w:t>Investing for positive impact</w:t>
      </w:r>
    </w:p>
    <w:p w14:paraId="63F97101" w14:textId="76118102" w:rsidR="009C5DB3" w:rsidRDefault="009C5DB3" w:rsidP="009C5DB3">
      <w:pPr>
        <w:rPr>
          <w:rFonts w:ascii="Arial" w:hAnsi="Arial" w:cs="Arial"/>
          <w:sz w:val="24"/>
          <w:szCs w:val="24"/>
        </w:rPr>
      </w:pPr>
      <w:r w:rsidRPr="009C5DB3">
        <w:rPr>
          <w:rFonts w:ascii="Arial" w:hAnsi="Arial" w:cs="Arial"/>
          <w:sz w:val="24"/>
          <w:szCs w:val="24"/>
        </w:rPr>
        <w:t xml:space="preserve">The </w:t>
      </w:r>
      <w:r>
        <w:rPr>
          <w:rFonts w:ascii="Arial" w:hAnsi="Arial" w:cs="Arial"/>
          <w:sz w:val="24"/>
          <w:szCs w:val="24"/>
        </w:rPr>
        <w:t xml:space="preserve">Pension Fund </w:t>
      </w:r>
      <w:r w:rsidR="00234D61">
        <w:rPr>
          <w:rFonts w:ascii="Arial" w:hAnsi="Arial" w:cs="Arial"/>
          <w:sz w:val="24"/>
          <w:szCs w:val="24"/>
        </w:rPr>
        <w:t xml:space="preserve">recognises the potential for investments to achieve positive environmental and social benefits as well as achieve </w:t>
      </w:r>
      <w:r w:rsidR="00CF5888">
        <w:rPr>
          <w:rFonts w:ascii="Arial" w:hAnsi="Arial" w:cs="Arial"/>
          <w:sz w:val="24"/>
          <w:szCs w:val="24"/>
        </w:rPr>
        <w:t>the financial returns it requires to pay pensions. This is particularly true for the Fund’s allocation to private market investments; private equity, private debt, infrastructure and real estate (including timberland), which makes up 35% of the Fund’s asset allocation.</w:t>
      </w:r>
    </w:p>
    <w:p w14:paraId="76AF4830" w14:textId="74906219" w:rsidR="00CE0C2E" w:rsidRDefault="00CE0C2E" w:rsidP="009C5DB3">
      <w:pPr>
        <w:rPr>
          <w:rFonts w:ascii="Arial" w:hAnsi="Arial" w:cs="Arial"/>
          <w:sz w:val="24"/>
          <w:szCs w:val="24"/>
        </w:rPr>
      </w:pPr>
      <w:r>
        <w:rPr>
          <w:rFonts w:ascii="Arial" w:hAnsi="Arial" w:cs="Arial"/>
          <w:sz w:val="24"/>
          <w:szCs w:val="24"/>
        </w:rPr>
        <w:t xml:space="preserve">The Pension Fund aims for </w:t>
      </w:r>
      <w:r w:rsidR="00387894">
        <w:rPr>
          <w:rFonts w:ascii="Arial" w:hAnsi="Arial" w:cs="Arial"/>
          <w:sz w:val="24"/>
          <w:szCs w:val="24"/>
        </w:rPr>
        <w:t xml:space="preserve">a third of this allocation </w:t>
      </w:r>
      <w:r w:rsidR="00D74E8A">
        <w:rPr>
          <w:rFonts w:ascii="Arial" w:hAnsi="Arial" w:cs="Arial"/>
          <w:sz w:val="24"/>
          <w:szCs w:val="24"/>
        </w:rPr>
        <w:t xml:space="preserve">(just </w:t>
      </w:r>
      <w:r w:rsidR="00DC2597">
        <w:rPr>
          <w:rFonts w:ascii="Arial" w:hAnsi="Arial" w:cs="Arial"/>
          <w:sz w:val="24"/>
          <w:szCs w:val="24"/>
        </w:rPr>
        <w:t xml:space="preserve">over 11.5% of the Fund’s total asset allocation) </w:t>
      </w:r>
      <w:r w:rsidR="00C93EEA">
        <w:rPr>
          <w:rFonts w:ascii="Arial" w:hAnsi="Arial" w:cs="Arial"/>
          <w:sz w:val="24"/>
          <w:szCs w:val="24"/>
        </w:rPr>
        <w:t xml:space="preserve">to private markets </w:t>
      </w:r>
      <w:r w:rsidR="00DC2597">
        <w:rPr>
          <w:rFonts w:ascii="Arial" w:hAnsi="Arial" w:cs="Arial"/>
          <w:sz w:val="24"/>
          <w:szCs w:val="24"/>
        </w:rPr>
        <w:t>to be invested in investments with positive impacts</w:t>
      </w:r>
      <w:r w:rsidR="00032F3D">
        <w:rPr>
          <w:rFonts w:ascii="Arial" w:hAnsi="Arial" w:cs="Arial"/>
          <w:sz w:val="24"/>
          <w:szCs w:val="24"/>
        </w:rPr>
        <w:t>,</w:t>
      </w:r>
      <w:r w:rsidR="00010AA9">
        <w:rPr>
          <w:rFonts w:ascii="Arial" w:hAnsi="Arial" w:cs="Arial"/>
          <w:sz w:val="24"/>
          <w:szCs w:val="24"/>
        </w:rPr>
        <w:t xml:space="preserve"> whilst continuing to achieve the investment return targets that the Fund has set</w:t>
      </w:r>
      <w:r w:rsidR="00DC2597">
        <w:rPr>
          <w:rFonts w:ascii="Arial" w:hAnsi="Arial" w:cs="Arial"/>
          <w:sz w:val="24"/>
          <w:szCs w:val="24"/>
        </w:rPr>
        <w:t>. The Fund defines</w:t>
      </w:r>
      <w:r w:rsidR="00BE5452">
        <w:rPr>
          <w:rFonts w:ascii="Arial" w:hAnsi="Arial" w:cs="Arial"/>
          <w:sz w:val="24"/>
          <w:szCs w:val="24"/>
        </w:rPr>
        <w:t xml:space="preserve"> investments with positive impacts clas</w:t>
      </w:r>
      <w:r w:rsidR="00DC2597">
        <w:rPr>
          <w:rFonts w:ascii="Arial" w:hAnsi="Arial" w:cs="Arial"/>
          <w:sz w:val="24"/>
          <w:szCs w:val="24"/>
        </w:rPr>
        <w:t xml:space="preserve">sified as </w:t>
      </w:r>
      <w:r w:rsidR="002B7930">
        <w:rPr>
          <w:rFonts w:ascii="Arial" w:hAnsi="Arial" w:cs="Arial"/>
          <w:sz w:val="24"/>
          <w:szCs w:val="24"/>
        </w:rPr>
        <w:t>SFDR Article 8 or 9 or their equivalent.</w:t>
      </w:r>
    </w:p>
    <w:p w14:paraId="26528D4F" w14:textId="133B7489" w:rsidR="00032F3D" w:rsidRPr="009C5DB3" w:rsidRDefault="00032F3D" w:rsidP="009C5DB3">
      <w:pPr>
        <w:rPr>
          <w:rFonts w:ascii="Arial" w:hAnsi="Arial" w:cs="Arial"/>
          <w:sz w:val="24"/>
          <w:szCs w:val="24"/>
        </w:rPr>
      </w:pPr>
      <w:r>
        <w:rPr>
          <w:rFonts w:ascii="Arial" w:hAnsi="Arial" w:cs="Arial"/>
          <w:sz w:val="24"/>
          <w:szCs w:val="24"/>
        </w:rPr>
        <w:t>The Pension Fund will work with LGPSC to monitor and report on investments with positive</w:t>
      </w:r>
      <w:r w:rsidR="00DD0B43">
        <w:rPr>
          <w:rFonts w:ascii="Arial" w:hAnsi="Arial" w:cs="Arial"/>
          <w:sz w:val="24"/>
          <w:szCs w:val="24"/>
        </w:rPr>
        <w:t xml:space="preserve"> impacts.</w:t>
      </w:r>
    </w:p>
    <w:p w14:paraId="5BCA8BF2" w14:textId="525F2E2A" w:rsidR="0052389E" w:rsidRPr="00B67B1A" w:rsidRDefault="009C5DB3" w:rsidP="00B67B1A">
      <w:pPr>
        <w:pStyle w:val="Heading2"/>
        <w:spacing w:before="320"/>
        <w:rPr>
          <w:color w:val="0F4761" w:themeColor="accent1" w:themeShade="BF"/>
          <w:sz w:val="32"/>
          <w:szCs w:val="32"/>
        </w:rPr>
      </w:pPr>
      <w:r>
        <w:rPr>
          <w:color w:val="0F4761" w:themeColor="accent1" w:themeShade="BF"/>
          <w:sz w:val="32"/>
          <w:szCs w:val="32"/>
        </w:rPr>
        <w:t xml:space="preserve">4. </w:t>
      </w:r>
      <w:r w:rsidR="0052389E" w:rsidRPr="00B67B1A">
        <w:rPr>
          <w:color w:val="0F4761" w:themeColor="accent1" w:themeShade="BF"/>
          <w:sz w:val="32"/>
          <w:szCs w:val="32"/>
        </w:rPr>
        <w:t>Stock/sector exclusions and social impact investments</w:t>
      </w:r>
      <w:bookmarkEnd w:id="13"/>
      <w:r w:rsidR="0052389E" w:rsidRPr="00B67B1A">
        <w:rPr>
          <w:color w:val="0F4761" w:themeColor="accent1" w:themeShade="BF"/>
          <w:sz w:val="32"/>
          <w:szCs w:val="32"/>
        </w:rPr>
        <w:t xml:space="preserve"> </w:t>
      </w:r>
    </w:p>
    <w:p w14:paraId="5D005274" w14:textId="4EC8E9BB" w:rsidR="0052389E" w:rsidRPr="0052389E" w:rsidRDefault="0052389E" w:rsidP="0052389E">
      <w:pPr>
        <w:rPr>
          <w:rFonts w:ascii="Arial" w:hAnsi="Arial" w:cs="Arial"/>
          <w:sz w:val="24"/>
          <w:szCs w:val="24"/>
        </w:rPr>
      </w:pPr>
      <w:r w:rsidRPr="0052389E">
        <w:rPr>
          <w:rFonts w:ascii="Arial" w:hAnsi="Arial" w:cs="Arial"/>
          <w:sz w:val="24"/>
          <w:szCs w:val="24"/>
        </w:rPr>
        <w:t xml:space="preserve">The Pension Fund’s current policy is to engage with companies to promote and encourage them to achieve better RI </w:t>
      </w:r>
      <w:proofErr w:type="gramStart"/>
      <w:r w:rsidRPr="0052389E">
        <w:rPr>
          <w:rFonts w:ascii="Arial" w:hAnsi="Arial" w:cs="Arial"/>
          <w:sz w:val="24"/>
          <w:szCs w:val="24"/>
        </w:rPr>
        <w:t>outcomes, and</w:t>
      </w:r>
      <w:proofErr w:type="gramEnd"/>
      <w:r w:rsidRPr="0052389E">
        <w:rPr>
          <w:rFonts w:ascii="Arial" w:hAnsi="Arial" w:cs="Arial"/>
          <w:sz w:val="24"/>
          <w:szCs w:val="24"/>
        </w:rPr>
        <w:t xml:space="preserve"> would want to continue to engage rather than disinvest, where a company/sector is progressing towards better management of RI issues. However, after thorough consideration the Pension Fund Panel and Board (PFPB) have agreed to </w:t>
      </w:r>
      <w:r w:rsidRPr="00B51F21">
        <w:rPr>
          <w:rFonts w:ascii="Arial" w:hAnsi="Arial" w:cs="Arial"/>
          <w:b/>
          <w:bCs/>
          <w:sz w:val="24"/>
          <w:szCs w:val="24"/>
        </w:rPr>
        <w:t xml:space="preserve">actively work towards disinvesting from fossil fuel investments. </w:t>
      </w:r>
    </w:p>
    <w:p w14:paraId="79CD5CBD" w14:textId="6F9F8A93" w:rsidR="0052389E" w:rsidRPr="0052389E" w:rsidRDefault="0052389E" w:rsidP="0052389E">
      <w:pPr>
        <w:rPr>
          <w:rFonts w:ascii="Arial" w:hAnsi="Arial" w:cs="Arial"/>
          <w:sz w:val="24"/>
          <w:szCs w:val="24"/>
        </w:rPr>
      </w:pPr>
      <w:r w:rsidRPr="0052389E">
        <w:rPr>
          <w:rFonts w:ascii="Arial" w:hAnsi="Arial" w:cs="Arial"/>
          <w:sz w:val="24"/>
          <w:szCs w:val="24"/>
        </w:rPr>
        <w:t xml:space="preserve">The Pension Fund’s focus remains on measuring and reducing the carbon footprint of all the companies in which it invests and working with its investment managers to </w:t>
      </w:r>
      <w:r w:rsidR="00B51F21" w:rsidRPr="0052389E">
        <w:rPr>
          <w:rFonts w:ascii="Arial" w:hAnsi="Arial" w:cs="Arial"/>
          <w:sz w:val="24"/>
          <w:szCs w:val="24"/>
        </w:rPr>
        <w:t>find</w:t>
      </w:r>
      <w:r w:rsidRPr="0052389E">
        <w:rPr>
          <w:rFonts w:ascii="Arial" w:hAnsi="Arial" w:cs="Arial"/>
          <w:sz w:val="24"/>
          <w:szCs w:val="24"/>
        </w:rPr>
        <w:t xml:space="preserve"> ways to reduce the overall carbon footprint in line with its aim to have net-zero emissions by 2050, whilst continuing to achieve the investment returns that are required to pay pensions. </w:t>
      </w:r>
    </w:p>
    <w:p w14:paraId="3563D56B" w14:textId="093963CE" w:rsidR="0052389E" w:rsidRDefault="0052389E" w:rsidP="0052389E">
      <w:pPr>
        <w:rPr>
          <w:rFonts w:ascii="Arial" w:hAnsi="Arial" w:cs="Arial"/>
          <w:sz w:val="24"/>
          <w:szCs w:val="24"/>
        </w:rPr>
      </w:pPr>
      <w:r w:rsidRPr="0052389E">
        <w:rPr>
          <w:rFonts w:ascii="Arial" w:hAnsi="Arial" w:cs="Arial"/>
          <w:sz w:val="24"/>
          <w:szCs w:val="24"/>
        </w:rPr>
        <w:t xml:space="preserve">The Fund will continue to consider further disinvestment or exclusion of a particular </w:t>
      </w:r>
      <w:r w:rsidR="00B82CF0">
        <w:rPr>
          <w:rFonts w:ascii="Arial" w:hAnsi="Arial" w:cs="Arial"/>
          <w:sz w:val="24"/>
          <w:szCs w:val="24"/>
        </w:rPr>
        <w:t xml:space="preserve">sectors </w:t>
      </w:r>
      <w:r w:rsidRPr="0052389E">
        <w:rPr>
          <w:rFonts w:ascii="Arial" w:hAnsi="Arial" w:cs="Arial"/>
          <w:sz w:val="24"/>
          <w:szCs w:val="24"/>
        </w:rPr>
        <w:t xml:space="preserve">or investment in </w:t>
      </w:r>
      <w:r w:rsidR="00B51F21" w:rsidRPr="0052389E">
        <w:rPr>
          <w:rFonts w:ascii="Arial" w:hAnsi="Arial" w:cs="Arial"/>
          <w:sz w:val="24"/>
          <w:szCs w:val="24"/>
        </w:rPr>
        <w:t>specific</w:t>
      </w:r>
      <w:r w:rsidRPr="0052389E">
        <w:rPr>
          <w:rFonts w:ascii="Arial" w:hAnsi="Arial" w:cs="Arial"/>
          <w:sz w:val="24"/>
          <w:szCs w:val="24"/>
        </w:rPr>
        <w:t xml:space="preserve"> ‘social’ investments where the management of ESG issues, including making a positive contribution to a lower carbon economy, in cases where they are not considered to be well managed, with no scope for improvement. The Pension Fund will act if it believes that the decision would be supported by a </w:t>
      </w:r>
      <w:r w:rsidR="00B51F21" w:rsidRPr="0052389E">
        <w:rPr>
          <w:rFonts w:ascii="Arial" w:hAnsi="Arial" w:cs="Arial"/>
          <w:sz w:val="24"/>
          <w:szCs w:val="24"/>
        </w:rPr>
        <w:t>significant</w:t>
      </w:r>
      <w:r w:rsidRPr="0052389E">
        <w:rPr>
          <w:rFonts w:ascii="Arial" w:hAnsi="Arial" w:cs="Arial"/>
          <w:sz w:val="24"/>
          <w:szCs w:val="24"/>
        </w:rPr>
        <w:t xml:space="preserve"> majority of scheme members and employers; the Fund may take this approach so long as it does not result in </w:t>
      </w:r>
      <w:r w:rsidR="00B51F21" w:rsidRPr="0052389E">
        <w:rPr>
          <w:rFonts w:ascii="Arial" w:hAnsi="Arial" w:cs="Arial"/>
          <w:sz w:val="24"/>
          <w:szCs w:val="24"/>
        </w:rPr>
        <w:t>significant</w:t>
      </w:r>
      <w:r w:rsidRPr="0052389E">
        <w:rPr>
          <w:rFonts w:ascii="Arial" w:hAnsi="Arial" w:cs="Arial"/>
          <w:sz w:val="24"/>
          <w:szCs w:val="24"/>
        </w:rPr>
        <w:t xml:space="preserve"> </w:t>
      </w:r>
      <w:r w:rsidR="00B51F21" w:rsidRPr="0052389E">
        <w:rPr>
          <w:rFonts w:ascii="Arial" w:hAnsi="Arial" w:cs="Arial"/>
          <w:sz w:val="24"/>
          <w:szCs w:val="24"/>
        </w:rPr>
        <w:t>financial</w:t>
      </w:r>
      <w:r w:rsidRPr="0052389E">
        <w:rPr>
          <w:rFonts w:ascii="Arial" w:hAnsi="Arial" w:cs="Arial"/>
          <w:sz w:val="24"/>
          <w:szCs w:val="24"/>
        </w:rPr>
        <w:t xml:space="preserve"> detriment to the Pension Fund.</w:t>
      </w:r>
    </w:p>
    <w:p w14:paraId="19858070" w14:textId="6AF271FA" w:rsidR="0052389E" w:rsidRPr="00B67B1A" w:rsidRDefault="009C5DB3" w:rsidP="00B67B1A">
      <w:pPr>
        <w:pStyle w:val="Heading2"/>
        <w:spacing w:before="320"/>
        <w:rPr>
          <w:color w:val="0F4761" w:themeColor="accent1" w:themeShade="BF"/>
          <w:sz w:val="32"/>
          <w:szCs w:val="32"/>
        </w:rPr>
      </w:pPr>
      <w:bookmarkStart w:id="14" w:name="_Toc224113548"/>
      <w:r>
        <w:rPr>
          <w:color w:val="0F4761" w:themeColor="accent1" w:themeShade="BF"/>
          <w:sz w:val="32"/>
          <w:szCs w:val="32"/>
        </w:rPr>
        <w:t>5</w:t>
      </w:r>
      <w:r w:rsidR="0052389E" w:rsidRPr="00B67B1A">
        <w:rPr>
          <w:color w:val="0F4761" w:themeColor="accent1" w:themeShade="BF"/>
          <w:sz w:val="32"/>
          <w:szCs w:val="32"/>
        </w:rPr>
        <w:t>. Framework and approach</w:t>
      </w:r>
      <w:bookmarkEnd w:id="14"/>
      <w:r w:rsidR="0052389E" w:rsidRPr="00B67B1A">
        <w:rPr>
          <w:color w:val="0F4761" w:themeColor="accent1" w:themeShade="BF"/>
          <w:sz w:val="32"/>
          <w:szCs w:val="32"/>
        </w:rPr>
        <w:t xml:space="preserve"> </w:t>
      </w:r>
    </w:p>
    <w:p w14:paraId="319CF964" w14:textId="77777777" w:rsidR="0052389E" w:rsidRPr="00A81C15" w:rsidRDefault="0052389E" w:rsidP="0052389E">
      <w:pPr>
        <w:rPr>
          <w:rFonts w:asciiTheme="majorHAnsi" w:hAnsiTheme="majorHAnsi" w:cs="Arial"/>
          <w:color w:val="0F4761" w:themeColor="accent1" w:themeShade="BF"/>
          <w:sz w:val="28"/>
          <w:szCs w:val="28"/>
        </w:rPr>
      </w:pPr>
      <w:r w:rsidRPr="00A81C15">
        <w:rPr>
          <w:rFonts w:asciiTheme="majorHAnsi" w:hAnsiTheme="majorHAnsi" w:cs="Arial"/>
          <w:color w:val="0F4761" w:themeColor="accent1" w:themeShade="BF"/>
          <w:sz w:val="28"/>
          <w:szCs w:val="28"/>
        </w:rPr>
        <w:t xml:space="preserve">Consideration of ESG in investment decisions </w:t>
      </w:r>
    </w:p>
    <w:p w14:paraId="5FF3F255" w14:textId="4B45378D" w:rsidR="0052389E" w:rsidRPr="0052389E" w:rsidRDefault="0052389E" w:rsidP="0052389E">
      <w:pPr>
        <w:rPr>
          <w:rFonts w:ascii="Arial" w:hAnsi="Arial" w:cs="Arial"/>
          <w:sz w:val="24"/>
          <w:szCs w:val="24"/>
        </w:rPr>
      </w:pPr>
      <w:r w:rsidRPr="0052389E">
        <w:rPr>
          <w:rFonts w:ascii="Arial" w:hAnsi="Arial" w:cs="Arial"/>
          <w:sz w:val="24"/>
          <w:szCs w:val="24"/>
        </w:rPr>
        <w:t xml:space="preserve">The Pension Fund delegates its investment decisions to its current and future appointed investment managers, who are a combination of specialist external active investment managers and passive investment managers. The PFPB engages in responsible stewardship with its investment managers and will review and monitor investments based on the following model: </w:t>
      </w:r>
    </w:p>
    <w:p w14:paraId="5004BBB7" w14:textId="77777777" w:rsidR="00B64F80" w:rsidRDefault="00DA4620" w:rsidP="0052389E">
      <w:pPr>
        <w:rPr>
          <w:rFonts w:ascii="Arial" w:hAnsi="Arial" w:cs="Arial"/>
          <w:sz w:val="24"/>
          <w:szCs w:val="24"/>
        </w:rPr>
      </w:pPr>
      <w:r>
        <w:rPr>
          <w:rFonts w:ascii="Arial" w:hAnsi="Arial" w:cs="Arial"/>
          <w:noProof/>
          <w:sz w:val="24"/>
          <w:szCs w:val="24"/>
        </w:rPr>
        <w:drawing>
          <wp:inline distT="0" distB="0" distL="0" distR="0" wp14:anchorId="1C28EBF9" wp14:editId="2B32108D">
            <wp:extent cx="3548380" cy="2830664"/>
            <wp:effectExtent l="0" t="0" r="0" b="8255"/>
            <wp:docPr id="123176863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4526272D" w14:textId="361FD945" w:rsidR="0052389E" w:rsidRPr="000439DA" w:rsidRDefault="0052389E" w:rsidP="000439DA">
      <w:pPr>
        <w:pStyle w:val="ListParagraph"/>
        <w:numPr>
          <w:ilvl w:val="0"/>
          <w:numId w:val="2"/>
        </w:numPr>
        <w:rPr>
          <w:rFonts w:ascii="Arial" w:hAnsi="Arial" w:cs="Arial"/>
          <w:sz w:val="24"/>
          <w:szCs w:val="24"/>
        </w:rPr>
      </w:pPr>
      <w:r w:rsidRPr="000439DA">
        <w:rPr>
          <w:rFonts w:ascii="Arial" w:hAnsi="Arial" w:cs="Arial"/>
          <w:b/>
          <w:bCs/>
          <w:sz w:val="24"/>
          <w:szCs w:val="24"/>
        </w:rPr>
        <w:t>Challenge –</w:t>
      </w:r>
      <w:r w:rsidRPr="000439DA">
        <w:rPr>
          <w:rFonts w:ascii="Arial" w:hAnsi="Arial" w:cs="Arial"/>
          <w:sz w:val="24"/>
          <w:szCs w:val="24"/>
        </w:rPr>
        <w:t xml:space="preserve"> where the underlying investment/company delivers less than a net neutral contribution to a sustainable society with a high barrier to transformation, the Fund will challenge its investment manager (where appropriate) on their decision to hold the investment. </w:t>
      </w:r>
    </w:p>
    <w:p w14:paraId="48108025" w14:textId="73F26567" w:rsidR="0052389E" w:rsidRPr="000439DA" w:rsidRDefault="0052389E" w:rsidP="000439DA">
      <w:pPr>
        <w:pStyle w:val="ListParagraph"/>
        <w:numPr>
          <w:ilvl w:val="0"/>
          <w:numId w:val="2"/>
        </w:numPr>
        <w:rPr>
          <w:rFonts w:ascii="Arial" w:hAnsi="Arial" w:cs="Arial"/>
          <w:sz w:val="24"/>
          <w:szCs w:val="24"/>
        </w:rPr>
      </w:pPr>
      <w:r w:rsidRPr="000439DA">
        <w:rPr>
          <w:rFonts w:ascii="Arial" w:hAnsi="Arial" w:cs="Arial"/>
          <w:b/>
          <w:bCs/>
          <w:sz w:val="24"/>
          <w:szCs w:val="24"/>
        </w:rPr>
        <w:t>Neutral –</w:t>
      </w:r>
      <w:r w:rsidRPr="000439DA">
        <w:rPr>
          <w:rFonts w:ascii="Arial" w:hAnsi="Arial" w:cs="Arial"/>
          <w:sz w:val="24"/>
          <w:szCs w:val="24"/>
        </w:rPr>
        <w:t xml:space="preserve"> underlying investments/companies that have potential to transform their operations and/or business model to f</w:t>
      </w:r>
      <w:r w:rsidR="00B64F80" w:rsidRPr="000439DA">
        <w:rPr>
          <w:rFonts w:ascii="Arial" w:hAnsi="Arial" w:cs="Arial"/>
          <w:sz w:val="24"/>
          <w:szCs w:val="24"/>
        </w:rPr>
        <w:t>i</w:t>
      </w:r>
      <w:r w:rsidRPr="000439DA">
        <w:rPr>
          <w:rFonts w:ascii="Arial" w:hAnsi="Arial" w:cs="Arial"/>
          <w:sz w:val="24"/>
          <w:szCs w:val="24"/>
        </w:rPr>
        <w:t xml:space="preserve">t in a sustainable future. </w:t>
      </w:r>
    </w:p>
    <w:p w14:paraId="5366F6C3" w14:textId="4CB9BD6D" w:rsidR="0052389E" w:rsidRPr="000439DA" w:rsidRDefault="0052389E" w:rsidP="000439DA">
      <w:pPr>
        <w:pStyle w:val="ListParagraph"/>
        <w:numPr>
          <w:ilvl w:val="0"/>
          <w:numId w:val="2"/>
        </w:numPr>
        <w:rPr>
          <w:rFonts w:ascii="Arial" w:hAnsi="Arial" w:cs="Arial"/>
          <w:sz w:val="24"/>
          <w:szCs w:val="24"/>
        </w:rPr>
      </w:pPr>
      <w:r w:rsidRPr="000439DA">
        <w:rPr>
          <w:rFonts w:ascii="Arial" w:hAnsi="Arial" w:cs="Arial"/>
          <w:b/>
          <w:bCs/>
          <w:sz w:val="24"/>
          <w:szCs w:val="24"/>
        </w:rPr>
        <w:t>Embrace –</w:t>
      </w:r>
      <w:r w:rsidRPr="000439DA">
        <w:rPr>
          <w:rFonts w:ascii="Arial" w:hAnsi="Arial" w:cs="Arial"/>
          <w:sz w:val="24"/>
          <w:szCs w:val="24"/>
        </w:rPr>
        <w:t xml:space="preserve"> where underlying investments/ companies are delivering a positive contribution with an undebatable f</w:t>
      </w:r>
      <w:r w:rsidR="000439DA" w:rsidRPr="000439DA">
        <w:rPr>
          <w:rFonts w:ascii="Arial" w:hAnsi="Arial" w:cs="Arial"/>
          <w:sz w:val="24"/>
          <w:szCs w:val="24"/>
        </w:rPr>
        <w:t>i</w:t>
      </w:r>
      <w:r w:rsidRPr="000439DA">
        <w:rPr>
          <w:rFonts w:ascii="Arial" w:hAnsi="Arial" w:cs="Arial"/>
          <w:sz w:val="24"/>
          <w:szCs w:val="24"/>
        </w:rPr>
        <w:t xml:space="preserve">t in a sustainable future, the Fund will be in dialogue with its investment managers to understand what it can learn from these investments and its investment managers’ decisions to invest. </w:t>
      </w:r>
    </w:p>
    <w:p w14:paraId="7C52BE4F" w14:textId="27BAFD25" w:rsidR="0052389E" w:rsidRPr="000439DA" w:rsidRDefault="0052389E" w:rsidP="000439DA">
      <w:pPr>
        <w:pStyle w:val="ListParagraph"/>
        <w:numPr>
          <w:ilvl w:val="0"/>
          <w:numId w:val="2"/>
        </w:numPr>
        <w:rPr>
          <w:rFonts w:ascii="Arial" w:hAnsi="Arial" w:cs="Arial"/>
          <w:sz w:val="24"/>
          <w:szCs w:val="24"/>
        </w:rPr>
      </w:pPr>
      <w:r w:rsidRPr="000439DA">
        <w:rPr>
          <w:rFonts w:ascii="Arial" w:hAnsi="Arial" w:cs="Arial"/>
          <w:b/>
          <w:bCs/>
          <w:sz w:val="24"/>
          <w:szCs w:val="24"/>
        </w:rPr>
        <w:t>Engagement –</w:t>
      </w:r>
      <w:r w:rsidRPr="000439DA">
        <w:rPr>
          <w:rFonts w:ascii="Arial" w:hAnsi="Arial" w:cs="Arial"/>
          <w:sz w:val="24"/>
          <w:szCs w:val="24"/>
        </w:rPr>
        <w:t xml:space="preserve"> in all situations the Fund expects its investment managers to engage with companies that they have invested in, as described in more detail below.</w:t>
      </w:r>
    </w:p>
    <w:p w14:paraId="1319CDE9" w14:textId="7A63D607" w:rsidR="0052389E" w:rsidRPr="000439DA" w:rsidRDefault="0052389E" w:rsidP="0052389E">
      <w:pPr>
        <w:rPr>
          <w:rFonts w:ascii="Arial" w:hAnsi="Arial" w:cs="Arial"/>
          <w:b/>
          <w:bCs/>
          <w:sz w:val="24"/>
          <w:szCs w:val="24"/>
        </w:rPr>
      </w:pPr>
      <w:r w:rsidRPr="000439DA">
        <w:rPr>
          <w:rFonts w:ascii="Arial" w:hAnsi="Arial" w:cs="Arial"/>
          <w:b/>
          <w:bCs/>
          <w:sz w:val="24"/>
          <w:szCs w:val="24"/>
        </w:rPr>
        <w:t xml:space="preserve">The Fund recognises that there are </w:t>
      </w:r>
      <w:r w:rsidR="000439DA" w:rsidRPr="000439DA">
        <w:rPr>
          <w:rFonts w:ascii="Arial" w:hAnsi="Arial" w:cs="Arial"/>
          <w:b/>
          <w:bCs/>
          <w:sz w:val="24"/>
          <w:szCs w:val="24"/>
        </w:rPr>
        <w:t>different</w:t>
      </w:r>
      <w:r w:rsidRPr="000439DA">
        <w:rPr>
          <w:rFonts w:ascii="Arial" w:hAnsi="Arial" w:cs="Arial"/>
          <w:b/>
          <w:bCs/>
          <w:sz w:val="24"/>
          <w:szCs w:val="24"/>
        </w:rPr>
        <w:t xml:space="preserve"> expectations for its investment managers in the context of this Policy as follows: </w:t>
      </w:r>
    </w:p>
    <w:p w14:paraId="5FFD2EB9" w14:textId="77777777" w:rsidR="0052389E" w:rsidRPr="00A81C15" w:rsidRDefault="0052389E" w:rsidP="0052389E">
      <w:pPr>
        <w:rPr>
          <w:rFonts w:asciiTheme="majorHAnsi" w:hAnsiTheme="majorHAnsi" w:cs="Arial"/>
          <w:color w:val="0F4761" w:themeColor="accent1" w:themeShade="BF"/>
          <w:sz w:val="28"/>
          <w:szCs w:val="28"/>
        </w:rPr>
      </w:pPr>
      <w:r w:rsidRPr="00A81C15">
        <w:rPr>
          <w:rFonts w:asciiTheme="majorHAnsi" w:hAnsiTheme="majorHAnsi" w:cs="Arial"/>
          <w:color w:val="0F4761" w:themeColor="accent1" w:themeShade="BF"/>
          <w:sz w:val="28"/>
          <w:szCs w:val="28"/>
        </w:rPr>
        <w:t xml:space="preserve">Passive investment managers </w:t>
      </w:r>
    </w:p>
    <w:p w14:paraId="57F6F664" w14:textId="73B7334D" w:rsidR="0052389E" w:rsidRPr="0052389E" w:rsidRDefault="0052389E" w:rsidP="0052389E">
      <w:pPr>
        <w:rPr>
          <w:rFonts w:ascii="Arial" w:hAnsi="Arial" w:cs="Arial"/>
          <w:sz w:val="24"/>
          <w:szCs w:val="24"/>
        </w:rPr>
      </w:pPr>
      <w:r w:rsidRPr="0052389E">
        <w:rPr>
          <w:rFonts w:ascii="Arial" w:hAnsi="Arial" w:cs="Arial"/>
          <w:sz w:val="24"/>
          <w:szCs w:val="24"/>
        </w:rPr>
        <w:t xml:space="preserve">These managers are employed to mirror the stocks in various indices, and the PFPB accept that in making investments for the Pension Fund through an index, passive managers are unable to actively take ESG factors into account. </w:t>
      </w:r>
    </w:p>
    <w:p w14:paraId="26B7AD08" w14:textId="0DEEDC91" w:rsidR="0052389E" w:rsidRPr="0052389E" w:rsidRDefault="0052389E" w:rsidP="0052389E">
      <w:pPr>
        <w:rPr>
          <w:rFonts w:ascii="Arial" w:hAnsi="Arial" w:cs="Arial"/>
          <w:sz w:val="24"/>
          <w:szCs w:val="24"/>
        </w:rPr>
      </w:pPr>
      <w:r w:rsidRPr="0052389E">
        <w:rPr>
          <w:rFonts w:ascii="Arial" w:hAnsi="Arial" w:cs="Arial"/>
          <w:sz w:val="24"/>
          <w:szCs w:val="24"/>
        </w:rPr>
        <w:t xml:space="preserve">However, the PFPB does expect its passive investment managers to act in the best interests of the Pension Fund to enhance the long-term value of investments and support and encourage sound practices in the boardroom. As such the PFPB expects its passive investment managers to engage with companies within the index on areas of concern related to ESG issues and to also exercise voting rights particularly with regard to ESG factors, in a manner that will most favourably impact the economic value of the investments (see separate section below on Exercising Voting rights). </w:t>
      </w:r>
    </w:p>
    <w:p w14:paraId="6F75CB98" w14:textId="77777777" w:rsidR="0052389E" w:rsidRPr="00A81C15" w:rsidRDefault="0052389E" w:rsidP="0052389E">
      <w:pPr>
        <w:rPr>
          <w:rFonts w:asciiTheme="majorHAnsi" w:hAnsiTheme="majorHAnsi" w:cs="Arial"/>
          <w:color w:val="0F4761" w:themeColor="accent1" w:themeShade="BF"/>
          <w:sz w:val="28"/>
          <w:szCs w:val="28"/>
        </w:rPr>
      </w:pPr>
      <w:r w:rsidRPr="00A81C15">
        <w:rPr>
          <w:rFonts w:asciiTheme="majorHAnsi" w:hAnsiTheme="majorHAnsi" w:cs="Arial"/>
          <w:color w:val="0F4761" w:themeColor="accent1" w:themeShade="BF"/>
          <w:sz w:val="28"/>
          <w:szCs w:val="28"/>
        </w:rPr>
        <w:t xml:space="preserve">Quantitative investment managers </w:t>
      </w:r>
    </w:p>
    <w:p w14:paraId="12D821D3" w14:textId="3E39DBB1" w:rsidR="0052389E" w:rsidRPr="0052389E" w:rsidRDefault="0052389E" w:rsidP="0052389E">
      <w:pPr>
        <w:rPr>
          <w:rFonts w:ascii="Arial" w:hAnsi="Arial" w:cs="Arial"/>
          <w:sz w:val="24"/>
          <w:szCs w:val="24"/>
        </w:rPr>
      </w:pPr>
      <w:r w:rsidRPr="0052389E">
        <w:rPr>
          <w:rFonts w:ascii="Arial" w:hAnsi="Arial" w:cs="Arial"/>
          <w:sz w:val="24"/>
          <w:szCs w:val="24"/>
        </w:rPr>
        <w:t xml:space="preserve">These investment managers employ automated techniques to select stocks as opposed to individual judgement (used by ‘traditional’ active investment managers), but unlike passive investments are not constrained by any index. The Pension Fund would only utilise a quantitative investment manager if having taken advice it was appropriate for implementing the Fund’s investment strategy and following a thorough assessment of the investment manager and their quantitative model, including the extent to which it can account for ESG factors. </w:t>
      </w:r>
    </w:p>
    <w:p w14:paraId="1001C854" w14:textId="252712B0" w:rsidR="0052389E" w:rsidRPr="0052389E" w:rsidRDefault="0052389E" w:rsidP="0052389E">
      <w:pPr>
        <w:rPr>
          <w:rFonts w:ascii="Arial" w:hAnsi="Arial" w:cs="Arial"/>
          <w:sz w:val="24"/>
          <w:szCs w:val="24"/>
        </w:rPr>
      </w:pPr>
      <w:proofErr w:type="gramStart"/>
      <w:r w:rsidRPr="0052389E">
        <w:rPr>
          <w:rFonts w:ascii="Arial" w:hAnsi="Arial" w:cs="Arial"/>
          <w:sz w:val="24"/>
          <w:szCs w:val="24"/>
        </w:rPr>
        <w:t>Similar to</w:t>
      </w:r>
      <w:proofErr w:type="gramEnd"/>
      <w:r w:rsidRPr="0052389E">
        <w:rPr>
          <w:rFonts w:ascii="Arial" w:hAnsi="Arial" w:cs="Arial"/>
          <w:sz w:val="24"/>
          <w:szCs w:val="24"/>
        </w:rPr>
        <w:t xml:space="preserve"> passive investment management the Pension Fund accepts that a quantitative investment manager cannot make stock </w:t>
      </w:r>
      <w:r w:rsidR="000439DA" w:rsidRPr="0052389E">
        <w:rPr>
          <w:rFonts w:ascii="Arial" w:hAnsi="Arial" w:cs="Arial"/>
          <w:sz w:val="24"/>
          <w:szCs w:val="24"/>
        </w:rPr>
        <w:t>specific</w:t>
      </w:r>
      <w:r w:rsidRPr="0052389E">
        <w:rPr>
          <w:rFonts w:ascii="Arial" w:hAnsi="Arial" w:cs="Arial"/>
          <w:sz w:val="24"/>
          <w:szCs w:val="24"/>
        </w:rPr>
        <w:t xml:space="preserve"> judgements on ESG issues and therefore may not be able to take all ESG factors into account in their investment decisions. However, the Fund still requires the same level of engagement and exercise of voting rights (as described above) as with all other investment managers. </w:t>
      </w:r>
    </w:p>
    <w:p w14:paraId="2F6F0314" w14:textId="77777777" w:rsidR="0052389E" w:rsidRPr="00A81C15" w:rsidRDefault="0052389E" w:rsidP="0052389E">
      <w:pPr>
        <w:rPr>
          <w:rFonts w:asciiTheme="majorHAnsi" w:hAnsiTheme="majorHAnsi" w:cs="Arial"/>
          <w:color w:val="0F4761" w:themeColor="accent1" w:themeShade="BF"/>
          <w:sz w:val="28"/>
          <w:szCs w:val="28"/>
        </w:rPr>
      </w:pPr>
      <w:r w:rsidRPr="00A81C15">
        <w:rPr>
          <w:rFonts w:asciiTheme="majorHAnsi" w:hAnsiTheme="majorHAnsi" w:cs="Arial"/>
          <w:color w:val="0F4761" w:themeColor="accent1" w:themeShade="BF"/>
          <w:sz w:val="28"/>
          <w:szCs w:val="28"/>
        </w:rPr>
        <w:t xml:space="preserve">Active investment managers </w:t>
      </w:r>
    </w:p>
    <w:p w14:paraId="20A9EF4E" w14:textId="0E2C6F6E" w:rsidR="0052389E" w:rsidRPr="00594325" w:rsidRDefault="0052389E" w:rsidP="0052389E">
      <w:pPr>
        <w:rPr>
          <w:rFonts w:ascii="Arial" w:hAnsi="Arial" w:cs="Arial"/>
          <w:sz w:val="24"/>
          <w:szCs w:val="24"/>
        </w:rPr>
      </w:pPr>
      <w:r w:rsidRPr="0026163B">
        <w:rPr>
          <w:rFonts w:ascii="Arial" w:hAnsi="Arial" w:cs="Arial"/>
          <w:sz w:val="24"/>
          <w:szCs w:val="24"/>
        </w:rPr>
        <w:t>The PFPB delegates responsibility for making individual investment decisions (non-passive) to its active investment managers</w:t>
      </w:r>
      <w:r w:rsidRPr="001004F1">
        <w:rPr>
          <w:rFonts w:ascii="Arial" w:hAnsi="Arial" w:cs="Arial"/>
          <w:sz w:val="24"/>
          <w:szCs w:val="24"/>
        </w:rPr>
        <w:t>. All the Pension Fund’s active equity</w:t>
      </w:r>
      <w:r w:rsidR="006A7508" w:rsidRPr="001004F1">
        <w:rPr>
          <w:rFonts w:ascii="Arial" w:hAnsi="Arial" w:cs="Arial"/>
          <w:sz w:val="24"/>
          <w:szCs w:val="24"/>
        </w:rPr>
        <w:t xml:space="preserve"> and fixed income</w:t>
      </w:r>
      <w:r w:rsidRPr="001004F1">
        <w:rPr>
          <w:rFonts w:ascii="Arial" w:hAnsi="Arial" w:cs="Arial"/>
          <w:sz w:val="24"/>
          <w:szCs w:val="24"/>
        </w:rPr>
        <w:t xml:space="preserve"> managers are invested in via the ACCESS pool. Investment managers in the ACCESS pool </w:t>
      </w:r>
      <w:r w:rsidR="006A7508" w:rsidRPr="001004F1">
        <w:rPr>
          <w:rFonts w:ascii="Arial" w:hAnsi="Arial" w:cs="Arial"/>
          <w:sz w:val="24"/>
          <w:szCs w:val="24"/>
        </w:rPr>
        <w:t>are</w:t>
      </w:r>
      <w:r w:rsidRPr="001004F1">
        <w:rPr>
          <w:rFonts w:ascii="Arial" w:hAnsi="Arial" w:cs="Arial"/>
          <w:sz w:val="24"/>
          <w:szCs w:val="24"/>
        </w:rPr>
        <w:t xml:space="preserve"> subject to ACCESS’s RI guidelines, which accord with Hampshire’s policy requiring its active investment managers to pro-actively consider how all relevant factors, including ESG factors, will </w:t>
      </w:r>
      <w:r w:rsidR="000439DA" w:rsidRPr="001004F1">
        <w:rPr>
          <w:rFonts w:ascii="Arial" w:hAnsi="Arial" w:cs="Arial"/>
          <w:sz w:val="24"/>
          <w:szCs w:val="24"/>
        </w:rPr>
        <w:t>influence</w:t>
      </w:r>
      <w:r w:rsidRPr="001004F1">
        <w:rPr>
          <w:rFonts w:ascii="Arial" w:hAnsi="Arial" w:cs="Arial"/>
          <w:sz w:val="24"/>
          <w:szCs w:val="24"/>
        </w:rPr>
        <w:t xml:space="preserve"> the long-term value of each investment.</w:t>
      </w:r>
      <w:r w:rsidRPr="0026163B">
        <w:rPr>
          <w:rFonts w:ascii="Arial" w:hAnsi="Arial" w:cs="Arial"/>
          <w:sz w:val="24"/>
          <w:szCs w:val="24"/>
        </w:rPr>
        <w:t xml:space="preserve"> </w:t>
      </w:r>
    </w:p>
    <w:p w14:paraId="5D9364C7" w14:textId="26A4728C" w:rsidR="0033400C" w:rsidRPr="0052389E" w:rsidRDefault="0033400C" w:rsidP="0052389E">
      <w:pPr>
        <w:rPr>
          <w:rFonts w:ascii="Arial" w:hAnsi="Arial" w:cs="Arial"/>
          <w:sz w:val="24"/>
          <w:szCs w:val="24"/>
        </w:rPr>
      </w:pPr>
      <w:r w:rsidRPr="001004F1">
        <w:rPr>
          <w:rFonts w:ascii="Arial" w:hAnsi="Arial" w:cs="Arial"/>
          <w:sz w:val="24"/>
          <w:szCs w:val="24"/>
        </w:rPr>
        <w:t>Investments are expected to transfer to LGPS</w:t>
      </w:r>
      <w:r w:rsidR="00C53BD2">
        <w:rPr>
          <w:rFonts w:ascii="Arial" w:hAnsi="Arial" w:cs="Arial"/>
          <w:sz w:val="24"/>
          <w:szCs w:val="24"/>
        </w:rPr>
        <w:t>C</w:t>
      </w:r>
      <w:r w:rsidRPr="001004F1">
        <w:rPr>
          <w:rFonts w:ascii="Arial" w:hAnsi="Arial" w:cs="Arial"/>
          <w:sz w:val="24"/>
          <w:szCs w:val="24"/>
        </w:rPr>
        <w:t>’s management from 1 April 2026</w:t>
      </w:r>
      <w:r w:rsidR="00742628" w:rsidRPr="0026163B">
        <w:rPr>
          <w:rFonts w:ascii="Arial" w:hAnsi="Arial" w:cs="Arial"/>
          <w:sz w:val="24"/>
          <w:szCs w:val="24"/>
        </w:rPr>
        <w:t xml:space="preserve">, and will be subject to </w:t>
      </w:r>
      <w:r w:rsidR="001077ED" w:rsidRPr="0026163B">
        <w:rPr>
          <w:rFonts w:ascii="Arial" w:hAnsi="Arial" w:cs="Arial"/>
          <w:sz w:val="24"/>
          <w:szCs w:val="24"/>
        </w:rPr>
        <w:t xml:space="preserve">LGPSC’s RI </w:t>
      </w:r>
      <w:r w:rsidR="00253FE4" w:rsidRPr="0026163B">
        <w:rPr>
          <w:rFonts w:ascii="Arial" w:hAnsi="Arial" w:cs="Arial"/>
          <w:sz w:val="24"/>
          <w:szCs w:val="24"/>
        </w:rPr>
        <w:t>policy</w:t>
      </w:r>
      <w:r w:rsidR="00F209A0" w:rsidRPr="0026163B">
        <w:rPr>
          <w:rFonts w:ascii="Arial" w:hAnsi="Arial" w:cs="Arial"/>
          <w:sz w:val="24"/>
          <w:szCs w:val="24"/>
        </w:rPr>
        <w:t>, which,</w:t>
      </w:r>
      <w:r w:rsidR="00EF63A8" w:rsidRPr="0026163B">
        <w:rPr>
          <w:rFonts w:ascii="Arial" w:hAnsi="Arial" w:cs="Arial"/>
          <w:sz w:val="24"/>
          <w:szCs w:val="24"/>
        </w:rPr>
        <w:t xml:space="preserve"> a</w:t>
      </w:r>
      <w:r w:rsidR="003A61E7" w:rsidRPr="0026163B">
        <w:rPr>
          <w:rFonts w:ascii="Arial" w:hAnsi="Arial" w:cs="Arial"/>
          <w:sz w:val="24"/>
          <w:szCs w:val="24"/>
        </w:rPr>
        <w:t>s shareholder and client, Hampshire will be able to feed back on</w:t>
      </w:r>
      <w:r w:rsidR="00215234" w:rsidRPr="0026163B">
        <w:rPr>
          <w:rFonts w:ascii="Arial" w:hAnsi="Arial" w:cs="Arial"/>
          <w:sz w:val="24"/>
          <w:szCs w:val="24"/>
        </w:rPr>
        <w:t>.</w:t>
      </w:r>
    </w:p>
    <w:p w14:paraId="3D6BD6CF" w14:textId="367417CC" w:rsidR="00984E85" w:rsidRDefault="0052389E" w:rsidP="0052389E">
      <w:pPr>
        <w:rPr>
          <w:rFonts w:ascii="Arial" w:hAnsi="Arial" w:cs="Arial"/>
          <w:b/>
          <w:bCs/>
          <w:sz w:val="24"/>
          <w:szCs w:val="24"/>
        </w:rPr>
      </w:pPr>
      <w:r w:rsidRPr="0052389E">
        <w:rPr>
          <w:rFonts w:ascii="Arial" w:hAnsi="Arial" w:cs="Arial"/>
          <w:sz w:val="24"/>
          <w:szCs w:val="24"/>
        </w:rPr>
        <w:t>To ensure ESG factors are considered in investment decisions, the PFPB uses the following framework of questions, which it requires its investment managers to be able to answer and uses these as a basis to scrutinise them.</w:t>
      </w:r>
    </w:p>
    <w:p w14:paraId="1CD9AF02" w14:textId="7C41828D" w:rsidR="0052389E" w:rsidRPr="000439DA" w:rsidRDefault="0052389E" w:rsidP="0052389E">
      <w:pPr>
        <w:rPr>
          <w:rFonts w:ascii="Arial" w:hAnsi="Arial" w:cs="Arial"/>
          <w:b/>
          <w:bCs/>
          <w:sz w:val="24"/>
          <w:szCs w:val="24"/>
        </w:rPr>
      </w:pPr>
      <w:r w:rsidRPr="000439DA">
        <w:rPr>
          <w:rFonts w:ascii="Arial" w:hAnsi="Arial" w:cs="Arial"/>
          <w:b/>
          <w:bCs/>
          <w:sz w:val="24"/>
          <w:szCs w:val="24"/>
        </w:rPr>
        <w:t>For each investment</w:t>
      </w:r>
      <w:r w:rsidR="00A4486E">
        <w:rPr>
          <w:rFonts w:ascii="Arial" w:hAnsi="Arial" w:cs="Arial"/>
          <w:b/>
          <w:bCs/>
          <w:sz w:val="24"/>
          <w:szCs w:val="24"/>
        </w:rPr>
        <w:t>,</w:t>
      </w:r>
      <w:r w:rsidRPr="000439DA">
        <w:rPr>
          <w:rFonts w:ascii="Arial" w:hAnsi="Arial" w:cs="Arial"/>
          <w:b/>
          <w:bCs/>
          <w:sz w:val="24"/>
          <w:szCs w:val="24"/>
        </w:rPr>
        <w:t xml:space="preserve"> has the investment manager assessed and concluded that the overall expected long-term </w:t>
      </w:r>
      <w:r w:rsidR="000439DA" w:rsidRPr="000439DA">
        <w:rPr>
          <w:rFonts w:ascii="Arial" w:hAnsi="Arial" w:cs="Arial"/>
          <w:b/>
          <w:bCs/>
          <w:sz w:val="24"/>
          <w:szCs w:val="24"/>
        </w:rPr>
        <w:t>financial</w:t>
      </w:r>
      <w:r w:rsidRPr="000439DA">
        <w:rPr>
          <w:rFonts w:ascii="Arial" w:hAnsi="Arial" w:cs="Arial"/>
          <w:b/>
          <w:bCs/>
          <w:sz w:val="24"/>
          <w:szCs w:val="24"/>
        </w:rPr>
        <w:t xml:space="preserve"> return is mitigated from the risk of: </w:t>
      </w:r>
    </w:p>
    <w:p w14:paraId="0C651B8A" w14:textId="5DFC969B" w:rsidR="008E6097" w:rsidRPr="00C04A10" w:rsidRDefault="000D14E4" w:rsidP="00C90474">
      <w:pPr>
        <w:pStyle w:val="ListParagraph"/>
        <w:numPr>
          <w:ilvl w:val="0"/>
          <w:numId w:val="2"/>
        </w:numPr>
        <w:rPr>
          <w:rFonts w:ascii="Arial" w:hAnsi="Arial" w:cs="Arial"/>
          <w:sz w:val="24"/>
          <w:szCs w:val="24"/>
        </w:rPr>
      </w:pPr>
      <w:r w:rsidRPr="000D14E4">
        <w:rPr>
          <w:rFonts w:ascii="Arial" w:hAnsi="Arial" w:cs="Arial"/>
          <w:sz w:val="24"/>
          <w:szCs w:val="24"/>
        </w:rPr>
        <w:t xml:space="preserve">the physical </w:t>
      </w:r>
      <w:r w:rsidR="00633CA6">
        <w:rPr>
          <w:rFonts w:ascii="Arial" w:hAnsi="Arial" w:cs="Arial"/>
          <w:sz w:val="24"/>
          <w:szCs w:val="24"/>
        </w:rPr>
        <w:t>shock</w:t>
      </w:r>
      <w:r w:rsidRPr="00EE4A9A">
        <w:rPr>
          <w:rFonts w:ascii="Arial" w:hAnsi="Arial" w:cs="Arial"/>
          <w:sz w:val="24"/>
          <w:szCs w:val="24"/>
        </w:rPr>
        <w:t xml:space="preserve"> </w:t>
      </w:r>
      <w:r w:rsidR="00C90474">
        <w:rPr>
          <w:rFonts w:ascii="Arial" w:hAnsi="Arial" w:cs="Arial"/>
          <w:sz w:val="24"/>
          <w:szCs w:val="24"/>
        </w:rPr>
        <w:t>of</w:t>
      </w:r>
      <w:r w:rsidRPr="00B905EB">
        <w:rPr>
          <w:rFonts w:ascii="Arial" w:hAnsi="Arial" w:cs="Arial"/>
          <w:sz w:val="24"/>
          <w:szCs w:val="24"/>
        </w:rPr>
        <w:t xml:space="preserve"> climate </w:t>
      </w:r>
      <w:r w:rsidRPr="00B12E2D">
        <w:rPr>
          <w:rFonts w:ascii="Arial" w:hAnsi="Arial" w:cs="Arial"/>
          <w:sz w:val="24"/>
          <w:szCs w:val="24"/>
        </w:rPr>
        <w:t>change</w:t>
      </w:r>
      <w:r w:rsidR="00633CA6">
        <w:rPr>
          <w:rFonts w:ascii="Arial" w:hAnsi="Arial" w:cs="Arial"/>
          <w:sz w:val="24"/>
          <w:szCs w:val="24"/>
        </w:rPr>
        <w:t xml:space="preserve"> (including damage from extreme weather events</w:t>
      </w:r>
      <w:r w:rsidR="000515E1">
        <w:rPr>
          <w:rFonts w:ascii="Arial" w:hAnsi="Arial" w:cs="Arial"/>
          <w:sz w:val="24"/>
          <w:szCs w:val="24"/>
        </w:rPr>
        <w:t xml:space="preserve">), together with </w:t>
      </w:r>
      <w:r w:rsidR="008E6097">
        <w:rPr>
          <w:rFonts w:ascii="Arial" w:hAnsi="Arial" w:cs="Arial"/>
          <w:sz w:val="24"/>
          <w:szCs w:val="24"/>
        </w:rPr>
        <w:t xml:space="preserve">the </w:t>
      </w:r>
      <w:r w:rsidR="00DE3048">
        <w:rPr>
          <w:rFonts w:ascii="Arial" w:hAnsi="Arial" w:cs="Arial"/>
          <w:sz w:val="24"/>
          <w:szCs w:val="24"/>
        </w:rPr>
        <w:t>impact</w:t>
      </w:r>
      <w:r w:rsidR="00DD1592">
        <w:rPr>
          <w:rFonts w:ascii="Arial" w:hAnsi="Arial" w:cs="Arial"/>
          <w:sz w:val="24"/>
          <w:szCs w:val="24"/>
        </w:rPr>
        <w:t>s of transitioning to a lower-carbon economy</w:t>
      </w:r>
      <w:r w:rsidR="008E6097" w:rsidRPr="00C04A10">
        <w:rPr>
          <w:rFonts w:ascii="Arial" w:hAnsi="Arial" w:cs="Arial"/>
          <w:sz w:val="24"/>
          <w:szCs w:val="24"/>
        </w:rPr>
        <w:t xml:space="preserve">; </w:t>
      </w:r>
    </w:p>
    <w:p w14:paraId="2021AAE3" w14:textId="491A95DC" w:rsidR="00A702EA" w:rsidRPr="00A702EA" w:rsidRDefault="00A702EA" w:rsidP="00A702EA">
      <w:pPr>
        <w:pStyle w:val="ListParagraph"/>
        <w:numPr>
          <w:ilvl w:val="0"/>
          <w:numId w:val="2"/>
        </w:numPr>
        <w:rPr>
          <w:rFonts w:ascii="Arial" w:hAnsi="Arial" w:cs="Arial"/>
          <w:sz w:val="24"/>
          <w:szCs w:val="24"/>
        </w:rPr>
      </w:pPr>
      <w:r w:rsidRPr="00A702EA">
        <w:rPr>
          <w:rFonts w:ascii="Arial" w:hAnsi="Arial" w:cs="Arial"/>
          <w:sz w:val="24"/>
          <w:szCs w:val="24"/>
        </w:rPr>
        <w:t>negatively contributing to climate change or other environmental issues, such as pollution</w:t>
      </w:r>
      <w:r w:rsidR="008E700B">
        <w:rPr>
          <w:rFonts w:ascii="Arial" w:hAnsi="Arial" w:cs="Arial"/>
          <w:sz w:val="24"/>
          <w:szCs w:val="24"/>
        </w:rPr>
        <w:t>,</w:t>
      </w:r>
      <w:r w:rsidRPr="00A702EA" w:rsidDel="008E700B">
        <w:rPr>
          <w:rFonts w:ascii="Arial" w:hAnsi="Arial" w:cs="Arial"/>
          <w:sz w:val="24"/>
          <w:szCs w:val="24"/>
        </w:rPr>
        <w:t xml:space="preserve"> </w:t>
      </w:r>
      <w:r w:rsidR="003935AD">
        <w:rPr>
          <w:rFonts w:ascii="Arial" w:hAnsi="Arial" w:cs="Arial"/>
          <w:sz w:val="24"/>
          <w:szCs w:val="24"/>
        </w:rPr>
        <w:t xml:space="preserve">waste (including </w:t>
      </w:r>
      <w:r w:rsidRPr="00A702EA">
        <w:rPr>
          <w:rFonts w:ascii="Arial" w:hAnsi="Arial" w:cs="Arial"/>
          <w:sz w:val="24"/>
          <w:szCs w:val="24"/>
        </w:rPr>
        <w:t xml:space="preserve">use of </w:t>
      </w:r>
      <w:r w:rsidRPr="00EE4A9A">
        <w:rPr>
          <w:rFonts w:ascii="Arial" w:hAnsi="Arial" w:cs="Arial"/>
          <w:sz w:val="24"/>
          <w:szCs w:val="24"/>
        </w:rPr>
        <w:t>plastic</w:t>
      </w:r>
      <w:r w:rsidR="0050090D">
        <w:rPr>
          <w:rFonts w:ascii="Arial" w:hAnsi="Arial" w:cs="Arial"/>
          <w:sz w:val="24"/>
          <w:szCs w:val="24"/>
        </w:rPr>
        <w:t>s)</w:t>
      </w:r>
      <w:r w:rsidR="00CF5778">
        <w:rPr>
          <w:rFonts w:ascii="Arial" w:hAnsi="Arial" w:cs="Arial"/>
          <w:sz w:val="24"/>
          <w:szCs w:val="24"/>
        </w:rPr>
        <w:t xml:space="preserve"> and</w:t>
      </w:r>
      <w:r w:rsidR="008E700B">
        <w:rPr>
          <w:rFonts w:ascii="Arial" w:hAnsi="Arial" w:cs="Arial"/>
          <w:sz w:val="24"/>
          <w:szCs w:val="24"/>
        </w:rPr>
        <w:t xml:space="preserve"> bio-diversity loss</w:t>
      </w:r>
      <w:r w:rsidRPr="00A702EA">
        <w:rPr>
          <w:rFonts w:ascii="Arial" w:hAnsi="Arial" w:cs="Arial"/>
          <w:sz w:val="24"/>
          <w:szCs w:val="24"/>
        </w:rPr>
        <w:t xml:space="preserve">; </w:t>
      </w:r>
    </w:p>
    <w:p w14:paraId="7AA53540" w14:textId="5488DAD4" w:rsidR="008E6097" w:rsidRPr="00A56515" w:rsidRDefault="0074562B" w:rsidP="000439DA">
      <w:pPr>
        <w:pStyle w:val="ListParagraph"/>
        <w:numPr>
          <w:ilvl w:val="0"/>
          <w:numId w:val="2"/>
        </w:numPr>
        <w:rPr>
          <w:rFonts w:ascii="Arial" w:hAnsi="Arial" w:cs="Arial"/>
          <w:sz w:val="24"/>
          <w:szCs w:val="24"/>
        </w:rPr>
      </w:pPr>
      <w:r w:rsidRPr="0074562B">
        <w:rPr>
          <w:rFonts w:ascii="Arial" w:hAnsi="Arial" w:cs="Arial"/>
          <w:sz w:val="24"/>
          <w:szCs w:val="24"/>
        </w:rPr>
        <w:t>any outcome damaging to human rights</w:t>
      </w:r>
      <w:r w:rsidR="00BF4740">
        <w:rPr>
          <w:rFonts w:ascii="Arial" w:hAnsi="Arial" w:cs="Arial"/>
          <w:sz w:val="24"/>
          <w:szCs w:val="24"/>
        </w:rPr>
        <w:t xml:space="preserve">, including slavery </w:t>
      </w:r>
      <w:r w:rsidR="0008757C">
        <w:rPr>
          <w:rFonts w:ascii="Arial" w:hAnsi="Arial" w:cs="Arial"/>
          <w:sz w:val="24"/>
          <w:szCs w:val="24"/>
        </w:rPr>
        <w:t xml:space="preserve">and child labour </w:t>
      </w:r>
      <w:r w:rsidR="00CB6969">
        <w:rPr>
          <w:rFonts w:ascii="Arial" w:hAnsi="Arial" w:cs="Arial"/>
          <w:sz w:val="24"/>
          <w:szCs w:val="24"/>
        </w:rPr>
        <w:t>in supply chains</w:t>
      </w:r>
      <w:r w:rsidR="00A13372">
        <w:rPr>
          <w:rFonts w:ascii="Arial" w:hAnsi="Arial" w:cs="Arial"/>
          <w:sz w:val="24"/>
          <w:szCs w:val="24"/>
        </w:rPr>
        <w:t>,</w:t>
      </w:r>
      <w:r w:rsidR="0008757C" w:rsidRPr="00EE4A9A">
        <w:rPr>
          <w:rFonts w:ascii="Arial" w:hAnsi="Arial" w:cs="Arial"/>
          <w:sz w:val="24"/>
          <w:szCs w:val="24"/>
        </w:rPr>
        <w:t xml:space="preserve"> </w:t>
      </w:r>
      <w:r w:rsidR="00353443">
        <w:rPr>
          <w:rFonts w:ascii="Arial" w:hAnsi="Arial" w:cs="Arial"/>
          <w:sz w:val="24"/>
          <w:szCs w:val="24"/>
        </w:rPr>
        <w:t xml:space="preserve">and </w:t>
      </w:r>
      <w:r w:rsidR="0064441D">
        <w:rPr>
          <w:rFonts w:ascii="Arial" w:hAnsi="Arial" w:cs="Arial"/>
          <w:sz w:val="24"/>
          <w:szCs w:val="24"/>
        </w:rPr>
        <w:t xml:space="preserve">the impact of </w:t>
      </w:r>
      <w:r w:rsidR="003B2D95">
        <w:rPr>
          <w:rFonts w:ascii="Arial" w:hAnsi="Arial" w:cs="Arial"/>
          <w:sz w:val="24"/>
          <w:szCs w:val="24"/>
        </w:rPr>
        <w:t>armaments</w:t>
      </w:r>
      <w:r w:rsidR="00353443">
        <w:rPr>
          <w:rFonts w:ascii="Arial" w:hAnsi="Arial" w:cs="Arial"/>
          <w:sz w:val="24"/>
          <w:szCs w:val="24"/>
        </w:rPr>
        <w:t xml:space="preserve">, </w:t>
      </w:r>
      <w:r w:rsidR="00A20CCE">
        <w:rPr>
          <w:rFonts w:ascii="Arial" w:hAnsi="Arial" w:cs="Arial"/>
          <w:sz w:val="24"/>
          <w:szCs w:val="24"/>
        </w:rPr>
        <w:t>particularly</w:t>
      </w:r>
      <w:r w:rsidR="00353443">
        <w:rPr>
          <w:rFonts w:ascii="Arial" w:hAnsi="Arial" w:cs="Arial"/>
          <w:sz w:val="24"/>
          <w:szCs w:val="24"/>
        </w:rPr>
        <w:t xml:space="preserve"> </w:t>
      </w:r>
      <w:r w:rsidR="00AF2629">
        <w:rPr>
          <w:rFonts w:ascii="Arial" w:hAnsi="Arial" w:cs="Arial"/>
          <w:sz w:val="24"/>
          <w:szCs w:val="24"/>
        </w:rPr>
        <w:t>controversial weapons</w:t>
      </w:r>
      <w:r w:rsidR="00353443">
        <w:rPr>
          <w:rFonts w:ascii="Arial" w:hAnsi="Arial" w:cs="Arial"/>
          <w:sz w:val="24"/>
          <w:szCs w:val="24"/>
        </w:rPr>
        <w:t xml:space="preserve"> </w:t>
      </w:r>
      <w:r w:rsidR="007823E7">
        <w:rPr>
          <w:rFonts w:ascii="Arial" w:hAnsi="Arial" w:cs="Arial"/>
          <w:sz w:val="24"/>
          <w:szCs w:val="24"/>
        </w:rPr>
        <w:t>(</w:t>
      </w:r>
      <w:r w:rsidR="007823E7">
        <w:rPr>
          <w:rFonts w:ascii="Arial" w:eastAsia="Times New Roman" w:hAnsi="Arial" w:cs="Arial"/>
          <w:sz w:val="24"/>
          <w:szCs w:val="24"/>
        </w:rPr>
        <w:t xml:space="preserve">namely </w:t>
      </w:r>
      <w:r w:rsidR="007823E7" w:rsidRPr="006C079D">
        <w:rPr>
          <w:rFonts w:ascii="Arial" w:eastAsia="Times New Roman" w:hAnsi="Arial" w:cs="Arial"/>
          <w:sz w:val="24"/>
          <w:szCs w:val="24"/>
        </w:rPr>
        <w:t>cluster bombs, landmines, depleted uranium weapons, and chemical and biological weapons</w:t>
      </w:r>
      <w:r w:rsidR="007823E7" w:rsidRPr="00EE4A9A">
        <w:rPr>
          <w:rFonts w:ascii="Arial" w:eastAsia="Times New Roman" w:hAnsi="Arial" w:cs="Arial"/>
          <w:sz w:val="24"/>
          <w:szCs w:val="24"/>
        </w:rPr>
        <w:t>)</w:t>
      </w:r>
      <w:r w:rsidR="00EE4A9A">
        <w:rPr>
          <w:rFonts w:ascii="Arial" w:eastAsia="Times New Roman" w:hAnsi="Arial" w:cs="Arial"/>
          <w:sz w:val="24"/>
          <w:szCs w:val="24"/>
        </w:rPr>
        <w:t>;</w:t>
      </w:r>
      <w:r w:rsidR="00353443">
        <w:rPr>
          <w:rFonts w:ascii="Arial" w:hAnsi="Arial" w:cs="Arial"/>
          <w:sz w:val="24"/>
          <w:szCs w:val="24"/>
        </w:rPr>
        <w:t xml:space="preserve"> </w:t>
      </w:r>
    </w:p>
    <w:p w14:paraId="0F9EA1BD" w14:textId="07BD7F3F" w:rsidR="0052389E" w:rsidRPr="00A56515" w:rsidRDefault="0052389E" w:rsidP="000439DA">
      <w:pPr>
        <w:pStyle w:val="ListParagraph"/>
        <w:numPr>
          <w:ilvl w:val="0"/>
          <w:numId w:val="2"/>
        </w:numPr>
        <w:rPr>
          <w:rFonts w:ascii="Arial" w:hAnsi="Arial" w:cs="Arial"/>
          <w:sz w:val="24"/>
          <w:szCs w:val="24"/>
        </w:rPr>
      </w:pPr>
      <w:r w:rsidRPr="00A56515">
        <w:rPr>
          <w:rFonts w:ascii="Arial" w:hAnsi="Arial" w:cs="Arial"/>
          <w:sz w:val="24"/>
          <w:szCs w:val="24"/>
        </w:rPr>
        <w:t xml:space="preserve">detrimental social impacts or increasing health inequalities from the company’s products/services, such as tobacco; </w:t>
      </w:r>
    </w:p>
    <w:p w14:paraId="0CA23E72" w14:textId="391711B1" w:rsidR="0052389E" w:rsidRPr="00A56515" w:rsidRDefault="0052389E" w:rsidP="000439DA">
      <w:pPr>
        <w:pStyle w:val="ListParagraph"/>
        <w:numPr>
          <w:ilvl w:val="0"/>
          <w:numId w:val="2"/>
        </w:numPr>
        <w:rPr>
          <w:rFonts w:ascii="Arial" w:hAnsi="Arial" w:cs="Arial"/>
          <w:sz w:val="24"/>
          <w:szCs w:val="24"/>
        </w:rPr>
      </w:pPr>
      <w:r w:rsidRPr="00A56515">
        <w:rPr>
          <w:rFonts w:ascii="Arial" w:hAnsi="Arial" w:cs="Arial"/>
          <w:sz w:val="24"/>
          <w:szCs w:val="24"/>
        </w:rPr>
        <w:t xml:space="preserve">poor corporate governance, systems of control and lack of transparency; </w:t>
      </w:r>
    </w:p>
    <w:p w14:paraId="3FE91E9F" w14:textId="63605517" w:rsidR="0052389E" w:rsidRPr="00A56515" w:rsidRDefault="0052389E" w:rsidP="000439DA">
      <w:pPr>
        <w:pStyle w:val="ListParagraph"/>
        <w:numPr>
          <w:ilvl w:val="0"/>
          <w:numId w:val="2"/>
        </w:numPr>
        <w:rPr>
          <w:rFonts w:ascii="Arial" w:hAnsi="Arial" w:cs="Arial"/>
          <w:sz w:val="24"/>
          <w:szCs w:val="24"/>
        </w:rPr>
      </w:pPr>
      <w:r w:rsidRPr="00A56515">
        <w:rPr>
          <w:rFonts w:ascii="Arial" w:hAnsi="Arial" w:cs="Arial"/>
          <w:sz w:val="24"/>
          <w:szCs w:val="24"/>
        </w:rPr>
        <w:t>a senior management pay structure biased towards managers making short</w:t>
      </w:r>
      <w:r w:rsidR="000439DA" w:rsidRPr="00A56515">
        <w:rPr>
          <w:rFonts w:ascii="Arial" w:hAnsi="Arial" w:cs="Arial"/>
          <w:sz w:val="24"/>
          <w:szCs w:val="24"/>
        </w:rPr>
        <w:t>-</w:t>
      </w:r>
      <w:r w:rsidRPr="00A56515">
        <w:rPr>
          <w:rFonts w:ascii="Arial" w:hAnsi="Arial" w:cs="Arial"/>
          <w:sz w:val="24"/>
          <w:szCs w:val="24"/>
        </w:rPr>
        <w:t xml:space="preserve">term decisions </w:t>
      </w:r>
      <w:r w:rsidR="0015511E">
        <w:rPr>
          <w:rFonts w:ascii="Arial" w:hAnsi="Arial" w:cs="Arial"/>
          <w:sz w:val="24"/>
          <w:szCs w:val="24"/>
        </w:rPr>
        <w:t>not</w:t>
      </w:r>
      <w:r w:rsidRPr="00A56515">
        <w:rPr>
          <w:rFonts w:ascii="Arial" w:hAnsi="Arial" w:cs="Arial"/>
          <w:sz w:val="24"/>
          <w:szCs w:val="24"/>
        </w:rPr>
        <w:t xml:space="preserve"> in the company’ and investors</w:t>
      </w:r>
      <w:r w:rsidR="002441E7">
        <w:rPr>
          <w:rFonts w:ascii="Arial" w:hAnsi="Arial" w:cs="Arial"/>
          <w:sz w:val="24"/>
          <w:szCs w:val="24"/>
        </w:rPr>
        <w:t>’</w:t>
      </w:r>
      <w:r w:rsidRPr="00A56515">
        <w:rPr>
          <w:rFonts w:ascii="Arial" w:hAnsi="Arial" w:cs="Arial"/>
          <w:sz w:val="24"/>
          <w:szCs w:val="24"/>
        </w:rPr>
        <w:t xml:space="preserve"> long-term interests; </w:t>
      </w:r>
    </w:p>
    <w:p w14:paraId="2F0B888F" w14:textId="34218F6F" w:rsidR="0052389E" w:rsidRPr="00A56515" w:rsidRDefault="0052389E" w:rsidP="000439DA">
      <w:pPr>
        <w:pStyle w:val="ListParagraph"/>
        <w:numPr>
          <w:ilvl w:val="0"/>
          <w:numId w:val="2"/>
        </w:numPr>
        <w:rPr>
          <w:rFonts w:ascii="Arial" w:hAnsi="Arial" w:cs="Arial"/>
          <w:sz w:val="24"/>
          <w:szCs w:val="24"/>
        </w:rPr>
      </w:pPr>
      <w:r w:rsidRPr="00A56515">
        <w:rPr>
          <w:rFonts w:ascii="Arial" w:hAnsi="Arial" w:cs="Arial"/>
          <w:sz w:val="24"/>
          <w:szCs w:val="24"/>
        </w:rPr>
        <w:t xml:space="preserve">the detrimental treatment of the company’s workforce or workers in the supply chain on issues such as health and safety, gender equality and pay; </w:t>
      </w:r>
    </w:p>
    <w:p w14:paraId="6EDBC516" w14:textId="1690F643" w:rsidR="0052389E" w:rsidRPr="00A56515" w:rsidRDefault="0052389E" w:rsidP="000439DA">
      <w:pPr>
        <w:pStyle w:val="ListParagraph"/>
        <w:numPr>
          <w:ilvl w:val="0"/>
          <w:numId w:val="2"/>
        </w:numPr>
        <w:rPr>
          <w:rFonts w:ascii="Arial" w:hAnsi="Arial" w:cs="Arial"/>
          <w:sz w:val="24"/>
          <w:szCs w:val="24"/>
        </w:rPr>
      </w:pPr>
      <w:r w:rsidRPr="00A56515">
        <w:rPr>
          <w:rFonts w:ascii="Arial" w:hAnsi="Arial" w:cs="Arial"/>
          <w:sz w:val="24"/>
          <w:szCs w:val="24"/>
        </w:rPr>
        <w:t xml:space="preserve">dangerous business strategies, such as the creation of monopolies, that may expose the company or wider economy to unacceptable risk; </w:t>
      </w:r>
    </w:p>
    <w:p w14:paraId="52A896D0" w14:textId="443C81B7" w:rsidR="0052389E" w:rsidRPr="00A56515" w:rsidRDefault="0052389E" w:rsidP="000439DA">
      <w:pPr>
        <w:pStyle w:val="ListParagraph"/>
        <w:numPr>
          <w:ilvl w:val="0"/>
          <w:numId w:val="2"/>
        </w:numPr>
        <w:rPr>
          <w:rFonts w:ascii="Arial" w:hAnsi="Arial" w:cs="Arial"/>
          <w:sz w:val="24"/>
          <w:szCs w:val="24"/>
        </w:rPr>
      </w:pPr>
      <w:r w:rsidRPr="00A56515">
        <w:rPr>
          <w:rFonts w:ascii="Arial" w:hAnsi="Arial" w:cs="Arial"/>
          <w:sz w:val="24"/>
          <w:szCs w:val="24"/>
        </w:rPr>
        <w:t xml:space="preserve">reputational damage to the company, the Pension Fund in relation to its </w:t>
      </w:r>
      <w:r w:rsidR="000439DA" w:rsidRPr="00A56515">
        <w:rPr>
          <w:rFonts w:ascii="Arial" w:hAnsi="Arial" w:cs="Arial"/>
          <w:sz w:val="24"/>
          <w:szCs w:val="24"/>
        </w:rPr>
        <w:t>beneficiaries</w:t>
      </w:r>
      <w:r w:rsidRPr="00A56515">
        <w:rPr>
          <w:rFonts w:ascii="Arial" w:hAnsi="Arial" w:cs="Arial"/>
          <w:sz w:val="24"/>
          <w:szCs w:val="24"/>
        </w:rPr>
        <w:t xml:space="preserve">, Hampshire residents, or the general principles of the UK Corporate Governance Code; </w:t>
      </w:r>
      <w:proofErr w:type="gramStart"/>
      <w:r w:rsidRPr="00A56515">
        <w:rPr>
          <w:rFonts w:ascii="Arial" w:hAnsi="Arial" w:cs="Arial"/>
          <w:sz w:val="24"/>
          <w:szCs w:val="24"/>
        </w:rPr>
        <w:t>as a result of</w:t>
      </w:r>
      <w:proofErr w:type="gramEnd"/>
      <w:r w:rsidRPr="00A56515">
        <w:rPr>
          <w:rFonts w:ascii="Arial" w:hAnsi="Arial" w:cs="Arial"/>
          <w:sz w:val="24"/>
          <w:szCs w:val="24"/>
        </w:rPr>
        <w:t xml:space="preserve"> its approach to any ESG issue. </w:t>
      </w:r>
    </w:p>
    <w:p w14:paraId="07A8BB3D" w14:textId="0E0E2420" w:rsidR="0052389E" w:rsidRPr="0052389E" w:rsidRDefault="0052389E" w:rsidP="0052389E">
      <w:pPr>
        <w:rPr>
          <w:rFonts w:ascii="Arial" w:hAnsi="Arial" w:cs="Arial"/>
          <w:sz w:val="24"/>
          <w:szCs w:val="24"/>
        </w:rPr>
      </w:pPr>
      <w:r w:rsidRPr="0052389E">
        <w:rPr>
          <w:rFonts w:ascii="Arial" w:hAnsi="Arial" w:cs="Arial"/>
          <w:sz w:val="24"/>
          <w:szCs w:val="24"/>
        </w:rPr>
        <w:t xml:space="preserve">If the PFPB do not receive satisfactory responses to these questions they may undertake further engagement with investment managers (and possibly directly with investments) and/or consider directing the investment manager to not invest in the company/sector in question. </w:t>
      </w:r>
    </w:p>
    <w:p w14:paraId="6F23B5D9" w14:textId="77777777" w:rsidR="0052389E" w:rsidRPr="00A81C15" w:rsidRDefault="0052389E" w:rsidP="0052389E">
      <w:pPr>
        <w:rPr>
          <w:rFonts w:asciiTheme="majorHAnsi" w:hAnsiTheme="majorHAnsi" w:cs="Arial"/>
          <w:color w:val="0F4761" w:themeColor="accent1" w:themeShade="BF"/>
          <w:sz w:val="28"/>
          <w:szCs w:val="28"/>
        </w:rPr>
      </w:pPr>
      <w:r w:rsidRPr="00A81C15">
        <w:rPr>
          <w:rFonts w:asciiTheme="majorHAnsi" w:hAnsiTheme="majorHAnsi" w:cs="Arial"/>
          <w:color w:val="0F4761" w:themeColor="accent1" w:themeShade="BF"/>
          <w:sz w:val="28"/>
          <w:szCs w:val="28"/>
        </w:rPr>
        <w:t xml:space="preserve">Closed-ended limited partnerships </w:t>
      </w:r>
    </w:p>
    <w:p w14:paraId="5693FC15" w14:textId="673BEF64" w:rsidR="0052389E" w:rsidRPr="0052389E" w:rsidRDefault="0052389E" w:rsidP="0052389E">
      <w:pPr>
        <w:rPr>
          <w:rFonts w:ascii="Arial" w:hAnsi="Arial" w:cs="Arial"/>
          <w:sz w:val="24"/>
          <w:szCs w:val="24"/>
        </w:rPr>
      </w:pPr>
      <w:r w:rsidRPr="0052389E">
        <w:rPr>
          <w:rFonts w:ascii="Arial" w:hAnsi="Arial" w:cs="Arial"/>
          <w:sz w:val="24"/>
          <w:szCs w:val="24"/>
        </w:rPr>
        <w:t xml:space="preserve">The Pension Fund invests in closed ended limited partnerships and has let </w:t>
      </w:r>
      <w:proofErr w:type="gramStart"/>
      <w:r w:rsidRPr="0052389E">
        <w:rPr>
          <w:rFonts w:ascii="Arial" w:hAnsi="Arial" w:cs="Arial"/>
          <w:sz w:val="24"/>
          <w:szCs w:val="24"/>
        </w:rPr>
        <w:t>a number of</w:t>
      </w:r>
      <w:proofErr w:type="gramEnd"/>
      <w:r w:rsidRPr="0052389E">
        <w:rPr>
          <w:rFonts w:ascii="Arial" w:hAnsi="Arial" w:cs="Arial"/>
          <w:sz w:val="24"/>
          <w:szCs w:val="24"/>
        </w:rPr>
        <w:t xml:space="preserve"> discretionary contracts to investment managers for investments in private equity and infrastructure in these types of investments. The Pension Fund requires that its investment managers integrate ESG considerations into their selection of these investments, which it believes will improve the long-term risk adjusted returns. Whilst the Pension Fund expects its investment managers to be able to </w:t>
      </w:r>
      <w:r w:rsidR="000439DA" w:rsidRPr="0052389E">
        <w:rPr>
          <w:rFonts w:ascii="Arial" w:hAnsi="Arial" w:cs="Arial"/>
          <w:sz w:val="24"/>
          <w:szCs w:val="24"/>
        </w:rPr>
        <w:t>influence</w:t>
      </w:r>
      <w:r w:rsidRPr="0052389E">
        <w:rPr>
          <w:rFonts w:ascii="Arial" w:hAnsi="Arial" w:cs="Arial"/>
          <w:sz w:val="24"/>
          <w:szCs w:val="24"/>
        </w:rPr>
        <w:t xml:space="preserve"> the investment decisions of these partnerships, it accepts that once the Fund has committed its investment it cannot control the underlying investments that are made. </w:t>
      </w:r>
    </w:p>
    <w:p w14:paraId="063A92AA" w14:textId="77777777" w:rsidR="0052389E" w:rsidRPr="00A81C15" w:rsidRDefault="0052389E" w:rsidP="00D8541F">
      <w:pPr>
        <w:keepNext/>
        <w:rPr>
          <w:rFonts w:asciiTheme="majorHAnsi" w:hAnsiTheme="majorHAnsi" w:cs="Arial"/>
          <w:color w:val="0F4761" w:themeColor="accent1" w:themeShade="BF"/>
          <w:sz w:val="28"/>
          <w:szCs w:val="28"/>
        </w:rPr>
      </w:pPr>
      <w:r w:rsidRPr="00A81C15">
        <w:rPr>
          <w:rFonts w:asciiTheme="majorHAnsi" w:hAnsiTheme="majorHAnsi" w:cs="Arial"/>
          <w:color w:val="0F4761" w:themeColor="accent1" w:themeShade="BF"/>
          <w:sz w:val="28"/>
          <w:szCs w:val="28"/>
        </w:rPr>
        <w:t xml:space="preserve">Direct property </w:t>
      </w:r>
    </w:p>
    <w:p w14:paraId="29E688FF" w14:textId="6EBDB229" w:rsidR="0052389E" w:rsidRDefault="0052389E" w:rsidP="0052389E">
      <w:pPr>
        <w:rPr>
          <w:rFonts w:ascii="Arial" w:hAnsi="Arial" w:cs="Arial"/>
          <w:sz w:val="24"/>
          <w:szCs w:val="24"/>
        </w:rPr>
      </w:pPr>
      <w:r w:rsidRPr="0052389E">
        <w:rPr>
          <w:rFonts w:ascii="Arial" w:hAnsi="Arial" w:cs="Arial"/>
          <w:sz w:val="24"/>
          <w:szCs w:val="24"/>
        </w:rPr>
        <w:t xml:space="preserve">The Pension Fund has made a strategic allocation to invest in UK commercial </w:t>
      </w:r>
      <w:proofErr w:type="gramStart"/>
      <w:r w:rsidRPr="0052389E">
        <w:rPr>
          <w:rFonts w:ascii="Arial" w:hAnsi="Arial" w:cs="Arial"/>
          <w:sz w:val="24"/>
          <w:szCs w:val="24"/>
        </w:rPr>
        <w:t>property, and</w:t>
      </w:r>
      <w:proofErr w:type="gramEnd"/>
      <w:r w:rsidRPr="0052389E">
        <w:rPr>
          <w:rFonts w:ascii="Arial" w:hAnsi="Arial" w:cs="Arial"/>
          <w:sz w:val="24"/>
          <w:szCs w:val="24"/>
        </w:rPr>
        <w:t xml:space="preserve"> therefore recognises that as a landlord it has an opportunity to </w:t>
      </w:r>
      <w:r w:rsidR="000439DA" w:rsidRPr="0052389E">
        <w:rPr>
          <w:rFonts w:ascii="Arial" w:hAnsi="Arial" w:cs="Arial"/>
          <w:sz w:val="24"/>
          <w:szCs w:val="24"/>
        </w:rPr>
        <w:t>affect</w:t>
      </w:r>
      <w:r w:rsidRPr="0052389E">
        <w:rPr>
          <w:rFonts w:ascii="Arial" w:hAnsi="Arial" w:cs="Arial"/>
          <w:sz w:val="24"/>
          <w:szCs w:val="24"/>
        </w:rPr>
        <w:t xml:space="preserve"> the quality of the buildings it owns. As part of the investment management contract the Pension Fund has let for the discretionary management of its property portfolio, the Pension Fund expects its investment manager to consider improving the environmental impact of each of the properties it owns as part of the investment case for owning each property.</w:t>
      </w:r>
    </w:p>
    <w:p w14:paraId="6CDA465D" w14:textId="77777777" w:rsidR="0052389E" w:rsidRPr="00A81C15" w:rsidRDefault="0052389E" w:rsidP="0052389E">
      <w:pPr>
        <w:rPr>
          <w:rFonts w:asciiTheme="majorHAnsi" w:hAnsiTheme="majorHAnsi" w:cs="Arial"/>
          <w:color w:val="0F4761" w:themeColor="accent1" w:themeShade="BF"/>
          <w:sz w:val="28"/>
          <w:szCs w:val="28"/>
        </w:rPr>
      </w:pPr>
      <w:r w:rsidRPr="00A81C15">
        <w:rPr>
          <w:rFonts w:asciiTheme="majorHAnsi" w:hAnsiTheme="majorHAnsi" w:cs="Arial"/>
          <w:color w:val="0F4761" w:themeColor="accent1" w:themeShade="BF"/>
          <w:sz w:val="28"/>
          <w:szCs w:val="28"/>
        </w:rPr>
        <w:t xml:space="preserve">Responsible investment sub-committee </w:t>
      </w:r>
    </w:p>
    <w:p w14:paraId="67D78749" w14:textId="5B6AB872" w:rsidR="0052389E" w:rsidRPr="0052389E" w:rsidRDefault="0052389E" w:rsidP="0052389E">
      <w:pPr>
        <w:rPr>
          <w:rFonts w:ascii="Arial" w:hAnsi="Arial" w:cs="Arial"/>
          <w:sz w:val="24"/>
          <w:szCs w:val="24"/>
        </w:rPr>
      </w:pPr>
      <w:r w:rsidRPr="0052389E">
        <w:rPr>
          <w:rFonts w:ascii="Arial" w:hAnsi="Arial" w:cs="Arial"/>
          <w:sz w:val="24"/>
          <w:szCs w:val="24"/>
        </w:rPr>
        <w:t xml:space="preserve">The Pension Fund Panel and Board (PFPB) take their responsibilities for Responsible Investing and the consideration of ESG issues very seriously, and have established a Responsible Investment sub-committee, which meets at least twice a year, to review ESG issues and support implementation of the Responsible Investment Policy. </w:t>
      </w:r>
    </w:p>
    <w:p w14:paraId="526DDFB3" w14:textId="3FE4B0D8" w:rsidR="0052389E" w:rsidRPr="0059650F" w:rsidRDefault="0052389E" w:rsidP="0052389E">
      <w:pPr>
        <w:rPr>
          <w:rFonts w:ascii="Arial" w:hAnsi="Arial" w:cs="Arial"/>
          <w:b/>
          <w:bCs/>
          <w:sz w:val="24"/>
          <w:szCs w:val="24"/>
        </w:rPr>
      </w:pPr>
      <w:r w:rsidRPr="0059650F">
        <w:rPr>
          <w:rFonts w:ascii="Arial" w:hAnsi="Arial" w:cs="Arial"/>
          <w:b/>
          <w:bCs/>
          <w:sz w:val="24"/>
          <w:szCs w:val="24"/>
        </w:rPr>
        <w:t>The Terms of Reference of the sub</w:t>
      </w:r>
      <w:r w:rsidR="0059650F" w:rsidRPr="0059650F">
        <w:rPr>
          <w:rFonts w:ascii="Arial" w:hAnsi="Arial" w:cs="Arial"/>
          <w:b/>
          <w:bCs/>
          <w:sz w:val="24"/>
          <w:szCs w:val="24"/>
        </w:rPr>
        <w:t>-</w:t>
      </w:r>
      <w:r w:rsidRPr="0059650F">
        <w:rPr>
          <w:rFonts w:ascii="Arial" w:hAnsi="Arial" w:cs="Arial"/>
          <w:b/>
          <w:bCs/>
          <w:sz w:val="24"/>
          <w:szCs w:val="24"/>
        </w:rPr>
        <w:t xml:space="preserve">committee are as follows: </w:t>
      </w:r>
    </w:p>
    <w:p w14:paraId="122F1306" w14:textId="64718BB3" w:rsidR="0052389E" w:rsidRPr="0052389E" w:rsidRDefault="0052389E" w:rsidP="0052389E">
      <w:pPr>
        <w:rPr>
          <w:rFonts w:ascii="Arial" w:hAnsi="Arial" w:cs="Arial"/>
          <w:sz w:val="24"/>
          <w:szCs w:val="24"/>
        </w:rPr>
      </w:pPr>
      <w:r w:rsidRPr="0052389E">
        <w:rPr>
          <w:rFonts w:ascii="Arial" w:hAnsi="Arial" w:cs="Arial"/>
          <w:sz w:val="24"/>
          <w:szCs w:val="24"/>
        </w:rPr>
        <w:t xml:space="preserve">To make recommendations to the PFPB on ESG issues having completed the following activities. </w:t>
      </w:r>
    </w:p>
    <w:p w14:paraId="623D4957" w14:textId="1EBC0909" w:rsidR="0052389E" w:rsidRPr="00766BA8" w:rsidRDefault="0052389E" w:rsidP="00766BA8">
      <w:pPr>
        <w:pStyle w:val="ListParagraph"/>
        <w:numPr>
          <w:ilvl w:val="0"/>
          <w:numId w:val="13"/>
        </w:numPr>
        <w:rPr>
          <w:rFonts w:ascii="Arial" w:hAnsi="Arial" w:cs="Arial"/>
          <w:sz w:val="24"/>
          <w:szCs w:val="24"/>
        </w:rPr>
      </w:pPr>
      <w:r w:rsidRPr="00766BA8">
        <w:rPr>
          <w:rFonts w:ascii="Arial" w:hAnsi="Arial" w:cs="Arial"/>
          <w:sz w:val="24"/>
          <w:szCs w:val="24"/>
        </w:rPr>
        <w:t xml:space="preserve">To review regularly the Pension Fund’s Responsible Investment Policy (contained in its Investment Strategy Statement), and practices relating to it, to ensure ESG issues are adequately </w:t>
      </w:r>
      <w:r w:rsidR="0059650F" w:rsidRPr="00766BA8">
        <w:rPr>
          <w:rFonts w:ascii="Arial" w:hAnsi="Arial" w:cs="Arial"/>
          <w:sz w:val="24"/>
          <w:szCs w:val="24"/>
        </w:rPr>
        <w:t>reflected</w:t>
      </w:r>
      <w:r w:rsidRPr="00766BA8">
        <w:rPr>
          <w:rFonts w:ascii="Arial" w:hAnsi="Arial" w:cs="Arial"/>
          <w:sz w:val="24"/>
          <w:szCs w:val="24"/>
        </w:rPr>
        <w:t xml:space="preserve">. </w:t>
      </w:r>
    </w:p>
    <w:p w14:paraId="4ADBB3D6" w14:textId="4EB8DA44" w:rsidR="0052389E" w:rsidRPr="00766BA8" w:rsidRDefault="0052389E" w:rsidP="00766BA8">
      <w:pPr>
        <w:pStyle w:val="ListParagraph"/>
        <w:numPr>
          <w:ilvl w:val="0"/>
          <w:numId w:val="13"/>
        </w:numPr>
        <w:rPr>
          <w:rFonts w:ascii="Arial" w:hAnsi="Arial" w:cs="Arial"/>
          <w:sz w:val="24"/>
          <w:szCs w:val="24"/>
        </w:rPr>
      </w:pPr>
      <w:r w:rsidRPr="00766BA8">
        <w:rPr>
          <w:rFonts w:ascii="Arial" w:hAnsi="Arial" w:cs="Arial"/>
          <w:sz w:val="24"/>
          <w:szCs w:val="24"/>
        </w:rPr>
        <w:t xml:space="preserve">To provide a forum for considering representations to change this Policy and/or the Pension Fund’s responsible investment practices relating to it. </w:t>
      </w:r>
    </w:p>
    <w:p w14:paraId="4F72E560" w14:textId="57EEB52B" w:rsidR="0052389E" w:rsidRPr="00766BA8" w:rsidRDefault="0052389E" w:rsidP="00766BA8">
      <w:pPr>
        <w:pStyle w:val="ListParagraph"/>
        <w:numPr>
          <w:ilvl w:val="0"/>
          <w:numId w:val="13"/>
        </w:numPr>
        <w:rPr>
          <w:rFonts w:ascii="Arial" w:hAnsi="Arial" w:cs="Arial"/>
          <w:sz w:val="24"/>
          <w:szCs w:val="24"/>
        </w:rPr>
      </w:pPr>
      <w:r w:rsidRPr="00766BA8">
        <w:rPr>
          <w:rFonts w:ascii="Arial" w:hAnsi="Arial" w:cs="Arial"/>
          <w:sz w:val="24"/>
          <w:szCs w:val="24"/>
        </w:rPr>
        <w:t xml:space="preserve">To engage in responsible stewardship with its investment managers and to provide a forum for the review and monitoring of investments in the context of the Policy. </w:t>
      </w:r>
    </w:p>
    <w:p w14:paraId="10B43AB4" w14:textId="4AD0863D" w:rsidR="0052389E" w:rsidRPr="00766BA8" w:rsidRDefault="0052389E" w:rsidP="00766BA8">
      <w:pPr>
        <w:pStyle w:val="ListParagraph"/>
        <w:numPr>
          <w:ilvl w:val="0"/>
          <w:numId w:val="13"/>
        </w:numPr>
        <w:rPr>
          <w:rFonts w:ascii="Arial" w:hAnsi="Arial" w:cs="Arial"/>
          <w:sz w:val="24"/>
          <w:szCs w:val="24"/>
        </w:rPr>
      </w:pPr>
      <w:r w:rsidRPr="00766BA8">
        <w:rPr>
          <w:rFonts w:ascii="Arial" w:hAnsi="Arial" w:cs="Arial"/>
          <w:sz w:val="24"/>
          <w:szCs w:val="24"/>
        </w:rPr>
        <w:t xml:space="preserve">To receive any relevant training on ESG issues. </w:t>
      </w:r>
    </w:p>
    <w:p w14:paraId="573DB183" w14:textId="03D2A711" w:rsidR="0052389E" w:rsidRPr="00766BA8" w:rsidRDefault="0052389E" w:rsidP="00766BA8">
      <w:pPr>
        <w:pStyle w:val="ListParagraph"/>
        <w:numPr>
          <w:ilvl w:val="0"/>
          <w:numId w:val="13"/>
        </w:numPr>
        <w:rPr>
          <w:rFonts w:ascii="Arial" w:hAnsi="Arial" w:cs="Arial"/>
          <w:sz w:val="24"/>
          <w:szCs w:val="24"/>
        </w:rPr>
      </w:pPr>
      <w:r w:rsidRPr="00766BA8">
        <w:rPr>
          <w:rFonts w:ascii="Arial" w:hAnsi="Arial" w:cs="Arial"/>
          <w:sz w:val="24"/>
          <w:szCs w:val="24"/>
        </w:rPr>
        <w:t>To review investment managers’ company engagement and voting decisions and when necessary</w:t>
      </w:r>
      <w:r w:rsidR="0091399E">
        <w:rPr>
          <w:rFonts w:ascii="Arial" w:hAnsi="Arial" w:cs="Arial"/>
          <w:sz w:val="24"/>
          <w:szCs w:val="24"/>
        </w:rPr>
        <w:t>,</w:t>
      </w:r>
      <w:r w:rsidRPr="00766BA8">
        <w:rPr>
          <w:rFonts w:ascii="Arial" w:hAnsi="Arial" w:cs="Arial"/>
          <w:sz w:val="24"/>
          <w:szCs w:val="24"/>
        </w:rPr>
        <w:t xml:space="preserve"> engage directly and indirectly with investment managers (where possible directly with companies the Pension Fund is invested in) to make representations concerning ESG as appropriate. </w:t>
      </w:r>
    </w:p>
    <w:p w14:paraId="2A77F335" w14:textId="3BC62E90" w:rsidR="0052389E" w:rsidRPr="00766BA8" w:rsidRDefault="0052389E" w:rsidP="00766BA8">
      <w:pPr>
        <w:pStyle w:val="ListParagraph"/>
        <w:numPr>
          <w:ilvl w:val="0"/>
          <w:numId w:val="13"/>
        </w:numPr>
        <w:rPr>
          <w:rFonts w:ascii="Arial" w:hAnsi="Arial" w:cs="Arial"/>
          <w:sz w:val="24"/>
          <w:szCs w:val="24"/>
        </w:rPr>
      </w:pPr>
      <w:r w:rsidRPr="00766BA8">
        <w:rPr>
          <w:rFonts w:ascii="Arial" w:hAnsi="Arial" w:cs="Arial"/>
          <w:sz w:val="24"/>
          <w:szCs w:val="24"/>
        </w:rPr>
        <w:t xml:space="preserve">To engage directly and indirectly with scheme members and employers to hear representations concerning ESG as appropriate. </w:t>
      </w:r>
    </w:p>
    <w:p w14:paraId="51648290" w14:textId="18839C8C" w:rsidR="0052389E" w:rsidRPr="00766BA8" w:rsidRDefault="0052389E" w:rsidP="00766BA8">
      <w:pPr>
        <w:pStyle w:val="ListParagraph"/>
        <w:numPr>
          <w:ilvl w:val="0"/>
          <w:numId w:val="13"/>
        </w:numPr>
        <w:rPr>
          <w:rFonts w:ascii="Arial" w:hAnsi="Arial" w:cs="Arial"/>
          <w:sz w:val="24"/>
          <w:szCs w:val="24"/>
        </w:rPr>
      </w:pPr>
      <w:r w:rsidRPr="00766BA8">
        <w:rPr>
          <w:rFonts w:ascii="Arial" w:hAnsi="Arial" w:cs="Arial"/>
          <w:sz w:val="24"/>
          <w:szCs w:val="24"/>
        </w:rPr>
        <w:t>To report annually on the Pension Fund's Responsible Investment activities to demonstrate progress to the Pension Fund's stakeholders.</w:t>
      </w:r>
    </w:p>
    <w:p w14:paraId="42C3C713" w14:textId="358A58A0" w:rsidR="0052389E" w:rsidRPr="00A81C15" w:rsidRDefault="00766BA8" w:rsidP="0052389E">
      <w:pPr>
        <w:rPr>
          <w:rFonts w:asciiTheme="majorHAnsi" w:hAnsiTheme="majorHAnsi" w:cs="Arial"/>
          <w:color w:val="0F4761" w:themeColor="accent1" w:themeShade="BF"/>
          <w:sz w:val="28"/>
          <w:szCs w:val="28"/>
        </w:rPr>
      </w:pPr>
      <w:r w:rsidRPr="00A81C15">
        <w:rPr>
          <w:rFonts w:asciiTheme="majorHAnsi" w:hAnsiTheme="majorHAnsi" w:cs="Arial"/>
          <w:color w:val="0F4761" w:themeColor="accent1" w:themeShade="BF"/>
          <w:sz w:val="28"/>
          <w:szCs w:val="28"/>
        </w:rPr>
        <w:t>Conflicts</w:t>
      </w:r>
      <w:r w:rsidR="0052389E" w:rsidRPr="00A81C15">
        <w:rPr>
          <w:rFonts w:asciiTheme="majorHAnsi" w:hAnsiTheme="majorHAnsi" w:cs="Arial"/>
          <w:color w:val="0F4761" w:themeColor="accent1" w:themeShade="BF"/>
          <w:sz w:val="28"/>
          <w:szCs w:val="28"/>
        </w:rPr>
        <w:t xml:space="preserve"> of interest </w:t>
      </w:r>
    </w:p>
    <w:p w14:paraId="35BB57EC" w14:textId="2700C3D9" w:rsidR="0052389E" w:rsidRPr="0052389E" w:rsidRDefault="00766BA8" w:rsidP="0052389E">
      <w:pPr>
        <w:rPr>
          <w:rFonts w:ascii="Arial" w:hAnsi="Arial" w:cs="Arial"/>
          <w:sz w:val="24"/>
          <w:szCs w:val="24"/>
        </w:rPr>
      </w:pPr>
      <w:r w:rsidRPr="0052389E">
        <w:rPr>
          <w:rFonts w:ascii="Arial" w:hAnsi="Arial" w:cs="Arial"/>
          <w:sz w:val="24"/>
          <w:szCs w:val="24"/>
        </w:rPr>
        <w:t>Conflicts</w:t>
      </w:r>
      <w:r w:rsidR="0052389E" w:rsidRPr="0052389E">
        <w:rPr>
          <w:rFonts w:ascii="Arial" w:hAnsi="Arial" w:cs="Arial"/>
          <w:sz w:val="24"/>
          <w:szCs w:val="24"/>
        </w:rPr>
        <w:t xml:space="preserve"> of interest in relation to responsible investment and stewardship could arise when the ability to represent the interests of the Fund as a shareholder is hindered by other interests. These can arise within the Fund or within external service providers. </w:t>
      </w:r>
    </w:p>
    <w:p w14:paraId="04C5A783" w14:textId="3A6161EB" w:rsidR="0052389E" w:rsidRPr="0052389E" w:rsidRDefault="0052389E" w:rsidP="0052389E">
      <w:pPr>
        <w:rPr>
          <w:rFonts w:ascii="Arial" w:hAnsi="Arial" w:cs="Arial"/>
          <w:sz w:val="24"/>
          <w:szCs w:val="24"/>
        </w:rPr>
      </w:pPr>
      <w:r w:rsidRPr="0052389E">
        <w:rPr>
          <w:rFonts w:ascii="Arial" w:hAnsi="Arial" w:cs="Arial"/>
          <w:sz w:val="24"/>
          <w:szCs w:val="24"/>
        </w:rPr>
        <w:t xml:space="preserve">The Pension Fund expects investment managers it employs to have </w:t>
      </w:r>
      <w:r w:rsidR="00766BA8" w:rsidRPr="0052389E">
        <w:rPr>
          <w:rFonts w:ascii="Arial" w:hAnsi="Arial" w:cs="Arial"/>
          <w:sz w:val="24"/>
          <w:szCs w:val="24"/>
        </w:rPr>
        <w:t>effective</w:t>
      </w:r>
      <w:r w:rsidRPr="0052389E">
        <w:rPr>
          <w:rFonts w:ascii="Arial" w:hAnsi="Arial" w:cs="Arial"/>
          <w:sz w:val="24"/>
          <w:szCs w:val="24"/>
        </w:rPr>
        <w:t xml:space="preserve"> policies addressing potential </w:t>
      </w:r>
      <w:r w:rsidR="00766BA8" w:rsidRPr="0052389E">
        <w:rPr>
          <w:rFonts w:ascii="Arial" w:hAnsi="Arial" w:cs="Arial"/>
          <w:sz w:val="24"/>
          <w:szCs w:val="24"/>
        </w:rPr>
        <w:t>conflicts</w:t>
      </w:r>
      <w:r w:rsidRPr="0052389E">
        <w:rPr>
          <w:rFonts w:ascii="Arial" w:hAnsi="Arial" w:cs="Arial"/>
          <w:sz w:val="24"/>
          <w:szCs w:val="24"/>
        </w:rPr>
        <w:t xml:space="preserve"> of interest, and that these are all publicly available on their respective websites. These are discussed prior to the appointment of a manager and reviewed as part of the standard manager monitoring process. </w:t>
      </w:r>
    </w:p>
    <w:p w14:paraId="140B836F" w14:textId="64E2C895" w:rsidR="004A0EA2" w:rsidRDefault="0052389E" w:rsidP="00776FCF">
      <w:pPr>
        <w:rPr>
          <w:rFonts w:ascii="Arial" w:hAnsi="Arial" w:cs="Arial"/>
          <w:sz w:val="24"/>
          <w:szCs w:val="24"/>
        </w:rPr>
      </w:pPr>
      <w:r w:rsidRPr="0052389E">
        <w:rPr>
          <w:rFonts w:ascii="Arial" w:hAnsi="Arial" w:cs="Arial"/>
          <w:sz w:val="24"/>
          <w:szCs w:val="24"/>
        </w:rPr>
        <w:t xml:space="preserve">In respect of </w:t>
      </w:r>
      <w:r w:rsidR="00766BA8" w:rsidRPr="0052389E">
        <w:rPr>
          <w:rFonts w:ascii="Arial" w:hAnsi="Arial" w:cs="Arial"/>
          <w:sz w:val="24"/>
          <w:szCs w:val="24"/>
        </w:rPr>
        <w:t>conflicts</w:t>
      </w:r>
      <w:r w:rsidRPr="0052389E">
        <w:rPr>
          <w:rFonts w:ascii="Arial" w:hAnsi="Arial" w:cs="Arial"/>
          <w:sz w:val="24"/>
          <w:szCs w:val="24"/>
        </w:rPr>
        <w:t xml:space="preserve"> of interest within the Fund, PFPB members are required to make declarations of interest prior to meetings which are documented in the minutes of each meeting and available on the County Council’s we</w:t>
      </w:r>
      <w:r w:rsidRPr="006132CC">
        <w:rPr>
          <w:rFonts w:ascii="Arial" w:hAnsi="Arial" w:cs="Arial"/>
          <w:sz w:val="24"/>
          <w:szCs w:val="24"/>
        </w:rPr>
        <w:t xml:space="preserve">bsite at </w:t>
      </w:r>
      <w:hyperlink r:id="rId27" w:history="1">
        <w:r w:rsidR="006132CC" w:rsidRPr="006132CC">
          <w:rPr>
            <w:rStyle w:val="Hyperlink"/>
            <w:rFonts w:ascii="Arial" w:hAnsi="Arial" w:cs="Arial"/>
            <w:b/>
            <w:bCs/>
            <w:sz w:val="24"/>
            <w:szCs w:val="24"/>
          </w:rPr>
          <w:t>https://www.hants.gov.uk/</w:t>
        </w:r>
      </w:hyperlink>
      <w:r w:rsidRPr="006132CC">
        <w:rPr>
          <w:rFonts w:ascii="Arial" w:hAnsi="Arial" w:cs="Arial"/>
          <w:sz w:val="24"/>
          <w:szCs w:val="24"/>
        </w:rPr>
        <w:t>.</w:t>
      </w:r>
      <w:r w:rsidRPr="0052389E">
        <w:rPr>
          <w:rFonts w:ascii="Arial" w:hAnsi="Arial" w:cs="Arial"/>
          <w:sz w:val="24"/>
          <w:szCs w:val="24"/>
        </w:rPr>
        <w:t xml:space="preserve"> Hampshire County Council, as the Administering Authority of the Hampshire Pension Fund, requires all members of the P</w:t>
      </w:r>
      <w:r w:rsidR="00B67DB4">
        <w:rPr>
          <w:rFonts w:ascii="Arial" w:hAnsi="Arial" w:cs="Arial"/>
          <w:sz w:val="24"/>
          <w:szCs w:val="24"/>
        </w:rPr>
        <w:t>FPB</w:t>
      </w:r>
      <w:r w:rsidRPr="0052389E">
        <w:rPr>
          <w:rFonts w:ascii="Arial" w:hAnsi="Arial" w:cs="Arial"/>
          <w:sz w:val="24"/>
          <w:szCs w:val="24"/>
        </w:rPr>
        <w:t xml:space="preserve"> and </w:t>
      </w:r>
      <w:r w:rsidR="00766BA8" w:rsidRPr="0052389E">
        <w:rPr>
          <w:rFonts w:ascii="Arial" w:hAnsi="Arial" w:cs="Arial"/>
          <w:sz w:val="24"/>
          <w:szCs w:val="24"/>
        </w:rPr>
        <w:t>officers</w:t>
      </w:r>
      <w:r w:rsidRPr="0052389E">
        <w:rPr>
          <w:rFonts w:ascii="Arial" w:hAnsi="Arial" w:cs="Arial"/>
          <w:sz w:val="24"/>
          <w:szCs w:val="24"/>
        </w:rPr>
        <w:t xml:space="preserve"> to declare any pecuniary or other registerable interests, including any that may </w:t>
      </w:r>
      <w:r w:rsidR="00766BA8" w:rsidRPr="0052389E">
        <w:rPr>
          <w:rFonts w:ascii="Arial" w:hAnsi="Arial" w:cs="Arial"/>
          <w:sz w:val="24"/>
          <w:szCs w:val="24"/>
        </w:rPr>
        <w:t>affect</w:t>
      </w:r>
      <w:r w:rsidR="00601F4C">
        <w:rPr>
          <w:rFonts w:ascii="Arial" w:hAnsi="Arial" w:cs="Arial"/>
          <w:sz w:val="24"/>
          <w:szCs w:val="24"/>
        </w:rPr>
        <w:t xml:space="preserve"> </w:t>
      </w:r>
      <w:r w:rsidRPr="0052389E">
        <w:rPr>
          <w:rFonts w:ascii="Arial" w:hAnsi="Arial" w:cs="Arial"/>
          <w:sz w:val="24"/>
          <w:szCs w:val="24"/>
        </w:rPr>
        <w:t>stewardship of the Fund’s investments. Details of the declared interests of County Council members are maintained and monitored on a Register of Member Interests. These are published on the County Council’s website under each member’s name and updated on a regular basis.</w:t>
      </w:r>
    </w:p>
    <w:p w14:paraId="1FF72B70" w14:textId="0E074D90" w:rsidR="0052389E" w:rsidRPr="00B67B1A" w:rsidRDefault="009C5DB3" w:rsidP="004A0EA2">
      <w:pPr>
        <w:pStyle w:val="Heading2"/>
        <w:spacing w:before="320"/>
        <w:rPr>
          <w:color w:val="0F4761" w:themeColor="accent1" w:themeShade="BF"/>
          <w:sz w:val="32"/>
          <w:szCs w:val="32"/>
        </w:rPr>
      </w:pPr>
      <w:bookmarkStart w:id="15" w:name="_Toc224113549"/>
      <w:r>
        <w:rPr>
          <w:color w:val="0F4761" w:themeColor="accent1" w:themeShade="BF"/>
          <w:sz w:val="32"/>
          <w:szCs w:val="32"/>
        </w:rPr>
        <w:t>6</w:t>
      </w:r>
      <w:r w:rsidR="0052389E" w:rsidRPr="00B67B1A">
        <w:rPr>
          <w:color w:val="0F4761" w:themeColor="accent1" w:themeShade="BF"/>
          <w:sz w:val="32"/>
          <w:szCs w:val="32"/>
        </w:rPr>
        <w:t>. Exercise of rights attaching to investments</w:t>
      </w:r>
      <w:bookmarkEnd w:id="15"/>
      <w:r w:rsidR="0052389E" w:rsidRPr="00B67B1A">
        <w:rPr>
          <w:color w:val="0F4761" w:themeColor="accent1" w:themeShade="BF"/>
          <w:sz w:val="32"/>
          <w:szCs w:val="32"/>
        </w:rPr>
        <w:t xml:space="preserve"> </w:t>
      </w:r>
    </w:p>
    <w:p w14:paraId="13104F0E" w14:textId="4F28267E" w:rsidR="0052389E" w:rsidRPr="0052389E" w:rsidRDefault="0052389E" w:rsidP="0052389E">
      <w:pPr>
        <w:rPr>
          <w:rFonts w:ascii="Arial" w:hAnsi="Arial" w:cs="Arial"/>
          <w:sz w:val="24"/>
          <w:szCs w:val="24"/>
        </w:rPr>
      </w:pPr>
      <w:r w:rsidRPr="0052389E">
        <w:rPr>
          <w:rFonts w:ascii="Arial" w:hAnsi="Arial" w:cs="Arial"/>
          <w:sz w:val="24"/>
          <w:szCs w:val="24"/>
        </w:rPr>
        <w:t xml:space="preserve">Each of the Pension Fund’s investment managers is asked to work in a consistent and transparent manner with companies they are invested in to ensure they achieve the best possible outcomes for the Pension Fund, including forward-looking ESG standards. This includes requiring investment managers to exercise the Fund’s responsibility to vote on company resolutions wherever possible. </w:t>
      </w:r>
    </w:p>
    <w:p w14:paraId="69328E25" w14:textId="57EE62D5" w:rsidR="0052389E" w:rsidRDefault="0052389E" w:rsidP="0052389E">
      <w:pPr>
        <w:rPr>
          <w:rFonts w:ascii="Arial" w:hAnsi="Arial" w:cs="Arial"/>
          <w:sz w:val="24"/>
          <w:szCs w:val="24"/>
        </w:rPr>
      </w:pPr>
      <w:r w:rsidRPr="0052389E">
        <w:rPr>
          <w:rFonts w:ascii="Arial" w:hAnsi="Arial" w:cs="Arial"/>
          <w:sz w:val="24"/>
          <w:szCs w:val="24"/>
        </w:rPr>
        <w:t xml:space="preserve">The Fund believes that if companies comply with the principles of the UK Corporate Governance Code published by the Financial Reporting Council, this can be an important factor in helping them succeed; but the Fund also accepts the need for a </w:t>
      </w:r>
      <w:r w:rsidR="00766BA8" w:rsidRPr="0052389E">
        <w:rPr>
          <w:rFonts w:ascii="Arial" w:hAnsi="Arial" w:cs="Arial"/>
          <w:sz w:val="24"/>
          <w:szCs w:val="24"/>
        </w:rPr>
        <w:t>flexible</w:t>
      </w:r>
      <w:r w:rsidRPr="0052389E">
        <w:rPr>
          <w:rFonts w:ascii="Arial" w:hAnsi="Arial" w:cs="Arial"/>
          <w:sz w:val="24"/>
          <w:szCs w:val="24"/>
        </w:rPr>
        <w:t xml:space="preserve"> approach that is in the common long-term interests of stakeholders including shareholders, company employees and consumers. The Fund’s investment managers should cast their votes with this in mind.</w:t>
      </w:r>
    </w:p>
    <w:p w14:paraId="643BB3C0" w14:textId="5202D2F7" w:rsidR="0052389E" w:rsidRPr="00766BA8" w:rsidRDefault="0052389E" w:rsidP="0052389E">
      <w:pPr>
        <w:rPr>
          <w:rFonts w:ascii="Arial" w:hAnsi="Arial" w:cs="Arial"/>
          <w:b/>
          <w:bCs/>
          <w:sz w:val="24"/>
          <w:szCs w:val="24"/>
        </w:rPr>
      </w:pPr>
      <w:r w:rsidRPr="00766BA8">
        <w:rPr>
          <w:rFonts w:ascii="Arial" w:hAnsi="Arial" w:cs="Arial"/>
          <w:b/>
          <w:bCs/>
          <w:sz w:val="24"/>
          <w:szCs w:val="24"/>
        </w:rPr>
        <w:t xml:space="preserve">In particular, the Fund’s investment managers should cast their votes to ensure that: </w:t>
      </w:r>
    </w:p>
    <w:p w14:paraId="7E57ED2E" w14:textId="554AE3BE" w:rsidR="0052389E" w:rsidRPr="009D43F0" w:rsidRDefault="0052389E" w:rsidP="009D43F0">
      <w:pPr>
        <w:pStyle w:val="ListParagraph"/>
        <w:numPr>
          <w:ilvl w:val="0"/>
          <w:numId w:val="2"/>
        </w:numPr>
        <w:rPr>
          <w:rFonts w:ascii="Arial" w:hAnsi="Arial" w:cs="Arial"/>
          <w:sz w:val="24"/>
          <w:szCs w:val="24"/>
        </w:rPr>
      </w:pPr>
      <w:r w:rsidRPr="009D43F0">
        <w:rPr>
          <w:rFonts w:ascii="Arial" w:hAnsi="Arial" w:cs="Arial"/>
          <w:sz w:val="24"/>
          <w:szCs w:val="24"/>
        </w:rPr>
        <w:t xml:space="preserve">executive directors are subject to re-election at least annually; </w:t>
      </w:r>
    </w:p>
    <w:p w14:paraId="6CEA9AB7" w14:textId="4E5CEA3C" w:rsidR="0052389E" w:rsidRPr="009D43F0" w:rsidRDefault="0052389E" w:rsidP="009D43F0">
      <w:pPr>
        <w:pStyle w:val="ListParagraph"/>
        <w:numPr>
          <w:ilvl w:val="0"/>
          <w:numId w:val="2"/>
        </w:numPr>
        <w:rPr>
          <w:rFonts w:ascii="Arial" w:hAnsi="Arial" w:cs="Arial"/>
          <w:sz w:val="24"/>
          <w:szCs w:val="24"/>
        </w:rPr>
      </w:pPr>
      <w:r w:rsidRPr="009D43F0">
        <w:rPr>
          <w:rFonts w:ascii="Arial" w:hAnsi="Arial" w:cs="Arial"/>
          <w:sz w:val="24"/>
          <w:szCs w:val="24"/>
        </w:rPr>
        <w:t xml:space="preserve">executive directors’ salaries are set by a remuneration committee consisting of </w:t>
      </w:r>
      <w:proofErr w:type="gramStart"/>
      <w:r w:rsidRPr="009D43F0">
        <w:rPr>
          <w:rFonts w:ascii="Arial" w:hAnsi="Arial" w:cs="Arial"/>
          <w:sz w:val="24"/>
          <w:szCs w:val="24"/>
        </w:rPr>
        <w:t>a majority of</w:t>
      </w:r>
      <w:proofErr w:type="gramEnd"/>
      <w:r w:rsidR="006132CC">
        <w:rPr>
          <w:rFonts w:ascii="Arial" w:hAnsi="Arial" w:cs="Arial"/>
          <w:sz w:val="24"/>
          <w:szCs w:val="24"/>
        </w:rPr>
        <w:t xml:space="preserve"> </w:t>
      </w:r>
      <w:r w:rsidRPr="009D43F0">
        <w:rPr>
          <w:rFonts w:ascii="Arial" w:hAnsi="Arial" w:cs="Arial"/>
          <w:sz w:val="24"/>
          <w:szCs w:val="24"/>
        </w:rPr>
        <w:t xml:space="preserve">independent non-executive directors, who should make independent reports to shareholders; </w:t>
      </w:r>
    </w:p>
    <w:p w14:paraId="3568BDDA" w14:textId="5F0BE04C" w:rsidR="0052389E" w:rsidRPr="009D43F0" w:rsidRDefault="0052389E" w:rsidP="009D43F0">
      <w:pPr>
        <w:pStyle w:val="ListParagraph"/>
        <w:numPr>
          <w:ilvl w:val="0"/>
          <w:numId w:val="2"/>
        </w:numPr>
        <w:rPr>
          <w:rFonts w:ascii="Arial" w:hAnsi="Arial" w:cs="Arial"/>
          <w:sz w:val="24"/>
          <w:szCs w:val="24"/>
        </w:rPr>
      </w:pPr>
      <w:r w:rsidRPr="009D43F0">
        <w:rPr>
          <w:rFonts w:ascii="Arial" w:hAnsi="Arial" w:cs="Arial"/>
          <w:sz w:val="24"/>
          <w:szCs w:val="24"/>
        </w:rPr>
        <w:t>arrangements for external audit are under the control of an audit committee consisting of a majority of independent non-executive directors, with clear terms of reference</w:t>
      </w:r>
      <w:r w:rsidR="000F2D6D">
        <w:rPr>
          <w:rFonts w:ascii="Arial" w:hAnsi="Arial" w:cs="Arial"/>
          <w:sz w:val="24"/>
          <w:szCs w:val="24"/>
        </w:rPr>
        <w:t>;</w:t>
      </w:r>
      <w:r w:rsidRPr="009D43F0">
        <w:rPr>
          <w:rFonts w:ascii="Arial" w:hAnsi="Arial" w:cs="Arial"/>
          <w:sz w:val="24"/>
          <w:szCs w:val="24"/>
        </w:rPr>
        <w:t xml:space="preserve"> these should include a duty to ensure investment managers closely control the level of non-audit work given to auditors, and should not </w:t>
      </w:r>
      <w:r w:rsidR="009D43F0" w:rsidRPr="009D43F0">
        <w:rPr>
          <w:rFonts w:ascii="Arial" w:hAnsi="Arial" w:cs="Arial"/>
          <w:sz w:val="24"/>
          <w:szCs w:val="24"/>
        </w:rPr>
        <w:t>significantly</w:t>
      </w:r>
      <w:r w:rsidRPr="009D43F0">
        <w:rPr>
          <w:rFonts w:ascii="Arial" w:hAnsi="Arial" w:cs="Arial"/>
          <w:sz w:val="24"/>
          <w:szCs w:val="24"/>
        </w:rPr>
        <w:t xml:space="preserve"> exceed their audit-related fee unless there are, in any investment manager’s opinion, special circumstances to justify it; </w:t>
      </w:r>
    </w:p>
    <w:p w14:paraId="4931B6E5" w14:textId="74773CCF" w:rsidR="0052389E" w:rsidRPr="009D43F0" w:rsidRDefault="0052389E" w:rsidP="009D43F0">
      <w:pPr>
        <w:pStyle w:val="ListParagraph"/>
        <w:numPr>
          <w:ilvl w:val="0"/>
          <w:numId w:val="2"/>
        </w:numPr>
        <w:rPr>
          <w:rFonts w:ascii="Arial" w:hAnsi="Arial" w:cs="Arial"/>
          <w:sz w:val="24"/>
          <w:szCs w:val="24"/>
        </w:rPr>
      </w:pPr>
      <w:r w:rsidRPr="009D43F0">
        <w:rPr>
          <w:rFonts w:ascii="Arial" w:hAnsi="Arial" w:cs="Arial"/>
          <w:sz w:val="24"/>
          <w:szCs w:val="24"/>
        </w:rPr>
        <w:t xml:space="preserve">in the investment managers’ opinion, no embarrassment is caused to the Fund in relation to its </w:t>
      </w:r>
      <w:r w:rsidR="009D43F0" w:rsidRPr="009D43F0">
        <w:rPr>
          <w:rFonts w:ascii="Arial" w:hAnsi="Arial" w:cs="Arial"/>
          <w:sz w:val="24"/>
          <w:szCs w:val="24"/>
        </w:rPr>
        <w:t>beneficiaries</w:t>
      </w:r>
      <w:r w:rsidRPr="009D43F0">
        <w:rPr>
          <w:rFonts w:ascii="Arial" w:hAnsi="Arial" w:cs="Arial"/>
          <w:sz w:val="24"/>
          <w:szCs w:val="24"/>
        </w:rPr>
        <w:t xml:space="preserve">, Hampshire residents, or the general principles of the UK Corporate Governance Code. </w:t>
      </w:r>
    </w:p>
    <w:p w14:paraId="174254AD" w14:textId="2448C811" w:rsidR="0052389E" w:rsidRPr="0052389E" w:rsidRDefault="0052389E" w:rsidP="0052389E">
      <w:pPr>
        <w:rPr>
          <w:rFonts w:ascii="Arial" w:hAnsi="Arial" w:cs="Arial"/>
          <w:sz w:val="24"/>
          <w:szCs w:val="24"/>
        </w:rPr>
      </w:pPr>
      <w:r w:rsidRPr="0052389E">
        <w:rPr>
          <w:rFonts w:ascii="Arial" w:hAnsi="Arial" w:cs="Arial"/>
          <w:sz w:val="24"/>
          <w:szCs w:val="24"/>
        </w:rPr>
        <w:t xml:space="preserve">The Pension Fund’s equities are available for Stock Lending, via the programme agreed as part of the ACCESS pool. The programme includes the provision for investment managers to recall stocks from the lending programme, should this be necessary voting at company meetings. </w:t>
      </w:r>
    </w:p>
    <w:p w14:paraId="66B73E52" w14:textId="67E5A0BE" w:rsidR="0052389E" w:rsidRPr="00B67B1A" w:rsidRDefault="009C5DB3" w:rsidP="00B67B1A">
      <w:pPr>
        <w:pStyle w:val="Heading2"/>
        <w:spacing w:before="320"/>
        <w:rPr>
          <w:color w:val="0F4761" w:themeColor="accent1" w:themeShade="BF"/>
          <w:sz w:val="32"/>
          <w:szCs w:val="32"/>
        </w:rPr>
      </w:pPr>
      <w:bookmarkStart w:id="16" w:name="_Toc224113550"/>
      <w:r>
        <w:rPr>
          <w:color w:val="0F4761" w:themeColor="accent1" w:themeShade="BF"/>
          <w:sz w:val="32"/>
          <w:szCs w:val="32"/>
        </w:rPr>
        <w:t>7</w:t>
      </w:r>
      <w:r w:rsidR="0052389E" w:rsidRPr="00B67B1A">
        <w:rPr>
          <w:color w:val="0F4761" w:themeColor="accent1" w:themeShade="BF"/>
          <w:sz w:val="32"/>
          <w:szCs w:val="32"/>
        </w:rPr>
        <w:t>. Monitoring, reporting and next steps</w:t>
      </w:r>
      <w:bookmarkEnd w:id="16"/>
      <w:r w:rsidR="0052389E" w:rsidRPr="00B67B1A">
        <w:rPr>
          <w:color w:val="0F4761" w:themeColor="accent1" w:themeShade="BF"/>
          <w:sz w:val="32"/>
          <w:szCs w:val="32"/>
        </w:rPr>
        <w:t xml:space="preserve"> </w:t>
      </w:r>
    </w:p>
    <w:p w14:paraId="1EDEC8F3" w14:textId="77777777" w:rsidR="0052389E" w:rsidRPr="00A81C15" w:rsidRDefault="0052389E" w:rsidP="0052389E">
      <w:pPr>
        <w:rPr>
          <w:rFonts w:asciiTheme="majorHAnsi" w:hAnsiTheme="majorHAnsi" w:cs="Arial"/>
          <w:color w:val="0F4761" w:themeColor="accent1" w:themeShade="BF"/>
          <w:sz w:val="28"/>
          <w:szCs w:val="28"/>
        </w:rPr>
      </w:pPr>
      <w:r w:rsidRPr="00A81C15">
        <w:rPr>
          <w:rFonts w:asciiTheme="majorHAnsi" w:hAnsiTheme="majorHAnsi" w:cs="Arial"/>
          <w:color w:val="0F4761" w:themeColor="accent1" w:themeShade="BF"/>
          <w:sz w:val="28"/>
          <w:szCs w:val="28"/>
        </w:rPr>
        <w:t xml:space="preserve">Reporting </w:t>
      </w:r>
    </w:p>
    <w:p w14:paraId="597879F2" w14:textId="193C1174" w:rsidR="0052389E" w:rsidRPr="0052389E" w:rsidRDefault="0052389E" w:rsidP="0052389E">
      <w:pPr>
        <w:rPr>
          <w:rFonts w:ascii="Arial" w:hAnsi="Arial" w:cs="Arial"/>
          <w:sz w:val="24"/>
          <w:szCs w:val="24"/>
        </w:rPr>
      </w:pPr>
      <w:r w:rsidRPr="0052389E">
        <w:rPr>
          <w:rFonts w:ascii="Arial" w:hAnsi="Arial" w:cs="Arial"/>
          <w:sz w:val="24"/>
          <w:szCs w:val="24"/>
        </w:rPr>
        <w:t xml:space="preserve">Scheme members were consulted on the original version of this RI policy in 2019. Any comments on ESG issues are reported to the RI sub-committee as a standing item at each meeting. </w:t>
      </w:r>
    </w:p>
    <w:p w14:paraId="13BC5E92" w14:textId="2BFCB254" w:rsidR="0052389E" w:rsidRPr="0052389E" w:rsidRDefault="0052389E" w:rsidP="0052389E">
      <w:pPr>
        <w:rPr>
          <w:rFonts w:ascii="Arial" w:hAnsi="Arial" w:cs="Arial"/>
          <w:sz w:val="24"/>
          <w:szCs w:val="24"/>
        </w:rPr>
      </w:pPr>
      <w:r w:rsidRPr="0052389E">
        <w:rPr>
          <w:rFonts w:ascii="Arial" w:hAnsi="Arial" w:cs="Arial"/>
          <w:sz w:val="24"/>
          <w:szCs w:val="24"/>
        </w:rPr>
        <w:t xml:space="preserve">The Pension Fund’s investment managers (both active and passive) are required to report to the Pension Fund on their engagement with company management and voting recording, highlighting any instances that they voted against company management or did not follow these guidelines. </w:t>
      </w:r>
    </w:p>
    <w:p w14:paraId="19240B9B" w14:textId="2A25CC08" w:rsidR="0052389E" w:rsidRDefault="0052389E" w:rsidP="0052389E">
      <w:pPr>
        <w:rPr>
          <w:rFonts w:ascii="Arial" w:hAnsi="Arial" w:cs="Arial"/>
          <w:sz w:val="24"/>
          <w:szCs w:val="24"/>
        </w:rPr>
      </w:pPr>
      <w:r w:rsidRPr="0052389E">
        <w:rPr>
          <w:rFonts w:ascii="Arial" w:hAnsi="Arial" w:cs="Arial"/>
          <w:sz w:val="24"/>
          <w:szCs w:val="24"/>
        </w:rPr>
        <w:t xml:space="preserve">The reports of the investment managers on their consideration of ESG factors, their company engagement and collective engagement and shareholder voting will be viewed by the Pension Fund’s </w:t>
      </w:r>
      <w:r w:rsidR="00941FC3" w:rsidRPr="0052389E">
        <w:rPr>
          <w:rFonts w:ascii="Arial" w:hAnsi="Arial" w:cs="Arial"/>
          <w:sz w:val="24"/>
          <w:szCs w:val="24"/>
        </w:rPr>
        <w:t>officers</w:t>
      </w:r>
      <w:r w:rsidRPr="0052389E">
        <w:rPr>
          <w:rFonts w:ascii="Arial" w:hAnsi="Arial" w:cs="Arial"/>
          <w:sz w:val="24"/>
          <w:szCs w:val="24"/>
        </w:rPr>
        <w:t>, the Responsible Investment Sub-Committee and Pension Fund Panel and Board.</w:t>
      </w:r>
    </w:p>
    <w:p w14:paraId="584572BC" w14:textId="52B41161" w:rsidR="0052389E" w:rsidRPr="00941FC3" w:rsidRDefault="0052389E" w:rsidP="0052389E">
      <w:pPr>
        <w:rPr>
          <w:rFonts w:ascii="Arial" w:hAnsi="Arial" w:cs="Arial"/>
          <w:b/>
          <w:bCs/>
          <w:sz w:val="24"/>
          <w:szCs w:val="24"/>
        </w:rPr>
      </w:pPr>
      <w:r w:rsidRPr="00941FC3">
        <w:rPr>
          <w:rFonts w:ascii="Arial" w:hAnsi="Arial" w:cs="Arial"/>
          <w:b/>
          <w:bCs/>
          <w:sz w:val="24"/>
          <w:szCs w:val="24"/>
        </w:rPr>
        <w:t xml:space="preserve">The following table shows how the Pension Fund sets its policy and reviews its progress including complying with the various standards it has adopted. </w:t>
      </w:r>
    </w:p>
    <w:p w14:paraId="18D04E96" w14:textId="77777777" w:rsidR="00CA4AD5" w:rsidRDefault="00CA4AD5" w:rsidP="0052389E">
      <w:pPr>
        <w:rPr>
          <w:rFonts w:ascii="Arial" w:hAnsi="Arial" w:cs="Arial"/>
          <w:b/>
          <w:bCs/>
          <w:color w:val="FFFFFF" w:themeColor="background1"/>
          <w:sz w:val="24"/>
          <w:szCs w:val="24"/>
        </w:rPr>
        <w:sectPr w:rsidR="00CA4AD5" w:rsidSect="005D460F">
          <w:type w:val="continuous"/>
          <w:pgSz w:w="15840" w:h="12240" w:orient="landscape"/>
          <w:pgMar w:top="1440" w:right="1440" w:bottom="1440" w:left="1440" w:header="720" w:footer="720" w:gutter="0"/>
          <w:cols w:num="2" w:space="720"/>
          <w:docGrid w:linePitch="360"/>
        </w:sectPr>
      </w:pPr>
    </w:p>
    <w:tbl>
      <w:tblPr>
        <w:tblStyle w:val="GridTable5Dark-Accent1"/>
        <w:tblW w:w="0" w:type="auto"/>
        <w:tblLook w:val="0420" w:firstRow="1" w:lastRow="0" w:firstColumn="0" w:lastColumn="0" w:noHBand="0" w:noVBand="1"/>
      </w:tblPr>
      <w:tblGrid>
        <w:gridCol w:w="4859"/>
        <w:gridCol w:w="2366"/>
        <w:gridCol w:w="5725"/>
      </w:tblGrid>
      <w:tr w:rsidR="00744808" w14:paraId="536FA915" w14:textId="77777777" w:rsidTr="00D15194">
        <w:trPr>
          <w:cnfStyle w:val="100000000000" w:firstRow="1" w:lastRow="0" w:firstColumn="0" w:lastColumn="0" w:oddVBand="0" w:evenVBand="0" w:oddHBand="0" w:evenHBand="0" w:firstRowFirstColumn="0" w:firstRowLastColumn="0" w:lastRowFirstColumn="0" w:lastRowLastColumn="0"/>
        </w:trPr>
        <w:tc>
          <w:tcPr>
            <w:tcW w:w="4859" w:type="dxa"/>
          </w:tcPr>
          <w:p w14:paraId="32DDB994" w14:textId="77777777" w:rsidR="00941FC3" w:rsidRDefault="00941FC3" w:rsidP="0052389E">
            <w:pPr>
              <w:rPr>
                <w:rFonts w:ascii="Arial" w:hAnsi="Arial" w:cs="Arial"/>
                <w:sz w:val="24"/>
                <w:szCs w:val="24"/>
              </w:rPr>
            </w:pPr>
          </w:p>
        </w:tc>
        <w:tc>
          <w:tcPr>
            <w:tcW w:w="2366" w:type="dxa"/>
          </w:tcPr>
          <w:p w14:paraId="7F2521A0" w14:textId="2825D8DB" w:rsidR="00941FC3" w:rsidRDefault="00941FC3" w:rsidP="0052389E">
            <w:pPr>
              <w:rPr>
                <w:rFonts w:ascii="Arial" w:hAnsi="Arial" w:cs="Arial"/>
                <w:sz w:val="24"/>
                <w:szCs w:val="24"/>
              </w:rPr>
            </w:pPr>
            <w:r w:rsidRPr="0052389E">
              <w:rPr>
                <w:rFonts w:ascii="Arial" w:hAnsi="Arial" w:cs="Arial"/>
                <w:sz w:val="24"/>
                <w:szCs w:val="24"/>
              </w:rPr>
              <w:t>Frequency</w:t>
            </w:r>
          </w:p>
        </w:tc>
        <w:tc>
          <w:tcPr>
            <w:tcW w:w="5725" w:type="dxa"/>
          </w:tcPr>
          <w:p w14:paraId="4E88068A" w14:textId="533A45D3" w:rsidR="00941FC3" w:rsidRPr="00B529C7" w:rsidRDefault="00941FC3" w:rsidP="0052389E">
            <w:pPr>
              <w:rPr>
                <w:rFonts w:ascii="Arial" w:hAnsi="Arial" w:cs="Arial"/>
                <w:sz w:val="24"/>
                <w:szCs w:val="24"/>
              </w:rPr>
            </w:pPr>
            <w:r w:rsidRPr="00B529C7">
              <w:rPr>
                <w:rFonts w:ascii="Arial" w:hAnsi="Arial" w:cs="Arial"/>
                <w:sz w:val="24"/>
                <w:szCs w:val="24"/>
              </w:rPr>
              <w:t xml:space="preserve">Where to find it </w:t>
            </w:r>
          </w:p>
        </w:tc>
      </w:tr>
      <w:tr w:rsidR="00475E09" w:rsidRPr="00D15194" w14:paraId="5A7E2F36" w14:textId="77777777" w:rsidTr="00D15194">
        <w:trPr>
          <w:cnfStyle w:val="000000100000" w:firstRow="0" w:lastRow="0" w:firstColumn="0" w:lastColumn="0" w:oddVBand="0" w:evenVBand="0" w:oddHBand="1" w:evenHBand="0" w:firstRowFirstColumn="0" w:firstRowLastColumn="0" w:lastRowFirstColumn="0" w:lastRowLastColumn="0"/>
        </w:trPr>
        <w:tc>
          <w:tcPr>
            <w:tcW w:w="12950" w:type="dxa"/>
            <w:gridSpan w:val="3"/>
          </w:tcPr>
          <w:p w14:paraId="62913576" w14:textId="77777777" w:rsidR="00D15194" w:rsidRDefault="00D15194" w:rsidP="0052389E">
            <w:pPr>
              <w:rPr>
                <w:rFonts w:ascii="Arial" w:hAnsi="Arial" w:cs="Arial"/>
                <w:b/>
                <w:bCs/>
                <w:sz w:val="24"/>
                <w:szCs w:val="24"/>
              </w:rPr>
            </w:pPr>
          </w:p>
          <w:p w14:paraId="023586BA" w14:textId="1557C0EE" w:rsidR="00D15194" w:rsidRPr="00D15194" w:rsidRDefault="00475E09" w:rsidP="0052389E">
            <w:pPr>
              <w:rPr>
                <w:rFonts w:ascii="Arial" w:hAnsi="Arial" w:cs="Arial"/>
                <w:b/>
                <w:bCs/>
                <w:sz w:val="24"/>
                <w:szCs w:val="24"/>
              </w:rPr>
            </w:pPr>
            <w:r w:rsidRPr="00BC0E52">
              <w:rPr>
                <w:rFonts w:ascii="Arial" w:hAnsi="Arial" w:cs="Arial"/>
                <w:b/>
                <w:bCs/>
                <w:sz w:val="28"/>
                <w:szCs w:val="28"/>
              </w:rPr>
              <w:t xml:space="preserve">Strategies and policies </w:t>
            </w:r>
          </w:p>
        </w:tc>
      </w:tr>
      <w:tr w:rsidR="00744808" w14:paraId="386DAFF8" w14:textId="77777777" w:rsidTr="00D15194">
        <w:tc>
          <w:tcPr>
            <w:tcW w:w="4859" w:type="dxa"/>
          </w:tcPr>
          <w:p w14:paraId="29FC001C" w14:textId="65DE71EE" w:rsidR="00941FC3" w:rsidRPr="00D15194" w:rsidRDefault="00941FC3" w:rsidP="0052389E">
            <w:pPr>
              <w:rPr>
                <w:rFonts w:ascii="Arial" w:hAnsi="Arial" w:cs="Arial"/>
                <w:sz w:val="24"/>
                <w:szCs w:val="24"/>
              </w:rPr>
            </w:pPr>
            <w:r w:rsidRPr="00D15194">
              <w:rPr>
                <w:rFonts w:ascii="Arial" w:hAnsi="Arial" w:cs="Arial"/>
                <w:sz w:val="24"/>
                <w:szCs w:val="24"/>
              </w:rPr>
              <w:t xml:space="preserve">Investment Strategy Statement </w:t>
            </w:r>
          </w:p>
        </w:tc>
        <w:tc>
          <w:tcPr>
            <w:tcW w:w="2366" w:type="dxa"/>
          </w:tcPr>
          <w:p w14:paraId="439CF7A1" w14:textId="393F7678" w:rsidR="00941FC3" w:rsidRDefault="00941FC3" w:rsidP="0052389E">
            <w:pPr>
              <w:rPr>
                <w:rFonts w:ascii="Arial" w:hAnsi="Arial" w:cs="Arial"/>
                <w:sz w:val="24"/>
                <w:szCs w:val="24"/>
              </w:rPr>
            </w:pPr>
            <w:r w:rsidRPr="0052389E">
              <w:rPr>
                <w:rFonts w:ascii="Arial" w:hAnsi="Arial" w:cs="Arial"/>
                <w:sz w:val="24"/>
                <w:szCs w:val="24"/>
              </w:rPr>
              <w:t>Reviewed annually</w:t>
            </w:r>
          </w:p>
        </w:tc>
        <w:tc>
          <w:tcPr>
            <w:tcW w:w="5725" w:type="dxa"/>
          </w:tcPr>
          <w:p w14:paraId="77D4C3EF" w14:textId="21631493" w:rsidR="00941FC3" w:rsidRPr="00B529C7" w:rsidRDefault="008A4D03" w:rsidP="0052389E">
            <w:pPr>
              <w:rPr>
                <w:rFonts w:ascii="Arial" w:hAnsi="Arial" w:cs="Arial"/>
                <w:sz w:val="24"/>
                <w:szCs w:val="24"/>
              </w:rPr>
            </w:pPr>
            <w:hyperlink r:id="rId28" w:history="1">
              <w:r w:rsidRPr="00B529C7">
                <w:rPr>
                  <w:rStyle w:val="Hyperlink"/>
                  <w:rFonts w:ascii="Arial" w:hAnsi="Arial" w:cs="Arial"/>
                  <w:color w:val="auto"/>
                  <w:sz w:val="24"/>
                  <w:szCs w:val="24"/>
                </w:rPr>
                <w:t>Pension Fund Policies</w:t>
              </w:r>
            </w:hyperlink>
          </w:p>
        </w:tc>
      </w:tr>
      <w:tr w:rsidR="00744808" w14:paraId="03DB78FD" w14:textId="77777777" w:rsidTr="00D15194">
        <w:trPr>
          <w:cnfStyle w:val="000000100000" w:firstRow="0" w:lastRow="0" w:firstColumn="0" w:lastColumn="0" w:oddVBand="0" w:evenVBand="0" w:oddHBand="1" w:evenHBand="0" w:firstRowFirstColumn="0" w:firstRowLastColumn="0" w:lastRowFirstColumn="0" w:lastRowLastColumn="0"/>
        </w:trPr>
        <w:tc>
          <w:tcPr>
            <w:tcW w:w="4859" w:type="dxa"/>
          </w:tcPr>
          <w:p w14:paraId="3EBACABB" w14:textId="52FA9DC1" w:rsidR="00941FC3" w:rsidRPr="00D15194" w:rsidRDefault="00941FC3" w:rsidP="0052389E">
            <w:pPr>
              <w:rPr>
                <w:rFonts w:ascii="Arial" w:hAnsi="Arial" w:cs="Arial"/>
                <w:sz w:val="24"/>
                <w:szCs w:val="24"/>
              </w:rPr>
            </w:pPr>
            <w:r w:rsidRPr="00D15194">
              <w:rPr>
                <w:rFonts w:ascii="Arial" w:hAnsi="Arial" w:cs="Arial"/>
                <w:sz w:val="24"/>
                <w:szCs w:val="24"/>
              </w:rPr>
              <w:t xml:space="preserve">Responsible Investment Policy </w:t>
            </w:r>
          </w:p>
        </w:tc>
        <w:tc>
          <w:tcPr>
            <w:tcW w:w="2366" w:type="dxa"/>
          </w:tcPr>
          <w:p w14:paraId="1F0032F0" w14:textId="3AEA05D0" w:rsidR="00941FC3" w:rsidRDefault="00941FC3" w:rsidP="0052389E">
            <w:pPr>
              <w:rPr>
                <w:rFonts w:ascii="Arial" w:hAnsi="Arial" w:cs="Arial"/>
                <w:sz w:val="24"/>
                <w:szCs w:val="24"/>
              </w:rPr>
            </w:pPr>
            <w:r w:rsidRPr="0052389E">
              <w:rPr>
                <w:rFonts w:ascii="Arial" w:hAnsi="Arial" w:cs="Arial"/>
                <w:sz w:val="24"/>
                <w:szCs w:val="24"/>
              </w:rPr>
              <w:t>Reviewed annually</w:t>
            </w:r>
          </w:p>
        </w:tc>
        <w:tc>
          <w:tcPr>
            <w:tcW w:w="5725" w:type="dxa"/>
          </w:tcPr>
          <w:p w14:paraId="65AEF435" w14:textId="1BE98F49" w:rsidR="00941FC3" w:rsidRPr="00B529C7" w:rsidRDefault="00F9338A" w:rsidP="0052389E">
            <w:pPr>
              <w:rPr>
                <w:rFonts w:ascii="Arial" w:hAnsi="Arial" w:cs="Arial"/>
                <w:sz w:val="24"/>
                <w:szCs w:val="24"/>
              </w:rPr>
            </w:pPr>
            <w:hyperlink r:id="rId29" w:history="1">
              <w:r w:rsidRPr="00B529C7">
                <w:rPr>
                  <w:rStyle w:val="Hyperlink"/>
                  <w:rFonts w:ascii="Arial" w:hAnsi="Arial" w:cs="Arial"/>
                  <w:color w:val="auto"/>
                  <w:sz w:val="24"/>
                  <w:szCs w:val="24"/>
                </w:rPr>
                <w:t>Responsible Investments</w:t>
              </w:r>
            </w:hyperlink>
            <w:r w:rsidR="00941FC3" w:rsidRPr="00B529C7">
              <w:rPr>
                <w:rFonts w:ascii="Arial" w:hAnsi="Arial" w:cs="Arial"/>
                <w:sz w:val="24"/>
                <w:szCs w:val="24"/>
              </w:rPr>
              <w:t xml:space="preserve"> </w:t>
            </w:r>
          </w:p>
        </w:tc>
      </w:tr>
      <w:tr w:rsidR="00B529C7" w:rsidRPr="00D15194" w14:paraId="7A4DDC39" w14:textId="77777777" w:rsidTr="00D15194">
        <w:tc>
          <w:tcPr>
            <w:tcW w:w="12950" w:type="dxa"/>
            <w:gridSpan w:val="3"/>
          </w:tcPr>
          <w:p w14:paraId="348566B5" w14:textId="77777777" w:rsidR="00D15194" w:rsidRDefault="00D15194" w:rsidP="0052389E">
            <w:pPr>
              <w:rPr>
                <w:rFonts w:ascii="Arial" w:hAnsi="Arial" w:cs="Arial"/>
                <w:b/>
                <w:bCs/>
                <w:sz w:val="24"/>
                <w:szCs w:val="24"/>
              </w:rPr>
            </w:pPr>
          </w:p>
          <w:p w14:paraId="24AF75FB" w14:textId="5324595F" w:rsidR="00D15194" w:rsidRPr="00D15194" w:rsidRDefault="00475E09" w:rsidP="0052389E">
            <w:pPr>
              <w:rPr>
                <w:rFonts w:ascii="Arial" w:hAnsi="Arial" w:cs="Arial"/>
                <w:b/>
                <w:bCs/>
                <w:sz w:val="24"/>
                <w:szCs w:val="24"/>
              </w:rPr>
            </w:pPr>
            <w:r w:rsidRPr="00BC0E52">
              <w:rPr>
                <w:rFonts w:ascii="Arial" w:hAnsi="Arial" w:cs="Arial"/>
                <w:b/>
                <w:bCs/>
                <w:sz w:val="28"/>
                <w:szCs w:val="28"/>
              </w:rPr>
              <w:t xml:space="preserve">External Reports </w:t>
            </w:r>
          </w:p>
        </w:tc>
      </w:tr>
      <w:tr w:rsidR="00744808" w14:paraId="6B8E0855" w14:textId="77777777" w:rsidTr="00D15194">
        <w:trPr>
          <w:cnfStyle w:val="000000100000" w:firstRow="0" w:lastRow="0" w:firstColumn="0" w:lastColumn="0" w:oddVBand="0" w:evenVBand="0" w:oddHBand="1" w:evenHBand="0" w:firstRowFirstColumn="0" w:firstRowLastColumn="0" w:lastRowFirstColumn="0" w:lastRowLastColumn="0"/>
        </w:trPr>
        <w:tc>
          <w:tcPr>
            <w:tcW w:w="4859" w:type="dxa"/>
          </w:tcPr>
          <w:p w14:paraId="3FB48197" w14:textId="1AB0AB0D" w:rsidR="00941FC3" w:rsidRPr="00D15194" w:rsidRDefault="00941FC3" w:rsidP="0052389E">
            <w:pPr>
              <w:rPr>
                <w:rFonts w:ascii="Arial" w:hAnsi="Arial" w:cs="Arial"/>
                <w:sz w:val="24"/>
                <w:szCs w:val="24"/>
              </w:rPr>
            </w:pPr>
            <w:r w:rsidRPr="00D15194">
              <w:rPr>
                <w:rFonts w:ascii="Arial" w:hAnsi="Arial" w:cs="Arial"/>
                <w:sz w:val="24"/>
                <w:szCs w:val="24"/>
              </w:rPr>
              <w:t>Annual Report and Annual RI Update</w:t>
            </w:r>
          </w:p>
        </w:tc>
        <w:tc>
          <w:tcPr>
            <w:tcW w:w="2366" w:type="dxa"/>
          </w:tcPr>
          <w:p w14:paraId="3CB8D7CE" w14:textId="77777777" w:rsidR="00941FC3" w:rsidRPr="0052389E" w:rsidRDefault="00941FC3" w:rsidP="00941FC3">
            <w:pPr>
              <w:rPr>
                <w:rFonts w:ascii="Arial" w:hAnsi="Arial" w:cs="Arial"/>
                <w:sz w:val="24"/>
                <w:szCs w:val="24"/>
              </w:rPr>
            </w:pPr>
            <w:r w:rsidRPr="0052389E">
              <w:rPr>
                <w:rFonts w:ascii="Arial" w:hAnsi="Arial" w:cs="Arial"/>
                <w:sz w:val="24"/>
                <w:szCs w:val="24"/>
              </w:rPr>
              <w:t xml:space="preserve">Annual </w:t>
            </w:r>
          </w:p>
          <w:p w14:paraId="0ADC547A" w14:textId="77777777" w:rsidR="00941FC3" w:rsidRDefault="00941FC3" w:rsidP="0052389E">
            <w:pPr>
              <w:rPr>
                <w:rFonts w:ascii="Arial" w:hAnsi="Arial" w:cs="Arial"/>
                <w:sz w:val="24"/>
                <w:szCs w:val="24"/>
              </w:rPr>
            </w:pPr>
          </w:p>
        </w:tc>
        <w:tc>
          <w:tcPr>
            <w:tcW w:w="5725" w:type="dxa"/>
          </w:tcPr>
          <w:p w14:paraId="41A17EE6" w14:textId="4F4795F0" w:rsidR="00941FC3" w:rsidRPr="00B529C7" w:rsidRDefault="007C0EAC" w:rsidP="0052389E">
            <w:pPr>
              <w:rPr>
                <w:rFonts w:ascii="Arial" w:hAnsi="Arial" w:cs="Arial"/>
                <w:sz w:val="24"/>
                <w:szCs w:val="24"/>
              </w:rPr>
            </w:pPr>
            <w:hyperlink r:id="rId30" w:history="1">
              <w:r w:rsidRPr="00B529C7">
                <w:rPr>
                  <w:rStyle w:val="Hyperlink"/>
                  <w:rFonts w:ascii="Arial" w:hAnsi="Arial" w:cs="Arial"/>
                  <w:color w:val="auto"/>
                  <w:sz w:val="24"/>
                  <w:szCs w:val="24"/>
                </w:rPr>
                <w:t>Annual reports and accounts</w:t>
              </w:r>
            </w:hyperlink>
          </w:p>
        </w:tc>
      </w:tr>
      <w:tr w:rsidR="00744808" w14:paraId="3E6D80DF" w14:textId="77777777" w:rsidTr="00D15194">
        <w:tc>
          <w:tcPr>
            <w:tcW w:w="4859" w:type="dxa"/>
          </w:tcPr>
          <w:p w14:paraId="6BDC5BE0" w14:textId="1408D79F" w:rsidR="00EB41C4" w:rsidRPr="00D15194" w:rsidRDefault="00EB41C4" w:rsidP="00EB41C4">
            <w:pPr>
              <w:rPr>
                <w:rFonts w:ascii="Arial" w:hAnsi="Arial" w:cs="Arial"/>
                <w:sz w:val="24"/>
                <w:szCs w:val="24"/>
              </w:rPr>
            </w:pPr>
            <w:r w:rsidRPr="00D15194">
              <w:rPr>
                <w:rFonts w:ascii="Arial" w:hAnsi="Arial" w:cs="Arial"/>
                <w:sz w:val="24"/>
                <w:szCs w:val="24"/>
              </w:rPr>
              <w:t>TCFD Report</w:t>
            </w:r>
          </w:p>
        </w:tc>
        <w:tc>
          <w:tcPr>
            <w:tcW w:w="2366" w:type="dxa"/>
          </w:tcPr>
          <w:p w14:paraId="7FBD9183" w14:textId="590AC43F" w:rsidR="00EB41C4" w:rsidRDefault="00EB41C4" w:rsidP="00EB41C4">
            <w:pPr>
              <w:rPr>
                <w:rFonts w:ascii="Arial" w:hAnsi="Arial" w:cs="Arial"/>
                <w:sz w:val="24"/>
                <w:szCs w:val="24"/>
              </w:rPr>
            </w:pPr>
            <w:r w:rsidRPr="0052389E">
              <w:rPr>
                <w:rFonts w:ascii="Arial" w:hAnsi="Arial" w:cs="Arial"/>
                <w:sz w:val="24"/>
                <w:szCs w:val="24"/>
              </w:rPr>
              <w:t>Annual</w:t>
            </w:r>
          </w:p>
        </w:tc>
        <w:tc>
          <w:tcPr>
            <w:tcW w:w="5725" w:type="dxa"/>
          </w:tcPr>
          <w:p w14:paraId="26845995" w14:textId="247AB877" w:rsidR="00EB41C4" w:rsidRPr="00B529C7" w:rsidRDefault="00EB41C4" w:rsidP="00EB41C4">
            <w:pPr>
              <w:rPr>
                <w:rFonts w:ascii="Arial" w:hAnsi="Arial" w:cs="Arial"/>
                <w:sz w:val="24"/>
                <w:szCs w:val="24"/>
              </w:rPr>
            </w:pPr>
            <w:hyperlink r:id="rId31" w:history="1">
              <w:r w:rsidRPr="00B529C7">
                <w:rPr>
                  <w:rStyle w:val="Hyperlink"/>
                  <w:rFonts w:ascii="Arial" w:hAnsi="Arial" w:cs="Arial"/>
                  <w:color w:val="auto"/>
                  <w:sz w:val="24"/>
                  <w:szCs w:val="24"/>
                </w:rPr>
                <w:t>Responsible Investments</w:t>
              </w:r>
            </w:hyperlink>
            <w:r w:rsidRPr="00B529C7">
              <w:rPr>
                <w:rFonts w:ascii="Arial" w:hAnsi="Arial" w:cs="Arial"/>
                <w:sz w:val="24"/>
                <w:szCs w:val="24"/>
              </w:rPr>
              <w:t xml:space="preserve"> </w:t>
            </w:r>
          </w:p>
        </w:tc>
      </w:tr>
      <w:tr w:rsidR="00744808" w14:paraId="429F89E7" w14:textId="77777777" w:rsidTr="00D15194">
        <w:trPr>
          <w:cnfStyle w:val="000000100000" w:firstRow="0" w:lastRow="0" w:firstColumn="0" w:lastColumn="0" w:oddVBand="0" w:evenVBand="0" w:oddHBand="1" w:evenHBand="0" w:firstRowFirstColumn="0" w:firstRowLastColumn="0" w:lastRowFirstColumn="0" w:lastRowLastColumn="0"/>
        </w:trPr>
        <w:tc>
          <w:tcPr>
            <w:tcW w:w="4859" w:type="dxa"/>
          </w:tcPr>
          <w:p w14:paraId="08D674D7" w14:textId="3ACA623A" w:rsidR="00EB41C4" w:rsidRPr="00D15194" w:rsidRDefault="00EB41C4" w:rsidP="00EB41C4">
            <w:pPr>
              <w:rPr>
                <w:rFonts w:ascii="Arial" w:hAnsi="Arial" w:cs="Arial"/>
                <w:sz w:val="24"/>
                <w:szCs w:val="24"/>
              </w:rPr>
            </w:pPr>
            <w:r w:rsidRPr="00D15194">
              <w:rPr>
                <w:rFonts w:ascii="Arial" w:hAnsi="Arial" w:cs="Arial"/>
                <w:sz w:val="24"/>
                <w:szCs w:val="24"/>
              </w:rPr>
              <w:t>UK Stewardship Code Report</w:t>
            </w:r>
          </w:p>
        </w:tc>
        <w:tc>
          <w:tcPr>
            <w:tcW w:w="2366" w:type="dxa"/>
          </w:tcPr>
          <w:p w14:paraId="264D0338" w14:textId="311B9E4A" w:rsidR="00EB41C4" w:rsidRDefault="00EB41C4" w:rsidP="00EB41C4">
            <w:pPr>
              <w:rPr>
                <w:rFonts w:ascii="Arial" w:hAnsi="Arial" w:cs="Arial"/>
                <w:sz w:val="24"/>
                <w:szCs w:val="24"/>
              </w:rPr>
            </w:pPr>
            <w:r w:rsidRPr="0052389E">
              <w:rPr>
                <w:rFonts w:ascii="Arial" w:hAnsi="Arial" w:cs="Arial"/>
                <w:sz w:val="24"/>
                <w:szCs w:val="24"/>
              </w:rPr>
              <w:t>Annual</w:t>
            </w:r>
          </w:p>
        </w:tc>
        <w:tc>
          <w:tcPr>
            <w:tcW w:w="5725" w:type="dxa"/>
          </w:tcPr>
          <w:p w14:paraId="73814E23" w14:textId="08C09675" w:rsidR="00EB41C4" w:rsidRPr="00B529C7" w:rsidRDefault="00EB41C4" w:rsidP="00EB41C4">
            <w:pPr>
              <w:rPr>
                <w:rFonts w:ascii="Arial" w:hAnsi="Arial" w:cs="Arial"/>
                <w:sz w:val="24"/>
                <w:szCs w:val="24"/>
              </w:rPr>
            </w:pPr>
            <w:hyperlink r:id="rId32" w:history="1">
              <w:r w:rsidRPr="00B529C7">
                <w:rPr>
                  <w:rStyle w:val="Hyperlink"/>
                  <w:rFonts w:ascii="Arial" w:hAnsi="Arial" w:cs="Arial"/>
                  <w:color w:val="auto"/>
                  <w:sz w:val="24"/>
                  <w:szCs w:val="24"/>
                </w:rPr>
                <w:t>Responsible Investments</w:t>
              </w:r>
            </w:hyperlink>
            <w:r w:rsidRPr="00B529C7">
              <w:rPr>
                <w:rFonts w:ascii="Arial" w:hAnsi="Arial" w:cs="Arial"/>
                <w:sz w:val="24"/>
                <w:szCs w:val="24"/>
              </w:rPr>
              <w:t xml:space="preserve"> </w:t>
            </w:r>
          </w:p>
        </w:tc>
      </w:tr>
      <w:tr w:rsidR="00744808" w14:paraId="50513A63" w14:textId="77777777" w:rsidTr="00D15194">
        <w:tc>
          <w:tcPr>
            <w:tcW w:w="4859" w:type="dxa"/>
          </w:tcPr>
          <w:p w14:paraId="7DB6795F" w14:textId="42342C70" w:rsidR="00EB41C4" w:rsidRPr="00D15194" w:rsidRDefault="00EB41C4" w:rsidP="00EB41C4">
            <w:pPr>
              <w:rPr>
                <w:rFonts w:ascii="Arial" w:hAnsi="Arial" w:cs="Arial"/>
                <w:sz w:val="24"/>
                <w:szCs w:val="24"/>
              </w:rPr>
            </w:pPr>
            <w:r w:rsidRPr="00D15194">
              <w:rPr>
                <w:rFonts w:ascii="Arial" w:hAnsi="Arial" w:cs="Arial"/>
                <w:sz w:val="24"/>
                <w:szCs w:val="24"/>
              </w:rPr>
              <w:t>PRI report</w:t>
            </w:r>
          </w:p>
        </w:tc>
        <w:tc>
          <w:tcPr>
            <w:tcW w:w="2366" w:type="dxa"/>
          </w:tcPr>
          <w:p w14:paraId="5C5B1D2F" w14:textId="6B75758B" w:rsidR="00EB41C4" w:rsidRDefault="00EB41C4" w:rsidP="00EB41C4">
            <w:pPr>
              <w:rPr>
                <w:rFonts w:ascii="Arial" w:hAnsi="Arial" w:cs="Arial"/>
                <w:sz w:val="24"/>
                <w:szCs w:val="24"/>
              </w:rPr>
            </w:pPr>
            <w:r w:rsidRPr="0052389E">
              <w:rPr>
                <w:rFonts w:ascii="Arial" w:hAnsi="Arial" w:cs="Arial"/>
                <w:sz w:val="24"/>
                <w:szCs w:val="24"/>
              </w:rPr>
              <w:t>Annual</w:t>
            </w:r>
          </w:p>
        </w:tc>
        <w:tc>
          <w:tcPr>
            <w:tcW w:w="5725" w:type="dxa"/>
          </w:tcPr>
          <w:p w14:paraId="2E7B6EAA" w14:textId="69E96398" w:rsidR="00EB41C4" w:rsidRPr="00B529C7" w:rsidRDefault="00EB41C4" w:rsidP="00EB41C4">
            <w:pPr>
              <w:rPr>
                <w:rFonts w:ascii="Arial" w:hAnsi="Arial" w:cs="Arial"/>
                <w:sz w:val="24"/>
                <w:szCs w:val="24"/>
              </w:rPr>
            </w:pPr>
            <w:hyperlink r:id="rId33" w:history="1">
              <w:r w:rsidRPr="00B529C7">
                <w:rPr>
                  <w:rStyle w:val="Hyperlink"/>
                  <w:rFonts w:ascii="Arial" w:hAnsi="Arial" w:cs="Arial"/>
                  <w:color w:val="auto"/>
                  <w:sz w:val="24"/>
                  <w:szCs w:val="24"/>
                </w:rPr>
                <w:t>Responsible Investments</w:t>
              </w:r>
            </w:hyperlink>
            <w:r w:rsidRPr="00B529C7">
              <w:rPr>
                <w:rFonts w:ascii="Arial" w:hAnsi="Arial" w:cs="Arial"/>
                <w:sz w:val="24"/>
                <w:szCs w:val="24"/>
              </w:rPr>
              <w:t xml:space="preserve"> </w:t>
            </w:r>
          </w:p>
        </w:tc>
      </w:tr>
      <w:tr w:rsidR="00744808" w14:paraId="7D632BB3" w14:textId="77777777" w:rsidTr="00D15194">
        <w:trPr>
          <w:cnfStyle w:val="000000100000" w:firstRow="0" w:lastRow="0" w:firstColumn="0" w:lastColumn="0" w:oddVBand="0" w:evenVBand="0" w:oddHBand="1" w:evenHBand="0" w:firstRowFirstColumn="0" w:firstRowLastColumn="0" w:lastRowFirstColumn="0" w:lastRowLastColumn="0"/>
        </w:trPr>
        <w:tc>
          <w:tcPr>
            <w:tcW w:w="4859" w:type="dxa"/>
          </w:tcPr>
          <w:p w14:paraId="5739BE82" w14:textId="275DA66F" w:rsidR="00941FC3" w:rsidRPr="00D15194" w:rsidRDefault="00941FC3" w:rsidP="0052389E">
            <w:pPr>
              <w:rPr>
                <w:rFonts w:ascii="Arial" w:hAnsi="Arial" w:cs="Arial"/>
                <w:sz w:val="24"/>
                <w:szCs w:val="24"/>
              </w:rPr>
            </w:pPr>
            <w:r w:rsidRPr="00D15194">
              <w:rPr>
                <w:rFonts w:ascii="Arial" w:hAnsi="Arial" w:cs="Arial"/>
                <w:sz w:val="24"/>
                <w:szCs w:val="24"/>
              </w:rPr>
              <w:t>GRESB report</w:t>
            </w:r>
          </w:p>
        </w:tc>
        <w:tc>
          <w:tcPr>
            <w:tcW w:w="2366" w:type="dxa"/>
          </w:tcPr>
          <w:p w14:paraId="5D4E5332" w14:textId="3BCF0F53" w:rsidR="00941FC3" w:rsidRDefault="00941FC3" w:rsidP="0052389E">
            <w:pPr>
              <w:rPr>
                <w:rFonts w:ascii="Arial" w:hAnsi="Arial" w:cs="Arial"/>
                <w:sz w:val="24"/>
                <w:szCs w:val="24"/>
              </w:rPr>
            </w:pPr>
            <w:r w:rsidRPr="0052389E">
              <w:rPr>
                <w:rFonts w:ascii="Arial" w:hAnsi="Arial" w:cs="Arial"/>
                <w:sz w:val="24"/>
                <w:szCs w:val="24"/>
              </w:rPr>
              <w:t>Annual</w:t>
            </w:r>
          </w:p>
        </w:tc>
        <w:tc>
          <w:tcPr>
            <w:tcW w:w="5725" w:type="dxa"/>
          </w:tcPr>
          <w:p w14:paraId="20DA9A6E" w14:textId="413E2A99" w:rsidR="00941FC3" w:rsidRPr="00B529C7" w:rsidRDefault="00941FC3" w:rsidP="0052389E">
            <w:pPr>
              <w:rPr>
                <w:rFonts w:ascii="Arial" w:hAnsi="Arial" w:cs="Arial"/>
                <w:sz w:val="24"/>
                <w:szCs w:val="24"/>
              </w:rPr>
            </w:pPr>
            <w:r w:rsidRPr="00B529C7">
              <w:rPr>
                <w:rFonts w:ascii="Arial" w:hAnsi="Arial" w:cs="Arial"/>
                <w:sz w:val="24"/>
                <w:szCs w:val="24"/>
              </w:rPr>
              <w:t xml:space="preserve">Reported to </w:t>
            </w:r>
            <w:r w:rsidR="00EB41C4" w:rsidRPr="00B529C7">
              <w:rPr>
                <w:rFonts w:ascii="Arial" w:hAnsi="Arial" w:cs="Arial"/>
                <w:sz w:val="24"/>
                <w:szCs w:val="24"/>
              </w:rPr>
              <w:t>P</w:t>
            </w:r>
            <w:r w:rsidRPr="00B529C7">
              <w:rPr>
                <w:rFonts w:ascii="Arial" w:hAnsi="Arial" w:cs="Arial"/>
                <w:sz w:val="24"/>
                <w:szCs w:val="24"/>
              </w:rPr>
              <w:t xml:space="preserve">anel and </w:t>
            </w:r>
            <w:r w:rsidR="00EB41C4" w:rsidRPr="00B529C7">
              <w:rPr>
                <w:rFonts w:ascii="Arial" w:hAnsi="Arial" w:cs="Arial"/>
                <w:sz w:val="24"/>
                <w:szCs w:val="24"/>
              </w:rPr>
              <w:t>B</w:t>
            </w:r>
            <w:r w:rsidRPr="00B529C7">
              <w:rPr>
                <w:rFonts w:ascii="Arial" w:hAnsi="Arial" w:cs="Arial"/>
                <w:sz w:val="24"/>
                <w:szCs w:val="24"/>
              </w:rPr>
              <w:t xml:space="preserve">oard </w:t>
            </w:r>
          </w:p>
        </w:tc>
      </w:tr>
    </w:tbl>
    <w:p w14:paraId="50903D54" w14:textId="77777777" w:rsidR="00DD0B43" w:rsidRDefault="00DD0B43">
      <w:r>
        <w:br w:type="page"/>
      </w:r>
    </w:p>
    <w:tbl>
      <w:tblPr>
        <w:tblStyle w:val="GridTable5Dark-Accent1"/>
        <w:tblW w:w="0" w:type="auto"/>
        <w:tblLook w:val="0420" w:firstRow="1" w:lastRow="0" w:firstColumn="0" w:lastColumn="0" w:noHBand="0" w:noVBand="1"/>
      </w:tblPr>
      <w:tblGrid>
        <w:gridCol w:w="4859"/>
        <w:gridCol w:w="2366"/>
        <w:gridCol w:w="5725"/>
      </w:tblGrid>
      <w:tr w:rsidR="00B529C7" w:rsidRPr="00D15194" w14:paraId="41105694" w14:textId="77777777" w:rsidTr="00DD0B43">
        <w:trPr>
          <w:cnfStyle w:val="100000000000" w:firstRow="1" w:lastRow="0" w:firstColumn="0" w:lastColumn="0" w:oddVBand="0" w:evenVBand="0" w:oddHBand="0" w:evenHBand="0" w:firstRowFirstColumn="0" w:firstRowLastColumn="0" w:lastRowFirstColumn="0" w:lastRowLastColumn="0"/>
        </w:trPr>
        <w:tc>
          <w:tcPr>
            <w:tcW w:w="12950" w:type="dxa"/>
            <w:gridSpan w:val="3"/>
            <w:shd w:val="clear" w:color="auto" w:fill="DAE9F7" w:themeFill="text2" w:themeFillTint="1A"/>
          </w:tcPr>
          <w:p w14:paraId="2E64A52B" w14:textId="1048B68F" w:rsidR="00D15194" w:rsidRPr="00DD0B43" w:rsidRDefault="00D15194" w:rsidP="0052389E">
            <w:pPr>
              <w:rPr>
                <w:rFonts w:ascii="Arial" w:hAnsi="Arial" w:cs="Arial"/>
                <w:b w:val="0"/>
                <w:bCs w:val="0"/>
                <w:color w:val="auto"/>
                <w:sz w:val="24"/>
                <w:szCs w:val="24"/>
              </w:rPr>
            </w:pPr>
          </w:p>
          <w:p w14:paraId="4E662E70" w14:textId="1CC0E02B" w:rsidR="00475E09" w:rsidRPr="00DD0B43" w:rsidRDefault="00475E09" w:rsidP="0052389E">
            <w:pPr>
              <w:rPr>
                <w:rFonts w:ascii="Arial" w:hAnsi="Arial" w:cs="Arial"/>
                <w:b w:val="0"/>
                <w:bCs w:val="0"/>
                <w:color w:val="auto"/>
                <w:sz w:val="24"/>
                <w:szCs w:val="24"/>
              </w:rPr>
            </w:pPr>
            <w:r w:rsidRPr="00DD0B43">
              <w:rPr>
                <w:rFonts w:ascii="Arial" w:hAnsi="Arial" w:cs="Arial"/>
                <w:color w:val="auto"/>
                <w:sz w:val="28"/>
                <w:szCs w:val="28"/>
              </w:rPr>
              <w:t xml:space="preserve">Internal reports </w:t>
            </w:r>
          </w:p>
        </w:tc>
      </w:tr>
      <w:tr w:rsidR="00744808" w14:paraId="22550679" w14:textId="77777777" w:rsidTr="00D15194">
        <w:trPr>
          <w:cnfStyle w:val="000000100000" w:firstRow="0" w:lastRow="0" w:firstColumn="0" w:lastColumn="0" w:oddVBand="0" w:evenVBand="0" w:oddHBand="1" w:evenHBand="0" w:firstRowFirstColumn="0" w:firstRowLastColumn="0" w:lastRowFirstColumn="0" w:lastRowLastColumn="0"/>
        </w:trPr>
        <w:tc>
          <w:tcPr>
            <w:tcW w:w="4859" w:type="dxa"/>
          </w:tcPr>
          <w:p w14:paraId="2AD64814" w14:textId="12C0E524" w:rsidR="00941FC3" w:rsidRPr="00DD0B43" w:rsidRDefault="00941FC3" w:rsidP="0052389E">
            <w:pPr>
              <w:rPr>
                <w:rFonts w:ascii="Arial" w:hAnsi="Arial" w:cs="Arial"/>
                <w:sz w:val="24"/>
                <w:szCs w:val="24"/>
              </w:rPr>
            </w:pPr>
            <w:r w:rsidRPr="00DD0B43">
              <w:rPr>
                <w:rFonts w:ascii="Arial" w:hAnsi="Arial" w:cs="Arial"/>
                <w:sz w:val="24"/>
                <w:szCs w:val="24"/>
              </w:rPr>
              <w:t>Stewardship report to the RI sub-committee</w:t>
            </w:r>
          </w:p>
        </w:tc>
        <w:tc>
          <w:tcPr>
            <w:tcW w:w="2366" w:type="dxa"/>
          </w:tcPr>
          <w:p w14:paraId="02B2F407" w14:textId="77777777" w:rsidR="00941FC3" w:rsidRPr="00DD0B43" w:rsidRDefault="00941FC3" w:rsidP="00941FC3">
            <w:pPr>
              <w:rPr>
                <w:rFonts w:ascii="Arial" w:hAnsi="Arial" w:cs="Arial"/>
                <w:sz w:val="24"/>
                <w:szCs w:val="24"/>
              </w:rPr>
            </w:pPr>
            <w:r w:rsidRPr="00DD0B43">
              <w:rPr>
                <w:rFonts w:ascii="Arial" w:hAnsi="Arial" w:cs="Arial"/>
                <w:sz w:val="24"/>
                <w:szCs w:val="24"/>
              </w:rPr>
              <w:t xml:space="preserve">Bi-annual </w:t>
            </w:r>
          </w:p>
          <w:p w14:paraId="7997F8B6" w14:textId="77777777" w:rsidR="00941FC3" w:rsidRPr="00DD0B43" w:rsidRDefault="00941FC3" w:rsidP="0052389E">
            <w:pPr>
              <w:rPr>
                <w:rFonts w:ascii="Arial" w:hAnsi="Arial" w:cs="Arial"/>
                <w:sz w:val="24"/>
                <w:szCs w:val="24"/>
              </w:rPr>
            </w:pPr>
          </w:p>
        </w:tc>
        <w:tc>
          <w:tcPr>
            <w:tcW w:w="5725" w:type="dxa"/>
          </w:tcPr>
          <w:p w14:paraId="562D48F7" w14:textId="130683DC" w:rsidR="00941FC3" w:rsidRPr="00DD0B43" w:rsidRDefault="00815D54" w:rsidP="0052389E">
            <w:pPr>
              <w:rPr>
                <w:rFonts w:ascii="Arial" w:hAnsi="Arial" w:cs="Arial"/>
                <w:sz w:val="24"/>
                <w:szCs w:val="24"/>
              </w:rPr>
            </w:pPr>
            <w:hyperlink r:id="rId34" w:history="1">
              <w:r w:rsidRPr="00DD0B43">
                <w:rPr>
                  <w:rStyle w:val="Hyperlink"/>
                  <w:rFonts w:ascii="Arial" w:hAnsi="Arial" w:cs="Arial"/>
                  <w:color w:val="auto"/>
                  <w:sz w:val="24"/>
                  <w:szCs w:val="24"/>
                </w:rPr>
                <w:t>Committee details - Hampshire Pension Fund Responsible Investment Sub-Committee</w:t>
              </w:r>
            </w:hyperlink>
            <w:r w:rsidR="004D4C27" w:rsidRPr="00DD0B43">
              <w:rPr>
                <w:rFonts w:ascii="Arial" w:hAnsi="Arial" w:cs="Arial"/>
                <w:sz w:val="24"/>
                <w:szCs w:val="24"/>
              </w:rPr>
              <w:t xml:space="preserve"> </w:t>
            </w:r>
          </w:p>
        </w:tc>
      </w:tr>
      <w:tr w:rsidR="00744808" w14:paraId="57C5B152" w14:textId="77777777" w:rsidTr="00D15194">
        <w:tc>
          <w:tcPr>
            <w:tcW w:w="4859" w:type="dxa"/>
          </w:tcPr>
          <w:p w14:paraId="32E60229" w14:textId="311EFB44" w:rsidR="00941FC3" w:rsidRPr="00DD0B43" w:rsidRDefault="00475E09" w:rsidP="0052389E">
            <w:pPr>
              <w:rPr>
                <w:rFonts w:ascii="Arial" w:hAnsi="Arial" w:cs="Arial"/>
                <w:sz w:val="24"/>
                <w:szCs w:val="24"/>
              </w:rPr>
            </w:pPr>
            <w:r w:rsidRPr="00DD0B43">
              <w:rPr>
                <w:rFonts w:ascii="Arial" w:hAnsi="Arial" w:cs="Arial"/>
                <w:sz w:val="24"/>
                <w:szCs w:val="24"/>
              </w:rPr>
              <w:t>Investment manager voting reports</w:t>
            </w:r>
          </w:p>
        </w:tc>
        <w:tc>
          <w:tcPr>
            <w:tcW w:w="2366" w:type="dxa"/>
          </w:tcPr>
          <w:p w14:paraId="3CEDAD32" w14:textId="3F3ECFA1" w:rsidR="00941FC3" w:rsidRPr="00DD0B43" w:rsidRDefault="00475E09" w:rsidP="0052389E">
            <w:pPr>
              <w:rPr>
                <w:rFonts w:ascii="Arial" w:hAnsi="Arial" w:cs="Arial"/>
                <w:sz w:val="24"/>
                <w:szCs w:val="24"/>
              </w:rPr>
            </w:pPr>
            <w:r w:rsidRPr="00DD0B43">
              <w:rPr>
                <w:rFonts w:ascii="Arial" w:hAnsi="Arial" w:cs="Arial"/>
                <w:sz w:val="24"/>
                <w:szCs w:val="24"/>
              </w:rPr>
              <w:t>Quarterly</w:t>
            </w:r>
          </w:p>
        </w:tc>
        <w:tc>
          <w:tcPr>
            <w:tcW w:w="5725" w:type="dxa"/>
          </w:tcPr>
          <w:p w14:paraId="051A29E4" w14:textId="35D21952" w:rsidR="00941FC3" w:rsidRPr="00DD0B43" w:rsidRDefault="00815D54" w:rsidP="0052389E">
            <w:pPr>
              <w:rPr>
                <w:rFonts w:ascii="Arial" w:hAnsi="Arial" w:cs="Arial"/>
                <w:sz w:val="24"/>
                <w:szCs w:val="24"/>
              </w:rPr>
            </w:pPr>
            <w:hyperlink r:id="rId35" w:history="1">
              <w:r w:rsidRPr="00DD0B43">
                <w:rPr>
                  <w:rStyle w:val="Hyperlink"/>
                  <w:rFonts w:ascii="Arial" w:hAnsi="Arial" w:cs="Arial"/>
                  <w:color w:val="auto"/>
                  <w:sz w:val="24"/>
                  <w:szCs w:val="24"/>
                </w:rPr>
                <w:t>Responsible Investments</w:t>
              </w:r>
            </w:hyperlink>
          </w:p>
        </w:tc>
      </w:tr>
    </w:tbl>
    <w:p w14:paraId="259C273C" w14:textId="77777777" w:rsidR="00A37B51" w:rsidRDefault="00A37B51" w:rsidP="0052389E">
      <w:pPr>
        <w:rPr>
          <w:rFonts w:ascii="Arial" w:hAnsi="Arial" w:cs="Arial"/>
          <w:sz w:val="24"/>
          <w:szCs w:val="24"/>
        </w:rPr>
        <w:sectPr w:rsidR="00A37B51" w:rsidSect="005D460F">
          <w:type w:val="continuous"/>
          <w:pgSz w:w="15840" w:h="12240" w:orient="landscape"/>
          <w:pgMar w:top="1440" w:right="1440" w:bottom="1440" w:left="1440" w:header="720" w:footer="720" w:gutter="0"/>
          <w:cols w:space="720"/>
          <w:docGrid w:linePitch="360"/>
        </w:sectPr>
      </w:pPr>
    </w:p>
    <w:p w14:paraId="04966441" w14:textId="77777777" w:rsidR="0052389E" w:rsidRPr="00B67B1A" w:rsidRDefault="0052389E" w:rsidP="00B67B1A">
      <w:pPr>
        <w:pStyle w:val="Heading2"/>
        <w:spacing w:before="320"/>
        <w:rPr>
          <w:color w:val="0F4761" w:themeColor="accent1" w:themeShade="BF"/>
          <w:sz w:val="32"/>
          <w:szCs w:val="32"/>
        </w:rPr>
      </w:pPr>
      <w:bookmarkStart w:id="17" w:name="_Toc224113551"/>
      <w:r w:rsidRPr="00B67B1A">
        <w:rPr>
          <w:color w:val="0F4761" w:themeColor="accent1" w:themeShade="BF"/>
          <w:sz w:val="32"/>
          <w:szCs w:val="32"/>
        </w:rPr>
        <w:t>RI standards</w:t>
      </w:r>
      <w:bookmarkEnd w:id="17"/>
      <w:r w:rsidRPr="00B67B1A">
        <w:rPr>
          <w:color w:val="0F4761" w:themeColor="accent1" w:themeShade="BF"/>
          <w:sz w:val="32"/>
          <w:szCs w:val="32"/>
        </w:rPr>
        <w:t xml:space="preserve"> </w:t>
      </w:r>
    </w:p>
    <w:p w14:paraId="645F0425" w14:textId="768843D5" w:rsidR="0052389E" w:rsidRPr="00A81C15" w:rsidRDefault="0052389E" w:rsidP="0052389E">
      <w:pPr>
        <w:rPr>
          <w:rFonts w:ascii="Arial" w:hAnsi="Arial" w:cs="Arial"/>
          <w:b/>
          <w:bCs/>
          <w:sz w:val="24"/>
          <w:szCs w:val="24"/>
        </w:rPr>
      </w:pPr>
      <w:r w:rsidRPr="00A81C15">
        <w:rPr>
          <w:rFonts w:ascii="Arial" w:hAnsi="Arial" w:cs="Arial"/>
          <w:b/>
          <w:bCs/>
          <w:sz w:val="24"/>
          <w:szCs w:val="24"/>
        </w:rPr>
        <w:t xml:space="preserve">The Pension Fund supports and/or is a member of the following initiatives that aim promote RI for investors and positive changes in management of ESG factors: </w:t>
      </w:r>
    </w:p>
    <w:p w14:paraId="30F3FDD7" w14:textId="556AB1E2" w:rsidR="0052389E" w:rsidRPr="005132FB" w:rsidRDefault="0052389E" w:rsidP="005132FB">
      <w:pPr>
        <w:pStyle w:val="ListParagraph"/>
        <w:numPr>
          <w:ilvl w:val="0"/>
          <w:numId w:val="2"/>
        </w:numPr>
        <w:rPr>
          <w:rFonts w:ascii="Arial" w:hAnsi="Arial" w:cs="Arial"/>
          <w:sz w:val="24"/>
          <w:szCs w:val="24"/>
        </w:rPr>
      </w:pPr>
      <w:r w:rsidRPr="005132FB">
        <w:rPr>
          <w:rFonts w:ascii="Arial" w:hAnsi="Arial" w:cs="Arial"/>
          <w:b/>
          <w:bCs/>
          <w:sz w:val="24"/>
          <w:szCs w:val="24"/>
        </w:rPr>
        <w:t>UK Stewardship Code 2020 –</w:t>
      </w:r>
      <w:r w:rsidRPr="005132FB">
        <w:rPr>
          <w:rFonts w:ascii="Arial" w:hAnsi="Arial" w:cs="Arial"/>
          <w:sz w:val="24"/>
          <w:szCs w:val="24"/>
        </w:rPr>
        <w:t xml:space="preserve"> The Pension Fund has been accepted as a signatory of the 2020 Code (one of only six initial LGPS signatories), which sets high stewardship standards for those investing money on behalf of UK savers and pensioners. The Fund has produced a Stewardship Code statement that sets out on a ‘apply or explain’ basis how it meets the 12 principles of the Code</w:t>
      </w:r>
      <w:r w:rsidR="00D4388A" w:rsidRPr="005132FB">
        <w:rPr>
          <w:rFonts w:ascii="Arial" w:hAnsi="Arial" w:cs="Arial"/>
          <w:sz w:val="24"/>
          <w:szCs w:val="24"/>
        </w:rPr>
        <w:t xml:space="preserve">. </w:t>
      </w:r>
      <w:hyperlink r:id="rId36" w:history="1">
        <w:r w:rsidR="0006528D" w:rsidRPr="00FE1788">
          <w:rPr>
            <w:rStyle w:val="Hyperlink"/>
            <w:rFonts w:ascii="Arial" w:hAnsi="Arial" w:cs="Arial"/>
            <w:b/>
            <w:bCs/>
            <w:sz w:val="24"/>
            <w:szCs w:val="24"/>
          </w:rPr>
          <w:t>Statement of compliance - UK Stewardship Code 2020</w:t>
        </w:r>
      </w:hyperlink>
    </w:p>
    <w:p w14:paraId="63D64217" w14:textId="48817525" w:rsidR="0052389E" w:rsidRPr="005132FB" w:rsidRDefault="0052389E" w:rsidP="005132FB">
      <w:pPr>
        <w:pStyle w:val="ListParagraph"/>
        <w:numPr>
          <w:ilvl w:val="0"/>
          <w:numId w:val="2"/>
        </w:numPr>
        <w:rPr>
          <w:rFonts w:ascii="Arial" w:hAnsi="Arial" w:cs="Arial"/>
          <w:sz w:val="24"/>
          <w:szCs w:val="24"/>
        </w:rPr>
      </w:pPr>
      <w:r w:rsidRPr="005132FB">
        <w:rPr>
          <w:rFonts w:ascii="Arial" w:hAnsi="Arial" w:cs="Arial"/>
          <w:b/>
          <w:bCs/>
          <w:sz w:val="24"/>
          <w:szCs w:val="24"/>
        </w:rPr>
        <w:t>Principles of Responsible Investment (PRI) –</w:t>
      </w:r>
      <w:r w:rsidRPr="005132FB">
        <w:rPr>
          <w:rFonts w:ascii="Arial" w:hAnsi="Arial" w:cs="Arial"/>
          <w:sz w:val="24"/>
          <w:szCs w:val="24"/>
        </w:rPr>
        <w:t xml:space="preserve"> The Fund is a signatory to the PRI, which was founded by the United Nations and is the world’s leading proponent of responsible investment. In becoming a </w:t>
      </w:r>
      <w:proofErr w:type="gramStart"/>
      <w:r w:rsidRPr="005132FB">
        <w:rPr>
          <w:rFonts w:ascii="Arial" w:hAnsi="Arial" w:cs="Arial"/>
          <w:sz w:val="24"/>
          <w:szCs w:val="24"/>
        </w:rPr>
        <w:t>signatory</w:t>
      </w:r>
      <w:proofErr w:type="gramEnd"/>
      <w:r w:rsidRPr="005132FB">
        <w:rPr>
          <w:rFonts w:ascii="Arial" w:hAnsi="Arial" w:cs="Arial"/>
          <w:sz w:val="24"/>
          <w:szCs w:val="24"/>
        </w:rPr>
        <w:t xml:space="preserve"> the Pension Fund has committed to the PRI’s six principles for RI. More information can be found here</w:t>
      </w:r>
      <w:r w:rsidRPr="00F71A2E">
        <w:rPr>
          <w:rFonts w:ascii="Arial" w:hAnsi="Arial" w:cs="Arial"/>
          <w:sz w:val="24"/>
          <w:szCs w:val="24"/>
        </w:rPr>
        <w:t>:</w:t>
      </w:r>
      <w:r w:rsidRPr="00F71A2E">
        <w:rPr>
          <w:rFonts w:ascii="Arial" w:hAnsi="Arial" w:cs="Arial"/>
          <w:b/>
          <w:bCs/>
          <w:sz w:val="24"/>
          <w:szCs w:val="24"/>
        </w:rPr>
        <w:t xml:space="preserve"> </w:t>
      </w:r>
      <w:hyperlink r:id="rId37" w:history="1">
        <w:r w:rsidR="00775C2B" w:rsidRPr="00F71A2E">
          <w:rPr>
            <w:rStyle w:val="Hyperlink"/>
            <w:rFonts w:ascii="Arial" w:hAnsi="Arial" w:cs="Arial"/>
            <w:b/>
            <w:bCs/>
            <w:sz w:val="24"/>
            <w:szCs w:val="24"/>
          </w:rPr>
          <w:t>Principles for Responsible Investment | PRI</w:t>
        </w:r>
      </w:hyperlink>
    </w:p>
    <w:p w14:paraId="00197681" w14:textId="4552E30D" w:rsidR="0052389E" w:rsidRPr="005132FB" w:rsidRDefault="0052389E" w:rsidP="004C2F91">
      <w:pPr>
        <w:pStyle w:val="ListParagraph"/>
        <w:keepNext/>
        <w:numPr>
          <w:ilvl w:val="0"/>
          <w:numId w:val="2"/>
        </w:numPr>
        <w:ind w:left="714" w:hanging="357"/>
        <w:rPr>
          <w:rFonts w:ascii="Arial" w:hAnsi="Arial" w:cs="Arial"/>
          <w:sz w:val="24"/>
          <w:szCs w:val="24"/>
        </w:rPr>
      </w:pPr>
      <w:r w:rsidRPr="005132FB">
        <w:rPr>
          <w:rFonts w:ascii="Arial" w:hAnsi="Arial" w:cs="Arial"/>
          <w:b/>
          <w:bCs/>
          <w:sz w:val="24"/>
          <w:szCs w:val="24"/>
        </w:rPr>
        <w:t>Pensions for Purpose -</w:t>
      </w:r>
      <w:r w:rsidRPr="005132FB">
        <w:rPr>
          <w:rFonts w:ascii="Arial" w:hAnsi="Arial" w:cs="Arial"/>
          <w:sz w:val="24"/>
          <w:szCs w:val="24"/>
        </w:rPr>
        <w:t xml:space="preserve"> The Fund is a member of Pensions for Purpose. Pensions for Purpose engages with pension funds and other institutional investors towards embracing impact investing. As a member the Fund has access to Pensions for Purpose services and member forums, where we will </w:t>
      </w:r>
      <w:r w:rsidR="005132FB" w:rsidRPr="005132FB">
        <w:rPr>
          <w:rFonts w:ascii="Arial" w:hAnsi="Arial" w:cs="Arial"/>
          <w:sz w:val="24"/>
          <w:szCs w:val="24"/>
        </w:rPr>
        <w:t>benefit</w:t>
      </w:r>
      <w:r w:rsidRPr="005132FB">
        <w:rPr>
          <w:rFonts w:ascii="Arial" w:hAnsi="Arial" w:cs="Arial"/>
          <w:sz w:val="24"/>
          <w:szCs w:val="24"/>
        </w:rPr>
        <w:t xml:space="preserve"> from resources to guide the approach to impact investing. More information can be found here: </w:t>
      </w:r>
      <w:hyperlink r:id="rId38" w:history="1">
        <w:r w:rsidR="005A53DF" w:rsidRPr="005A53DF">
          <w:rPr>
            <w:rStyle w:val="Hyperlink"/>
            <w:rFonts w:ascii="Arial" w:hAnsi="Arial" w:cs="Arial"/>
            <w:b/>
            <w:bCs/>
            <w:sz w:val="24"/>
            <w:szCs w:val="24"/>
          </w:rPr>
          <w:t xml:space="preserve">Pensions </w:t>
        </w:r>
        <w:proofErr w:type="gramStart"/>
        <w:r w:rsidR="005A53DF" w:rsidRPr="005A53DF">
          <w:rPr>
            <w:rStyle w:val="Hyperlink"/>
            <w:rFonts w:ascii="Arial" w:hAnsi="Arial" w:cs="Arial"/>
            <w:b/>
            <w:bCs/>
            <w:sz w:val="24"/>
            <w:szCs w:val="24"/>
          </w:rPr>
          <w:t>For</w:t>
        </w:r>
        <w:proofErr w:type="gramEnd"/>
        <w:r w:rsidR="005A53DF" w:rsidRPr="005A53DF">
          <w:rPr>
            <w:rStyle w:val="Hyperlink"/>
            <w:rFonts w:ascii="Arial" w:hAnsi="Arial" w:cs="Arial"/>
            <w:b/>
            <w:bCs/>
            <w:sz w:val="24"/>
            <w:szCs w:val="24"/>
          </w:rPr>
          <w:t xml:space="preserve"> Purpose</w:t>
        </w:r>
      </w:hyperlink>
    </w:p>
    <w:p w14:paraId="23E7A27F" w14:textId="3D79FA75" w:rsidR="0052389E" w:rsidRPr="005132FB" w:rsidRDefault="0052389E" w:rsidP="005132FB">
      <w:pPr>
        <w:pStyle w:val="ListParagraph"/>
        <w:numPr>
          <w:ilvl w:val="0"/>
          <w:numId w:val="2"/>
        </w:numPr>
        <w:rPr>
          <w:rFonts w:ascii="Arial" w:hAnsi="Arial" w:cs="Arial"/>
          <w:sz w:val="24"/>
          <w:szCs w:val="24"/>
        </w:rPr>
      </w:pPr>
      <w:r w:rsidRPr="005132FB">
        <w:rPr>
          <w:rFonts w:ascii="Arial" w:hAnsi="Arial" w:cs="Arial"/>
          <w:b/>
          <w:bCs/>
          <w:sz w:val="24"/>
          <w:szCs w:val="24"/>
        </w:rPr>
        <w:t>Taskforce on Climate-Related Financial Disclosure (TCFD)</w:t>
      </w:r>
      <w:r w:rsidRPr="005132FB">
        <w:rPr>
          <w:rFonts w:ascii="Arial" w:hAnsi="Arial" w:cs="Arial"/>
          <w:sz w:val="24"/>
          <w:szCs w:val="24"/>
        </w:rPr>
        <w:t xml:space="preserve"> – the Pension Fund supports TCFD which aims to develop recommendations for more </w:t>
      </w:r>
      <w:r w:rsidR="005132FB" w:rsidRPr="005132FB">
        <w:rPr>
          <w:rFonts w:ascii="Arial" w:hAnsi="Arial" w:cs="Arial"/>
          <w:sz w:val="24"/>
          <w:szCs w:val="24"/>
        </w:rPr>
        <w:t>effective</w:t>
      </w:r>
      <w:r w:rsidRPr="005132FB">
        <w:rPr>
          <w:rFonts w:ascii="Arial" w:hAnsi="Arial" w:cs="Arial"/>
          <w:sz w:val="24"/>
          <w:szCs w:val="24"/>
        </w:rPr>
        <w:t xml:space="preserve"> climate</w:t>
      </w:r>
      <w:r w:rsidR="005132FB" w:rsidRPr="005132FB">
        <w:rPr>
          <w:rFonts w:ascii="Arial" w:hAnsi="Arial" w:cs="Arial"/>
          <w:sz w:val="24"/>
          <w:szCs w:val="24"/>
        </w:rPr>
        <w:t>-</w:t>
      </w:r>
      <w:r w:rsidRPr="005132FB">
        <w:rPr>
          <w:rFonts w:ascii="Arial" w:hAnsi="Arial" w:cs="Arial"/>
          <w:sz w:val="24"/>
          <w:szCs w:val="24"/>
        </w:rPr>
        <w:t xml:space="preserve">related disclosures that could promote more informed investment decisions and, in turn, enable stakeholders to better understand the concentrations of carbon-related assets in the </w:t>
      </w:r>
      <w:r w:rsidR="005132FB" w:rsidRPr="005132FB">
        <w:rPr>
          <w:rFonts w:ascii="Arial" w:hAnsi="Arial" w:cs="Arial"/>
          <w:sz w:val="24"/>
          <w:szCs w:val="24"/>
        </w:rPr>
        <w:t>financial</w:t>
      </w:r>
      <w:r w:rsidRPr="005132FB">
        <w:rPr>
          <w:rFonts w:ascii="Arial" w:hAnsi="Arial" w:cs="Arial"/>
          <w:sz w:val="24"/>
          <w:szCs w:val="24"/>
        </w:rPr>
        <w:t xml:space="preserve"> sector and the </w:t>
      </w:r>
      <w:r w:rsidR="005132FB" w:rsidRPr="005132FB">
        <w:rPr>
          <w:rFonts w:ascii="Arial" w:hAnsi="Arial" w:cs="Arial"/>
          <w:sz w:val="24"/>
          <w:szCs w:val="24"/>
        </w:rPr>
        <w:t>financial</w:t>
      </w:r>
      <w:r w:rsidRPr="005132FB">
        <w:rPr>
          <w:rFonts w:ascii="Arial" w:hAnsi="Arial" w:cs="Arial"/>
          <w:sz w:val="24"/>
          <w:szCs w:val="24"/>
        </w:rPr>
        <w:t xml:space="preserve"> system’s exposures to climate-related risks. The Pension Fund reports in line with recommendations of TCFD</w:t>
      </w:r>
      <w:r w:rsidR="005132FB" w:rsidRPr="005132FB">
        <w:rPr>
          <w:rFonts w:ascii="Arial" w:hAnsi="Arial" w:cs="Arial"/>
          <w:sz w:val="24"/>
          <w:szCs w:val="24"/>
        </w:rPr>
        <w:t>.</w:t>
      </w:r>
      <w:r w:rsidRPr="005132FB">
        <w:rPr>
          <w:rFonts w:ascii="Arial" w:hAnsi="Arial" w:cs="Arial"/>
          <w:sz w:val="24"/>
          <w:szCs w:val="24"/>
        </w:rPr>
        <w:t xml:space="preserve"> </w:t>
      </w:r>
      <w:hyperlink r:id="rId39" w:history="1">
        <w:r w:rsidR="00DA1345" w:rsidRPr="006923DC">
          <w:rPr>
            <w:rStyle w:val="Hyperlink"/>
            <w:rFonts w:ascii="Arial" w:hAnsi="Arial" w:cs="Arial"/>
            <w:b/>
            <w:bCs/>
            <w:sz w:val="24"/>
            <w:szCs w:val="24"/>
          </w:rPr>
          <w:t>TCFD Report</w:t>
        </w:r>
      </w:hyperlink>
    </w:p>
    <w:p w14:paraId="67BC0A6F" w14:textId="597197F3" w:rsidR="0052389E" w:rsidRPr="005132FB" w:rsidRDefault="0052389E" w:rsidP="005132FB">
      <w:pPr>
        <w:pStyle w:val="ListParagraph"/>
        <w:numPr>
          <w:ilvl w:val="0"/>
          <w:numId w:val="2"/>
        </w:numPr>
        <w:rPr>
          <w:rFonts w:ascii="Arial" w:hAnsi="Arial" w:cs="Arial"/>
          <w:sz w:val="24"/>
          <w:szCs w:val="24"/>
        </w:rPr>
      </w:pPr>
      <w:r w:rsidRPr="005132FB">
        <w:rPr>
          <w:rFonts w:ascii="Arial" w:hAnsi="Arial" w:cs="Arial"/>
          <w:b/>
          <w:bCs/>
          <w:sz w:val="24"/>
          <w:szCs w:val="24"/>
        </w:rPr>
        <w:t>Institutional Investors Group on Climate Change (IIGCC) –</w:t>
      </w:r>
      <w:r w:rsidRPr="005132FB">
        <w:rPr>
          <w:rFonts w:ascii="Arial" w:hAnsi="Arial" w:cs="Arial"/>
          <w:sz w:val="24"/>
          <w:szCs w:val="24"/>
        </w:rPr>
        <w:t xml:space="preserve"> The Fund is a member of the IIGCC. The Fund has made a public net zero commitment. As part of its membership the Fund </w:t>
      </w:r>
      <w:r w:rsidR="005132FB" w:rsidRPr="005132FB">
        <w:rPr>
          <w:rFonts w:ascii="Arial" w:hAnsi="Arial" w:cs="Arial"/>
          <w:sz w:val="24"/>
          <w:szCs w:val="24"/>
        </w:rPr>
        <w:t>benefits</w:t>
      </w:r>
      <w:r w:rsidRPr="005132FB">
        <w:rPr>
          <w:rFonts w:ascii="Arial" w:hAnsi="Arial" w:cs="Arial"/>
          <w:sz w:val="24"/>
          <w:szCs w:val="24"/>
        </w:rPr>
        <w:t xml:space="preserve"> from educational materials, webinars, and the net zero framework, which will help the Fund achieve the target of net zero by 2050. More information can be found here: </w:t>
      </w:r>
      <w:hyperlink r:id="rId40" w:history="1">
        <w:r w:rsidR="00804D2F" w:rsidRPr="00804D2F">
          <w:rPr>
            <w:rStyle w:val="Hyperlink"/>
            <w:rFonts w:ascii="Arial" w:hAnsi="Arial" w:cs="Arial"/>
            <w:b/>
            <w:bCs/>
            <w:sz w:val="24"/>
            <w:szCs w:val="24"/>
          </w:rPr>
          <w:t xml:space="preserve">IIGCC - The Institutional Investors Group on Climate </w:t>
        </w:r>
        <w:r w:rsidR="00B83CCC" w:rsidRPr="00833749">
          <w:rPr>
            <w:noProof/>
            <w:color w:val="0F4761" w:themeColor="accent1" w:themeShade="BF"/>
            <w:sz w:val="32"/>
            <w:szCs w:val="32"/>
          </w:rPr>
          <mc:AlternateContent>
            <mc:Choice Requires="wps">
              <w:drawing>
                <wp:anchor distT="45720" distB="45720" distL="114300" distR="114300" simplePos="0" relativeHeight="251658240" behindDoc="0" locked="0" layoutInCell="1" allowOverlap="1" wp14:anchorId="1E59E2D9" wp14:editId="75DF33B8">
                  <wp:simplePos x="0" y="0"/>
                  <wp:positionH relativeFrom="column">
                    <wp:posOffset>4427088</wp:posOffset>
                  </wp:positionH>
                  <wp:positionV relativeFrom="paragraph">
                    <wp:posOffset>432353</wp:posOffset>
                  </wp:positionV>
                  <wp:extent cx="3541395" cy="4540250"/>
                  <wp:effectExtent l="0" t="0" r="1905"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1395" cy="4540250"/>
                          </a:xfrm>
                          <a:prstGeom prst="rect">
                            <a:avLst/>
                          </a:prstGeom>
                          <a:solidFill>
                            <a:schemeClr val="accent1"/>
                          </a:solidFill>
                          <a:ln w="9525">
                            <a:noFill/>
                            <a:miter lim="800000"/>
                            <a:headEnd/>
                            <a:tailEnd/>
                          </a:ln>
                        </wps:spPr>
                        <wps:txbx>
                          <w:txbxContent>
                            <w:p w14:paraId="790A5427" w14:textId="77777777" w:rsidR="00811761" w:rsidRPr="001D3724" w:rsidRDefault="00811761" w:rsidP="002D0AF6">
                              <w:pPr>
                                <w:pStyle w:val="Heading2"/>
                                <w:spacing w:before="120"/>
                                <w:rPr>
                                  <w:color w:val="FFFFFF" w:themeColor="background1"/>
                                  <w:sz w:val="32"/>
                                  <w:szCs w:val="32"/>
                                </w:rPr>
                              </w:pPr>
                              <w:bookmarkStart w:id="18" w:name="_Toc224113552"/>
                              <w:r w:rsidRPr="001D3724">
                                <w:rPr>
                                  <w:color w:val="FFFFFF" w:themeColor="background1"/>
                                  <w:sz w:val="32"/>
                                  <w:szCs w:val="32"/>
                                </w:rPr>
                                <w:t>RI priorities for the coming year</w:t>
                              </w:r>
                              <w:bookmarkEnd w:id="18"/>
                              <w:r w:rsidRPr="001D3724">
                                <w:rPr>
                                  <w:color w:val="FFFFFF" w:themeColor="background1"/>
                                  <w:sz w:val="32"/>
                                  <w:szCs w:val="32"/>
                                </w:rPr>
                                <w:t xml:space="preserve"> </w:t>
                              </w:r>
                            </w:p>
                            <w:p w14:paraId="1C4B472B" w14:textId="77777777" w:rsidR="00811761" w:rsidRPr="00811761" w:rsidRDefault="00811761" w:rsidP="00811761">
                              <w:pPr>
                                <w:rPr>
                                  <w:rFonts w:ascii="Arial" w:hAnsi="Arial" w:cs="Arial"/>
                                  <w:color w:val="FFFFFF" w:themeColor="background1"/>
                                  <w:sz w:val="24"/>
                                  <w:szCs w:val="24"/>
                                </w:rPr>
                              </w:pPr>
                              <w:r w:rsidRPr="00811761">
                                <w:rPr>
                                  <w:rFonts w:ascii="Arial" w:hAnsi="Arial" w:cs="Arial"/>
                                  <w:color w:val="FFFFFF" w:themeColor="background1"/>
                                  <w:sz w:val="24"/>
                                  <w:szCs w:val="24"/>
                                </w:rPr>
                                <w:t xml:space="preserve">The following topics have been identified as specific priorities for the coming year: </w:t>
                              </w:r>
                            </w:p>
                            <w:p w14:paraId="5123E8A9" w14:textId="3B480E2B" w:rsidR="00373D4F" w:rsidRPr="00373D4F" w:rsidRDefault="00373D4F" w:rsidP="00373D4F">
                              <w:pPr>
                                <w:pStyle w:val="ListParagraph"/>
                                <w:numPr>
                                  <w:ilvl w:val="0"/>
                                  <w:numId w:val="2"/>
                                </w:numPr>
                                <w:rPr>
                                  <w:rFonts w:ascii="Arial" w:hAnsi="Arial" w:cs="Arial"/>
                                  <w:color w:val="FFFFFF" w:themeColor="background1"/>
                                  <w:sz w:val="24"/>
                                  <w:szCs w:val="24"/>
                                </w:rPr>
                              </w:pPr>
                              <w:r w:rsidRPr="00373D4F">
                                <w:rPr>
                                  <w:rFonts w:ascii="Arial" w:hAnsi="Arial" w:cs="Arial"/>
                                  <w:color w:val="FFFFFF" w:themeColor="background1"/>
                                  <w:sz w:val="24"/>
                                  <w:szCs w:val="24"/>
                                </w:rPr>
                                <w:t>To increase reporting to scheme members on RI</w:t>
                              </w:r>
                              <w:r w:rsidR="00971DED">
                                <w:rPr>
                                  <w:rFonts w:ascii="Arial" w:hAnsi="Arial" w:cs="Arial"/>
                                  <w:color w:val="FFFFFF" w:themeColor="background1"/>
                                  <w:sz w:val="24"/>
                                  <w:szCs w:val="24"/>
                                </w:rPr>
                                <w:t>,</w:t>
                              </w:r>
                              <w:r w:rsidRPr="00373D4F">
                                <w:rPr>
                                  <w:rFonts w:ascii="Arial" w:hAnsi="Arial" w:cs="Arial"/>
                                  <w:color w:val="FFFFFF" w:themeColor="background1"/>
                                  <w:sz w:val="24"/>
                                  <w:szCs w:val="24"/>
                                </w:rPr>
                                <w:t xml:space="preserve"> to reflect the significant increase in scheme member engagement in the 2025 RI survey </w:t>
                              </w:r>
                            </w:p>
                            <w:p w14:paraId="69A18245" w14:textId="321BECC5" w:rsidR="00373D4F" w:rsidRPr="00373D4F" w:rsidRDefault="00373D4F" w:rsidP="00373D4F">
                              <w:pPr>
                                <w:pStyle w:val="ListParagraph"/>
                                <w:numPr>
                                  <w:ilvl w:val="0"/>
                                  <w:numId w:val="2"/>
                                </w:numPr>
                                <w:rPr>
                                  <w:rFonts w:ascii="Arial" w:hAnsi="Arial" w:cs="Arial"/>
                                  <w:color w:val="FFFFFF" w:themeColor="background1"/>
                                  <w:sz w:val="24"/>
                                  <w:szCs w:val="24"/>
                                </w:rPr>
                              </w:pPr>
                              <w:r w:rsidRPr="00373D4F">
                                <w:rPr>
                                  <w:rFonts w:ascii="Arial" w:hAnsi="Arial" w:cs="Arial"/>
                                  <w:color w:val="FFFFFF" w:themeColor="background1"/>
                                  <w:sz w:val="24"/>
                                  <w:szCs w:val="24"/>
                                </w:rPr>
                                <w:t xml:space="preserve">To work with the Fund’s investment managers to identify where the labour practices and supply chain management of companies the Pension Fund invests </w:t>
                              </w:r>
                              <w:r w:rsidR="006B6434">
                                <w:rPr>
                                  <w:rFonts w:ascii="Arial" w:hAnsi="Arial" w:cs="Arial"/>
                                  <w:color w:val="FFFFFF" w:themeColor="background1"/>
                                  <w:sz w:val="24"/>
                                  <w:szCs w:val="24"/>
                                </w:rPr>
                                <w:t>in</w:t>
                              </w:r>
                              <w:r w:rsidRPr="00373D4F">
                                <w:rPr>
                                  <w:rFonts w:ascii="Arial" w:hAnsi="Arial" w:cs="Arial"/>
                                  <w:color w:val="FFFFFF" w:themeColor="background1"/>
                                  <w:sz w:val="24"/>
                                  <w:szCs w:val="24"/>
                                </w:rPr>
                                <w:t xml:space="preserve"> have the greatest risk of slavery or child labour</w:t>
                              </w:r>
                            </w:p>
                            <w:p w14:paraId="740F79F7" w14:textId="22107569" w:rsidR="00373D4F" w:rsidRPr="00373D4F" w:rsidRDefault="00373D4F" w:rsidP="00373D4F">
                              <w:pPr>
                                <w:pStyle w:val="ListParagraph"/>
                                <w:numPr>
                                  <w:ilvl w:val="0"/>
                                  <w:numId w:val="2"/>
                                </w:numPr>
                                <w:rPr>
                                  <w:rFonts w:ascii="Arial" w:hAnsi="Arial" w:cs="Arial"/>
                                  <w:color w:val="FFFFFF" w:themeColor="background1"/>
                                  <w:sz w:val="24"/>
                                  <w:szCs w:val="24"/>
                                </w:rPr>
                              </w:pPr>
                              <w:r w:rsidRPr="00373D4F">
                                <w:rPr>
                                  <w:rFonts w:ascii="Arial" w:hAnsi="Arial" w:cs="Arial"/>
                                  <w:color w:val="FFFFFF" w:themeColor="background1"/>
                                  <w:sz w:val="24"/>
                                  <w:szCs w:val="24"/>
                                </w:rPr>
                                <w:t>To continue to work towards disinvesting from fossil fuels</w:t>
                              </w:r>
                            </w:p>
                            <w:p w14:paraId="5E28E6E2" w14:textId="0E3059F2" w:rsidR="00833749" w:rsidRPr="00811761" w:rsidRDefault="00373D4F" w:rsidP="00811761">
                              <w:pPr>
                                <w:pStyle w:val="ListParagraph"/>
                                <w:numPr>
                                  <w:ilvl w:val="0"/>
                                  <w:numId w:val="2"/>
                                </w:numPr>
                                <w:rPr>
                                  <w:rFonts w:ascii="Arial" w:hAnsi="Arial" w:cs="Arial"/>
                                  <w:color w:val="FFFFFF" w:themeColor="background1"/>
                                  <w:sz w:val="24"/>
                                  <w:szCs w:val="24"/>
                                </w:rPr>
                              </w:pPr>
                              <w:r w:rsidRPr="00373D4F">
                                <w:rPr>
                                  <w:rFonts w:ascii="Arial" w:hAnsi="Arial" w:cs="Arial"/>
                                  <w:color w:val="FFFFFF" w:themeColor="background1"/>
                                  <w:sz w:val="24"/>
                                  <w:szCs w:val="24"/>
                                </w:rPr>
                                <w:t>To work with</w:t>
                              </w:r>
                              <w:r w:rsidR="00531CA4">
                                <w:rPr>
                                  <w:rFonts w:ascii="Arial" w:hAnsi="Arial" w:cs="Arial"/>
                                  <w:color w:val="FFFFFF" w:themeColor="background1"/>
                                  <w:sz w:val="24"/>
                                  <w:szCs w:val="24"/>
                                </w:rPr>
                                <w:t xml:space="preserve"> LGPS</w:t>
                              </w:r>
                              <w:r w:rsidRPr="00373D4F">
                                <w:rPr>
                                  <w:rFonts w:ascii="Arial" w:hAnsi="Arial" w:cs="Arial"/>
                                  <w:color w:val="FFFFFF" w:themeColor="background1"/>
                                  <w:sz w:val="24"/>
                                  <w:szCs w:val="24"/>
                                </w:rPr>
                                <w:t xml:space="preserve">C to ensure the </w:t>
                              </w:r>
                              <w:r w:rsidR="00AF3E8E">
                                <w:rPr>
                                  <w:rFonts w:ascii="Arial" w:hAnsi="Arial" w:cs="Arial"/>
                                  <w:color w:val="FFFFFF" w:themeColor="background1"/>
                                  <w:sz w:val="24"/>
                                  <w:szCs w:val="24"/>
                                </w:rPr>
                                <w:t>Pension Fund</w:t>
                              </w:r>
                              <w:r w:rsidRPr="00373D4F">
                                <w:rPr>
                                  <w:rFonts w:ascii="Arial" w:hAnsi="Arial" w:cs="Arial"/>
                                  <w:color w:val="FFFFFF" w:themeColor="background1"/>
                                  <w:sz w:val="24"/>
                                  <w:szCs w:val="24"/>
                                </w:rPr>
                                <w:t>'s</w:t>
                              </w:r>
                              <w:r w:rsidR="00590081">
                                <w:rPr>
                                  <w:rFonts w:ascii="Arial" w:hAnsi="Arial" w:cs="Arial"/>
                                  <w:color w:val="FFFFFF" w:themeColor="background1"/>
                                  <w:sz w:val="24"/>
                                  <w:szCs w:val="24"/>
                                </w:rPr>
                                <w:t xml:space="preserve"> RI</w:t>
                              </w:r>
                              <w:r w:rsidRPr="00373D4F">
                                <w:rPr>
                                  <w:rFonts w:ascii="Arial" w:hAnsi="Arial" w:cs="Arial"/>
                                  <w:color w:val="FFFFFF" w:themeColor="background1"/>
                                  <w:sz w:val="24"/>
                                  <w:szCs w:val="24"/>
                                </w:rPr>
                                <w:t xml:space="preserve"> priorities (namely climate change, and the prevention of slavery and child labour) are embedded in their approach to R</w:t>
                              </w:r>
                              <w:r w:rsidR="00AF3E8E">
                                <w:rPr>
                                  <w:rFonts w:ascii="Arial" w:hAnsi="Arial" w:cs="Arial"/>
                                  <w:color w:val="FFFFFF" w:themeColor="background1"/>
                                  <w:sz w:val="24"/>
                                  <w:szCs w:val="24"/>
                                </w:rPr>
                                <w:t>I</w:t>
                              </w:r>
                              <w:r w:rsidRPr="00373D4F">
                                <w:rPr>
                                  <w:rFonts w:ascii="Arial" w:hAnsi="Arial" w:cs="Arial"/>
                                  <w:color w:val="FFFFFF" w:themeColor="background1"/>
                                  <w:sz w:val="24"/>
                                  <w:szCs w:val="24"/>
                                </w:rPr>
                                <w:t xml:space="preserve"> and engagement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9E2D9" id="_x0000_s1030" type="#_x0000_t202" style="position:absolute;left:0;text-align:left;margin-left:348.6pt;margin-top:34.05pt;width:278.85pt;height:35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" fillcolor="#156082 [3204]" stroked="f">
                  <v:textbox>
                    <w:txbxContent>
                      <w:p w14:paraId="790A5427" w14:textId="77777777" w:rsidR="00811761" w:rsidRPr="001D3724" w:rsidRDefault="00811761" w:rsidP="002D0AF6">
                        <w:pPr>
                          <w:pStyle w:val="Heading2"/>
                          <w:spacing w:before="120"/>
                          <w:rPr>
                            <w:color w:val="FFFFFF" w:themeColor="background1"/>
                            <w:sz w:val="32"/>
                            <w:szCs w:val="32"/>
                          </w:rPr>
                        </w:pPr>
                        <w:bookmarkStart w:id="19" w:name="_Toc224113552"/>
                        <w:r w:rsidRPr="001D3724">
                          <w:rPr>
                            <w:color w:val="FFFFFF" w:themeColor="background1"/>
                            <w:sz w:val="32"/>
                            <w:szCs w:val="32"/>
                          </w:rPr>
                          <w:t>RI priorities for the coming year</w:t>
                        </w:r>
                        <w:bookmarkEnd w:id="19"/>
                        <w:r w:rsidRPr="001D3724">
                          <w:rPr>
                            <w:color w:val="FFFFFF" w:themeColor="background1"/>
                            <w:sz w:val="32"/>
                            <w:szCs w:val="32"/>
                          </w:rPr>
                          <w:t xml:space="preserve"> </w:t>
                        </w:r>
                      </w:p>
                      <w:p w14:paraId="1C4B472B" w14:textId="77777777" w:rsidR="00811761" w:rsidRPr="00811761" w:rsidRDefault="00811761" w:rsidP="00811761">
                        <w:pPr>
                          <w:rPr>
                            <w:rFonts w:ascii="Arial" w:hAnsi="Arial" w:cs="Arial"/>
                            <w:color w:val="FFFFFF" w:themeColor="background1"/>
                            <w:sz w:val="24"/>
                            <w:szCs w:val="24"/>
                          </w:rPr>
                        </w:pPr>
                        <w:r w:rsidRPr="00811761">
                          <w:rPr>
                            <w:rFonts w:ascii="Arial" w:hAnsi="Arial" w:cs="Arial"/>
                            <w:color w:val="FFFFFF" w:themeColor="background1"/>
                            <w:sz w:val="24"/>
                            <w:szCs w:val="24"/>
                          </w:rPr>
                          <w:t xml:space="preserve">The following topics have been identified as specific priorities for the coming year: </w:t>
                        </w:r>
                      </w:p>
                      <w:p w14:paraId="5123E8A9" w14:textId="3B480E2B" w:rsidR="00373D4F" w:rsidRPr="00373D4F" w:rsidRDefault="00373D4F" w:rsidP="00373D4F">
                        <w:pPr>
                          <w:pStyle w:val="ListParagraph"/>
                          <w:numPr>
                            <w:ilvl w:val="0"/>
                            <w:numId w:val="2"/>
                          </w:numPr>
                          <w:rPr>
                            <w:rFonts w:ascii="Arial" w:hAnsi="Arial" w:cs="Arial"/>
                            <w:color w:val="FFFFFF" w:themeColor="background1"/>
                            <w:sz w:val="24"/>
                            <w:szCs w:val="24"/>
                          </w:rPr>
                        </w:pPr>
                        <w:r w:rsidRPr="00373D4F">
                          <w:rPr>
                            <w:rFonts w:ascii="Arial" w:hAnsi="Arial" w:cs="Arial"/>
                            <w:color w:val="FFFFFF" w:themeColor="background1"/>
                            <w:sz w:val="24"/>
                            <w:szCs w:val="24"/>
                          </w:rPr>
                          <w:t>To increase reporting to scheme members on RI</w:t>
                        </w:r>
                        <w:r w:rsidR="00971DED">
                          <w:rPr>
                            <w:rFonts w:ascii="Arial" w:hAnsi="Arial" w:cs="Arial"/>
                            <w:color w:val="FFFFFF" w:themeColor="background1"/>
                            <w:sz w:val="24"/>
                            <w:szCs w:val="24"/>
                          </w:rPr>
                          <w:t>,</w:t>
                        </w:r>
                        <w:r w:rsidRPr="00373D4F">
                          <w:rPr>
                            <w:rFonts w:ascii="Arial" w:hAnsi="Arial" w:cs="Arial"/>
                            <w:color w:val="FFFFFF" w:themeColor="background1"/>
                            <w:sz w:val="24"/>
                            <w:szCs w:val="24"/>
                          </w:rPr>
                          <w:t xml:space="preserve"> to reflect the significant increase in scheme member engagement in the 2025 RI survey </w:t>
                        </w:r>
                      </w:p>
                      <w:p w14:paraId="69A18245" w14:textId="321BECC5" w:rsidR="00373D4F" w:rsidRPr="00373D4F" w:rsidRDefault="00373D4F" w:rsidP="00373D4F">
                        <w:pPr>
                          <w:pStyle w:val="ListParagraph"/>
                          <w:numPr>
                            <w:ilvl w:val="0"/>
                            <w:numId w:val="2"/>
                          </w:numPr>
                          <w:rPr>
                            <w:rFonts w:ascii="Arial" w:hAnsi="Arial" w:cs="Arial"/>
                            <w:color w:val="FFFFFF" w:themeColor="background1"/>
                            <w:sz w:val="24"/>
                            <w:szCs w:val="24"/>
                          </w:rPr>
                        </w:pPr>
                        <w:r w:rsidRPr="00373D4F">
                          <w:rPr>
                            <w:rFonts w:ascii="Arial" w:hAnsi="Arial" w:cs="Arial"/>
                            <w:color w:val="FFFFFF" w:themeColor="background1"/>
                            <w:sz w:val="24"/>
                            <w:szCs w:val="24"/>
                          </w:rPr>
                          <w:t xml:space="preserve">To work with the Fund’s investment managers to identify where the labour practices and supply chain management of companies the Pension Fund invests </w:t>
                        </w:r>
                        <w:r w:rsidR="006B6434">
                          <w:rPr>
                            <w:rFonts w:ascii="Arial" w:hAnsi="Arial" w:cs="Arial"/>
                            <w:color w:val="FFFFFF" w:themeColor="background1"/>
                            <w:sz w:val="24"/>
                            <w:szCs w:val="24"/>
                          </w:rPr>
                          <w:t>in</w:t>
                        </w:r>
                        <w:r w:rsidRPr="00373D4F">
                          <w:rPr>
                            <w:rFonts w:ascii="Arial" w:hAnsi="Arial" w:cs="Arial"/>
                            <w:color w:val="FFFFFF" w:themeColor="background1"/>
                            <w:sz w:val="24"/>
                            <w:szCs w:val="24"/>
                          </w:rPr>
                          <w:t xml:space="preserve"> have the greatest risk of slavery or child labour</w:t>
                        </w:r>
                      </w:p>
                      <w:p w14:paraId="740F79F7" w14:textId="22107569" w:rsidR="00373D4F" w:rsidRPr="00373D4F" w:rsidRDefault="00373D4F" w:rsidP="00373D4F">
                        <w:pPr>
                          <w:pStyle w:val="ListParagraph"/>
                          <w:numPr>
                            <w:ilvl w:val="0"/>
                            <w:numId w:val="2"/>
                          </w:numPr>
                          <w:rPr>
                            <w:rFonts w:ascii="Arial" w:hAnsi="Arial" w:cs="Arial"/>
                            <w:color w:val="FFFFFF" w:themeColor="background1"/>
                            <w:sz w:val="24"/>
                            <w:szCs w:val="24"/>
                          </w:rPr>
                        </w:pPr>
                        <w:r w:rsidRPr="00373D4F">
                          <w:rPr>
                            <w:rFonts w:ascii="Arial" w:hAnsi="Arial" w:cs="Arial"/>
                            <w:color w:val="FFFFFF" w:themeColor="background1"/>
                            <w:sz w:val="24"/>
                            <w:szCs w:val="24"/>
                          </w:rPr>
                          <w:t>To continue to work towards disinvesting from fossil fuels</w:t>
                        </w:r>
                      </w:p>
                      <w:p w14:paraId="5E28E6E2" w14:textId="0E3059F2" w:rsidR="00833749" w:rsidRPr="00811761" w:rsidRDefault="00373D4F" w:rsidP="00811761">
                        <w:pPr>
                          <w:pStyle w:val="ListParagraph"/>
                          <w:numPr>
                            <w:ilvl w:val="0"/>
                            <w:numId w:val="2"/>
                          </w:numPr>
                          <w:rPr>
                            <w:rFonts w:ascii="Arial" w:hAnsi="Arial" w:cs="Arial"/>
                            <w:color w:val="FFFFFF" w:themeColor="background1"/>
                            <w:sz w:val="24"/>
                            <w:szCs w:val="24"/>
                          </w:rPr>
                        </w:pPr>
                        <w:r w:rsidRPr="00373D4F">
                          <w:rPr>
                            <w:rFonts w:ascii="Arial" w:hAnsi="Arial" w:cs="Arial"/>
                            <w:color w:val="FFFFFF" w:themeColor="background1"/>
                            <w:sz w:val="24"/>
                            <w:szCs w:val="24"/>
                          </w:rPr>
                          <w:t>To work with</w:t>
                        </w:r>
                        <w:r w:rsidR="00531CA4">
                          <w:rPr>
                            <w:rFonts w:ascii="Arial" w:hAnsi="Arial" w:cs="Arial"/>
                            <w:color w:val="FFFFFF" w:themeColor="background1"/>
                            <w:sz w:val="24"/>
                            <w:szCs w:val="24"/>
                          </w:rPr>
                          <w:t xml:space="preserve"> LGPS</w:t>
                        </w:r>
                        <w:r w:rsidRPr="00373D4F">
                          <w:rPr>
                            <w:rFonts w:ascii="Arial" w:hAnsi="Arial" w:cs="Arial"/>
                            <w:color w:val="FFFFFF" w:themeColor="background1"/>
                            <w:sz w:val="24"/>
                            <w:szCs w:val="24"/>
                          </w:rPr>
                          <w:t xml:space="preserve">C to ensure the </w:t>
                        </w:r>
                        <w:r w:rsidR="00AF3E8E">
                          <w:rPr>
                            <w:rFonts w:ascii="Arial" w:hAnsi="Arial" w:cs="Arial"/>
                            <w:color w:val="FFFFFF" w:themeColor="background1"/>
                            <w:sz w:val="24"/>
                            <w:szCs w:val="24"/>
                          </w:rPr>
                          <w:t>Pension Fund</w:t>
                        </w:r>
                        <w:r w:rsidRPr="00373D4F">
                          <w:rPr>
                            <w:rFonts w:ascii="Arial" w:hAnsi="Arial" w:cs="Arial"/>
                            <w:color w:val="FFFFFF" w:themeColor="background1"/>
                            <w:sz w:val="24"/>
                            <w:szCs w:val="24"/>
                          </w:rPr>
                          <w:t>'s</w:t>
                        </w:r>
                        <w:r w:rsidR="00590081">
                          <w:rPr>
                            <w:rFonts w:ascii="Arial" w:hAnsi="Arial" w:cs="Arial"/>
                            <w:color w:val="FFFFFF" w:themeColor="background1"/>
                            <w:sz w:val="24"/>
                            <w:szCs w:val="24"/>
                          </w:rPr>
                          <w:t xml:space="preserve"> RI</w:t>
                        </w:r>
                        <w:r w:rsidRPr="00373D4F">
                          <w:rPr>
                            <w:rFonts w:ascii="Arial" w:hAnsi="Arial" w:cs="Arial"/>
                            <w:color w:val="FFFFFF" w:themeColor="background1"/>
                            <w:sz w:val="24"/>
                            <w:szCs w:val="24"/>
                          </w:rPr>
                          <w:t xml:space="preserve"> priorities (namely climate change, and the prevention of slavery and child labour) are embedded in their approach to R</w:t>
                        </w:r>
                        <w:r w:rsidR="00AF3E8E">
                          <w:rPr>
                            <w:rFonts w:ascii="Arial" w:hAnsi="Arial" w:cs="Arial"/>
                            <w:color w:val="FFFFFF" w:themeColor="background1"/>
                            <w:sz w:val="24"/>
                            <w:szCs w:val="24"/>
                          </w:rPr>
                          <w:t>I</w:t>
                        </w:r>
                        <w:r w:rsidRPr="00373D4F">
                          <w:rPr>
                            <w:rFonts w:ascii="Arial" w:hAnsi="Arial" w:cs="Arial"/>
                            <w:color w:val="FFFFFF" w:themeColor="background1"/>
                            <w:sz w:val="24"/>
                            <w:szCs w:val="24"/>
                          </w:rPr>
                          <w:t xml:space="preserve"> and engagement activity</w:t>
                        </w:r>
                      </w:p>
                    </w:txbxContent>
                  </v:textbox>
                  <w10:wrap type="square"/>
                </v:shape>
              </w:pict>
            </mc:Fallback>
          </mc:AlternateContent>
        </w:r>
        <w:r w:rsidR="00804D2F" w:rsidRPr="00804D2F">
          <w:rPr>
            <w:rStyle w:val="Hyperlink"/>
            <w:rFonts w:ascii="Arial" w:hAnsi="Arial" w:cs="Arial"/>
            <w:b/>
            <w:bCs/>
            <w:sz w:val="24"/>
            <w:szCs w:val="24"/>
          </w:rPr>
          <w:t>Change</w:t>
        </w:r>
      </w:hyperlink>
    </w:p>
    <w:p w14:paraId="1FD984F0" w14:textId="282AC1EC" w:rsidR="0052389E" w:rsidRPr="005132FB" w:rsidRDefault="0052389E" w:rsidP="005132FB">
      <w:pPr>
        <w:pStyle w:val="ListParagraph"/>
        <w:numPr>
          <w:ilvl w:val="0"/>
          <w:numId w:val="2"/>
        </w:numPr>
        <w:rPr>
          <w:rFonts w:ascii="Arial" w:hAnsi="Arial" w:cs="Arial"/>
          <w:sz w:val="24"/>
          <w:szCs w:val="24"/>
        </w:rPr>
      </w:pPr>
      <w:r w:rsidRPr="005132FB">
        <w:rPr>
          <w:rFonts w:ascii="Arial" w:hAnsi="Arial" w:cs="Arial"/>
          <w:b/>
          <w:bCs/>
          <w:sz w:val="24"/>
          <w:szCs w:val="24"/>
        </w:rPr>
        <w:t>Transition Pathway Initiative (TPI) –</w:t>
      </w:r>
      <w:r w:rsidRPr="005132FB">
        <w:rPr>
          <w:rFonts w:ascii="Arial" w:hAnsi="Arial" w:cs="Arial"/>
          <w:sz w:val="24"/>
          <w:szCs w:val="24"/>
        </w:rPr>
        <w:t xml:space="preserve"> The Fund publicly supports TPI, which is a global, asset-owner led initiative which assesses companies’ preparedness for the transition to a low carbon economy. The TPI tool assesses progress against companies and sectors to measure the level of management quality and carbon performance, to aid in risk assessment. More information can be found here: </w:t>
      </w:r>
      <w:hyperlink r:id="rId41" w:history="1">
        <w:r w:rsidR="00A558CD" w:rsidRPr="00C53AF1">
          <w:rPr>
            <w:rStyle w:val="Hyperlink"/>
            <w:rFonts w:ascii="Arial" w:hAnsi="Arial" w:cs="Arial"/>
            <w:b/>
            <w:bCs/>
            <w:sz w:val="24"/>
            <w:szCs w:val="24"/>
          </w:rPr>
          <w:t>Home - Transition Pathway Initiative</w:t>
        </w:r>
      </w:hyperlink>
    </w:p>
    <w:p w14:paraId="76DE56D1" w14:textId="0A3EC57F" w:rsidR="0052389E" w:rsidRPr="005132FB" w:rsidRDefault="0052389E" w:rsidP="005132FB">
      <w:pPr>
        <w:pStyle w:val="ListParagraph"/>
        <w:numPr>
          <w:ilvl w:val="0"/>
          <w:numId w:val="2"/>
        </w:numPr>
        <w:rPr>
          <w:rFonts w:ascii="Arial" w:hAnsi="Arial" w:cs="Arial"/>
          <w:sz w:val="24"/>
          <w:szCs w:val="24"/>
        </w:rPr>
      </w:pPr>
      <w:r w:rsidRPr="005132FB">
        <w:rPr>
          <w:rFonts w:ascii="Arial" w:hAnsi="Arial" w:cs="Arial"/>
          <w:b/>
          <w:bCs/>
          <w:sz w:val="24"/>
          <w:szCs w:val="24"/>
        </w:rPr>
        <w:t>Just Transition –</w:t>
      </w:r>
      <w:r w:rsidRPr="005132FB">
        <w:rPr>
          <w:rFonts w:ascii="Arial" w:hAnsi="Arial" w:cs="Arial"/>
          <w:sz w:val="24"/>
          <w:szCs w:val="24"/>
        </w:rPr>
        <w:t xml:space="preserve"> A “just transition” means not transitioning to a low carbon economy at any cost but doing so whilst also ensuring that this is done in a socially responsible way. The Grantham Research Institute on Climate Change and the Environment at the London School of Economics and Political Science have put together a comprehensive guide as to what this means for investors, and what action can be taken. The Fund has signed a statement of support and uses the guide to help embed this goal within the Fund’s policies and help hold our investment managers to account. More information is available at the following link: </w:t>
      </w:r>
      <w:hyperlink r:id="rId42" w:history="1">
        <w:r w:rsidR="00143A29" w:rsidRPr="00143A29">
          <w:rPr>
            <w:rStyle w:val="Hyperlink"/>
            <w:rFonts w:ascii="Arial" w:hAnsi="Arial" w:cs="Arial"/>
            <w:b/>
            <w:bCs/>
            <w:sz w:val="24"/>
            <w:szCs w:val="24"/>
          </w:rPr>
          <w:t>Investing in a just transition - global project - Grantham Research Institute on climate change and the environment</w:t>
        </w:r>
      </w:hyperlink>
    </w:p>
    <w:p w14:paraId="6E809FD6" w14:textId="475F6B0A" w:rsidR="0052389E" w:rsidRPr="005132FB" w:rsidRDefault="0052389E" w:rsidP="002D0AF6">
      <w:pPr>
        <w:rPr>
          <w:rFonts w:ascii="Arial" w:hAnsi="Arial" w:cs="Arial"/>
          <w:sz w:val="24"/>
          <w:szCs w:val="24"/>
        </w:rPr>
      </w:pPr>
      <w:r w:rsidRPr="0052389E">
        <w:rPr>
          <w:rFonts w:ascii="Arial" w:hAnsi="Arial" w:cs="Arial"/>
          <w:sz w:val="24"/>
          <w:szCs w:val="24"/>
        </w:rPr>
        <w:t xml:space="preserve">The Pension Fund will consider signing up to other investor standards and initiatives where the Pension Fund Panel and Board </w:t>
      </w:r>
      <w:proofErr w:type="gramStart"/>
      <w:r w:rsidRPr="0052389E">
        <w:rPr>
          <w:rFonts w:ascii="Arial" w:hAnsi="Arial" w:cs="Arial"/>
          <w:sz w:val="24"/>
          <w:szCs w:val="24"/>
        </w:rPr>
        <w:t>believes</w:t>
      </w:r>
      <w:proofErr w:type="gramEnd"/>
      <w:r w:rsidRPr="0052389E">
        <w:rPr>
          <w:rFonts w:ascii="Arial" w:hAnsi="Arial" w:cs="Arial"/>
          <w:sz w:val="24"/>
          <w:szCs w:val="24"/>
        </w:rPr>
        <w:t xml:space="preserve"> it will enhance Hampshire’s RI policy. </w:t>
      </w:r>
    </w:p>
    <w:p w14:paraId="4C4D81AA" w14:textId="77777777" w:rsidR="00435836" w:rsidRDefault="00435836" w:rsidP="0052389E">
      <w:pPr>
        <w:rPr>
          <w:rFonts w:ascii="Arial" w:hAnsi="Arial" w:cs="Arial"/>
          <w:sz w:val="24"/>
          <w:szCs w:val="24"/>
        </w:rPr>
        <w:sectPr w:rsidR="00435836" w:rsidSect="005D460F">
          <w:type w:val="continuous"/>
          <w:pgSz w:w="15840" w:h="12240" w:orient="landscape"/>
          <w:pgMar w:top="1440" w:right="1440" w:bottom="1440" w:left="1440" w:header="720" w:footer="720" w:gutter="0"/>
          <w:cols w:num="2" w:space="720"/>
          <w:docGrid w:linePitch="360"/>
        </w:sectPr>
      </w:pPr>
    </w:p>
    <w:p w14:paraId="4D199517" w14:textId="77777777" w:rsidR="00BA1FD8" w:rsidRDefault="00BA1FD8" w:rsidP="0052389E">
      <w:pPr>
        <w:rPr>
          <w:rFonts w:ascii="Arial" w:hAnsi="Arial" w:cs="Arial"/>
          <w:sz w:val="24"/>
          <w:szCs w:val="24"/>
        </w:rPr>
      </w:pPr>
    </w:p>
    <w:p w14:paraId="7095DD65" w14:textId="77777777" w:rsidR="00BA1FD8" w:rsidRDefault="00BA1FD8" w:rsidP="0052389E">
      <w:pPr>
        <w:rPr>
          <w:rFonts w:ascii="Arial" w:hAnsi="Arial" w:cs="Arial"/>
          <w:sz w:val="24"/>
          <w:szCs w:val="24"/>
        </w:rPr>
      </w:pPr>
    </w:p>
    <w:p w14:paraId="0EAB9D7D" w14:textId="77777777" w:rsidR="00BA1FD8" w:rsidRDefault="00BA1FD8" w:rsidP="0052389E">
      <w:pPr>
        <w:rPr>
          <w:rFonts w:ascii="Arial" w:hAnsi="Arial" w:cs="Arial"/>
          <w:sz w:val="24"/>
          <w:szCs w:val="24"/>
        </w:rPr>
      </w:pPr>
    </w:p>
    <w:p w14:paraId="7DFC09F3" w14:textId="77777777" w:rsidR="00BA1FD8" w:rsidRDefault="00BA1FD8" w:rsidP="0052389E">
      <w:pPr>
        <w:rPr>
          <w:rFonts w:ascii="Arial" w:hAnsi="Arial" w:cs="Arial"/>
          <w:sz w:val="24"/>
          <w:szCs w:val="24"/>
        </w:rPr>
      </w:pPr>
    </w:p>
    <w:p w14:paraId="031DD87A" w14:textId="77777777" w:rsidR="00BA1FD8" w:rsidRDefault="00BA1FD8" w:rsidP="0052389E">
      <w:pPr>
        <w:rPr>
          <w:rFonts w:ascii="Arial" w:hAnsi="Arial" w:cs="Arial"/>
          <w:sz w:val="24"/>
          <w:szCs w:val="24"/>
        </w:rPr>
      </w:pPr>
    </w:p>
    <w:p w14:paraId="3089D6D0" w14:textId="77777777" w:rsidR="00BA1FD8" w:rsidRDefault="00BA1FD8" w:rsidP="0052389E">
      <w:pPr>
        <w:rPr>
          <w:rFonts w:ascii="Arial" w:hAnsi="Arial" w:cs="Arial"/>
          <w:sz w:val="24"/>
          <w:szCs w:val="24"/>
        </w:rPr>
      </w:pPr>
    </w:p>
    <w:p w14:paraId="09A23407" w14:textId="77777777" w:rsidR="00BA1FD8" w:rsidRDefault="00BA1FD8" w:rsidP="0052389E">
      <w:pPr>
        <w:rPr>
          <w:rFonts w:ascii="Arial" w:hAnsi="Arial" w:cs="Arial"/>
          <w:sz w:val="24"/>
          <w:szCs w:val="24"/>
        </w:rPr>
      </w:pPr>
    </w:p>
    <w:p w14:paraId="1764D8D1" w14:textId="77777777" w:rsidR="00BA1FD8" w:rsidRDefault="00BA1FD8" w:rsidP="0052389E">
      <w:pPr>
        <w:rPr>
          <w:rFonts w:ascii="Arial" w:hAnsi="Arial" w:cs="Arial"/>
          <w:sz w:val="24"/>
          <w:szCs w:val="24"/>
        </w:rPr>
      </w:pPr>
    </w:p>
    <w:p w14:paraId="7F240B91" w14:textId="77777777" w:rsidR="00BA1FD8" w:rsidRDefault="00BA1FD8" w:rsidP="0052389E">
      <w:pPr>
        <w:rPr>
          <w:rFonts w:ascii="Arial" w:hAnsi="Arial" w:cs="Arial"/>
          <w:sz w:val="24"/>
          <w:szCs w:val="24"/>
        </w:rPr>
      </w:pPr>
    </w:p>
    <w:p w14:paraId="40BD168A" w14:textId="77777777" w:rsidR="00BA1FD8" w:rsidRDefault="00BA1FD8" w:rsidP="0052389E">
      <w:pPr>
        <w:rPr>
          <w:rFonts w:ascii="Arial" w:hAnsi="Arial" w:cs="Arial"/>
          <w:sz w:val="24"/>
          <w:szCs w:val="24"/>
        </w:rPr>
      </w:pPr>
    </w:p>
    <w:p w14:paraId="48FBC92C" w14:textId="77777777" w:rsidR="00BA1FD8" w:rsidRDefault="00BA1FD8" w:rsidP="0052389E">
      <w:pPr>
        <w:rPr>
          <w:rFonts w:ascii="Arial" w:hAnsi="Arial" w:cs="Arial"/>
          <w:sz w:val="24"/>
          <w:szCs w:val="24"/>
        </w:rPr>
      </w:pPr>
    </w:p>
    <w:p w14:paraId="7A778113" w14:textId="77777777" w:rsidR="00BA1FD8" w:rsidRDefault="00BA1FD8" w:rsidP="0052389E">
      <w:pPr>
        <w:rPr>
          <w:rFonts w:ascii="Arial" w:hAnsi="Arial" w:cs="Arial"/>
          <w:sz w:val="24"/>
          <w:szCs w:val="24"/>
        </w:rPr>
      </w:pPr>
    </w:p>
    <w:p w14:paraId="689BD843" w14:textId="77777777" w:rsidR="00BA1FD8" w:rsidRDefault="00BA1FD8" w:rsidP="0052389E">
      <w:pPr>
        <w:rPr>
          <w:rFonts w:ascii="Arial" w:hAnsi="Arial" w:cs="Arial"/>
          <w:sz w:val="24"/>
          <w:szCs w:val="24"/>
        </w:rPr>
      </w:pPr>
    </w:p>
    <w:p w14:paraId="36EABF01" w14:textId="77777777" w:rsidR="00BA1FD8" w:rsidRDefault="00BA1FD8" w:rsidP="0052389E">
      <w:pPr>
        <w:rPr>
          <w:rFonts w:ascii="Arial" w:hAnsi="Arial" w:cs="Arial"/>
          <w:sz w:val="24"/>
          <w:szCs w:val="24"/>
        </w:rPr>
      </w:pPr>
    </w:p>
    <w:p w14:paraId="3152D1EF" w14:textId="66AE6406" w:rsidR="0052389E" w:rsidRPr="0052389E" w:rsidRDefault="0052389E" w:rsidP="0052389E">
      <w:pPr>
        <w:rPr>
          <w:rFonts w:ascii="Arial" w:hAnsi="Arial" w:cs="Arial"/>
          <w:sz w:val="24"/>
          <w:szCs w:val="24"/>
        </w:rPr>
      </w:pPr>
      <w:r w:rsidRPr="0052389E">
        <w:rPr>
          <w:rFonts w:ascii="Arial" w:hAnsi="Arial" w:cs="Arial"/>
          <w:sz w:val="24"/>
          <w:szCs w:val="24"/>
        </w:rPr>
        <w:t xml:space="preserve">Hampshire Pension Fund </w:t>
      </w:r>
    </w:p>
    <w:p w14:paraId="514C8FCC" w14:textId="77777777" w:rsidR="0052389E" w:rsidRPr="0052389E" w:rsidRDefault="0052389E" w:rsidP="0052389E">
      <w:pPr>
        <w:rPr>
          <w:rFonts w:ascii="Arial" w:hAnsi="Arial" w:cs="Arial"/>
          <w:sz w:val="24"/>
          <w:szCs w:val="24"/>
        </w:rPr>
      </w:pPr>
      <w:r w:rsidRPr="0052389E">
        <w:rPr>
          <w:rFonts w:ascii="Arial" w:hAnsi="Arial" w:cs="Arial"/>
          <w:sz w:val="24"/>
          <w:szCs w:val="24"/>
        </w:rPr>
        <w:t xml:space="preserve">The Castle, </w:t>
      </w:r>
    </w:p>
    <w:p w14:paraId="01355403" w14:textId="77777777" w:rsidR="0052389E" w:rsidRPr="0052389E" w:rsidRDefault="0052389E" w:rsidP="0052389E">
      <w:pPr>
        <w:rPr>
          <w:rFonts w:ascii="Arial" w:hAnsi="Arial" w:cs="Arial"/>
          <w:sz w:val="24"/>
          <w:szCs w:val="24"/>
        </w:rPr>
      </w:pPr>
      <w:r w:rsidRPr="0052389E">
        <w:rPr>
          <w:rFonts w:ascii="Arial" w:hAnsi="Arial" w:cs="Arial"/>
          <w:sz w:val="24"/>
          <w:szCs w:val="24"/>
        </w:rPr>
        <w:t xml:space="preserve">Winchester, </w:t>
      </w:r>
    </w:p>
    <w:p w14:paraId="75E4B4D4" w14:textId="77777777" w:rsidR="0052389E" w:rsidRPr="0052389E" w:rsidRDefault="0052389E" w:rsidP="0052389E">
      <w:pPr>
        <w:rPr>
          <w:rFonts w:ascii="Arial" w:hAnsi="Arial" w:cs="Arial"/>
          <w:sz w:val="24"/>
          <w:szCs w:val="24"/>
        </w:rPr>
      </w:pPr>
      <w:r w:rsidRPr="0052389E">
        <w:rPr>
          <w:rFonts w:ascii="Arial" w:hAnsi="Arial" w:cs="Arial"/>
          <w:sz w:val="24"/>
          <w:szCs w:val="24"/>
        </w:rPr>
        <w:t xml:space="preserve">Hampshire </w:t>
      </w:r>
    </w:p>
    <w:p w14:paraId="3DA27097" w14:textId="61FA1CA1" w:rsidR="0052389E" w:rsidRPr="0052389E" w:rsidRDefault="0052389E" w:rsidP="0052389E">
      <w:pPr>
        <w:rPr>
          <w:rFonts w:ascii="Arial" w:hAnsi="Arial" w:cs="Arial"/>
          <w:sz w:val="24"/>
          <w:szCs w:val="24"/>
        </w:rPr>
      </w:pPr>
      <w:r w:rsidRPr="0052389E">
        <w:rPr>
          <w:rFonts w:ascii="Arial" w:hAnsi="Arial" w:cs="Arial"/>
          <w:sz w:val="24"/>
          <w:szCs w:val="24"/>
        </w:rPr>
        <w:t>SO23 8UB.</w:t>
      </w:r>
    </w:p>
    <w:sectPr w:rsidR="0052389E" w:rsidRPr="0052389E" w:rsidSect="005D460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CD0AB" w14:textId="77777777" w:rsidR="008642DD" w:rsidRDefault="008642DD" w:rsidP="00F46D1C">
      <w:pPr>
        <w:spacing w:after="0" w:line="240" w:lineRule="auto"/>
      </w:pPr>
      <w:r>
        <w:separator/>
      </w:r>
    </w:p>
  </w:endnote>
  <w:endnote w:type="continuationSeparator" w:id="0">
    <w:p w14:paraId="373FE494" w14:textId="77777777" w:rsidR="008642DD" w:rsidRDefault="008642DD" w:rsidP="00F46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A7038" w14:textId="77777777" w:rsidR="004D6DE4" w:rsidRDefault="004D6D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D79BA" w14:textId="06D8F7E7" w:rsidR="00F46D1C" w:rsidRPr="00F46D1C" w:rsidRDefault="00F46D1C">
    <w:pPr>
      <w:pStyle w:val="Footer"/>
      <w:rPr>
        <w:rFonts w:ascii="Arial" w:hAnsi="Arial" w:cs="Arial"/>
        <w:sz w:val="24"/>
        <w:szCs w:val="24"/>
      </w:rPr>
    </w:pPr>
    <w:r w:rsidRPr="00F46D1C">
      <w:rPr>
        <w:rFonts w:ascii="Arial" w:hAnsi="Arial" w:cs="Arial"/>
        <w:sz w:val="24"/>
        <w:szCs w:val="24"/>
      </w:rPr>
      <w:t>Investment Strategy Statement</w:t>
    </w:r>
    <w:r w:rsidRPr="00F46D1C">
      <w:rPr>
        <w:rFonts w:ascii="Arial" w:hAnsi="Arial" w:cs="Arial"/>
        <w:sz w:val="24"/>
        <w:szCs w:val="24"/>
      </w:rPr>
      <w:ptab w:relativeTo="margin" w:alignment="center" w:leader="none"/>
    </w:r>
    <w:r w:rsidRPr="00F46D1C">
      <w:rPr>
        <w:rFonts w:ascii="Arial" w:hAnsi="Arial" w:cs="Arial"/>
        <w:sz w:val="24"/>
        <w:szCs w:val="24"/>
      </w:rPr>
      <w:ptab w:relativeTo="margin" w:alignment="right" w:leader="none"/>
    </w:r>
    <w:r w:rsidRPr="00F46D1C">
      <w:rPr>
        <w:rFonts w:ascii="Arial" w:hAnsi="Arial" w:cs="Arial"/>
        <w:sz w:val="24"/>
        <w:szCs w:val="24"/>
      </w:rPr>
      <w:fldChar w:fldCharType="begin"/>
    </w:r>
    <w:r w:rsidRPr="00F46D1C">
      <w:rPr>
        <w:rFonts w:ascii="Arial" w:hAnsi="Arial" w:cs="Arial"/>
        <w:sz w:val="24"/>
        <w:szCs w:val="24"/>
      </w:rPr>
      <w:instrText xml:space="preserve"> PAGE   \* MERGEFORMAT </w:instrText>
    </w:r>
    <w:r w:rsidRPr="00F46D1C">
      <w:rPr>
        <w:rFonts w:ascii="Arial" w:hAnsi="Arial" w:cs="Arial"/>
        <w:sz w:val="24"/>
        <w:szCs w:val="24"/>
      </w:rPr>
      <w:fldChar w:fldCharType="separate"/>
    </w:r>
    <w:r w:rsidRPr="00F46D1C">
      <w:rPr>
        <w:rFonts w:ascii="Arial" w:hAnsi="Arial" w:cs="Arial"/>
        <w:noProof/>
        <w:sz w:val="24"/>
        <w:szCs w:val="24"/>
      </w:rPr>
      <w:t>1</w:t>
    </w:r>
    <w:r w:rsidRPr="00F46D1C">
      <w:rPr>
        <w:rFonts w:ascii="Arial" w:hAnsi="Arial" w:cs="Arial"/>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D919E" w14:textId="77777777" w:rsidR="004D6DE4" w:rsidRDefault="004D6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FEC00" w14:textId="77777777" w:rsidR="008642DD" w:rsidRDefault="008642DD" w:rsidP="00F46D1C">
      <w:pPr>
        <w:spacing w:after="0" w:line="240" w:lineRule="auto"/>
      </w:pPr>
      <w:r>
        <w:separator/>
      </w:r>
    </w:p>
  </w:footnote>
  <w:footnote w:type="continuationSeparator" w:id="0">
    <w:p w14:paraId="7513A209" w14:textId="77777777" w:rsidR="008642DD" w:rsidRDefault="008642DD" w:rsidP="00F46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3E00" w14:textId="40C3B053" w:rsidR="004D6DE4" w:rsidRDefault="008642DD">
    <w:pPr>
      <w:pStyle w:val="Header"/>
    </w:pPr>
    <w:r>
      <w:rPr>
        <w:noProof/>
      </w:rPr>
      <w:pict w14:anchorId="43AF8D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624110" o:spid="_x0000_s1026" type="#_x0000_t136" style="position:absolute;margin-left:0;margin-top:0;width:652.55pt;height:108.75pt;rotation:315;z-index:-251658239;mso-position-horizontal:center;mso-position-horizontal-relative:margin;mso-position-vertical:center;mso-position-vertical-relative:margin" o:allowincell="f" fillcolor="silver" stroked="f">
          <v:fill opacity=".5"/>
          <v:textpath style="font-family:&quot;Calibri&quot;;font-size:1pt" string="Draft for consult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A169" w14:textId="7AEE23F8" w:rsidR="004D6DE4" w:rsidRDefault="008642DD">
    <w:pPr>
      <w:pStyle w:val="Header"/>
    </w:pPr>
    <w:r>
      <w:rPr>
        <w:noProof/>
      </w:rPr>
      <w:pict w14:anchorId="63BA3E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624111" o:spid="_x0000_s1027" type="#_x0000_t136" style="position:absolute;margin-left:0;margin-top:0;width:652.55pt;height:108.75pt;rotation:315;z-index:-251658238;mso-position-horizontal:center;mso-position-horizontal-relative:margin;mso-position-vertical:center;mso-position-vertical-relative:margin" o:allowincell="f" fillcolor="silver" stroked="f">
          <v:fill opacity=".5"/>
          <v:textpath style="font-family:&quot;Calibri&quot;;font-size:1pt" string="Draft for consultat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5EE38" w14:textId="4D3811BA" w:rsidR="004D6DE4" w:rsidRDefault="008642DD">
    <w:pPr>
      <w:pStyle w:val="Header"/>
    </w:pPr>
    <w:r>
      <w:rPr>
        <w:noProof/>
      </w:rPr>
      <w:pict w14:anchorId="5D1A1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624109" o:spid="_x0000_s1025" type="#_x0000_t136" style="position:absolute;margin-left:0;margin-top:0;width:652.55pt;height:108.75pt;rotation:315;z-index:-251658240;mso-position-horizontal:center;mso-position-horizontal-relative:margin;mso-position-vertical:center;mso-position-vertical-relative:margin" o:allowincell="f" fillcolor="silver" stroked="f">
          <v:fill opacity=".5"/>
          <v:textpath style="font-family:&quot;Calibri&quot;;font-size:1pt" string="Draft for consult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F3157"/>
    <w:multiLevelType w:val="hybridMultilevel"/>
    <w:tmpl w:val="0E2AC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61EFA"/>
    <w:multiLevelType w:val="hybridMultilevel"/>
    <w:tmpl w:val="1B70E9B0"/>
    <w:lvl w:ilvl="0" w:tplc="8FBA77E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97418E"/>
    <w:multiLevelType w:val="hybridMultilevel"/>
    <w:tmpl w:val="C42C7194"/>
    <w:lvl w:ilvl="0" w:tplc="8FBA77E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2662FA"/>
    <w:multiLevelType w:val="hybridMultilevel"/>
    <w:tmpl w:val="ADF057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257187"/>
    <w:multiLevelType w:val="hybridMultilevel"/>
    <w:tmpl w:val="4894BF9E"/>
    <w:lvl w:ilvl="0" w:tplc="8FBA77E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320B12"/>
    <w:multiLevelType w:val="hybridMultilevel"/>
    <w:tmpl w:val="D334F752"/>
    <w:lvl w:ilvl="0" w:tplc="8FBA77E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7203E3"/>
    <w:multiLevelType w:val="hybridMultilevel"/>
    <w:tmpl w:val="7AF0DB32"/>
    <w:lvl w:ilvl="0" w:tplc="8FBA77E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737CFC"/>
    <w:multiLevelType w:val="hybridMultilevel"/>
    <w:tmpl w:val="6354F4AA"/>
    <w:lvl w:ilvl="0" w:tplc="8FBA77E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162BA7"/>
    <w:multiLevelType w:val="hybridMultilevel"/>
    <w:tmpl w:val="AACAA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3B1DA9"/>
    <w:multiLevelType w:val="hybridMultilevel"/>
    <w:tmpl w:val="2A5C8E12"/>
    <w:lvl w:ilvl="0" w:tplc="8FBA77E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9441F2"/>
    <w:multiLevelType w:val="hybridMultilevel"/>
    <w:tmpl w:val="5862080C"/>
    <w:lvl w:ilvl="0" w:tplc="8FBA77E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9D5783"/>
    <w:multiLevelType w:val="hybridMultilevel"/>
    <w:tmpl w:val="098A4D9A"/>
    <w:lvl w:ilvl="0" w:tplc="8FBA77E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211CB3"/>
    <w:multiLevelType w:val="hybridMultilevel"/>
    <w:tmpl w:val="7EB66E48"/>
    <w:lvl w:ilvl="0" w:tplc="8FBA77E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787455"/>
    <w:multiLevelType w:val="hybridMultilevel"/>
    <w:tmpl w:val="7CE4ACAC"/>
    <w:lvl w:ilvl="0" w:tplc="8FBA77E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ED0E24"/>
    <w:multiLevelType w:val="hybridMultilevel"/>
    <w:tmpl w:val="5E8A65CE"/>
    <w:lvl w:ilvl="0" w:tplc="8FBA77E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4334B0"/>
    <w:multiLevelType w:val="hybridMultilevel"/>
    <w:tmpl w:val="174617C0"/>
    <w:lvl w:ilvl="0" w:tplc="8FBA77E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6B5B98"/>
    <w:multiLevelType w:val="hybridMultilevel"/>
    <w:tmpl w:val="2AB278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E81B39"/>
    <w:multiLevelType w:val="hybridMultilevel"/>
    <w:tmpl w:val="0E402B6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1B5C52"/>
    <w:multiLevelType w:val="hybridMultilevel"/>
    <w:tmpl w:val="100ACC04"/>
    <w:lvl w:ilvl="0" w:tplc="8FBA77E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438093">
    <w:abstractNumId w:val="8"/>
  </w:num>
  <w:num w:numId="2" w16cid:durableId="1168249445">
    <w:abstractNumId w:val="2"/>
  </w:num>
  <w:num w:numId="3" w16cid:durableId="687610108">
    <w:abstractNumId w:val="7"/>
  </w:num>
  <w:num w:numId="4" w16cid:durableId="1156190537">
    <w:abstractNumId w:val="9"/>
  </w:num>
  <w:num w:numId="5" w16cid:durableId="959149726">
    <w:abstractNumId w:val="13"/>
  </w:num>
  <w:num w:numId="6" w16cid:durableId="2053992691">
    <w:abstractNumId w:val="18"/>
  </w:num>
  <w:num w:numId="7" w16cid:durableId="75825917">
    <w:abstractNumId w:val="6"/>
  </w:num>
  <w:num w:numId="8" w16cid:durableId="135219480">
    <w:abstractNumId w:val="10"/>
  </w:num>
  <w:num w:numId="9" w16cid:durableId="407532265">
    <w:abstractNumId w:val="5"/>
  </w:num>
  <w:num w:numId="10" w16cid:durableId="1582644473">
    <w:abstractNumId w:val="14"/>
  </w:num>
  <w:num w:numId="11" w16cid:durableId="1262227102">
    <w:abstractNumId w:val="15"/>
  </w:num>
  <w:num w:numId="12" w16cid:durableId="611672614">
    <w:abstractNumId w:val="4"/>
  </w:num>
  <w:num w:numId="13" w16cid:durableId="234435750">
    <w:abstractNumId w:val="16"/>
  </w:num>
  <w:num w:numId="14" w16cid:durableId="1862357886">
    <w:abstractNumId w:val="3"/>
  </w:num>
  <w:num w:numId="15" w16cid:durableId="2088110497">
    <w:abstractNumId w:val="1"/>
  </w:num>
  <w:num w:numId="16" w16cid:durableId="912737553">
    <w:abstractNumId w:val="11"/>
  </w:num>
  <w:num w:numId="17" w16cid:durableId="499276567">
    <w:abstractNumId w:val="12"/>
  </w:num>
  <w:num w:numId="18" w16cid:durableId="140393838">
    <w:abstractNumId w:val="17"/>
  </w:num>
  <w:num w:numId="19" w16cid:durableId="1259370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89E"/>
    <w:rsid w:val="000016AD"/>
    <w:rsid w:val="00001AE4"/>
    <w:rsid w:val="0000284D"/>
    <w:rsid w:val="000040A3"/>
    <w:rsid w:val="00004E4E"/>
    <w:rsid w:val="000102FE"/>
    <w:rsid w:val="00010AA9"/>
    <w:rsid w:val="00010AD2"/>
    <w:rsid w:val="00011FA5"/>
    <w:rsid w:val="00013FF9"/>
    <w:rsid w:val="00014B67"/>
    <w:rsid w:val="0001552C"/>
    <w:rsid w:val="00020BBF"/>
    <w:rsid w:val="00020D7E"/>
    <w:rsid w:val="00021641"/>
    <w:rsid w:val="000248CF"/>
    <w:rsid w:val="00024959"/>
    <w:rsid w:val="000257F8"/>
    <w:rsid w:val="0002757E"/>
    <w:rsid w:val="00027607"/>
    <w:rsid w:val="00027D1F"/>
    <w:rsid w:val="00030868"/>
    <w:rsid w:val="00030C13"/>
    <w:rsid w:val="00030D6A"/>
    <w:rsid w:val="00032427"/>
    <w:rsid w:val="000327B7"/>
    <w:rsid w:val="00032DEA"/>
    <w:rsid w:val="00032F3D"/>
    <w:rsid w:val="0003576A"/>
    <w:rsid w:val="00037ED3"/>
    <w:rsid w:val="00042B15"/>
    <w:rsid w:val="000439DA"/>
    <w:rsid w:val="00044010"/>
    <w:rsid w:val="000459E0"/>
    <w:rsid w:val="00047456"/>
    <w:rsid w:val="00047580"/>
    <w:rsid w:val="0005015C"/>
    <w:rsid w:val="00050213"/>
    <w:rsid w:val="000515E1"/>
    <w:rsid w:val="00051A12"/>
    <w:rsid w:val="00052650"/>
    <w:rsid w:val="000531DE"/>
    <w:rsid w:val="00053742"/>
    <w:rsid w:val="00053E29"/>
    <w:rsid w:val="00054FA1"/>
    <w:rsid w:val="00056A5E"/>
    <w:rsid w:val="00056D4C"/>
    <w:rsid w:val="00057246"/>
    <w:rsid w:val="000575EC"/>
    <w:rsid w:val="00057CA6"/>
    <w:rsid w:val="0006044F"/>
    <w:rsid w:val="00060A85"/>
    <w:rsid w:val="000619F2"/>
    <w:rsid w:val="000623E2"/>
    <w:rsid w:val="00062D8B"/>
    <w:rsid w:val="00063B1D"/>
    <w:rsid w:val="0006497A"/>
    <w:rsid w:val="0006528D"/>
    <w:rsid w:val="00066FFE"/>
    <w:rsid w:val="00070BBD"/>
    <w:rsid w:val="00072D0C"/>
    <w:rsid w:val="000804D4"/>
    <w:rsid w:val="00082E10"/>
    <w:rsid w:val="00082E85"/>
    <w:rsid w:val="00084754"/>
    <w:rsid w:val="00085343"/>
    <w:rsid w:val="000859F7"/>
    <w:rsid w:val="0008757C"/>
    <w:rsid w:val="00090F04"/>
    <w:rsid w:val="00091863"/>
    <w:rsid w:val="0009457A"/>
    <w:rsid w:val="0009488B"/>
    <w:rsid w:val="000958C5"/>
    <w:rsid w:val="00096881"/>
    <w:rsid w:val="00097741"/>
    <w:rsid w:val="000A009A"/>
    <w:rsid w:val="000A1C56"/>
    <w:rsid w:val="000A250A"/>
    <w:rsid w:val="000A2795"/>
    <w:rsid w:val="000A2B8E"/>
    <w:rsid w:val="000A2E21"/>
    <w:rsid w:val="000A3384"/>
    <w:rsid w:val="000A33D0"/>
    <w:rsid w:val="000A3659"/>
    <w:rsid w:val="000A3F6B"/>
    <w:rsid w:val="000A454F"/>
    <w:rsid w:val="000A6720"/>
    <w:rsid w:val="000A78F5"/>
    <w:rsid w:val="000A7A9C"/>
    <w:rsid w:val="000B2E5C"/>
    <w:rsid w:val="000B31FD"/>
    <w:rsid w:val="000B4D92"/>
    <w:rsid w:val="000B505B"/>
    <w:rsid w:val="000B6932"/>
    <w:rsid w:val="000C5AF1"/>
    <w:rsid w:val="000C6CDD"/>
    <w:rsid w:val="000D068B"/>
    <w:rsid w:val="000D14E4"/>
    <w:rsid w:val="000D2211"/>
    <w:rsid w:val="000D33F9"/>
    <w:rsid w:val="000D56D0"/>
    <w:rsid w:val="000D65ED"/>
    <w:rsid w:val="000D6F5C"/>
    <w:rsid w:val="000D6F85"/>
    <w:rsid w:val="000D740F"/>
    <w:rsid w:val="000E2BFF"/>
    <w:rsid w:val="000E44BA"/>
    <w:rsid w:val="000E4651"/>
    <w:rsid w:val="000E5442"/>
    <w:rsid w:val="000E5B4E"/>
    <w:rsid w:val="000E5C5F"/>
    <w:rsid w:val="000E6F9B"/>
    <w:rsid w:val="000E6FF2"/>
    <w:rsid w:val="000E7043"/>
    <w:rsid w:val="000E70C4"/>
    <w:rsid w:val="000E77E8"/>
    <w:rsid w:val="000F2D6D"/>
    <w:rsid w:val="000F3458"/>
    <w:rsid w:val="000F4C10"/>
    <w:rsid w:val="000F68AA"/>
    <w:rsid w:val="000F6C8A"/>
    <w:rsid w:val="000F6FC1"/>
    <w:rsid w:val="001004F1"/>
    <w:rsid w:val="0010097F"/>
    <w:rsid w:val="00100A0E"/>
    <w:rsid w:val="00101465"/>
    <w:rsid w:val="0010173E"/>
    <w:rsid w:val="00101E09"/>
    <w:rsid w:val="00101FD5"/>
    <w:rsid w:val="001021E6"/>
    <w:rsid w:val="00102C3D"/>
    <w:rsid w:val="00102F47"/>
    <w:rsid w:val="00103804"/>
    <w:rsid w:val="00104EB6"/>
    <w:rsid w:val="00105966"/>
    <w:rsid w:val="00105CE8"/>
    <w:rsid w:val="001064A3"/>
    <w:rsid w:val="001070C6"/>
    <w:rsid w:val="001077ED"/>
    <w:rsid w:val="001107F4"/>
    <w:rsid w:val="001109B1"/>
    <w:rsid w:val="00112418"/>
    <w:rsid w:val="00114D1A"/>
    <w:rsid w:val="0011510F"/>
    <w:rsid w:val="001155A9"/>
    <w:rsid w:val="001169E0"/>
    <w:rsid w:val="00117172"/>
    <w:rsid w:val="00117710"/>
    <w:rsid w:val="00117974"/>
    <w:rsid w:val="00117BB2"/>
    <w:rsid w:val="00120CD6"/>
    <w:rsid w:val="00120FF3"/>
    <w:rsid w:val="00121576"/>
    <w:rsid w:val="001227BE"/>
    <w:rsid w:val="0012285F"/>
    <w:rsid w:val="00123F43"/>
    <w:rsid w:val="001250AA"/>
    <w:rsid w:val="00126243"/>
    <w:rsid w:val="001265B3"/>
    <w:rsid w:val="00130325"/>
    <w:rsid w:val="00131DEB"/>
    <w:rsid w:val="00132F7A"/>
    <w:rsid w:val="0013596B"/>
    <w:rsid w:val="0013659A"/>
    <w:rsid w:val="00137AD7"/>
    <w:rsid w:val="0014012D"/>
    <w:rsid w:val="00141B07"/>
    <w:rsid w:val="00141F6E"/>
    <w:rsid w:val="00141F74"/>
    <w:rsid w:val="001438BC"/>
    <w:rsid w:val="00143A29"/>
    <w:rsid w:val="00144080"/>
    <w:rsid w:val="00146676"/>
    <w:rsid w:val="0014716A"/>
    <w:rsid w:val="001528AE"/>
    <w:rsid w:val="001539E7"/>
    <w:rsid w:val="001548C6"/>
    <w:rsid w:val="00154FA3"/>
    <w:rsid w:val="0015511E"/>
    <w:rsid w:val="00155940"/>
    <w:rsid w:val="00155A7F"/>
    <w:rsid w:val="00155CEF"/>
    <w:rsid w:val="00156CE0"/>
    <w:rsid w:val="00157652"/>
    <w:rsid w:val="0016469C"/>
    <w:rsid w:val="00167414"/>
    <w:rsid w:val="001676EC"/>
    <w:rsid w:val="00167C1F"/>
    <w:rsid w:val="00171FE1"/>
    <w:rsid w:val="0017252F"/>
    <w:rsid w:val="00176225"/>
    <w:rsid w:val="00176270"/>
    <w:rsid w:val="001768F3"/>
    <w:rsid w:val="0018017F"/>
    <w:rsid w:val="00182714"/>
    <w:rsid w:val="00184180"/>
    <w:rsid w:val="001844A3"/>
    <w:rsid w:val="00184FC7"/>
    <w:rsid w:val="00185321"/>
    <w:rsid w:val="00185D96"/>
    <w:rsid w:val="00190301"/>
    <w:rsid w:val="00191BED"/>
    <w:rsid w:val="001935CB"/>
    <w:rsid w:val="00193A8D"/>
    <w:rsid w:val="00195F9F"/>
    <w:rsid w:val="00196531"/>
    <w:rsid w:val="001A03F3"/>
    <w:rsid w:val="001A0451"/>
    <w:rsid w:val="001A0AD3"/>
    <w:rsid w:val="001A1ACF"/>
    <w:rsid w:val="001A44C4"/>
    <w:rsid w:val="001A53FD"/>
    <w:rsid w:val="001A54A7"/>
    <w:rsid w:val="001A6788"/>
    <w:rsid w:val="001A77A9"/>
    <w:rsid w:val="001B1259"/>
    <w:rsid w:val="001B5E52"/>
    <w:rsid w:val="001B6927"/>
    <w:rsid w:val="001C4561"/>
    <w:rsid w:val="001C4CBC"/>
    <w:rsid w:val="001C4F19"/>
    <w:rsid w:val="001D0636"/>
    <w:rsid w:val="001D1A1B"/>
    <w:rsid w:val="001D22D3"/>
    <w:rsid w:val="001D3724"/>
    <w:rsid w:val="001D4864"/>
    <w:rsid w:val="001D5209"/>
    <w:rsid w:val="001D5349"/>
    <w:rsid w:val="001E0758"/>
    <w:rsid w:val="001E0D8E"/>
    <w:rsid w:val="001E18EB"/>
    <w:rsid w:val="001E3B21"/>
    <w:rsid w:val="001E4504"/>
    <w:rsid w:val="001E4BBE"/>
    <w:rsid w:val="001E5C28"/>
    <w:rsid w:val="001E65D5"/>
    <w:rsid w:val="001E769C"/>
    <w:rsid w:val="001F6B93"/>
    <w:rsid w:val="001F7CC6"/>
    <w:rsid w:val="00200DD1"/>
    <w:rsid w:val="002014F0"/>
    <w:rsid w:val="00203E05"/>
    <w:rsid w:val="002051A8"/>
    <w:rsid w:val="00205CF3"/>
    <w:rsid w:val="0020610A"/>
    <w:rsid w:val="0020654D"/>
    <w:rsid w:val="0021003C"/>
    <w:rsid w:val="00214D7C"/>
    <w:rsid w:val="00215234"/>
    <w:rsid w:val="00215E58"/>
    <w:rsid w:val="0022079D"/>
    <w:rsid w:val="00220868"/>
    <w:rsid w:val="00222B29"/>
    <w:rsid w:val="00222E79"/>
    <w:rsid w:val="0022419C"/>
    <w:rsid w:val="002252EC"/>
    <w:rsid w:val="002332BE"/>
    <w:rsid w:val="00233922"/>
    <w:rsid w:val="002348EE"/>
    <w:rsid w:val="00234D61"/>
    <w:rsid w:val="00234F8C"/>
    <w:rsid w:val="00240988"/>
    <w:rsid w:val="00241778"/>
    <w:rsid w:val="002418E3"/>
    <w:rsid w:val="002441E7"/>
    <w:rsid w:val="002502FB"/>
    <w:rsid w:val="00250514"/>
    <w:rsid w:val="00251B4B"/>
    <w:rsid w:val="00251F85"/>
    <w:rsid w:val="002526D5"/>
    <w:rsid w:val="00252D74"/>
    <w:rsid w:val="00253DE9"/>
    <w:rsid w:val="00253FE4"/>
    <w:rsid w:val="0025422D"/>
    <w:rsid w:val="0026163B"/>
    <w:rsid w:val="0026186B"/>
    <w:rsid w:val="002620C7"/>
    <w:rsid w:val="00263259"/>
    <w:rsid w:val="00263D41"/>
    <w:rsid w:val="00263DCC"/>
    <w:rsid w:val="00271835"/>
    <w:rsid w:val="002719D4"/>
    <w:rsid w:val="00271E39"/>
    <w:rsid w:val="00272EA5"/>
    <w:rsid w:val="00273A8F"/>
    <w:rsid w:val="00274985"/>
    <w:rsid w:val="002751B7"/>
    <w:rsid w:val="00276568"/>
    <w:rsid w:val="00280E57"/>
    <w:rsid w:val="00281B29"/>
    <w:rsid w:val="002835D9"/>
    <w:rsid w:val="00283EC9"/>
    <w:rsid w:val="00285DD3"/>
    <w:rsid w:val="002878DC"/>
    <w:rsid w:val="00290049"/>
    <w:rsid w:val="002936CA"/>
    <w:rsid w:val="00293D4C"/>
    <w:rsid w:val="00294F53"/>
    <w:rsid w:val="00295EB1"/>
    <w:rsid w:val="00296784"/>
    <w:rsid w:val="0029678F"/>
    <w:rsid w:val="002A3108"/>
    <w:rsid w:val="002A65D0"/>
    <w:rsid w:val="002A7C99"/>
    <w:rsid w:val="002A7EBF"/>
    <w:rsid w:val="002B194B"/>
    <w:rsid w:val="002B2B16"/>
    <w:rsid w:val="002B3667"/>
    <w:rsid w:val="002B3A1A"/>
    <w:rsid w:val="002B41BF"/>
    <w:rsid w:val="002B5BD5"/>
    <w:rsid w:val="002B7930"/>
    <w:rsid w:val="002B7C64"/>
    <w:rsid w:val="002C123C"/>
    <w:rsid w:val="002C3D8C"/>
    <w:rsid w:val="002C4A53"/>
    <w:rsid w:val="002C4E86"/>
    <w:rsid w:val="002C521F"/>
    <w:rsid w:val="002C5DB9"/>
    <w:rsid w:val="002C73EA"/>
    <w:rsid w:val="002D048F"/>
    <w:rsid w:val="002D0AF6"/>
    <w:rsid w:val="002D0D21"/>
    <w:rsid w:val="002D2CA0"/>
    <w:rsid w:val="002D344A"/>
    <w:rsid w:val="002D47BF"/>
    <w:rsid w:val="002D5099"/>
    <w:rsid w:val="002D5661"/>
    <w:rsid w:val="002D5888"/>
    <w:rsid w:val="002E1CD3"/>
    <w:rsid w:val="002E224D"/>
    <w:rsid w:val="002E27F1"/>
    <w:rsid w:val="002E4433"/>
    <w:rsid w:val="002E48C4"/>
    <w:rsid w:val="002E4EB4"/>
    <w:rsid w:val="002E6DD7"/>
    <w:rsid w:val="002E7165"/>
    <w:rsid w:val="002F3393"/>
    <w:rsid w:val="002F3663"/>
    <w:rsid w:val="002F4C4A"/>
    <w:rsid w:val="002F6F1F"/>
    <w:rsid w:val="002F7363"/>
    <w:rsid w:val="00300AEA"/>
    <w:rsid w:val="0030208F"/>
    <w:rsid w:val="00302B13"/>
    <w:rsid w:val="00304BEB"/>
    <w:rsid w:val="00305489"/>
    <w:rsid w:val="00306ABF"/>
    <w:rsid w:val="00306C61"/>
    <w:rsid w:val="0030739A"/>
    <w:rsid w:val="00307F5D"/>
    <w:rsid w:val="00310A62"/>
    <w:rsid w:val="0031156E"/>
    <w:rsid w:val="003148E1"/>
    <w:rsid w:val="00314FD7"/>
    <w:rsid w:val="00316224"/>
    <w:rsid w:val="00317DC0"/>
    <w:rsid w:val="00321055"/>
    <w:rsid w:val="00321D2E"/>
    <w:rsid w:val="0032278B"/>
    <w:rsid w:val="003251AB"/>
    <w:rsid w:val="00325A1D"/>
    <w:rsid w:val="00326D08"/>
    <w:rsid w:val="0033006A"/>
    <w:rsid w:val="0033374E"/>
    <w:rsid w:val="0033400C"/>
    <w:rsid w:val="00334621"/>
    <w:rsid w:val="00334DFB"/>
    <w:rsid w:val="00340A40"/>
    <w:rsid w:val="00343498"/>
    <w:rsid w:val="00344254"/>
    <w:rsid w:val="0034492A"/>
    <w:rsid w:val="00345739"/>
    <w:rsid w:val="00346A1C"/>
    <w:rsid w:val="003472B2"/>
    <w:rsid w:val="0034738A"/>
    <w:rsid w:val="00353443"/>
    <w:rsid w:val="0035369B"/>
    <w:rsid w:val="00356A28"/>
    <w:rsid w:val="00356E6F"/>
    <w:rsid w:val="003628C5"/>
    <w:rsid w:val="00362B7B"/>
    <w:rsid w:val="00366BA3"/>
    <w:rsid w:val="00371502"/>
    <w:rsid w:val="00372B99"/>
    <w:rsid w:val="00373443"/>
    <w:rsid w:val="00373AC5"/>
    <w:rsid w:val="00373D4F"/>
    <w:rsid w:val="00373FBD"/>
    <w:rsid w:val="003749ED"/>
    <w:rsid w:val="003804B3"/>
    <w:rsid w:val="00380F58"/>
    <w:rsid w:val="00382605"/>
    <w:rsid w:val="00383C30"/>
    <w:rsid w:val="003859E5"/>
    <w:rsid w:val="00385C93"/>
    <w:rsid w:val="00386478"/>
    <w:rsid w:val="00386734"/>
    <w:rsid w:val="00387894"/>
    <w:rsid w:val="0039086D"/>
    <w:rsid w:val="00393530"/>
    <w:rsid w:val="003935AD"/>
    <w:rsid w:val="00393D4B"/>
    <w:rsid w:val="003968F9"/>
    <w:rsid w:val="00396B00"/>
    <w:rsid w:val="00397773"/>
    <w:rsid w:val="003A1172"/>
    <w:rsid w:val="003A17A7"/>
    <w:rsid w:val="003A31CD"/>
    <w:rsid w:val="003A3C37"/>
    <w:rsid w:val="003A3E25"/>
    <w:rsid w:val="003A5221"/>
    <w:rsid w:val="003A54E9"/>
    <w:rsid w:val="003A61E7"/>
    <w:rsid w:val="003A6318"/>
    <w:rsid w:val="003B2D95"/>
    <w:rsid w:val="003B327B"/>
    <w:rsid w:val="003B4252"/>
    <w:rsid w:val="003B5FAF"/>
    <w:rsid w:val="003B72AC"/>
    <w:rsid w:val="003B7D29"/>
    <w:rsid w:val="003C0531"/>
    <w:rsid w:val="003C0DA7"/>
    <w:rsid w:val="003C1134"/>
    <w:rsid w:val="003C5359"/>
    <w:rsid w:val="003C5B20"/>
    <w:rsid w:val="003C5D98"/>
    <w:rsid w:val="003C60FA"/>
    <w:rsid w:val="003C6466"/>
    <w:rsid w:val="003C7465"/>
    <w:rsid w:val="003D10CC"/>
    <w:rsid w:val="003D1D8F"/>
    <w:rsid w:val="003D4115"/>
    <w:rsid w:val="003D4462"/>
    <w:rsid w:val="003D4514"/>
    <w:rsid w:val="003D5073"/>
    <w:rsid w:val="003D53FF"/>
    <w:rsid w:val="003D59C6"/>
    <w:rsid w:val="003D6891"/>
    <w:rsid w:val="003D766A"/>
    <w:rsid w:val="003E09CC"/>
    <w:rsid w:val="003E5057"/>
    <w:rsid w:val="003E6A35"/>
    <w:rsid w:val="003E6B92"/>
    <w:rsid w:val="003E7ED9"/>
    <w:rsid w:val="003F1014"/>
    <w:rsid w:val="003F4C8B"/>
    <w:rsid w:val="003F50C5"/>
    <w:rsid w:val="003F6789"/>
    <w:rsid w:val="003F68CF"/>
    <w:rsid w:val="003F6CB8"/>
    <w:rsid w:val="00401392"/>
    <w:rsid w:val="00402FEA"/>
    <w:rsid w:val="00403141"/>
    <w:rsid w:val="004035C3"/>
    <w:rsid w:val="004039D0"/>
    <w:rsid w:val="004046D4"/>
    <w:rsid w:val="00404B66"/>
    <w:rsid w:val="004061A5"/>
    <w:rsid w:val="00406B40"/>
    <w:rsid w:val="00407250"/>
    <w:rsid w:val="0041006E"/>
    <w:rsid w:val="0041033D"/>
    <w:rsid w:val="00413540"/>
    <w:rsid w:val="00413829"/>
    <w:rsid w:val="00413E72"/>
    <w:rsid w:val="00414865"/>
    <w:rsid w:val="00415561"/>
    <w:rsid w:val="00415BFA"/>
    <w:rsid w:val="00415E97"/>
    <w:rsid w:val="00420FDC"/>
    <w:rsid w:val="004228A2"/>
    <w:rsid w:val="00422BB6"/>
    <w:rsid w:val="00423F09"/>
    <w:rsid w:val="00425A3D"/>
    <w:rsid w:val="004300F5"/>
    <w:rsid w:val="004354C0"/>
    <w:rsid w:val="00435836"/>
    <w:rsid w:val="00435A43"/>
    <w:rsid w:val="00436743"/>
    <w:rsid w:val="00436B6E"/>
    <w:rsid w:val="00440D13"/>
    <w:rsid w:val="00443975"/>
    <w:rsid w:val="00443DC7"/>
    <w:rsid w:val="00450140"/>
    <w:rsid w:val="00451C17"/>
    <w:rsid w:val="00454B96"/>
    <w:rsid w:val="0046238C"/>
    <w:rsid w:val="00463709"/>
    <w:rsid w:val="00463D5C"/>
    <w:rsid w:val="00463F34"/>
    <w:rsid w:val="004707CF"/>
    <w:rsid w:val="004736CF"/>
    <w:rsid w:val="00475173"/>
    <w:rsid w:val="00475726"/>
    <w:rsid w:val="00475E09"/>
    <w:rsid w:val="00480B33"/>
    <w:rsid w:val="0048696B"/>
    <w:rsid w:val="004873ED"/>
    <w:rsid w:val="00490094"/>
    <w:rsid w:val="004909D8"/>
    <w:rsid w:val="00492062"/>
    <w:rsid w:val="00492226"/>
    <w:rsid w:val="004926A1"/>
    <w:rsid w:val="00492848"/>
    <w:rsid w:val="00496925"/>
    <w:rsid w:val="004972A2"/>
    <w:rsid w:val="004A00A9"/>
    <w:rsid w:val="004A08FB"/>
    <w:rsid w:val="004A0EA2"/>
    <w:rsid w:val="004A0F87"/>
    <w:rsid w:val="004A2D40"/>
    <w:rsid w:val="004A4454"/>
    <w:rsid w:val="004A4A97"/>
    <w:rsid w:val="004A562F"/>
    <w:rsid w:val="004A564F"/>
    <w:rsid w:val="004A57B6"/>
    <w:rsid w:val="004B096C"/>
    <w:rsid w:val="004B1E1D"/>
    <w:rsid w:val="004B2847"/>
    <w:rsid w:val="004B420B"/>
    <w:rsid w:val="004B45C4"/>
    <w:rsid w:val="004B7693"/>
    <w:rsid w:val="004C0097"/>
    <w:rsid w:val="004C1AAE"/>
    <w:rsid w:val="004C2F91"/>
    <w:rsid w:val="004D1080"/>
    <w:rsid w:val="004D1E9F"/>
    <w:rsid w:val="004D2402"/>
    <w:rsid w:val="004D299C"/>
    <w:rsid w:val="004D3FC2"/>
    <w:rsid w:val="004D4C27"/>
    <w:rsid w:val="004D4C2F"/>
    <w:rsid w:val="004D4E87"/>
    <w:rsid w:val="004D56EC"/>
    <w:rsid w:val="004D6DE4"/>
    <w:rsid w:val="004D7FB1"/>
    <w:rsid w:val="004E1793"/>
    <w:rsid w:val="004E1D61"/>
    <w:rsid w:val="004E5429"/>
    <w:rsid w:val="004F0FF8"/>
    <w:rsid w:val="004F29AD"/>
    <w:rsid w:val="004F3D56"/>
    <w:rsid w:val="004F517E"/>
    <w:rsid w:val="004F5C2D"/>
    <w:rsid w:val="004F74FE"/>
    <w:rsid w:val="0050090D"/>
    <w:rsid w:val="00502846"/>
    <w:rsid w:val="005072CD"/>
    <w:rsid w:val="005101E2"/>
    <w:rsid w:val="00511616"/>
    <w:rsid w:val="00512376"/>
    <w:rsid w:val="005132FB"/>
    <w:rsid w:val="005157FC"/>
    <w:rsid w:val="005158AA"/>
    <w:rsid w:val="00516479"/>
    <w:rsid w:val="00520AEC"/>
    <w:rsid w:val="005212DB"/>
    <w:rsid w:val="005227C8"/>
    <w:rsid w:val="0052389E"/>
    <w:rsid w:val="005241F6"/>
    <w:rsid w:val="005257D7"/>
    <w:rsid w:val="00526AFB"/>
    <w:rsid w:val="00530B44"/>
    <w:rsid w:val="00531CA4"/>
    <w:rsid w:val="00533DCB"/>
    <w:rsid w:val="00534900"/>
    <w:rsid w:val="005350C5"/>
    <w:rsid w:val="00535FFC"/>
    <w:rsid w:val="00537D80"/>
    <w:rsid w:val="005419A9"/>
    <w:rsid w:val="00541C60"/>
    <w:rsid w:val="005424AF"/>
    <w:rsid w:val="005434CB"/>
    <w:rsid w:val="00544F62"/>
    <w:rsid w:val="0054730F"/>
    <w:rsid w:val="00547970"/>
    <w:rsid w:val="005506BF"/>
    <w:rsid w:val="005512DC"/>
    <w:rsid w:val="00553ACB"/>
    <w:rsid w:val="005556B6"/>
    <w:rsid w:val="00560D47"/>
    <w:rsid w:val="005619A5"/>
    <w:rsid w:val="00562282"/>
    <w:rsid w:val="00563079"/>
    <w:rsid w:val="005630CD"/>
    <w:rsid w:val="00563FEA"/>
    <w:rsid w:val="0056525F"/>
    <w:rsid w:val="00565980"/>
    <w:rsid w:val="00566D0E"/>
    <w:rsid w:val="00573D5C"/>
    <w:rsid w:val="00576977"/>
    <w:rsid w:val="00576FF5"/>
    <w:rsid w:val="00577D83"/>
    <w:rsid w:val="00580504"/>
    <w:rsid w:val="00581863"/>
    <w:rsid w:val="005822BD"/>
    <w:rsid w:val="00582491"/>
    <w:rsid w:val="00582554"/>
    <w:rsid w:val="00583531"/>
    <w:rsid w:val="0058514B"/>
    <w:rsid w:val="00585416"/>
    <w:rsid w:val="00586175"/>
    <w:rsid w:val="00590081"/>
    <w:rsid w:val="00590C6F"/>
    <w:rsid w:val="005913E0"/>
    <w:rsid w:val="00591BDE"/>
    <w:rsid w:val="005924E0"/>
    <w:rsid w:val="005945A1"/>
    <w:rsid w:val="00595C23"/>
    <w:rsid w:val="0059650F"/>
    <w:rsid w:val="00597BD2"/>
    <w:rsid w:val="005A14E3"/>
    <w:rsid w:val="005A18EA"/>
    <w:rsid w:val="005A53DF"/>
    <w:rsid w:val="005A5BE1"/>
    <w:rsid w:val="005A6C35"/>
    <w:rsid w:val="005A79BF"/>
    <w:rsid w:val="005B2CB6"/>
    <w:rsid w:val="005B4389"/>
    <w:rsid w:val="005B4648"/>
    <w:rsid w:val="005B480D"/>
    <w:rsid w:val="005B4CD5"/>
    <w:rsid w:val="005B4F10"/>
    <w:rsid w:val="005B6918"/>
    <w:rsid w:val="005B7A03"/>
    <w:rsid w:val="005C1134"/>
    <w:rsid w:val="005C15F2"/>
    <w:rsid w:val="005C51E7"/>
    <w:rsid w:val="005C5BD0"/>
    <w:rsid w:val="005C61E5"/>
    <w:rsid w:val="005C64CC"/>
    <w:rsid w:val="005C7F0D"/>
    <w:rsid w:val="005D01D4"/>
    <w:rsid w:val="005D200D"/>
    <w:rsid w:val="005D23CD"/>
    <w:rsid w:val="005D2A05"/>
    <w:rsid w:val="005D2F5E"/>
    <w:rsid w:val="005D2FAE"/>
    <w:rsid w:val="005D38ED"/>
    <w:rsid w:val="005D460F"/>
    <w:rsid w:val="005D4E4B"/>
    <w:rsid w:val="005D50FE"/>
    <w:rsid w:val="005D64E4"/>
    <w:rsid w:val="005D7CAF"/>
    <w:rsid w:val="005E1B37"/>
    <w:rsid w:val="005E5EE7"/>
    <w:rsid w:val="005E639D"/>
    <w:rsid w:val="005E6ECA"/>
    <w:rsid w:val="005E6F38"/>
    <w:rsid w:val="005E70BE"/>
    <w:rsid w:val="005F1516"/>
    <w:rsid w:val="005F39CF"/>
    <w:rsid w:val="005F4047"/>
    <w:rsid w:val="005F6AFE"/>
    <w:rsid w:val="00601F4C"/>
    <w:rsid w:val="00603333"/>
    <w:rsid w:val="0060337F"/>
    <w:rsid w:val="0060338D"/>
    <w:rsid w:val="00604091"/>
    <w:rsid w:val="00604450"/>
    <w:rsid w:val="0060460A"/>
    <w:rsid w:val="00606383"/>
    <w:rsid w:val="00607368"/>
    <w:rsid w:val="00610B54"/>
    <w:rsid w:val="006114D4"/>
    <w:rsid w:val="00611D28"/>
    <w:rsid w:val="00611F38"/>
    <w:rsid w:val="0061284B"/>
    <w:rsid w:val="00612E67"/>
    <w:rsid w:val="006132CC"/>
    <w:rsid w:val="0061366B"/>
    <w:rsid w:val="00616ACB"/>
    <w:rsid w:val="00616C6E"/>
    <w:rsid w:val="00620950"/>
    <w:rsid w:val="006219AF"/>
    <w:rsid w:val="00622D93"/>
    <w:rsid w:val="006266E7"/>
    <w:rsid w:val="006314AE"/>
    <w:rsid w:val="006334A1"/>
    <w:rsid w:val="00633CA6"/>
    <w:rsid w:val="00635B1E"/>
    <w:rsid w:val="00636FA0"/>
    <w:rsid w:val="00637D6F"/>
    <w:rsid w:val="00641E74"/>
    <w:rsid w:val="0064369C"/>
    <w:rsid w:val="006443D5"/>
    <w:rsid w:val="0064441D"/>
    <w:rsid w:val="0064680C"/>
    <w:rsid w:val="0064695A"/>
    <w:rsid w:val="0065057E"/>
    <w:rsid w:val="006535D8"/>
    <w:rsid w:val="00655234"/>
    <w:rsid w:val="00655431"/>
    <w:rsid w:val="006554C7"/>
    <w:rsid w:val="00655624"/>
    <w:rsid w:val="006567BB"/>
    <w:rsid w:val="0065755F"/>
    <w:rsid w:val="00660329"/>
    <w:rsid w:val="00661B18"/>
    <w:rsid w:val="006628C6"/>
    <w:rsid w:val="00663B5E"/>
    <w:rsid w:val="00664A3F"/>
    <w:rsid w:val="006660F5"/>
    <w:rsid w:val="00666656"/>
    <w:rsid w:val="00667E9C"/>
    <w:rsid w:val="006701EC"/>
    <w:rsid w:val="00670B18"/>
    <w:rsid w:val="00671089"/>
    <w:rsid w:val="00673014"/>
    <w:rsid w:val="006732F7"/>
    <w:rsid w:val="00677D46"/>
    <w:rsid w:val="00680701"/>
    <w:rsid w:val="00681EB5"/>
    <w:rsid w:val="006826FE"/>
    <w:rsid w:val="0068288D"/>
    <w:rsid w:val="00685EAC"/>
    <w:rsid w:val="00687636"/>
    <w:rsid w:val="00691003"/>
    <w:rsid w:val="00691FBE"/>
    <w:rsid w:val="006923DC"/>
    <w:rsid w:val="006939FB"/>
    <w:rsid w:val="00694172"/>
    <w:rsid w:val="0069437A"/>
    <w:rsid w:val="006945CF"/>
    <w:rsid w:val="00694F89"/>
    <w:rsid w:val="00697D28"/>
    <w:rsid w:val="00697EB7"/>
    <w:rsid w:val="006A0015"/>
    <w:rsid w:val="006A548C"/>
    <w:rsid w:val="006A7508"/>
    <w:rsid w:val="006A7757"/>
    <w:rsid w:val="006A7C66"/>
    <w:rsid w:val="006B0CEC"/>
    <w:rsid w:val="006B0D1D"/>
    <w:rsid w:val="006B0D68"/>
    <w:rsid w:val="006B623C"/>
    <w:rsid w:val="006B6434"/>
    <w:rsid w:val="006C3387"/>
    <w:rsid w:val="006C3429"/>
    <w:rsid w:val="006C3801"/>
    <w:rsid w:val="006C4E1A"/>
    <w:rsid w:val="006C5983"/>
    <w:rsid w:val="006C5D9A"/>
    <w:rsid w:val="006C6043"/>
    <w:rsid w:val="006C69C4"/>
    <w:rsid w:val="006C6A50"/>
    <w:rsid w:val="006C6B72"/>
    <w:rsid w:val="006D2132"/>
    <w:rsid w:val="006D30E3"/>
    <w:rsid w:val="006D353B"/>
    <w:rsid w:val="006D3F6F"/>
    <w:rsid w:val="006D50A0"/>
    <w:rsid w:val="006D58D1"/>
    <w:rsid w:val="006D6EF7"/>
    <w:rsid w:val="006D6F8A"/>
    <w:rsid w:val="006D777F"/>
    <w:rsid w:val="006E1EFD"/>
    <w:rsid w:val="006E2959"/>
    <w:rsid w:val="006E30FA"/>
    <w:rsid w:val="006F1EB8"/>
    <w:rsid w:val="006F5C22"/>
    <w:rsid w:val="006F6FEC"/>
    <w:rsid w:val="006F7C12"/>
    <w:rsid w:val="00700955"/>
    <w:rsid w:val="00700BB3"/>
    <w:rsid w:val="007021C7"/>
    <w:rsid w:val="007032B1"/>
    <w:rsid w:val="00703437"/>
    <w:rsid w:val="007049D7"/>
    <w:rsid w:val="00706C37"/>
    <w:rsid w:val="00710754"/>
    <w:rsid w:val="00714804"/>
    <w:rsid w:val="0071605A"/>
    <w:rsid w:val="0072013F"/>
    <w:rsid w:val="007202A6"/>
    <w:rsid w:val="00720346"/>
    <w:rsid w:val="00720F31"/>
    <w:rsid w:val="00722D70"/>
    <w:rsid w:val="00733A0F"/>
    <w:rsid w:val="00736DB7"/>
    <w:rsid w:val="00736FEB"/>
    <w:rsid w:val="00740C62"/>
    <w:rsid w:val="007417BD"/>
    <w:rsid w:val="00742628"/>
    <w:rsid w:val="00744808"/>
    <w:rsid w:val="0074562B"/>
    <w:rsid w:val="00747BA5"/>
    <w:rsid w:val="007508FF"/>
    <w:rsid w:val="00753442"/>
    <w:rsid w:val="00754158"/>
    <w:rsid w:val="00754475"/>
    <w:rsid w:val="007559BC"/>
    <w:rsid w:val="00756D97"/>
    <w:rsid w:val="00763159"/>
    <w:rsid w:val="00765F39"/>
    <w:rsid w:val="00766BA8"/>
    <w:rsid w:val="007677DD"/>
    <w:rsid w:val="007703A3"/>
    <w:rsid w:val="0077451A"/>
    <w:rsid w:val="00775C2B"/>
    <w:rsid w:val="00776FCF"/>
    <w:rsid w:val="00781BBA"/>
    <w:rsid w:val="007823E7"/>
    <w:rsid w:val="007841EE"/>
    <w:rsid w:val="00784C15"/>
    <w:rsid w:val="00786DC3"/>
    <w:rsid w:val="0078743C"/>
    <w:rsid w:val="00787950"/>
    <w:rsid w:val="00790EF7"/>
    <w:rsid w:val="00791C0E"/>
    <w:rsid w:val="007925A1"/>
    <w:rsid w:val="00794826"/>
    <w:rsid w:val="00794A8D"/>
    <w:rsid w:val="00794AAA"/>
    <w:rsid w:val="00794C44"/>
    <w:rsid w:val="007957A7"/>
    <w:rsid w:val="007961BC"/>
    <w:rsid w:val="00796FD2"/>
    <w:rsid w:val="0079767C"/>
    <w:rsid w:val="007A1680"/>
    <w:rsid w:val="007A1D5F"/>
    <w:rsid w:val="007A2EDC"/>
    <w:rsid w:val="007A3224"/>
    <w:rsid w:val="007A3413"/>
    <w:rsid w:val="007A449C"/>
    <w:rsid w:val="007A6704"/>
    <w:rsid w:val="007A6DE2"/>
    <w:rsid w:val="007A7552"/>
    <w:rsid w:val="007B033C"/>
    <w:rsid w:val="007B0678"/>
    <w:rsid w:val="007B2412"/>
    <w:rsid w:val="007B52B3"/>
    <w:rsid w:val="007C0621"/>
    <w:rsid w:val="007C0EAC"/>
    <w:rsid w:val="007C4406"/>
    <w:rsid w:val="007D1227"/>
    <w:rsid w:val="007D1CF2"/>
    <w:rsid w:val="007D218C"/>
    <w:rsid w:val="007D282C"/>
    <w:rsid w:val="007D3289"/>
    <w:rsid w:val="007D5543"/>
    <w:rsid w:val="007D6D2E"/>
    <w:rsid w:val="007D7663"/>
    <w:rsid w:val="007E691E"/>
    <w:rsid w:val="007E74C8"/>
    <w:rsid w:val="007F2320"/>
    <w:rsid w:val="007F2C4E"/>
    <w:rsid w:val="007F7A96"/>
    <w:rsid w:val="007F7B7B"/>
    <w:rsid w:val="00801556"/>
    <w:rsid w:val="0080487F"/>
    <w:rsid w:val="00804D2F"/>
    <w:rsid w:val="008058AA"/>
    <w:rsid w:val="008070ED"/>
    <w:rsid w:val="00811761"/>
    <w:rsid w:val="00812617"/>
    <w:rsid w:val="0081397C"/>
    <w:rsid w:val="0081414F"/>
    <w:rsid w:val="00814394"/>
    <w:rsid w:val="008147AF"/>
    <w:rsid w:val="00815057"/>
    <w:rsid w:val="008152B5"/>
    <w:rsid w:val="008156CF"/>
    <w:rsid w:val="00815D54"/>
    <w:rsid w:val="00816EFB"/>
    <w:rsid w:val="00822BDF"/>
    <w:rsid w:val="0082438F"/>
    <w:rsid w:val="0082559B"/>
    <w:rsid w:val="00827159"/>
    <w:rsid w:val="008305BF"/>
    <w:rsid w:val="0083134F"/>
    <w:rsid w:val="0083229D"/>
    <w:rsid w:val="008329B4"/>
    <w:rsid w:val="0083330A"/>
    <w:rsid w:val="00833749"/>
    <w:rsid w:val="00835825"/>
    <w:rsid w:val="00835E55"/>
    <w:rsid w:val="00836377"/>
    <w:rsid w:val="00836909"/>
    <w:rsid w:val="00837C22"/>
    <w:rsid w:val="0084091D"/>
    <w:rsid w:val="0084286F"/>
    <w:rsid w:val="00844814"/>
    <w:rsid w:val="00844B74"/>
    <w:rsid w:val="008457F0"/>
    <w:rsid w:val="00845E89"/>
    <w:rsid w:val="008461B5"/>
    <w:rsid w:val="00847323"/>
    <w:rsid w:val="008479C4"/>
    <w:rsid w:val="00847D3D"/>
    <w:rsid w:val="008512FB"/>
    <w:rsid w:val="008521B9"/>
    <w:rsid w:val="00852EFE"/>
    <w:rsid w:val="00854EC5"/>
    <w:rsid w:val="00855CCF"/>
    <w:rsid w:val="008567C2"/>
    <w:rsid w:val="00857757"/>
    <w:rsid w:val="00863F0A"/>
    <w:rsid w:val="008642DD"/>
    <w:rsid w:val="0086501D"/>
    <w:rsid w:val="008671E2"/>
    <w:rsid w:val="00872D0A"/>
    <w:rsid w:val="00873DA7"/>
    <w:rsid w:val="00874967"/>
    <w:rsid w:val="00874AF0"/>
    <w:rsid w:val="00874EC4"/>
    <w:rsid w:val="0088017E"/>
    <w:rsid w:val="00882AD3"/>
    <w:rsid w:val="0088307E"/>
    <w:rsid w:val="008845ED"/>
    <w:rsid w:val="008876CD"/>
    <w:rsid w:val="0088772A"/>
    <w:rsid w:val="008910A2"/>
    <w:rsid w:val="00891A7A"/>
    <w:rsid w:val="008923F2"/>
    <w:rsid w:val="00893AD4"/>
    <w:rsid w:val="00895598"/>
    <w:rsid w:val="00895FFD"/>
    <w:rsid w:val="008960B3"/>
    <w:rsid w:val="00896217"/>
    <w:rsid w:val="008969AE"/>
    <w:rsid w:val="00896B58"/>
    <w:rsid w:val="00896E18"/>
    <w:rsid w:val="008974D6"/>
    <w:rsid w:val="008A4D03"/>
    <w:rsid w:val="008A5CA1"/>
    <w:rsid w:val="008B0777"/>
    <w:rsid w:val="008B1095"/>
    <w:rsid w:val="008B1318"/>
    <w:rsid w:val="008B20FE"/>
    <w:rsid w:val="008B215F"/>
    <w:rsid w:val="008B259C"/>
    <w:rsid w:val="008B278D"/>
    <w:rsid w:val="008B2A4C"/>
    <w:rsid w:val="008B4B27"/>
    <w:rsid w:val="008B5B74"/>
    <w:rsid w:val="008B726D"/>
    <w:rsid w:val="008B7ECF"/>
    <w:rsid w:val="008C09AB"/>
    <w:rsid w:val="008C0FCF"/>
    <w:rsid w:val="008C13B1"/>
    <w:rsid w:val="008C3366"/>
    <w:rsid w:val="008C38EF"/>
    <w:rsid w:val="008C50FF"/>
    <w:rsid w:val="008C5223"/>
    <w:rsid w:val="008C5574"/>
    <w:rsid w:val="008C5825"/>
    <w:rsid w:val="008C659A"/>
    <w:rsid w:val="008C6C6A"/>
    <w:rsid w:val="008D51C1"/>
    <w:rsid w:val="008D6B86"/>
    <w:rsid w:val="008D6D51"/>
    <w:rsid w:val="008E0A80"/>
    <w:rsid w:val="008E170E"/>
    <w:rsid w:val="008E22DD"/>
    <w:rsid w:val="008E23F3"/>
    <w:rsid w:val="008E3067"/>
    <w:rsid w:val="008E482C"/>
    <w:rsid w:val="008E6097"/>
    <w:rsid w:val="008E6C29"/>
    <w:rsid w:val="008E700B"/>
    <w:rsid w:val="008F00A2"/>
    <w:rsid w:val="008F0D58"/>
    <w:rsid w:val="008F79A4"/>
    <w:rsid w:val="008F7B1F"/>
    <w:rsid w:val="009012AA"/>
    <w:rsid w:val="00903F1F"/>
    <w:rsid w:val="00904194"/>
    <w:rsid w:val="00906C38"/>
    <w:rsid w:val="009072F4"/>
    <w:rsid w:val="00907825"/>
    <w:rsid w:val="00910F5A"/>
    <w:rsid w:val="009124A3"/>
    <w:rsid w:val="0091399E"/>
    <w:rsid w:val="009148FA"/>
    <w:rsid w:val="00914B6C"/>
    <w:rsid w:val="00914E45"/>
    <w:rsid w:val="00916D86"/>
    <w:rsid w:val="00917F8D"/>
    <w:rsid w:val="00920037"/>
    <w:rsid w:val="00921178"/>
    <w:rsid w:val="0092186D"/>
    <w:rsid w:val="009225F0"/>
    <w:rsid w:val="009236DF"/>
    <w:rsid w:val="009240E2"/>
    <w:rsid w:val="00924821"/>
    <w:rsid w:val="00924E3C"/>
    <w:rsid w:val="00926005"/>
    <w:rsid w:val="00926AC7"/>
    <w:rsid w:val="00930B9E"/>
    <w:rsid w:val="00930D28"/>
    <w:rsid w:val="00932232"/>
    <w:rsid w:val="00933B94"/>
    <w:rsid w:val="0093478F"/>
    <w:rsid w:val="00937133"/>
    <w:rsid w:val="00940858"/>
    <w:rsid w:val="00940CFF"/>
    <w:rsid w:val="00941DF9"/>
    <w:rsid w:val="00941FC3"/>
    <w:rsid w:val="00942D2C"/>
    <w:rsid w:val="00943F85"/>
    <w:rsid w:val="00950751"/>
    <w:rsid w:val="0095081F"/>
    <w:rsid w:val="00951CB2"/>
    <w:rsid w:val="00953691"/>
    <w:rsid w:val="00960EA8"/>
    <w:rsid w:val="00965020"/>
    <w:rsid w:val="0096502F"/>
    <w:rsid w:val="009665BC"/>
    <w:rsid w:val="00966AB0"/>
    <w:rsid w:val="0096788A"/>
    <w:rsid w:val="0097104C"/>
    <w:rsid w:val="00971903"/>
    <w:rsid w:val="00971A21"/>
    <w:rsid w:val="00971DED"/>
    <w:rsid w:val="00975065"/>
    <w:rsid w:val="0097720A"/>
    <w:rsid w:val="00977BA1"/>
    <w:rsid w:val="0098297C"/>
    <w:rsid w:val="0098314D"/>
    <w:rsid w:val="009835E7"/>
    <w:rsid w:val="00984C6E"/>
    <w:rsid w:val="00984E85"/>
    <w:rsid w:val="00985560"/>
    <w:rsid w:val="009859CF"/>
    <w:rsid w:val="00991F92"/>
    <w:rsid w:val="00993A19"/>
    <w:rsid w:val="009948D1"/>
    <w:rsid w:val="009953CA"/>
    <w:rsid w:val="009955A2"/>
    <w:rsid w:val="009A14EB"/>
    <w:rsid w:val="009A3EAC"/>
    <w:rsid w:val="009A63E9"/>
    <w:rsid w:val="009A669A"/>
    <w:rsid w:val="009B06EB"/>
    <w:rsid w:val="009B0E46"/>
    <w:rsid w:val="009B1814"/>
    <w:rsid w:val="009B29EB"/>
    <w:rsid w:val="009B372B"/>
    <w:rsid w:val="009B3EA3"/>
    <w:rsid w:val="009B44B0"/>
    <w:rsid w:val="009B7FDA"/>
    <w:rsid w:val="009C5251"/>
    <w:rsid w:val="009C5DB3"/>
    <w:rsid w:val="009C645A"/>
    <w:rsid w:val="009C65D8"/>
    <w:rsid w:val="009C6F31"/>
    <w:rsid w:val="009C7B47"/>
    <w:rsid w:val="009D1B35"/>
    <w:rsid w:val="009D43F0"/>
    <w:rsid w:val="009D4D2A"/>
    <w:rsid w:val="009D5AAA"/>
    <w:rsid w:val="009D6768"/>
    <w:rsid w:val="009D69DC"/>
    <w:rsid w:val="009D76DF"/>
    <w:rsid w:val="009E1204"/>
    <w:rsid w:val="009E1C1A"/>
    <w:rsid w:val="009E2091"/>
    <w:rsid w:val="009E2868"/>
    <w:rsid w:val="009E2E2F"/>
    <w:rsid w:val="009E3E6E"/>
    <w:rsid w:val="009E5515"/>
    <w:rsid w:val="009E6C5D"/>
    <w:rsid w:val="009E7A65"/>
    <w:rsid w:val="009F04B8"/>
    <w:rsid w:val="009F15C9"/>
    <w:rsid w:val="009F45A5"/>
    <w:rsid w:val="009F62CC"/>
    <w:rsid w:val="00A00EDF"/>
    <w:rsid w:val="00A01F7B"/>
    <w:rsid w:val="00A079AB"/>
    <w:rsid w:val="00A10950"/>
    <w:rsid w:val="00A12E57"/>
    <w:rsid w:val="00A13372"/>
    <w:rsid w:val="00A13C5C"/>
    <w:rsid w:val="00A144F7"/>
    <w:rsid w:val="00A20CCE"/>
    <w:rsid w:val="00A251CE"/>
    <w:rsid w:val="00A262F0"/>
    <w:rsid w:val="00A26D88"/>
    <w:rsid w:val="00A27309"/>
    <w:rsid w:val="00A3081C"/>
    <w:rsid w:val="00A32CE6"/>
    <w:rsid w:val="00A36338"/>
    <w:rsid w:val="00A3709A"/>
    <w:rsid w:val="00A37B51"/>
    <w:rsid w:val="00A37E1D"/>
    <w:rsid w:val="00A42243"/>
    <w:rsid w:val="00A443A1"/>
    <w:rsid w:val="00A4486E"/>
    <w:rsid w:val="00A5262A"/>
    <w:rsid w:val="00A558CD"/>
    <w:rsid w:val="00A56515"/>
    <w:rsid w:val="00A56B68"/>
    <w:rsid w:val="00A60978"/>
    <w:rsid w:val="00A63565"/>
    <w:rsid w:val="00A67D1B"/>
    <w:rsid w:val="00A700D0"/>
    <w:rsid w:val="00A702EA"/>
    <w:rsid w:val="00A703AA"/>
    <w:rsid w:val="00A70B2B"/>
    <w:rsid w:val="00A710D1"/>
    <w:rsid w:val="00A72E57"/>
    <w:rsid w:val="00A74CEC"/>
    <w:rsid w:val="00A7540E"/>
    <w:rsid w:val="00A76C60"/>
    <w:rsid w:val="00A80F91"/>
    <w:rsid w:val="00A81C15"/>
    <w:rsid w:val="00A82592"/>
    <w:rsid w:val="00A843AD"/>
    <w:rsid w:val="00A85DC1"/>
    <w:rsid w:val="00A8661D"/>
    <w:rsid w:val="00A86C37"/>
    <w:rsid w:val="00A87908"/>
    <w:rsid w:val="00A92F80"/>
    <w:rsid w:val="00A95F93"/>
    <w:rsid w:val="00A964E6"/>
    <w:rsid w:val="00A97379"/>
    <w:rsid w:val="00AA1C5F"/>
    <w:rsid w:val="00AA4658"/>
    <w:rsid w:val="00AA512F"/>
    <w:rsid w:val="00AA69B6"/>
    <w:rsid w:val="00AA7C4C"/>
    <w:rsid w:val="00AB0758"/>
    <w:rsid w:val="00AB1E64"/>
    <w:rsid w:val="00AB2B7C"/>
    <w:rsid w:val="00AB3DAF"/>
    <w:rsid w:val="00AB44C7"/>
    <w:rsid w:val="00AB556B"/>
    <w:rsid w:val="00AB5601"/>
    <w:rsid w:val="00AB6D7B"/>
    <w:rsid w:val="00AB7355"/>
    <w:rsid w:val="00AB75FC"/>
    <w:rsid w:val="00AC07AE"/>
    <w:rsid w:val="00AC2BA5"/>
    <w:rsid w:val="00AC313B"/>
    <w:rsid w:val="00AC5039"/>
    <w:rsid w:val="00AC5048"/>
    <w:rsid w:val="00AC57BE"/>
    <w:rsid w:val="00AC58EB"/>
    <w:rsid w:val="00AC5B8D"/>
    <w:rsid w:val="00AC6F50"/>
    <w:rsid w:val="00AC7940"/>
    <w:rsid w:val="00AD02CD"/>
    <w:rsid w:val="00AD0EA2"/>
    <w:rsid w:val="00AD1CEF"/>
    <w:rsid w:val="00AD1E7B"/>
    <w:rsid w:val="00AD247D"/>
    <w:rsid w:val="00AD7177"/>
    <w:rsid w:val="00AE10A5"/>
    <w:rsid w:val="00AE26FC"/>
    <w:rsid w:val="00AE360B"/>
    <w:rsid w:val="00AE5D61"/>
    <w:rsid w:val="00AE6ADD"/>
    <w:rsid w:val="00AE6F7D"/>
    <w:rsid w:val="00AE70EC"/>
    <w:rsid w:val="00AE76BB"/>
    <w:rsid w:val="00AF0E24"/>
    <w:rsid w:val="00AF2629"/>
    <w:rsid w:val="00AF3E8E"/>
    <w:rsid w:val="00AF606B"/>
    <w:rsid w:val="00AF78A2"/>
    <w:rsid w:val="00B00C0D"/>
    <w:rsid w:val="00B00D11"/>
    <w:rsid w:val="00B023D4"/>
    <w:rsid w:val="00B03A6F"/>
    <w:rsid w:val="00B05E32"/>
    <w:rsid w:val="00B071AB"/>
    <w:rsid w:val="00B100A3"/>
    <w:rsid w:val="00B10E11"/>
    <w:rsid w:val="00B11FA4"/>
    <w:rsid w:val="00B129F9"/>
    <w:rsid w:val="00B12E2D"/>
    <w:rsid w:val="00B136E7"/>
    <w:rsid w:val="00B16A2F"/>
    <w:rsid w:val="00B17F8E"/>
    <w:rsid w:val="00B204CE"/>
    <w:rsid w:val="00B21E23"/>
    <w:rsid w:val="00B2231E"/>
    <w:rsid w:val="00B24440"/>
    <w:rsid w:val="00B263B9"/>
    <w:rsid w:val="00B263CE"/>
    <w:rsid w:val="00B26715"/>
    <w:rsid w:val="00B26D6D"/>
    <w:rsid w:val="00B3010F"/>
    <w:rsid w:val="00B32F65"/>
    <w:rsid w:val="00B33C81"/>
    <w:rsid w:val="00B347A6"/>
    <w:rsid w:val="00B36374"/>
    <w:rsid w:val="00B42EDD"/>
    <w:rsid w:val="00B438F9"/>
    <w:rsid w:val="00B45265"/>
    <w:rsid w:val="00B455FB"/>
    <w:rsid w:val="00B50774"/>
    <w:rsid w:val="00B51861"/>
    <w:rsid w:val="00B518D4"/>
    <w:rsid w:val="00B51978"/>
    <w:rsid w:val="00B51DE0"/>
    <w:rsid w:val="00B51F21"/>
    <w:rsid w:val="00B529C7"/>
    <w:rsid w:val="00B52A8D"/>
    <w:rsid w:val="00B53596"/>
    <w:rsid w:val="00B5485B"/>
    <w:rsid w:val="00B5507C"/>
    <w:rsid w:val="00B55AB9"/>
    <w:rsid w:val="00B55E79"/>
    <w:rsid w:val="00B57049"/>
    <w:rsid w:val="00B57CF7"/>
    <w:rsid w:val="00B57D0B"/>
    <w:rsid w:val="00B60324"/>
    <w:rsid w:val="00B624BA"/>
    <w:rsid w:val="00B63EE0"/>
    <w:rsid w:val="00B64F80"/>
    <w:rsid w:val="00B656FC"/>
    <w:rsid w:val="00B65B8B"/>
    <w:rsid w:val="00B66D77"/>
    <w:rsid w:val="00B67B1A"/>
    <w:rsid w:val="00B67DB4"/>
    <w:rsid w:val="00B711BE"/>
    <w:rsid w:val="00B7239D"/>
    <w:rsid w:val="00B739F5"/>
    <w:rsid w:val="00B73B2A"/>
    <w:rsid w:val="00B73FFC"/>
    <w:rsid w:val="00B744CD"/>
    <w:rsid w:val="00B74610"/>
    <w:rsid w:val="00B762B6"/>
    <w:rsid w:val="00B76A93"/>
    <w:rsid w:val="00B7757D"/>
    <w:rsid w:val="00B7774E"/>
    <w:rsid w:val="00B82CF0"/>
    <w:rsid w:val="00B83BBB"/>
    <w:rsid w:val="00B83BD0"/>
    <w:rsid w:val="00B83CCC"/>
    <w:rsid w:val="00B8528D"/>
    <w:rsid w:val="00B869A5"/>
    <w:rsid w:val="00B90414"/>
    <w:rsid w:val="00B905EB"/>
    <w:rsid w:val="00B91561"/>
    <w:rsid w:val="00B91E63"/>
    <w:rsid w:val="00B92786"/>
    <w:rsid w:val="00B92A07"/>
    <w:rsid w:val="00B930D7"/>
    <w:rsid w:val="00B9389A"/>
    <w:rsid w:val="00B93B92"/>
    <w:rsid w:val="00B9428C"/>
    <w:rsid w:val="00B94E8F"/>
    <w:rsid w:val="00B9585B"/>
    <w:rsid w:val="00B96694"/>
    <w:rsid w:val="00BA02F8"/>
    <w:rsid w:val="00BA0A16"/>
    <w:rsid w:val="00BA1357"/>
    <w:rsid w:val="00BA137F"/>
    <w:rsid w:val="00BA1FD8"/>
    <w:rsid w:val="00BA43B2"/>
    <w:rsid w:val="00BA5195"/>
    <w:rsid w:val="00BA7AB8"/>
    <w:rsid w:val="00BB3204"/>
    <w:rsid w:val="00BB3C3F"/>
    <w:rsid w:val="00BB3EF7"/>
    <w:rsid w:val="00BB5A99"/>
    <w:rsid w:val="00BB5F26"/>
    <w:rsid w:val="00BC03E8"/>
    <w:rsid w:val="00BC0E52"/>
    <w:rsid w:val="00BC2183"/>
    <w:rsid w:val="00BC2A3D"/>
    <w:rsid w:val="00BC3386"/>
    <w:rsid w:val="00BC3BA9"/>
    <w:rsid w:val="00BC7123"/>
    <w:rsid w:val="00BC7984"/>
    <w:rsid w:val="00BD0500"/>
    <w:rsid w:val="00BD0DD9"/>
    <w:rsid w:val="00BD2052"/>
    <w:rsid w:val="00BD3784"/>
    <w:rsid w:val="00BD3A02"/>
    <w:rsid w:val="00BD4454"/>
    <w:rsid w:val="00BD498C"/>
    <w:rsid w:val="00BD5FB1"/>
    <w:rsid w:val="00BD6CA0"/>
    <w:rsid w:val="00BE22A3"/>
    <w:rsid w:val="00BE5452"/>
    <w:rsid w:val="00BE5F83"/>
    <w:rsid w:val="00BE6DE2"/>
    <w:rsid w:val="00BE79D5"/>
    <w:rsid w:val="00BF18C1"/>
    <w:rsid w:val="00BF3BB3"/>
    <w:rsid w:val="00BF4740"/>
    <w:rsid w:val="00BF4D85"/>
    <w:rsid w:val="00BF5125"/>
    <w:rsid w:val="00BF611C"/>
    <w:rsid w:val="00BF6395"/>
    <w:rsid w:val="00BF73A5"/>
    <w:rsid w:val="00C0036A"/>
    <w:rsid w:val="00C00CCB"/>
    <w:rsid w:val="00C019FD"/>
    <w:rsid w:val="00C03E2B"/>
    <w:rsid w:val="00C04075"/>
    <w:rsid w:val="00C04A10"/>
    <w:rsid w:val="00C07541"/>
    <w:rsid w:val="00C07C76"/>
    <w:rsid w:val="00C07E3E"/>
    <w:rsid w:val="00C10682"/>
    <w:rsid w:val="00C1092D"/>
    <w:rsid w:val="00C10E5B"/>
    <w:rsid w:val="00C120AC"/>
    <w:rsid w:val="00C13237"/>
    <w:rsid w:val="00C13ABF"/>
    <w:rsid w:val="00C14B79"/>
    <w:rsid w:val="00C14F66"/>
    <w:rsid w:val="00C15D85"/>
    <w:rsid w:val="00C253DE"/>
    <w:rsid w:val="00C25B76"/>
    <w:rsid w:val="00C25CB2"/>
    <w:rsid w:val="00C264EE"/>
    <w:rsid w:val="00C26EBD"/>
    <w:rsid w:val="00C3059F"/>
    <w:rsid w:val="00C31F74"/>
    <w:rsid w:val="00C34552"/>
    <w:rsid w:val="00C35AD7"/>
    <w:rsid w:val="00C369C1"/>
    <w:rsid w:val="00C36D22"/>
    <w:rsid w:val="00C376A5"/>
    <w:rsid w:val="00C40DEE"/>
    <w:rsid w:val="00C41078"/>
    <w:rsid w:val="00C412FD"/>
    <w:rsid w:val="00C42605"/>
    <w:rsid w:val="00C440F9"/>
    <w:rsid w:val="00C45421"/>
    <w:rsid w:val="00C45663"/>
    <w:rsid w:val="00C463C8"/>
    <w:rsid w:val="00C46AC7"/>
    <w:rsid w:val="00C46CAD"/>
    <w:rsid w:val="00C46CD7"/>
    <w:rsid w:val="00C47CE5"/>
    <w:rsid w:val="00C51EB0"/>
    <w:rsid w:val="00C51FE4"/>
    <w:rsid w:val="00C529EB"/>
    <w:rsid w:val="00C52ECA"/>
    <w:rsid w:val="00C52F04"/>
    <w:rsid w:val="00C53348"/>
    <w:rsid w:val="00C53AF1"/>
    <w:rsid w:val="00C53BD2"/>
    <w:rsid w:val="00C5421F"/>
    <w:rsid w:val="00C54470"/>
    <w:rsid w:val="00C5495F"/>
    <w:rsid w:val="00C54AB6"/>
    <w:rsid w:val="00C55D2E"/>
    <w:rsid w:val="00C56477"/>
    <w:rsid w:val="00C601DD"/>
    <w:rsid w:val="00C606D5"/>
    <w:rsid w:val="00C62200"/>
    <w:rsid w:val="00C64E82"/>
    <w:rsid w:val="00C65AD9"/>
    <w:rsid w:val="00C66696"/>
    <w:rsid w:val="00C66FD2"/>
    <w:rsid w:val="00C70E13"/>
    <w:rsid w:val="00C71714"/>
    <w:rsid w:val="00C73553"/>
    <w:rsid w:val="00C73E81"/>
    <w:rsid w:val="00C74785"/>
    <w:rsid w:val="00C77399"/>
    <w:rsid w:val="00C775AC"/>
    <w:rsid w:val="00C77BF6"/>
    <w:rsid w:val="00C77E1F"/>
    <w:rsid w:val="00C80444"/>
    <w:rsid w:val="00C80784"/>
    <w:rsid w:val="00C8091D"/>
    <w:rsid w:val="00C80991"/>
    <w:rsid w:val="00C80F48"/>
    <w:rsid w:val="00C811C9"/>
    <w:rsid w:val="00C81DE6"/>
    <w:rsid w:val="00C82A96"/>
    <w:rsid w:val="00C82EFD"/>
    <w:rsid w:val="00C90474"/>
    <w:rsid w:val="00C908A6"/>
    <w:rsid w:val="00C92F14"/>
    <w:rsid w:val="00C93381"/>
    <w:rsid w:val="00C93EEA"/>
    <w:rsid w:val="00C95D84"/>
    <w:rsid w:val="00C972CE"/>
    <w:rsid w:val="00C9775E"/>
    <w:rsid w:val="00C97908"/>
    <w:rsid w:val="00C97E27"/>
    <w:rsid w:val="00CA0465"/>
    <w:rsid w:val="00CA12E7"/>
    <w:rsid w:val="00CA146F"/>
    <w:rsid w:val="00CA1D76"/>
    <w:rsid w:val="00CA2AAE"/>
    <w:rsid w:val="00CA2BBB"/>
    <w:rsid w:val="00CA4AD5"/>
    <w:rsid w:val="00CA5D3E"/>
    <w:rsid w:val="00CA79C3"/>
    <w:rsid w:val="00CB1CB7"/>
    <w:rsid w:val="00CB3D6E"/>
    <w:rsid w:val="00CB6969"/>
    <w:rsid w:val="00CC1A5D"/>
    <w:rsid w:val="00CC35D7"/>
    <w:rsid w:val="00CC5193"/>
    <w:rsid w:val="00CD0265"/>
    <w:rsid w:val="00CD196A"/>
    <w:rsid w:val="00CD3044"/>
    <w:rsid w:val="00CD4D81"/>
    <w:rsid w:val="00CD5303"/>
    <w:rsid w:val="00CD54EB"/>
    <w:rsid w:val="00CD54EF"/>
    <w:rsid w:val="00CD7DAA"/>
    <w:rsid w:val="00CE0298"/>
    <w:rsid w:val="00CE0A23"/>
    <w:rsid w:val="00CE0C2E"/>
    <w:rsid w:val="00CE14CA"/>
    <w:rsid w:val="00CE50DA"/>
    <w:rsid w:val="00CE5508"/>
    <w:rsid w:val="00CE77A9"/>
    <w:rsid w:val="00CF1205"/>
    <w:rsid w:val="00CF4FC3"/>
    <w:rsid w:val="00CF529E"/>
    <w:rsid w:val="00CF5778"/>
    <w:rsid w:val="00CF5888"/>
    <w:rsid w:val="00CF75A8"/>
    <w:rsid w:val="00CF7E0F"/>
    <w:rsid w:val="00D01964"/>
    <w:rsid w:val="00D020E1"/>
    <w:rsid w:val="00D03B34"/>
    <w:rsid w:val="00D0560B"/>
    <w:rsid w:val="00D05CE6"/>
    <w:rsid w:val="00D1012B"/>
    <w:rsid w:val="00D10ADC"/>
    <w:rsid w:val="00D11229"/>
    <w:rsid w:val="00D132C0"/>
    <w:rsid w:val="00D15194"/>
    <w:rsid w:val="00D1543B"/>
    <w:rsid w:val="00D15534"/>
    <w:rsid w:val="00D155AE"/>
    <w:rsid w:val="00D16990"/>
    <w:rsid w:val="00D204E2"/>
    <w:rsid w:val="00D20EE3"/>
    <w:rsid w:val="00D21AB6"/>
    <w:rsid w:val="00D23873"/>
    <w:rsid w:val="00D24B65"/>
    <w:rsid w:val="00D2633B"/>
    <w:rsid w:val="00D2677D"/>
    <w:rsid w:val="00D26D0A"/>
    <w:rsid w:val="00D30E93"/>
    <w:rsid w:val="00D31654"/>
    <w:rsid w:val="00D31BD7"/>
    <w:rsid w:val="00D34AEE"/>
    <w:rsid w:val="00D34FE1"/>
    <w:rsid w:val="00D35AA0"/>
    <w:rsid w:val="00D40E3F"/>
    <w:rsid w:val="00D4173A"/>
    <w:rsid w:val="00D42D47"/>
    <w:rsid w:val="00D4388A"/>
    <w:rsid w:val="00D45026"/>
    <w:rsid w:val="00D45266"/>
    <w:rsid w:val="00D46372"/>
    <w:rsid w:val="00D46FD1"/>
    <w:rsid w:val="00D47911"/>
    <w:rsid w:val="00D511AD"/>
    <w:rsid w:val="00D62954"/>
    <w:rsid w:val="00D65D4A"/>
    <w:rsid w:val="00D65E0A"/>
    <w:rsid w:val="00D66A8D"/>
    <w:rsid w:val="00D71381"/>
    <w:rsid w:val="00D718D2"/>
    <w:rsid w:val="00D71E04"/>
    <w:rsid w:val="00D72254"/>
    <w:rsid w:val="00D73B2F"/>
    <w:rsid w:val="00D74DB2"/>
    <w:rsid w:val="00D74E8A"/>
    <w:rsid w:val="00D772FA"/>
    <w:rsid w:val="00D80228"/>
    <w:rsid w:val="00D83201"/>
    <w:rsid w:val="00D8541F"/>
    <w:rsid w:val="00D85511"/>
    <w:rsid w:val="00D8595D"/>
    <w:rsid w:val="00D85E3B"/>
    <w:rsid w:val="00D87072"/>
    <w:rsid w:val="00D871CE"/>
    <w:rsid w:val="00D90B20"/>
    <w:rsid w:val="00D91C20"/>
    <w:rsid w:val="00D92D4A"/>
    <w:rsid w:val="00D93694"/>
    <w:rsid w:val="00D97B0D"/>
    <w:rsid w:val="00DA1345"/>
    <w:rsid w:val="00DA16F4"/>
    <w:rsid w:val="00DA19B9"/>
    <w:rsid w:val="00DA1D7D"/>
    <w:rsid w:val="00DA2234"/>
    <w:rsid w:val="00DA25CC"/>
    <w:rsid w:val="00DA3568"/>
    <w:rsid w:val="00DA4620"/>
    <w:rsid w:val="00DA5A61"/>
    <w:rsid w:val="00DA60C6"/>
    <w:rsid w:val="00DA658F"/>
    <w:rsid w:val="00DA717B"/>
    <w:rsid w:val="00DA77B5"/>
    <w:rsid w:val="00DB03B2"/>
    <w:rsid w:val="00DB3335"/>
    <w:rsid w:val="00DB3525"/>
    <w:rsid w:val="00DB3587"/>
    <w:rsid w:val="00DB6F75"/>
    <w:rsid w:val="00DB7B1F"/>
    <w:rsid w:val="00DB7CBF"/>
    <w:rsid w:val="00DC2312"/>
    <w:rsid w:val="00DC24E1"/>
    <w:rsid w:val="00DC2597"/>
    <w:rsid w:val="00DC2CA5"/>
    <w:rsid w:val="00DC37A7"/>
    <w:rsid w:val="00DC5CA7"/>
    <w:rsid w:val="00DC6E39"/>
    <w:rsid w:val="00DC7583"/>
    <w:rsid w:val="00DC7627"/>
    <w:rsid w:val="00DC7AB7"/>
    <w:rsid w:val="00DD0302"/>
    <w:rsid w:val="00DD0B43"/>
    <w:rsid w:val="00DD1592"/>
    <w:rsid w:val="00DD1620"/>
    <w:rsid w:val="00DD5FB0"/>
    <w:rsid w:val="00DD64C0"/>
    <w:rsid w:val="00DE0C1E"/>
    <w:rsid w:val="00DE1995"/>
    <w:rsid w:val="00DE3048"/>
    <w:rsid w:val="00DE3345"/>
    <w:rsid w:val="00DE3B9B"/>
    <w:rsid w:val="00DE43BF"/>
    <w:rsid w:val="00DE4737"/>
    <w:rsid w:val="00DE5C24"/>
    <w:rsid w:val="00DE6798"/>
    <w:rsid w:val="00DE7377"/>
    <w:rsid w:val="00DE798D"/>
    <w:rsid w:val="00DF2759"/>
    <w:rsid w:val="00DF6465"/>
    <w:rsid w:val="00DF73D3"/>
    <w:rsid w:val="00DF760A"/>
    <w:rsid w:val="00E022DB"/>
    <w:rsid w:val="00E025D0"/>
    <w:rsid w:val="00E037F1"/>
    <w:rsid w:val="00E03E0E"/>
    <w:rsid w:val="00E04769"/>
    <w:rsid w:val="00E04C65"/>
    <w:rsid w:val="00E06A12"/>
    <w:rsid w:val="00E10387"/>
    <w:rsid w:val="00E1169B"/>
    <w:rsid w:val="00E12353"/>
    <w:rsid w:val="00E13A1C"/>
    <w:rsid w:val="00E14A2C"/>
    <w:rsid w:val="00E16187"/>
    <w:rsid w:val="00E22725"/>
    <w:rsid w:val="00E22C78"/>
    <w:rsid w:val="00E23677"/>
    <w:rsid w:val="00E23B9A"/>
    <w:rsid w:val="00E2684B"/>
    <w:rsid w:val="00E33758"/>
    <w:rsid w:val="00E37F59"/>
    <w:rsid w:val="00E4131C"/>
    <w:rsid w:val="00E41905"/>
    <w:rsid w:val="00E41D91"/>
    <w:rsid w:val="00E4309C"/>
    <w:rsid w:val="00E43A9A"/>
    <w:rsid w:val="00E44476"/>
    <w:rsid w:val="00E455FC"/>
    <w:rsid w:val="00E5066D"/>
    <w:rsid w:val="00E50771"/>
    <w:rsid w:val="00E53F6D"/>
    <w:rsid w:val="00E5555F"/>
    <w:rsid w:val="00E5647E"/>
    <w:rsid w:val="00E569BC"/>
    <w:rsid w:val="00E56E90"/>
    <w:rsid w:val="00E60B66"/>
    <w:rsid w:val="00E61868"/>
    <w:rsid w:val="00E63A19"/>
    <w:rsid w:val="00E6511E"/>
    <w:rsid w:val="00E65A54"/>
    <w:rsid w:val="00E65CC8"/>
    <w:rsid w:val="00E65E3F"/>
    <w:rsid w:val="00E70431"/>
    <w:rsid w:val="00E7175C"/>
    <w:rsid w:val="00E72A71"/>
    <w:rsid w:val="00E73B6F"/>
    <w:rsid w:val="00E74633"/>
    <w:rsid w:val="00E74FE7"/>
    <w:rsid w:val="00E757BB"/>
    <w:rsid w:val="00E75955"/>
    <w:rsid w:val="00E75EAD"/>
    <w:rsid w:val="00E76844"/>
    <w:rsid w:val="00E76CA0"/>
    <w:rsid w:val="00E801F3"/>
    <w:rsid w:val="00E80E85"/>
    <w:rsid w:val="00E83B67"/>
    <w:rsid w:val="00E841BD"/>
    <w:rsid w:val="00E84DED"/>
    <w:rsid w:val="00E85869"/>
    <w:rsid w:val="00E85ABE"/>
    <w:rsid w:val="00E9323A"/>
    <w:rsid w:val="00E93ABB"/>
    <w:rsid w:val="00E94130"/>
    <w:rsid w:val="00E967CA"/>
    <w:rsid w:val="00E97740"/>
    <w:rsid w:val="00EA15DB"/>
    <w:rsid w:val="00EA45F0"/>
    <w:rsid w:val="00EA4F2F"/>
    <w:rsid w:val="00EA5BC0"/>
    <w:rsid w:val="00EA61AA"/>
    <w:rsid w:val="00EA72D3"/>
    <w:rsid w:val="00EB0AD2"/>
    <w:rsid w:val="00EB22A1"/>
    <w:rsid w:val="00EB354F"/>
    <w:rsid w:val="00EB41C4"/>
    <w:rsid w:val="00EB7181"/>
    <w:rsid w:val="00EC0559"/>
    <w:rsid w:val="00EC1783"/>
    <w:rsid w:val="00EC2261"/>
    <w:rsid w:val="00EC3027"/>
    <w:rsid w:val="00EC35F4"/>
    <w:rsid w:val="00EC3609"/>
    <w:rsid w:val="00EC3DAB"/>
    <w:rsid w:val="00EC42C7"/>
    <w:rsid w:val="00EC6044"/>
    <w:rsid w:val="00EC7C7C"/>
    <w:rsid w:val="00ED09F1"/>
    <w:rsid w:val="00ED2A7E"/>
    <w:rsid w:val="00ED2E53"/>
    <w:rsid w:val="00ED6AB0"/>
    <w:rsid w:val="00EE013D"/>
    <w:rsid w:val="00EE0154"/>
    <w:rsid w:val="00EE1BFA"/>
    <w:rsid w:val="00EE2633"/>
    <w:rsid w:val="00EE375D"/>
    <w:rsid w:val="00EE47DF"/>
    <w:rsid w:val="00EE4A9A"/>
    <w:rsid w:val="00EE5A1A"/>
    <w:rsid w:val="00EE6889"/>
    <w:rsid w:val="00EE6E44"/>
    <w:rsid w:val="00EE7C84"/>
    <w:rsid w:val="00EF08EE"/>
    <w:rsid w:val="00EF2BCA"/>
    <w:rsid w:val="00EF40A8"/>
    <w:rsid w:val="00EF47FD"/>
    <w:rsid w:val="00EF5382"/>
    <w:rsid w:val="00EF629C"/>
    <w:rsid w:val="00EF63A8"/>
    <w:rsid w:val="00EF6BF5"/>
    <w:rsid w:val="00F00714"/>
    <w:rsid w:val="00F012A4"/>
    <w:rsid w:val="00F0144E"/>
    <w:rsid w:val="00F029C9"/>
    <w:rsid w:val="00F032FA"/>
    <w:rsid w:val="00F033B5"/>
    <w:rsid w:val="00F04CA5"/>
    <w:rsid w:val="00F06714"/>
    <w:rsid w:val="00F102CB"/>
    <w:rsid w:val="00F10B71"/>
    <w:rsid w:val="00F10D45"/>
    <w:rsid w:val="00F10F2B"/>
    <w:rsid w:val="00F11171"/>
    <w:rsid w:val="00F115DE"/>
    <w:rsid w:val="00F120FA"/>
    <w:rsid w:val="00F12D3A"/>
    <w:rsid w:val="00F1421C"/>
    <w:rsid w:val="00F145CE"/>
    <w:rsid w:val="00F147E4"/>
    <w:rsid w:val="00F2056E"/>
    <w:rsid w:val="00F209A0"/>
    <w:rsid w:val="00F20C8A"/>
    <w:rsid w:val="00F21A90"/>
    <w:rsid w:val="00F23D81"/>
    <w:rsid w:val="00F249E9"/>
    <w:rsid w:val="00F24B9B"/>
    <w:rsid w:val="00F25763"/>
    <w:rsid w:val="00F25871"/>
    <w:rsid w:val="00F27CB6"/>
    <w:rsid w:val="00F30169"/>
    <w:rsid w:val="00F31034"/>
    <w:rsid w:val="00F3144F"/>
    <w:rsid w:val="00F31D60"/>
    <w:rsid w:val="00F32412"/>
    <w:rsid w:val="00F34174"/>
    <w:rsid w:val="00F34E82"/>
    <w:rsid w:val="00F3692A"/>
    <w:rsid w:val="00F37785"/>
    <w:rsid w:val="00F4017A"/>
    <w:rsid w:val="00F4058B"/>
    <w:rsid w:val="00F40CF4"/>
    <w:rsid w:val="00F42828"/>
    <w:rsid w:val="00F42C3E"/>
    <w:rsid w:val="00F42F1F"/>
    <w:rsid w:val="00F43A2D"/>
    <w:rsid w:val="00F448F6"/>
    <w:rsid w:val="00F44EF7"/>
    <w:rsid w:val="00F44F2F"/>
    <w:rsid w:val="00F46385"/>
    <w:rsid w:val="00F46D1C"/>
    <w:rsid w:val="00F47AD0"/>
    <w:rsid w:val="00F50F8B"/>
    <w:rsid w:val="00F52D1F"/>
    <w:rsid w:val="00F53F3F"/>
    <w:rsid w:val="00F54897"/>
    <w:rsid w:val="00F54E60"/>
    <w:rsid w:val="00F55A9B"/>
    <w:rsid w:val="00F56FDC"/>
    <w:rsid w:val="00F61C59"/>
    <w:rsid w:val="00F623C5"/>
    <w:rsid w:val="00F62FBF"/>
    <w:rsid w:val="00F67265"/>
    <w:rsid w:val="00F715D3"/>
    <w:rsid w:val="00F717EB"/>
    <w:rsid w:val="00F71A2E"/>
    <w:rsid w:val="00F724A4"/>
    <w:rsid w:val="00F7254B"/>
    <w:rsid w:val="00F74B89"/>
    <w:rsid w:val="00F80BE5"/>
    <w:rsid w:val="00F908A5"/>
    <w:rsid w:val="00F91777"/>
    <w:rsid w:val="00F91B3F"/>
    <w:rsid w:val="00F92A31"/>
    <w:rsid w:val="00F9338A"/>
    <w:rsid w:val="00F9498C"/>
    <w:rsid w:val="00FA2470"/>
    <w:rsid w:val="00FA2B7E"/>
    <w:rsid w:val="00FA530F"/>
    <w:rsid w:val="00FA615E"/>
    <w:rsid w:val="00FA7D2F"/>
    <w:rsid w:val="00FA7DF5"/>
    <w:rsid w:val="00FB05A3"/>
    <w:rsid w:val="00FB0F77"/>
    <w:rsid w:val="00FB16B2"/>
    <w:rsid w:val="00FB1A68"/>
    <w:rsid w:val="00FB2911"/>
    <w:rsid w:val="00FB3410"/>
    <w:rsid w:val="00FB4517"/>
    <w:rsid w:val="00FB5B27"/>
    <w:rsid w:val="00FB623D"/>
    <w:rsid w:val="00FB62E7"/>
    <w:rsid w:val="00FB63DD"/>
    <w:rsid w:val="00FB73F2"/>
    <w:rsid w:val="00FC031D"/>
    <w:rsid w:val="00FC7274"/>
    <w:rsid w:val="00FC77B4"/>
    <w:rsid w:val="00FD0C72"/>
    <w:rsid w:val="00FD2D4B"/>
    <w:rsid w:val="00FD3520"/>
    <w:rsid w:val="00FD551D"/>
    <w:rsid w:val="00FD61CE"/>
    <w:rsid w:val="00FD76B2"/>
    <w:rsid w:val="00FE00F7"/>
    <w:rsid w:val="00FE08C7"/>
    <w:rsid w:val="00FE1788"/>
    <w:rsid w:val="00FE2420"/>
    <w:rsid w:val="00FE53DF"/>
    <w:rsid w:val="00FE5A21"/>
    <w:rsid w:val="00FE63F8"/>
    <w:rsid w:val="00FE6475"/>
    <w:rsid w:val="00FF1082"/>
    <w:rsid w:val="00FF152B"/>
    <w:rsid w:val="00FF20B0"/>
    <w:rsid w:val="00FF25B7"/>
    <w:rsid w:val="00FF652E"/>
    <w:rsid w:val="00FF686C"/>
    <w:rsid w:val="00FF687F"/>
    <w:rsid w:val="00FF6BE8"/>
    <w:rsid w:val="00FF725D"/>
    <w:rsid w:val="12516A47"/>
    <w:rsid w:val="19438899"/>
    <w:rsid w:val="19E30406"/>
    <w:rsid w:val="30B3DBFC"/>
    <w:rsid w:val="31296A32"/>
    <w:rsid w:val="3D8CA326"/>
    <w:rsid w:val="43E25504"/>
    <w:rsid w:val="501264D9"/>
    <w:rsid w:val="544AF448"/>
    <w:rsid w:val="5F0863C2"/>
    <w:rsid w:val="62B96E59"/>
    <w:rsid w:val="6466F99B"/>
    <w:rsid w:val="7AA743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2C6CC"/>
  <w15:chartTrackingRefBased/>
  <w15:docId w15:val="{74EA7795-8D5F-451A-A470-95EEF65B4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05A"/>
  </w:style>
  <w:style w:type="paragraph" w:styleId="Heading1">
    <w:name w:val="heading 1"/>
    <w:basedOn w:val="Normal"/>
    <w:next w:val="Normal"/>
    <w:link w:val="Heading1Char"/>
    <w:uiPriority w:val="9"/>
    <w:qFormat/>
    <w:rsid w:val="0071605A"/>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71605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71605A"/>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71605A"/>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71605A"/>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71605A"/>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71605A"/>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71605A"/>
    <w:pPr>
      <w:keepNext/>
      <w:keepLines/>
      <w:spacing w:before="40" w:after="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71605A"/>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05A"/>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71605A"/>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71605A"/>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71605A"/>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71605A"/>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71605A"/>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71605A"/>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71605A"/>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71605A"/>
    <w:rPr>
      <w:rFonts w:asciiTheme="majorHAnsi" w:eastAsiaTheme="majorEastAsia" w:hAnsiTheme="majorHAnsi" w:cstheme="majorBidi"/>
      <w:b/>
      <w:bCs/>
      <w:i/>
      <w:iCs/>
      <w:color w:val="0E2841" w:themeColor="text2"/>
    </w:rPr>
  </w:style>
  <w:style w:type="paragraph" w:styleId="Title">
    <w:name w:val="Title"/>
    <w:basedOn w:val="Normal"/>
    <w:next w:val="Normal"/>
    <w:link w:val="TitleChar"/>
    <w:uiPriority w:val="10"/>
    <w:qFormat/>
    <w:rsid w:val="0071605A"/>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71605A"/>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71605A"/>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1605A"/>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71605A"/>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71605A"/>
    <w:rPr>
      <w:i/>
      <w:iCs/>
      <w:color w:val="404040" w:themeColor="text1" w:themeTint="BF"/>
    </w:rPr>
  </w:style>
  <w:style w:type="paragraph" w:styleId="ListParagraph">
    <w:name w:val="List Paragraph"/>
    <w:basedOn w:val="Normal"/>
    <w:uiPriority w:val="34"/>
    <w:qFormat/>
    <w:rsid w:val="0052389E"/>
    <w:pPr>
      <w:ind w:left="720"/>
      <w:contextualSpacing/>
    </w:pPr>
  </w:style>
  <w:style w:type="character" w:styleId="IntenseEmphasis">
    <w:name w:val="Intense Emphasis"/>
    <w:basedOn w:val="DefaultParagraphFont"/>
    <w:uiPriority w:val="21"/>
    <w:qFormat/>
    <w:rsid w:val="0071605A"/>
    <w:rPr>
      <w:b/>
      <w:bCs/>
      <w:i/>
      <w:iCs/>
    </w:rPr>
  </w:style>
  <w:style w:type="paragraph" w:styleId="IntenseQuote">
    <w:name w:val="Intense Quote"/>
    <w:basedOn w:val="Normal"/>
    <w:next w:val="Normal"/>
    <w:link w:val="IntenseQuoteChar"/>
    <w:uiPriority w:val="30"/>
    <w:qFormat/>
    <w:rsid w:val="0071605A"/>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71605A"/>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71605A"/>
    <w:rPr>
      <w:b/>
      <w:bCs/>
      <w:smallCaps/>
      <w:spacing w:val="5"/>
      <w:u w:val="single"/>
    </w:rPr>
  </w:style>
  <w:style w:type="character" w:styleId="Hyperlink">
    <w:name w:val="Hyperlink"/>
    <w:basedOn w:val="DefaultParagraphFont"/>
    <w:uiPriority w:val="99"/>
    <w:unhideWhenUsed/>
    <w:rsid w:val="0052389E"/>
    <w:rPr>
      <w:color w:val="467886" w:themeColor="hyperlink"/>
      <w:u w:val="single"/>
    </w:rPr>
  </w:style>
  <w:style w:type="character" w:styleId="UnresolvedMention">
    <w:name w:val="Unresolved Mention"/>
    <w:basedOn w:val="DefaultParagraphFont"/>
    <w:uiPriority w:val="99"/>
    <w:semiHidden/>
    <w:unhideWhenUsed/>
    <w:rsid w:val="0052389E"/>
    <w:rPr>
      <w:color w:val="605E5C"/>
      <w:shd w:val="clear" w:color="auto" w:fill="E1DFDD"/>
    </w:rPr>
  </w:style>
  <w:style w:type="table" w:styleId="TableGrid">
    <w:name w:val="Table Grid"/>
    <w:basedOn w:val="TableNormal"/>
    <w:rsid w:val="00635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71605A"/>
    <w:pPr>
      <w:spacing w:line="240" w:lineRule="auto"/>
    </w:pPr>
    <w:rPr>
      <w:b/>
      <w:bCs/>
      <w:smallCaps/>
      <w:color w:val="595959" w:themeColor="text1" w:themeTint="A6"/>
      <w:spacing w:val="6"/>
    </w:rPr>
  </w:style>
  <w:style w:type="character" w:styleId="Strong">
    <w:name w:val="Strong"/>
    <w:basedOn w:val="DefaultParagraphFont"/>
    <w:uiPriority w:val="22"/>
    <w:qFormat/>
    <w:rsid w:val="0071605A"/>
    <w:rPr>
      <w:b/>
      <w:bCs/>
    </w:rPr>
  </w:style>
  <w:style w:type="character" w:styleId="Emphasis">
    <w:name w:val="Emphasis"/>
    <w:basedOn w:val="DefaultParagraphFont"/>
    <w:uiPriority w:val="20"/>
    <w:qFormat/>
    <w:rsid w:val="0071605A"/>
    <w:rPr>
      <w:i/>
      <w:iCs/>
    </w:rPr>
  </w:style>
  <w:style w:type="paragraph" w:styleId="NoSpacing">
    <w:name w:val="No Spacing"/>
    <w:uiPriority w:val="1"/>
    <w:qFormat/>
    <w:rsid w:val="0071605A"/>
    <w:pPr>
      <w:spacing w:after="0" w:line="240" w:lineRule="auto"/>
    </w:pPr>
  </w:style>
  <w:style w:type="character" w:styleId="SubtleEmphasis">
    <w:name w:val="Subtle Emphasis"/>
    <w:basedOn w:val="DefaultParagraphFont"/>
    <w:uiPriority w:val="19"/>
    <w:qFormat/>
    <w:rsid w:val="0071605A"/>
    <w:rPr>
      <w:i/>
      <w:iCs/>
      <w:color w:val="404040" w:themeColor="text1" w:themeTint="BF"/>
    </w:rPr>
  </w:style>
  <w:style w:type="character" w:styleId="SubtleReference">
    <w:name w:val="Subtle Reference"/>
    <w:basedOn w:val="DefaultParagraphFont"/>
    <w:uiPriority w:val="31"/>
    <w:qFormat/>
    <w:rsid w:val="0071605A"/>
    <w:rPr>
      <w:smallCaps/>
      <w:color w:val="404040" w:themeColor="text1" w:themeTint="BF"/>
      <w:u w:val="single" w:color="7F7F7F" w:themeColor="text1" w:themeTint="80"/>
    </w:rPr>
  </w:style>
  <w:style w:type="character" w:styleId="BookTitle">
    <w:name w:val="Book Title"/>
    <w:basedOn w:val="DefaultParagraphFont"/>
    <w:uiPriority w:val="33"/>
    <w:qFormat/>
    <w:rsid w:val="0071605A"/>
    <w:rPr>
      <w:b/>
      <w:bCs/>
      <w:smallCaps/>
    </w:rPr>
  </w:style>
  <w:style w:type="paragraph" w:styleId="TOCHeading">
    <w:name w:val="TOC Heading"/>
    <w:basedOn w:val="Heading1"/>
    <w:next w:val="Normal"/>
    <w:uiPriority w:val="39"/>
    <w:unhideWhenUsed/>
    <w:qFormat/>
    <w:rsid w:val="0071605A"/>
    <w:pPr>
      <w:outlineLvl w:val="9"/>
    </w:pPr>
  </w:style>
  <w:style w:type="paragraph" w:styleId="TOC1">
    <w:name w:val="toc 1"/>
    <w:basedOn w:val="Normal"/>
    <w:next w:val="Normal"/>
    <w:autoRedefine/>
    <w:uiPriority w:val="39"/>
    <w:unhideWhenUsed/>
    <w:rsid w:val="00607368"/>
    <w:pPr>
      <w:spacing w:after="100"/>
    </w:pPr>
  </w:style>
  <w:style w:type="paragraph" w:styleId="TOC2">
    <w:name w:val="toc 2"/>
    <w:basedOn w:val="Normal"/>
    <w:next w:val="Normal"/>
    <w:autoRedefine/>
    <w:uiPriority w:val="39"/>
    <w:unhideWhenUsed/>
    <w:rsid w:val="00607368"/>
    <w:pPr>
      <w:spacing w:after="100"/>
      <w:ind w:left="200"/>
    </w:pPr>
  </w:style>
  <w:style w:type="paragraph" w:styleId="Header">
    <w:name w:val="header"/>
    <w:basedOn w:val="Normal"/>
    <w:link w:val="HeaderChar"/>
    <w:uiPriority w:val="99"/>
    <w:unhideWhenUsed/>
    <w:rsid w:val="00F46D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6D1C"/>
  </w:style>
  <w:style w:type="paragraph" w:styleId="Footer">
    <w:name w:val="footer"/>
    <w:basedOn w:val="Normal"/>
    <w:link w:val="FooterChar"/>
    <w:uiPriority w:val="99"/>
    <w:unhideWhenUsed/>
    <w:rsid w:val="00F46D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6D1C"/>
  </w:style>
  <w:style w:type="table" w:styleId="GridTable4-Accent1">
    <w:name w:val="Grid Table 4 Accent 1"/>
    <w:basedOn w:val="TableNormal"/>
    <w:uiPriority w:val="49"/>
    <w:rsid w:val="00F46D1C"/>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1">
    <w:name w:val="List Table 2 Accent 1"/>
    <w:basedOn w:val="TableNormal"/>
    <w:uiPriority w:val="47"/>
    <w:rsid w:val="00B50774"/>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FootnoteText">
    <w:name w:val="footnote text"/>
    <w:basedOn w:val="Normal"/>
    <w:link w:val="FootnoteTextChar"/>
    <w:uiPriority w:val="99"/>
    <w:semiHidden/>
    <w:unhideWhenUsed/>
    <w:rsid w:val="00B50774"/>
    <w:pPr>
      <w:spacing w:after="0" w:line="240" w:lineRule="auto"/>
    </w:pPr>
  </w:style>
  <w:style w:type="character" w:customStyle="1" w:styleId="FootnoteTextChar">
    <w:name w:val="Footnote Text Char"/>
    <w:basedOn w:val="DefaultParagraphFont"/>
    <w:link w:val="FootnoteText"/>
    <w:uiPriority w:val="99"/>
    <w:semiHidden/>
    <w:rsid w:val="00B50774"/>
  </w:style>
  <w:style w:type="character" w:styleId="FootnoteReference">
    <w:name w:val="footnote reference"/>
    <w:basedOn w:val="DefaultParagraphFont"/>
    <w:uiPriority w:val="99"/>
    <w:semiHidden/>
    <w:unhideWhenUsed/>
    <w:rsid w:val="00B50774"/>
    <w:rPr>
      <w:vertAlign w:val="superscript"/>
    </w:rPr>
  </w:style>
  <w:style w:type="table" w:styleId="GridTable5Dark-Accent1">
    <w:name w:val="Grid Table 5 Dark Accent 1"/>
    <w:basedOn w:val="TableNormal"/>
    <w:uiPriority w:val="50"/>
    <w:rsid w:val="00B00C0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paragraph" w:styleId="Revision">
    <w:name w:val="Revision"/>
    <w:hidden/>
    <w:uiPriority w:val="99"/>
    <w:semiHidden/>
    <w:rsid w:val="00386734"/>
    <w:pPr>
      <w:spacing w:after="0" w:line="240" w:lineRule="auto"/>
    </w:pPr>
  </w:style>
  <w:style w:type="character" w:styleId="CommentReference">
    <w:name w:val="annotation reference"/>
    <w:basedOn w:val="DefaultParagraphFont"/>
    <w:unhideWhenUsed/>
    <w:rsid w:val="00A10950"/>
    <w:rPr>
      <w:sz w:val="16"/>
      <w:szCs w:val="16"/>
    </w:rPr>
  </w:style>
  <w:style w:type="paragraph" w:styleId="CommentText">
    <w:name w:val="annotation text"/>
    <w:basedOn w:val="Normal"/>
    <w:link w:val="CommentTextChar"/>
    <w:unhideWhenUsed/>
    <w:rsid w:val="00A10950"/>
    <w:pPr>
      <w:spacing w:line="240" w:lineRule="auto"/>
    </w:pPr>
  </w:style>
  <w:style w:type="character" w:customStyle="1" w:styleId="CommentTextChar">
    <w:name w:val="Comment Text Char"/>
    <w:basedOn w:val="DefaultParagraphFont"/>
    <w:link w:val="CommentText"/>
    <w:rsid w:val="00A10950"/>
  </w:style>
  <w:style w:type="paragraph" w:styleId="CommentSubject">
    <w:name w:val="annotation subject"/>
    <w:basedOn w:val="CommentText"/>
    <w:next w:val="CommentText"/>
    <w:link w:val="CommentSubjectChar"/>
    <w:uiPriority w:val="99"/>
    <w:semiHidden/>
    <w:unhideWhenUsed/>
    <w:rsid w:val="00A10950"/>
    <w:rPr>
      <w:b/>
      <w:bCs/>
    </w:rPr>
  </w:style>
  <w:style w:type="character" w:customStyle="1" w:styleId="CommentSubjectChar">
    <w:name w:val="Comment Subject Char"/>
    <w:basedOn w:val="CommentTextChar"/>
    <w:link w:val="CommentSubject"/>
    <w:uiPriority w:val="99"/>
    <w:semiHidden/>
    <w:rsid w:val="00A10950"/>
    <w:rPr>
      <w:b/>
      <w:bCs/>
    </w:rPr>
  </w:style>
  <w:style w:type="paragraph" w:styleId="EndnoteText">
    <w:name w:val="endnote text"/>
    <w:basedOn w:val="Normal"/>
    <w:link w:val="EndnoteTextChar"/>
    <w:uiPriority w:val="99"/>
    <w:semiHidden/>
    <w:unhideWhenUsed/>
    <w:rsid w:val="000459E0"/>
    <w:pPr>
      <w:spacing w:after="0" w:line="240" w:lineRule="auto"/>
    </w:pPr>
  </w:style>
  <w:style w:type="character" w:customStyle="1" w:styleId="EndnoteTextChar">
    <w:name w:val="Endnote Text Char"/>
    <w:basedOn w:val="DefaultParagraphFont"/>
    <w:link w:val="EndnoteText"/>
    <w:uiPriority w:val="99"/>
    <w:semiHidden/>
    <w:rsid w:val="000459E0"/>
  </w:style>
  <w:style w:type="character" w:styleId="EndnoteReference">
    <w:name w:val="endnote reference"/>
    <w:basedOn w:val="DefaultParagraphFont"/>
    <w:uiPriority w:val="99"/>
    <w:semiHidden/>
    <w:unhideWhenUsed/>
    <w:rsid w:val="000459E0"/>
    <w:rPr>
      <w:vertAlign w:val="superscript"/>
    </w:rPr>
  </w:style>
  <w:style w:type="character" w:styleId="Mention">
    <w:name w:val="Mention"/>
    <w:basedOn w:val="DefaultParagraphFont"/>
    <w:uiPriority w:val="99"/>
    <w:unhideWhenUsed/>
    <w:rsid w:val="008358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microsoft.com/office/2007/relationships/diagramDrawing" Target="diagrams/drawing1.xml"/><Relationship Id="rId39" Type="http://schemas.openxmlformats.org/officeDocument/2006/relationships/hyperlink" Target="https://documents.hants.gov.uk/pensions/TCFD-Report.docx" TargetMode="External"/><Relationship Id="rId21" Type="http://schemas.openxmlformats.org/officeDocument/2006/relationships/image" Target="media/image2.png"/><Relationship Id="rId34" Type="http://schemas.openxmlformats.org/officeDocument/2006/relationships/hyperlink" Target="https://democracy.hants.gov.uk/mgCommitteeDetails.aspx?ID=714" TargetMode="External"/><Relationship Id="rId42" Type="http://schemas.openxmlformats.org/officeDocument/2006/relationships/hyperlink" Target="https://www.lse.ac.uk/granthaminstitute/investing-in-a-just-transition-global-project/"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jpeg"/><Relationship Id="rId29" Type="http://schemas.openxmlformats.org/officeDocument/2006/relationships/hyperlink" Target="https://www.hants.gov.uk/hampshire-services/hampshirepensionfund/responsibleinvestments" TargetMode="External"/><Relationship Id="rId41" Type="http://schemas.openxmlformats.org/officeDocument/2006/relationships/hyperlink" Target="https://www.transitionpathwayinitiative.or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diagramQuickStyle" Target="diagrams/quickStyle1.xml"/><Relationship Id="rId32" Type="http://schemas.openxmlformats.org/officeDocument/2006/relationships/hyperlink" Target="https://www.hants.gov.uk/hampshire-services/hampshirepensionfund/responsibleinvestments" TargetMode="External"/><Relationship Id="rId37" Type="http://schemas.openxmlformats.org/officeDocument/2006/relationships/hyperlink" Target="https://www.unpri.org/" TargetMode="External"/><Relationship Id="rId40" Type="http://schemas.openxmlformats.org/officeDocument/2006/relationships/hyperlink" Target="https://www.iigcc.org/"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diagramLayout" Target="diagrams/layout1.xml"/><Relationship Id="rId28" Type="http://schemas.openxmlformats.org/officeDocument/2006/relationships/hyperlink" Target="https://www.hants.gov.uk/hampshire-services/pensions/joint-pension-fund-panel/policies" TargetMode="External"/><Relationship Id="rId36" Type="http://schemas.openxmlformats.org/officeDocument/2006/relationships/hyperlink" Target="https://documents.hants.gov.uk/pensions/hpf-statementofcompliance.pdf" TargetMode="Externa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hyperlink" Target="https://www.hants.gov.uk/hampshire-services/hampshirepensionfund/responsibleinvestment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diagramData" Target="diagrams/data1.xml"/><Relationship Id="rId27" Type="http://schemas.openxmlformats.org/officeDocument/2006/relationships/hyperlink" Target="https://www.hants.gov.uk/" TargetMode="External"/><Relationship Id="rId30" Type="http://schemas.openxmlformats.org/officeDocument/2006/relationships/hyperlink" Target="https://www.hants.gov.uk/hampshire-services/pensions/joint-pension-fund-panel/annual-report" TargetMode="External"/><Relationship Id="rId35" Type="http://schemas.openxmlformats.org/officeDocument/2006/relationships/hyperlink" Target="https://www.hants.gov.uk/hampshire-services/hampshirepensionfund/responsibleinvestments" TargetMode="External"/><Relationship Id="rId43"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diagramColors" Target="diagrams/colors1.xml"/><Relationship Id="rId33" Type="http://schemas.openxmlformats.org/officeDocument/2006/relationships/hyperlink" Target="https://www.hants.gov.uk/hampshire-services/hampshirepensionfund/responsibleinvestments" TargetMode="External"/><Relationship Id="rId38" Type="http://schemas.openxmlformats.org/officeDocument/2006/relationships/hyperlink" Target="https://www.pensionsforpurpose.co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EBEE14-40E5-4380-9A41-6B5DBD259B31}" type="doc">
      <dgm:prSet loTypeId="urn:microsoft.com/office/officeart/2008/layout/RadialCluster" loCatId="relationship" qsTypeId="urn:microsoft.com/office/officeart/2005/8/quickstyle/simple1" qsCatId="simple" csTypeId="urn:microsoft.com/office/officeart/2005/8/colors/accent1_2" csCatId="accent1" phldr="1"/>
      <dgm:spPr/>
      <dgm:t>
        <a:bodyPr/>
        <a:lstStyle/>
        <a:p>
          <a:endParaRPr lang="en-GB"/>
        </a:p>
      </dgm:t>
    </dgm:pt>
    <dgm:pt modelId="{64AEA4AC-F5CD-4238-A591-F36EF9EE273F}">
      <dgm:prSet phldrT="[Text]" custT="1"/>
      <dgm:spPr/>
      <dgm:t>
        <a:bodyPr/>
        <a:lstStyle/>
        <a:p>
          <a:r>
            <a:rPr lang="en-GB" sz="1200"/>
            <a:t>Engagement</a:t>
          </a:r>
        </a:p>
      </dgm:t>
    </dgm:pt>
    <dgm:pt modelId="{BCA47BDA-A460-4BE6-99B0-DA5B7C1C124F}" type="parTrans" cxnId="{B4DC95E7-84BC-47CC-AD42-29B7074DEA08}">
      <dgm:prSet/>
      <dgm:spPr/>
      <dgm:t>
        <a:bodyPr/>
        <a:lstStyle/>
        <a:p>
          <a:endParaRPr lang="en-GB"/>
        </a:p>
      </dgm:t>
    </dgm:pt>
    <dgm:pt modelId="{98469157-4D12-459A-A39C-95872EC1A605}" type="sibTrans" cxnId="{B4DC95E7-84BC-47CC-AD42-29B7074DEA08}">
      <dgm:prSet/>
      <dgm:spPr/>
      <dgm:t>
        <a:bodyPr/>
        <a:lstStyle/>
        <a:p>
          <a:endParaRPr lang="en-GB"/>
        </a:p>
      </dgm:t>
    </dgm:pt>
    <dgm:pt modelId="{BBFB0520-E79F-43BC-A923-D53D570A6211}">
      <dgm:prSet phldrT="[Text]" custT="1"/>
      <dgm:spPr/>
      <dgm:t>
        <a:bodyPr/>
        <a:lstStyle/>
        <a:p>
          <a:r>
            <a:rPr lang="en-GB" sz="1200"/>
            <a:t>Neutral</a:t>
          </a:r>
        </a:p>
      </dgm:t>
    </dgm:pt>
    <dgm:pt modelId="{55C4F52C-F32A-4836-9F8A-018DCADF567B}" type="parTrans" cxnId="{80EAF3B7-6502-4B3B-8A43-3209FCE42142}">
      <dgm:prSet/>
      <dgm:spPr/>
      <dgm:t>
        <a:bodyPr/>
        <a:lstStyle/>
        <a:p>
          <a:endParaRPr lang="en-GB"/>
        </a:p>
      </dgm:t>
    </dgm:pt>
    <dgm:pt modelId="{77094CDD-7075-4B80-BEC0-D49437002002}" type="sibTrans" cxnId="{80EAF3B7-6502-4B3B-8A43-3209FCE42142}">
      <dgm:prSet/>
      <dgm:spPr/>
      <dgm:t>
        <a:bodyPr/>
        <a:lstStyle/>
        <a:p>
          <a:endParaRPr lang="en-GB"/>
        </a:p>
      </dgm:t>
    </dgm:pt>
    <dgm:pt modelId="{171BC354-0BC5-4893-AF10-1C8EEDDD2DD3}">
      <dgm:prSet phldrT="[Text]" custT="1"/>
      <dgm:spPr/>
      <dgm:t>
        <a:bodyPr/>
        <a:lstStyle/>
        <a:p>
          <a:r>
            <a:rPr lang="en-GB" sz="1200"/>
            <a:t>Embrace</a:t>
          </a:r>
        </a:p>
      </dgm:t>
    </dgm:pt>
    <dgm:pt modelId="{44CAACA1-EB08-469D-BDE0-D9347789A014}" type="parTrans" cxnId="{427C181E-56ED-4B40-8BA5-C054D1E16023}">
      <dgm:prSet/>
      <dgm:spPr/>
      <dgm:t>
        <a:bodyPr/>
        <a:lstStyle/>
        <a:p>
          <a:endParaRPr lang="en-GB"/>
        </a:p>
      </dgm:t>
    </dgm:pt>
    <dgm:pt modelId="{46909814-5F41-4186-804F-2ED189E55DCD}" type="sibTrans" cxnId="{427C181E-56ED-4B40-8BA5-C054D1E16023}">
      <dgm:prSet/>
      <dgm:spPr/>
      <dgm:t>
        <a:bodyPr/>
        <a:lstStyle/>
        <a:p>
          <a:endParaRPr lang="en-GB"/>
        </a:p>
      </dgm:t>
    </dgm:pt>
    <dgm:pt modelId="{2CB19C1A-E434-478A-A59D-202675B80D7F}">
      <dgm:prSet phldrT="[Text]" custT="1"/>
      <dgm:spPr/>
      <dgm:t>
        <a:bodyPr/>
        <a:lstStyle/>
        <a:p>
          <a:r>
            <a:rPr lang="en-GB" sz="1200"/>
            <a:t>Challenge</a:t>
          </a:r>
        </a:p>
      </dgm:t>
    </dgm:pt>
    <dgm:pt modelId="{7A0422BA-92DE-4DD0-A20E-37C7D5F0929C}" type="parTrans" cxnId="{DC0063A1-8861-4D43-9EFB-C003B772516C}">
      <dgm:prSet/>
      <dgm:spPr/>
      <dgm:t>
        <a:bodyPr/>
        <a:lstStyle/>
        <a:p>
          <a:endParaRPr lang="en-GB"/>
        </a:p>
      </dgm:t>
    </dgm:pt>
    <dgm:pt modelId="{E5877068-82A0-4B49-A935-F6FB41DE8BC0}" type="sibTrans" cxnId="{DC0063A1-8861-4D43-9EFB-C003B772516C}">
      <dgm:prSet/>
      <dgm:spPr/>
      <dgm:t>
        <a:bodyPr/>
        <a:lstStyle/>
        <a:p>
          <a:endParaRPr lang="en-GB"/>
        </a:p>
      </dgm:t>
    </dgm:pt>
    <dgm:pt modelId="{14F425AC-C0FE-4E2D-B887-24A7414717D1}" type="pres">
      <dgm:prSet presAssocID="{B5EBEE14-40E5-4380-9A41-6B5DBD259B31}" presName="Name0" presStyleCnt="0">
        <dgm:presLayoutVars>
          <dgm:chMax val="1"/>
          <dgm:chPref val="1"/>
          <dgm:dir/>
          <dgm:animOne val="branch"/>
          <dgm:animLvl val="lvl"/>
        </dgm:presLayoutVars>
      </dgm:prSet>
      <dgm:spPr/>
    </dgm:pt>
    <dgm:pt modelId="{87ECA976-BC16-4E21-B1FF-9C2A05603F7B}" type="pres">
      <dgm:prSet presAssocID="{64AEA4AC-F5CD-4238-A591-F36EF9EE273F}" presName="singleCycle" presStyleCnt="0"/>
      <dgm:spPr/>
    </dgm:pt>
    <dgm:pt modelId="{F5AF4011-7974-4B71-8CC1-F5A02D3E1EC9}" type="pres">
      <dgm:prSet presAssocID="{64AEA4AC-F5CD-4238-A591-F36EF9EE273F}" presName="singleCenter" presStyleLbl="node1" presStyleIdx="0" presStyleCnt="4" custScaleX="110000" custScaleY="110000" custLinFactNeighborX="243" custLinFactNeighborY="-487">
        <dgm:presLayoutVars>
          <dgm:chMax val="7"/>
          <dgm:chPref val="7"/>
        </dgm:presLayoutVars>
      </dgm:prSet>
      <dgm:spPr/>
    </dgm:pt>
    <dgm:pt modelId="{ECBC3A39-76C6-43A6-81A5-81606AD74C51}" type="pres">
      <dgm:prSet presAssocID="{55C4F52C-F32A-4836-9F8A-018DCADF567B}" presName="Name56" presStyleLbl="parChTrans1D2" presStyleIdx="0" presStyleCnt="3"/>
      <dgm:spPr/>
    </dgm:pt>
    <dgm:pt modelId="{76B1D408-5191-4371-BF9C-1153B7C7472E}" type="pres">
      <dgm:prSet presAssocID="{BBFB0520-E79F-43BC-A923-D53D570A6211}" presName="text0" presStyleLbl="node1" presStyleIdx="1" presStyleCnt="4" custScaleX="133100" custScaleY="133100">
        <dgm:presLayoutVars>
          <dgm:bulletEnabled val="1"/>
        </dgm:presLayoutVars>
      </dgm:prSet>
      <dgm:spPr/>
    </dgm:pt>
    <dgm:pt modelId="{4F9F9311-0AC7-4EAE-9BB0-450337DE61D4}" type="pres">
      <dgm:prSet presAssocID="{44CAACA1-EB08-469D-BDE0-D9347789A014}" presName="Name56" presStyleLbl="parChTrans1D2" presStyleIdx="1" presStyleCnt="3"/>
      <dgm:spPr/>
    </dgm:pt>
    <dgm:pt modelId="{3694373F-7A7E-44DD-B9F4-E87FD6FCA99E}" type="pres">
      <dgm:prSet presAssocID="{171BC354-0BC5-4893-AF10-1C8EEDDD2DD3}" presName="text0" presStyleLbl="node1" presStyleIdx="2" presStyleCnt="4" custScaleX="133100" custScaleY="133100">
        <dgm:presLayoutVars>
          <dgm:bulletEnabled val="1"/>
        </dgm:presLayoutVars>
      </dgm:prSet>
      <dgm:spPr/>
    </dgm:pt>
    <dgm:pt modelId="{8F01AB8A-C24B-45F6-809E-B3779E9D9FB0}" type="pres">
      <dgm:prSet presAssocID="{7A0422BA-92DE-4DD0-A20E-37C7D5F0929C}" presName="Name56" presStyleLbl="parChTrans1D2" presStyleIdx="2" presStyleCnt="3"/>
      <dgm:spPr/>
    </dgm:pt>
    <dgm:pt modelId="{A76935D1-208A-4120-897B-A049BB9ADEA4}" type="pres">
      <dgm:prSet presAssocID="{2CB19C1A-E434-478A-A59D-202675B80D7F}" presName="text0" presStyleLbl="node1" presStyleIdx="3" presStyleCnt="4" custScaleX="133100" custScaleY="133100">
        <dgm:presLayoutVars>
          <dgm:bulletEnabled val="1"/>
        </dgm:presLayoutVars>
      </dgm:prSet>
      <dgm:spPr/>
    </dgm:pt>
  </dgm:ptLst>
  <dgm:cxnLst>
    <dgm:cxn modelId="{427C181E-56ED-4B40-8BA5-C054D1E16023}" srcId="{64AEA4AC-F5CD-4238-A591-F36EF9EE273F}" destId="{171BC354-0BC5-4893-AF10-1C8EEDDD2DD3}" srcOrd="1" destOrd="0" parTransId="{44CAACA1-EB08-469D-BDE0-D9347789A014}" sibTransId="{46909814-5F41-4186-804F-2ED189E55DCD}"/>
    <dgm:cxn modelId="{783EA742-B484-4A6A-BA6E-83AE444DF6BF}" type="presOf" srcId="{55C4F52C-F32A-4836-9F8A-018DCADF567B}" destId="{ECBC3A39-76C6-43A6-81A5-81606AD74C51}" srcOrd="0" destOrd="0" presId="urn:microsoft.com/office/officeart/2008/layout/RadialCluster"/>
    <dgm:cxn modelId="{C2CDE946-7CAC-495A-91C1-62A5FD790059}" type="presOf" srcId="{7A0422BA-92DE-4DD0-A20E-37C7D5F0929C}" destId="{8F01AB8A-C24B-45F6-809E-B3779E9D9FB0}" srcOrd="0" destOrd="0" presId="urn:microsoft.com/office/officeart/2008/layout/RadialCluster"/>
    <dgm:cxn modelId="{52092779-0608-4750-8BF6-7590FBA52DE1}" type="presOf" srcId="{BBFB0520-E79F-43BC-A923-D53D570A6211}" destId="{76B1D408-5191-4371-BF9C-1153B7C7472E}" srcOrd="0" destOrd="0" presId="urn:microsoft.com/office/officeart/2008/layout/RadialCluster"/>
    <dgm:cxn modelId="{17C3B37F-1297-4D7F-8989-F10071FAA0CB}" type="presOf" srcId="{171BC354-0BC5-4893-AF10-1C8EEDDD2DD3}" destId="{3694373F-7A7E-44DD-B9F4-E87FD6FCA99E}" srcOrd="0" destOrd="0" presId="urn:microsoft.com/office/officeart/2008/layout/RadialCluster"/>
    <dgm:cxn modelId="{DC0063A1-8861-4D43-9EFB-C003B772516C}" srcId="{64AEA4AC-F5CD-4238-A591-F36EF9EE273F}" destId="{2CB19C1A-E434-478A-A59D-202675B80D7F}" srcOrd="2" destOrd="0" parTransId="{7A0422BA-92DE-4DD0-A20E-37C7D5F0929C}" sibTransId="{E5877068-82A0-4B49-A935-F6FB41DE8BC0}"/>
    <dgm:cxn modelId="{3A1CE8A3-56F3-404D-B287-8C4CBD534CCA}" type="presOf" srcId="{44CAACA1-EB08-469D-BDE0-D9347789A014}" destId="{4F9F9311-0AC7-4EAE-9BB0-450337DE61D4}" srcOrd="0" destOrd="0" presId="urn:microsoft.com/office/officeart/2008/layout/RadialCluster"/>
    <dgm:cxn modelId="{80EAF3B7-6502-4B3B-8A43-3209FCE42142}" srcId="{64AEA4AC-F5CD-4238-A591-F36EF9EE273F}" destId="{BBFB0520-E79F-43BC-A923-D53D570A6211}" srcOrd="0" destOrd="0" parTransId="{55C4F52C-F32A-4836-9F8A-018DCADF567B}" sibTransId="{77094CDD-7075-4B80-BEC0-D49437002002}"/>
    <dgm:cxn modelId="{41509DBF-F1F5-4DC2-8EC9-76087636716A}" type="presOf" srcId="{64AEA4AC-F5CD-4238-A591-F36EF9EE273F}" destId="{F5AF4011-7974-4B71-8CC1-F5A02D3E1EC9}" srcOrd="0" destOrd="0" presId="urn:microsoft.com/office/officeart/2008/layout/RadialCluster"/>
    <dgm:cxn modelId="{7C5A0CD0-30A7-418C-B978-795E17B61A45}" type="presOf" srcId="{2CB19C1A-E434-478A-A59D-202675B80D7F}" destId="{A76935D1-208A-4120-897B-A049BB9ADEA4}" srcOrd="0" destOrd="0" presId="urn:microsoft.com/office/officeart/2008/layout/RadialCluster"/>
    <dgm:cxn modelId="{725A3BD1-D8ED-47CD-8FA1-AC3C56DC5AF9}" type="presOf" srcId="{B5EBEE14-40E5-4380-9A41-6B5DBD259B31}" destId="{14F425AC-C0FE-4E2D-B887-24A7414717D1}" srcOrd="0" destOrd="0" presId="urn:microsoft.com/office/officeart/2008/layout/RadialCluster"/>
    <dgm:cxn modelId="{B4DC95E7-84BC-47CC-AD42-29B7074DEA08}" srcId="{B5EBEE14-40E5-4380-9A41-6B5DBD259B31}" destId="{64AEA4AC-F5CD-4238-A591-F36EF9EE273F}" srcOrd="0" destOrd="0" parTransId="{BCA47BDA-A460-4BE6-99B0-DA5B7C1C124F}" sibTransId="{98469157-4D12-459A-A39C-95872EC1A605}"/>
    <dgm:cxn modelId="{E1A66BE0-5328-4B5A-B1C5-D607FAACDD22}" type="presParOf" srcId="{14F425AC-C0FE-4E2D-B887-24A7414717D1}" destId="{87ECA976-BC16-4E21-B1FF-9C2A05603F7B}" srcOrd="0" destOrd="0" presId="urn:microsoft.com/office/officeart/2008/layout/RadialCluster"/>
    <dgm:cxn modelId="{547FDFF1-9542-4348-ABB9-8DCDB38B3290}" type="presParOf" srcId="{87ECA976-BC16-4E21-B1FF-9C2A05603F7B}" destId="{F5AF4011-7974-4B71-8CC1-F5A02D3E1EC9}" srcOrd="0" destOrd="0" presId="urn:microsoft.com/office/officeart/2008/layout/RadialCluster"/>
    <dgm:cxn modelId="{D59F9536-A979-4DD5-B3AD-E440EAEDD5CC}" type="presParOf" srcId="{87ECA976-BC16-4E21-B1FF-9C2A05603F7B}" destId="{ECBC3A39-76C6-43A6-81A5-81606AD74C51}" srcOrd="1" destOrd="0" presId="urn:microsoft.com/office/officeart/2008/layout/RadialCluster"/>
    <dgm:cxn modelId="{5B1DAF7F-F013-43AA-A680-5C5711353D6E}" type="presParOf" srcId="{87ECA976-BC16-4E21-B1FF-9C2A05603F7B}" destId="{76B1D408-5191-4371-BF9C-1153B7C7472E}" srcOrd="2" destOrd="0" presId="urn:microsoft.com/office/officeart/2008/layout/RadialCluster"/>
    <dgm:cxn modelId="{3FA79901-335B-4079-8031-69C67C0D5522}" type="presParOf" srcId="{87ECA976-BC16-4E21-B1FF-9C2A05603F7B}" destId="{4F9F9311-0AC7-4EAE-9BB0-450337DE61D4}" srcOrd="3" destOrd="0" presId="urn:microsoft.com/office/officeart/2008/layout/RadialCluster"/>
    <dgm:cxn modelId="{B1E5804D-9872-4F67-AE51-524362663B2A}" type="presParOf" srcId="{87ECA976-BC16-4E21-B1FF-9C2A05603F7B}" destId="{3694373F-7A7E-44DD-B9F4-E87FD6FCA99E}" srcOrd="4" destOrd="0" presId="urn:microsoft.com/office/officeart/2008/layout/RadialCluster"/>
    <dgm:cxn modelId="{36DF2C27-C57A-4B33-BEDB-49A7CAE80F6A}" type="presParOf" srcId="{87ECA976-BC16-4E21-B1FF-9C2A05603F7B}" destId="{8F01AB8A-C24B-45F6-809E-B3779E9D9FB0}" srcOrd="5" destOrd="0" presId="urn:microsoft.com/office/officeart/2008/layout/RadialCluster"/>
    <dgm:cxn modelId="{9621D008-0FAB-4DDE-806A-07BA209DE6B5}" type="presParOf" srcId="{87ECA976-BC16-4E21-B1FF-9C2A05603F7B}" destId="{A76935D1-208A-4120-897B-A049BB9ADEA4}" srcOrd="6" destOrd="0" presId="urn:microsoft.com/office/officeart/2008/layout/RadialCluster"/>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AF4011-7974-4B71-8CC1-F5A02D3E1EC9}">
      <dsp:nvSpPr>
        <dsp:cNvPr id="0" name=""/>
        <dsp:cNvSpPr/>
      </dsp:nvSpPr>
      <dsp:spPr>
        <a:xfrm>
          <a:off x="1313471" y="1261753"/>
          <a:ext cx="934119" cy="93411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GB" sz="1200" kern="1200"/>
            <a:t>Engagement</a:t>
          </a:r>
        </a:p>
      </dsp:txBody>
      <dsp:txXfrm>
        <a:off x="1359071" y="1307353"/>
        <a:ext cx="842919" cy="842919"/>
      </dsp:txXfrm>
    </dsp:sp>
    <dsp:sp modelId="{ECBC3A39-76C6-43A6-81A5-81606AD74C51}">
      <dsp:nvSpPr>
        <dsp:cNvPr id="0" name=""/>
        <dsp:cNvSpPr/>
      </dsp:nvSpPr>
      <dsp:spPr>
        <a:xfrm rot="16183128">
          <a:off x="1553967" y="1038580"/>
          <a:ext cx="446351" cy="0"/>
        </a:xfrm>
        <a:custGeom>
          <a:avLst/>
          <a:gdLst/>
          <a:ahLst/>
          <a:cxnLst/>
          <a:rect l="0" t="0" r="0" b="0"/>
          <a:pathLst>
            <a:path>
              <a:moveTo>
                <a:pt x="0" y="0"/>
              </a:moveTo>
              <a:lnTo>
                <a:pt x="446351"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B1D408-5191-4371-BF9C-1153B7C7472E}">
      <dsp:nvSpPr>
        <dsp:cNvPr id="0" name=""/>
        <dsp:cNvSpPr/>
      </dsp:nvSpPr>
      <dsp:spPr>
        <a:xfrm>
          <a:off x="1395544" y="58117"/>
          <a:ext cx="757290" cy="75729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GB" sz="1200" kern="1200"/>
            <a:t>Neutral</a:t>
          </a:r>
        </a:p>
      </dsp:txBody>
      <dsp:txXfrm>
        <a:off x="1432512" y="95085"/>
        <a:ext cx="683354" cy="683354"/>
      </dsp:txXfrm>
    </dsp:sp>
    <dsp:sp modelId="{4F9F9311-0AC7-4EAE-9BB0-450337DE61D4}">
      <dsp:nvSpPr>
        <dsp:cNvPr id="0" name=""/>
        <dsp:cNvSpPr/>
      </dsp:nvSpPr>
      <dsp:spPr>
        <a:xfrm rot="1837325">
          <a:off x="2225072" y="2087524"/>
          <a:ext cx="322944" cy="0"/>
        </a:xfrm>
        <a:custGeom>
          <a:avLst/>
          <a:gdLst/>
          <a:ahLst/>
          <a:cxnLst/>
          <a:rect l="0" t="0" r="0" b="0"/>
          <a:pathLst>
            <a:path>
              <a:moveTo>
                <a:pt x="0" y="0"/>
              </a:moveTo>
              <a:lnTo>
                <a:pt x="32294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94373F-7A7E-44DD-B9F4-E87FD6FCA99E}">
      <dsp:nvSpPr>
        <dsp:cNvPr id="0" name=""/>
        <dsp:cNvSpPr/>
      </dsp:nvSpPr>
      <dsp:spPr>
        <a:xfrm>
          <a:off x="2525499" y="2015256"/>
          <a:ext cx="757290" cy="75729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GB" sz="1200" kern="1200"/>
            <a:t>Embrace</a:t>
          </a:r>
        </a:p>
      </dsp:txBody>
      <dsp:txXfrm>
        <a:off x="2562467" y="2052224"/>
        <a:ext cx="683354" cy="683354"/>
      </dsp:txXfrm>
    </dsp:sp>
    <dsp:sp modelId="{8F01AB8A-C24B-45F6-809E-B3779E9D9FB0}">
      <dsp:nvSpPr>
        <dsp:cNvPr id="0" name=""/>
        <dsp:cNvSpPr/>
      </dsp:nvSpPr>
      <dsp:spPr>
        <a:xfrm rot="8979542">
          <a:off x="999821" y="2087232"/>
          <a:ext cx="336708" cy="0"/>
        </a:xfrm>
        <a:custGeom>
          <a:avLst/>
          <a:gdLst/>
          <a:ahLst/>
          <a:cxnLst/>
          <a:rect l="0" t="0" r="0" b="0"/>
          <a:pathLst>
            <a:path>
              <a:moveTo>
                <a:pt x="0" y="0"/>
              </a:moveTo>
              <a:lnTo>
                <a:pt x="336708"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6935D1-208A-4120-897B-A049BB9ADEA4}">
      <dsp:nvSpPr>
        <dsp:cNvPr id="0" name=""/>
        <dsp:cNvSpPr/>
      </dsp:nvSpPr>
      <dsp:spPr>
        <a:xfrm>
          <a:off x="265590" y="2015256"/>
          <a:ext cx="757290" cy="75729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GB" sz="1200" kern="1200"/>
            <a:t>Challenge</a:t>
          </a:r>
        </a:p>
      </dsp:txBody>
      <dsp:txXfrm>
        <a:off x="302558" y="2052224"/>
        <a:ext cx="683354" cy="683354"/>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Member Meetings" ma:contentTypeID="0x0101004E1B537BC2B2AD43A5AF5311D732D3AABA00061D58B09530C448B6EE469CA9B8117A" ma:contentTypeVersion="385" ma:contentTypeDescription="" ma:contentTypeScope="" ma:versionID="4cbf6068f9b36472009176f88bba9174">
  <xsd:schema xmlns:xsd="http://www.w3.org/2001/XMLSchema" xmlns:xs="http://www.w3.org/2001/XMLSchema" xmlns:p="http://schemas.microsoft.com/office/2006/metadata/properties" xmlns:ns1="http://schemas.microsoft.com/sharepoint/v3" xmlns:ns2="c5dbf80e-f509-45f6-9fe5-406e3eefabbb" xmlns:ns3="9a5b0f5e-f18b-46e2-b086-01d01b964cad" targetNamespace="http://schemas.microsoft.com/office/2006/metadata/properties" ma:root="true" ma:fieldsID="48fa42ac963514b67b2e88043b4488d1" ns1:_="" ns2:_="" ns3:_="">
    <xsd:import namespace="http://schemas.microsoft.com/sharepoint/v3"/>
    <xsd:import namespace="c5dbf80e-f509-45f6-9fe5-406e3eefabbb"/>
    <xsd:import namespace="9a5b0f5e-f18b-46e2-b086-01d01b964cad"/>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nee01732a04e438b88f8d13d917b5ab7" minOccurs="0"/>
                <xsd:element ref="ns2:eeadced8a35a499eaa6ae428604d987c"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1f123cc-a333-45c5-8d62-0105ff26a1df}" ma:internalName="TaxCatchAll" ma:showField="CatchAllData" ma:web="9a5b0f5e-f18b-46e2-b086-01d01b964ca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1f123cc-a333-45c5-8d62-0105ff26a1df}" ma:internalName="TaxCatchAllLabel" ma:readOnly="true" ma:showField="CatchAllDataLabel" ma:web="9a5b0f5e-f18b-46e2-b086-01d01b964cad">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nee01732a04e438b88f8d13d917b5ab7" ma:index="17" ma:taxonomy="true" ma:internalName="nee01732a04e438b88f8d13d917b5ab7" ma:taxonomyFieldName="Member_x0020_Meetings" ma:displayName="Member Meetings" ma:readOnly="false" ma:default="" ma:fieldId="{7ee01732-a04e-438b-88f8-d13d917b5ab7}" ma:sspId="3c5dbf34-c73a-430c-9290-9174ad787734" ma:termSetId="b6426ea1-a033-402e-9566-534bccb39cd6" ma:anchorId="00000000-0000-0000-0000-000000000000" ma:open="false" ma:isKeyword="false">
      <xsd:complexType>
        <xsd:sequence>
          <xsd:element ref="pc:Terms" minOccurs="0" maxOccurs="1"/>
        </xsd:sequence>
      </xsd:complexType>
    </xsd:element>
    <xsd:element name="eeadced8a35a499eaa6ae428604d987c" ma:index="19" ma:taxonomy="true" ma:internalName="eeadced8a35a499eaa6ae428604d987c" ma:taxonomyFieldName="Financial_x0020_Year" ma:displayName="Financial Year" ma:readOnly="false" ma:default="" ma:fieldId="{eeadced8-a35a-499e-aa6a-e428604d987c}" ma:sspId="3c5dbf34-c73a-430c-9290-9174ad787734" ma:termSetId="7d71bb9a-de29-4fe1-ae9a-43907322fc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5b0f5e-f18b-46e2-b086-01d01b964cad"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c5dbf34-c73a-430c-9290-9174ad787734" ContentTypeId="0x0101004E1B537BC2B2AD43A5AF5311D732D3AABA" PreviousValue="false"/>
</file>

<file path=customXml/item7.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229</Value>
      <Value>294</Value>
    </TaxCatchAll>
    <hc632fe273cb498aa970207d30c3b1d8 xmlns="c5dbf80e-f509-45f6-9fe5-406e3eefabbb">
      <Terms xmlns="http://schemas.microsoft.com/office/infopath/2007/PartnerControls"/>
    </hc632fe273cb498aa970207d30c3b1d8>
    <nee01732a04e438b88f8d13d917b5ab7 xmlns="c5dbf80e-f509-45f6-9fe5-406e3eefabbb">
      <Terms xmlns="http://schemas.microsoft.com/office/infopath/2007/PartnerControls">
        <TermInfo xmlns="http://schemas.microsoft.com/office/infopath/2007/PartnerControls">
          <TermName xmlns="http://schemas.microsoft.com/office/infopath/2007/PartnerControls">Hampshire Pension Fund Panel and Board</TermName>
          <TermId xmlns="http://schemas.microsoft.com/office/infopath/2007/PartnerControls">94cc892f-7f58-4835-a2eb-449cd7b28d05</TermId>
        </TermInfo>
      </Terms>
    </nee01732a04e438b88f8d13d917b5ab7>
    <eeadced8a35a499eaa6ae428604d987c xmlns="c5dbf80e-f509-45f6-9fe5-406e3eefabbb">
      <Terms xmlns="http://schemas.microsoft.com/office/infopath/2007/PartnerControls">
        <TermInfo xmlns="http://schemas.microsoft.com/office/infopath/2007/PartnerControls">
          <TermName xmlns="http://schemas.microsoft.com/office/infopath/2007/PartnerControls">2025/2026</TermName>
          <TermId xmlns="http://schemas.microsoft.com/office/infopath/2007/PartnerControls">17270a63-8074-42b5-9c06-e4ebea29cdff</TermId>
        </TermInfo>
      </Terms>
    </eeadced8a35a499eaa6ae428604d987c>
    <_dlc_DocId xmlns="9a5b0f5e-f18b-46e2-b086-01d01b964cad">MMDOCID-763379706-475676</_dlc_DocId>
    <_dlc_ExpireDateSaved xmlns="http://schemas.microsoft.com/sharepoint/v3" xsi:nil="true"/>
    <_dlc_DocIdUrl xmlns="9a5b0f5e-f18b-46e2-b086-01d01b964cad">
      <Url>https://hants.sharepoint.com/sites/MM/HPFPB/_layouts/15/DocIdRedir.aspx?ID=MMDOCID-763379706-475676</Url>
      <Description>MMDOCID-763379706-475676</Description>
    </_dlc_DocIdUrl>
    <_dlc_ExpireDate xmlns="http://schemas.microsoft.com/sharepoint/v3">2028-05-28T12:15:26+00:00</_dlc_ExpireDate>
  </documentManagement>
</p:properties>
</file>

<file path=customXml/itemProps1.xml><?xml version="1.0" encoding="utf-8"?>
<ds:datastoreItem xmlns:ds="http://schemas.openxmlformats.org/officeDocument/2006/customXml" ds:itemID="{C4E2F0F0-8254-4E6B-BD3C-7DF0FDCEF855}">
  <ds:schemaRefs>
    <ds:schemaRef ds:uri="http://schemas.openxmlformats.org/officeDocument/2006/bibliography"/>
  </ds:schemaRefs>
</ds:datastoreItem>
</file>

<file path=customXml/itemProps2.xml><?xml version="1.0" encoding="utf-8"?>
<ds:datastoreItem xmlns:ds="http://schemas.openxmlformats.org/officeDocument/2006/customXml" ds:itemID="{BD57689F-1805-4945-ADDA-1FB7D02425D4}">
  <ds:schemaRefs>
    <ds:schemaRef ds:uri="office.server.policy"/>
  </ds:schemaRefs>
</ds:datastoreItem>
</file>

<file path=customXml/itemProps3.xml><?xml version="1.0" encoding="utf-8"?>
<ds:datastoreItem xmlns:ds="http://schemas.openxmlformats.org/officeDocument/2006/customXml" ds:itemID="{30435823-CA11-4902-AD43-5F1B87EEF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a5b0f5e-f18b-46e2-b086-01d01b964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9C6D1A-FAB9-4AB7-9EC9-850629D9271B}">
  <ds:schemaRefs>
    <ds:schemaRef ds:uri="http://schemas.microsoft.com/sharepoint/v3/contenttype/forms"/>
  </ds:schemaRefs>
</ds:datastoreItem>
</file>

<file path=customXml/itemProps5.xml><?xml version="1.0" encoding="utf-8"?>
<ds:datastoreItem xmlns:ds="http://schemas.openxmlformats.org/officeDocument/2006/customXml" ds:itemID="{701E4CD2-F8F4-4C18-9FF3-D9DBA7EAA128}">
  <ds:schemaRefs>
    <ds:schemaRef ds:uri="http://schemas.microsoft.com/sharepoint/events"/>
  </ds:schemaRefs>
</ds:datastoreItem>
</file>

<file path=customXml/itemProps6.xml><?xml version="1.0" encoding="utf-8"?>
<ds:datastoreItem xmlns:ds="http://schemas.openxmlformats.org/officeDocument/2006/customXml" ds:itemID="{ECB03FA9-207B-463D-8E09-D5F1CE215003}">
  <ds:schemaRefs>
    <ds:schemaRef ds:uri="Microsoft.SharePoint.Taxonomy.ContentTypeSync"/>
  </ds:schemaRefs>
</ds:datastoreItem>
</file>

<file path=customXml/itemProps7.xml><?xml version="1.0" encoding="utf-8"?>
<ds:datastoreItem xmlns:ds="http://schemas.openxmlformats.org/officeDocument/2006/customXml" ds:itemID="{3867CBAD-2817-4EF8-87D9-20C6326BC6BE}">
  <ds:schemaRefs>
    <ds:schemaRef ds:uri="http://schemas.microsoft.com/office/2006/metadata/properties"/>
    <ds:schemaRef ds:uri="http://schemas.microsoft.com/office/infopath/2007/PartnerControls"/>
    <ds:schemaRef ds:uri="c5dbf80e-f509-45f6-9fe5-406e3eefabbb"/>
    <ds:schemaRef ds:uri="9a5b0f5e-f18b-46e2-b086-01d01b964ca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6026</Words>
  <Characters>34354</Characters>
  <Application>Microsoft Office Word</Application>
  <DocSecurity>0</DocSecurity>
  <Lines>286</Lines>
  <Paragraphs>80</Paragraphs>
  <ScaleCrop>false</ScaleCrop>
  <Company>Hampshire County Council</Company>
  <LinksUpToDate>false</LinksUpToDate>
  <CharactersWithSpaces>40300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Farley, Gemma</dc:creator>
  <cp:keywords/>
  <dc:description/>
  <cp:lastModifiedBy>Boutflower, Andrew</cp:lastModifiedBy>
  <cp:revision>287</cp:revision>
  <cp:lastPrinted>2026-03-30T11:07:00Z</cp:lastPrinted>
  <dcterms:created xsi:type="dcterms:W3CDTF">2026-02-24T21:35:00Z</dcterms:created>
  <dcterms:modified xsi:type="dcterms:W3CDTF">2026-06-03T18:32:00Z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0x0101004E1B537BC2B2AD43A5AF5311D732D3AABA00061D58B09530C448B6EE469CA9B8117A</vt:lpwstr>
  </property>
  <property fmtid="{D5CDD505-2E9C-101B-9397-08002B2CF9AE}" pid="3" name="Document_x0020_Type">
    <vt:lpwstr/>
  </property>
  <property fmtid="{D5CDD505-2E9C-101B-9397-08002B2CF9AE}" pid="4" name="Financial_x0020_Year">
    <vt:lpwstr>294;#2025/2026|17270a63-8074-42b5-9c06-e4ebea29cdff</vt:lpwstr>
  </property>
  <property fmtid="{D5CDD505-2E9C-101B-9397-08002B2CF9AE}" pid="5" name="Member_x0020_Meetings">
    <vt:lpwstr>229;#Hampshire Pension Fund Panel and Board|94cc892f-7f58-4835-a2eb-449cd7b28d05</vt:lpwstr>
  </property>
  <property fmtid="{D5CDD505-2E9C-101B-9397-08002B2CF9AE}" pid="6" name="Member Meetings">
    <vt:lpwstr>229;#Hampshire Pension Fund Panel and Board|94cc892f-7f58-4835-a2eb-449cd7b28d05</vt:lpwstr>
  </property>
  <property fmtid="{D5CDD505-2E9C-101B-9397-08002B2CF9AE}" pid="7" name="Financial Year">
    <vt:lpwstr>294;#2025/2026|17270a63-8074-42b5-9c06-e4ebea29cdff</vt:lpwstr>
  </property>
  <property fmtid="{D5CDD505-2E9C-101B-9397-08002B2CF9AE}" pid="8" name="Document Type">
    <vt:lpwstr/>
  </property>
  <property fmtid="{D5CDD505-2E9C-101B-9397-08002B2CF9AE}" pid="9" name="_dlc_policyId">
    <vt:lpwstr>0x0101004E1B537BC2B2AD43A5AF5311D732D3AA|1208973698</vt:lpwstr>
  </property>
  <property fmtid="{D5CDD505-2E9C-101B-9397-08002B2CF9AE}" pid="10"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1" name="docLang">
    <vt:lpwstr>en</vt:lpwstr>
  </property>
  <property fmtid="{D5CDD505-2E9C-101B-9397-08002B2CF9AE}" pid="12" name="_dlc_DocIdItemGuid">
    <vt:lpwstr>42412ff1-99ba-466b-8020-d4751a699c4f</vt:lpwstr>
  </property>
</Properties>
</file>