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915" w14:textId="6AC4C50D" w:rsidR="000213E4" w:rsidRPr="003F35B9" w:rsidRDefault="000213E4" w:rsidP="00A40C3C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3F35B9">
        <w:rPr>
          <w:rFonts w:ascii="Arial" w:hAnsi="Arial" w:cs="Arial"/>
          <w:b/>
          <w:bCs/>
          <w:color w:val="008080"/>
          <w:sz w:val="28"/>
          <w:szCs w:val="28"/>
        </w:rPr>
        <w:t>Transition Partnership Agreement</w:t>
      </w:r>
      <w:r w:rsidR="005B5714" w:rsidRPr="003F35B9">
        <w:rPr>
          <w:rFonts w:ascii="Arial" w:hAnsi="Arial" w:cs="Arial"/>
          <w:b/>
          <w:bCs/>
          <w:color w:val="008080"/>
          <w:sz w:val="28"/>
          <w:szCs w:val="28"/>
        </w:rPr>
        <w:t xml:space="preserve"> (TPA)</w:t>
      </w:r>
      <w:r w:rsidR="00545333" w:rsidRPr="003F35B9">
        <w:rPr>
          <w:rFonts w:ascii="Arial" w:hAnsi="Arial" w:cs="Arial"/>
          <w:b/>
          <w:bCs/>
          <w:color w:val="008080"/>
          <w:sz w:val="28"/>
          <w:szCs w:val="28"/>
        </w:rPr>
        <w:t xml:space="preserve">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7B4AAC" w:rsidRPr="007B4AAC" w14:paraId="741D0B62" w14:textId="77777777" w:rsidTr="00717FB5">
        <w:tc>
          <w:tcPr>
            <w:tcW w:w="2122" w:type="dxa"/>
            <w:vMerge w:val="restart"/>
          </w:tcPr>
          <w:p w14:paraId="4FA05A77" w14:textId="5B645413" w:rsidR="00E03339" w:rsidRPr="007B4AAC" w:rsidRDefault="00D449FA" w:rsidP="00E033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2FA4F18" wp14:editId="47B91EAA">
                  <wp:extent cx="914400" cy="914400"/>
                  <wp:effectExtent l="0" t="0" r="0" b="0"/>
                  <wp:docPr id="1432621058" name="Graphic 1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21058" name="Graphic 1432621058" descr="Camera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339" w:rsidRPr="007B4AA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6AF580" w14:textId="024F7828" w:rsidR="00E03339" w:rsidRPr="00013DE2" w:rsidRDefault="00E03339" w:rsidP="00E033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Photo</w:t>
            </w:r>
          </w:p>
          <w:p w14:paraId="3A3D9198" w14:textId="4158F7F5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70750FA" w14:textId="45E064CF" w:rsidR="00E03339" w:rsidRPr="00013DE2" w:rsidRDefault="00071B8B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E03339"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ame:</w:t>
            </w:r>
          </w:p>
        </w:tc>
        <w:tc>
          <w:tcPr>
            <w:tcW w:w="3776" w:type="dxa"/>
          </w:tcPr>
          <w:p w14:paraId="1EBA8214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5B3087A0" w14:textId="77777777" w:rsidTr="00717FB5">
        <w:tc>
          <w:tcPr>
            <w:tcW w:w="2122" w:type="dxa"/>
            <w:vMerge/>
          </w:tcPr>
          <w:p w14:paraId="194AB1C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193E168" w14:textId="6354DE44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776" w:type="dxa"/>
          </w:tcPr>
          <w:p w14:paraId="013B4E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7B9F24A7" w14:textId="77777777" w:rsidTr="00717FB5">
        <w:tc>
          <w:tcPr>
            <w:tcW w:w="2122" w:type="dxa"/>
            <w:vMerge/>
          </w:tcPr>
          <w:p w14:paraId="6FCFDD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47E68CF" w14:textId="05E961A2" w:rsidR="00E03339" w:rsidRPr="00013DE2" w:rsidRDefault="00752A3C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3776" w:type="dxa"/>
          </w:tcPr>
          <w:p w14:paraId="50878FA9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4E0DD058" w14:textId="77777777" w:rsidTr="00717FB5">
        <w:tc>
          <w:tcPr>
            <w:tcW w:w="2122" w:type="dxa"/>
            <w:vMerge/>
          </w:tcPr>
          <w:p w14:paraId="234E07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38F8F9C" w14:textId="1E27CFE8" w:rsidR="00E03339" w:rsidRPr="00013DE2" w:rsidRDefault="00883C0C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NC year</w:t>
            </w:r>
            <w:r w:rsidR="00E03339"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3585189B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1AA7778" w14:textId="77777777" w:rsidTr="00717FB5">
        <w:tc>
          <w:tcPr>
            <w:tcW w:w="2122" w:type="dxa"/>
            <w:vMerge/>
          </w:tcPr>
          <w:p w14:paraId="02FE983D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C230E95" w14:textId="100BEC5E" w:rsidR="00E03339" w:rsidRPr="00013DE2" w:rsidRDefault="00BF76B2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CA3955" w:rsidRPr="00FD0F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initial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TPA meeting</w:t>
            </w:r>
            <w:r w:rsidR="007F790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67F373B3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D75B704" w14:textId="77777777" w:rsidTr="00717FB5">
        <w:trPr>
          <w:trHeight w:val="44"/>
        </w:trPr>
        <w:tc>
          <w:tcPr>
            <w:tcW w:w="2122" w:type="dxa"/>
            <w:vMerge/>
          </w:tcPr>
          <w:p w14:paraId="03B5D7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0A46EE" w14:textId="6B2E00DB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CA395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last</w:t>
            </w:r>
            <w:r w:rsidR="00DE78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TPA </w:t>
            </w:r>
            <w:r w:rsidR="007F79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3776" w:type="dxa"/>
          </w:tcPr>
          <w:p w14:paraId="0F500FAA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DD7542" w:rsidRPr="007B4AAC" w14:paraId="6DEBE1F0" w14:textId="77777777" w:rsidTr="00717FB5">
        <w:trPr>
          <w:trHeight w:val="44"/>
        </w:trPr>
        <w:tc>
          <w:tcPr>
            <w:tcW w:w="2122" w:type="dxa"/>
            <w:vMerge/>
          </w:tcPr>
          <w:p w14:paraId="6D129DC8" w14:textId="77777777" w:rsidR="00DD7542" w:rsidRPr="007B4AAC" w:rsidRDefault="00DD7542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E3BF08C" w14:textId="29496528" w:rsidR="00DD7542" w:rsidRPr="00FD0FC7" w:rsidRDefault="00DD7542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FD0F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current </w:t>
            </w:r>
            <w:r w:rsidR="00FD0F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TPA </w:t>
            </w:r>
            <w:r w:rsidR="00EA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="00032448">
              <w:rPr>
                <w:rFonts w:ascii="Arial" w:hAnsi="Arial" w:cs="Arial"/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3776" w:type="dxa"/>
          </w:tcPr>
          <w:p w14:paraId="5C882477" w14:textId="77777777" w:rsidR="00DD7542" w:rsidRPr="007B4AAC" w:rsidRDefault="00DD7542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1556E3CE" w14:textId="77777777" w:rsidTr="00717FB5">
        <w:tc>
          <w:tcPr>
            <w:tcW w:w="2122" w:type="dxa"/>
            <w:vMerge/>
          </w:tcPr>
          <w:p w14:paraId="77FAC82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ADD66BE" w14:textId="19F89740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Present at meeting:</w:t>
            </w:r>
          </w:p>
        </w:tc>
        <w:tc>
          <w:tcPr>
            <w:tcW w:w="3776" w:type="dxa"/>
          </w:tcPr>
          <w:p w14:paraId="057A53A8" w14:textId="77777777" w:rsidR="00E03339" w:rsidRDefault="00E03339" w:rsidP="00E03339">
            <w:pPr>
              <w:rPr>
                <w:rFonts w:ascii="Arial" w:hAnsi="Arial" w:cs="Arial"/>
              </w:rPr>
            </w:pPr>
          </w:p>
          <w:p w14:paraId="59ADE392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7D39BE6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D2B9C08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34F08C7B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ABB7A7D" w14:textId="77777777" w:rsidR="00190EEC" w:rsidRPr="007B4AAC" w:rsidRDefault="00190EEC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7935686" w14:textId="77777777" w:rsidR="004636D9" w:rsidRPr="007B4AAC" w:rsidRDefault="004636D9" w:rsidP="00137209">
            <w:pPr>
              <w:rPr>
                <w:rFonts w:ascii="Arial" w:hAnsi="Arial" w:cs="Arial"/>
              </w:rPr>
            </w:pPr>
          </w:p>
        </w:tc>
      </w:tr>
      <w:tr w:rsidR="005B46C2" w:rsidRPr="007B4AAC" w14:paraId="2C4F638C" w14:textId="77777777" w:rsidTr="00717FB5">
        <w:tc>
          <w:tcPr>
            <w:tcW w:w="2122" w:type="dxa"/>
            <w:vMerge w:val="restart"/>
          </w:tcPr>
          <w:p w14:paraId="7B4104BA" w14:textId="2B3D6C68" w:rsidR="005B46C2" w:rsidRPr="007B4AAC" w:rsidRDefault="00E26AD6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E74A6F9" wp14:editId="401A6122">
                  <wp:extent cx="914400" cy="914400"/>
                  <wp:effectExtent l="0" t="0" r="0" b="0"/>
                  <wp:docPr id="1778658865" name="Graphic 1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658865" name="Graphic 1778658865" descr="Chat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4B76EC2D" w14:textId="42BC2EA1" w:rsidR="005B46C2" w:rsidRPr="00013DE2" w:rsidRDefault="00C810FC" w:rsidP="0013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Our views about the transition</w:t>
            </w:r>
          </w:p>
        </w:tc>
      </w:tr>
      <w:tr w:rsidR="005B46C2" w:rsidRPr="007B4AAC" w14:paraId="44C8E119" w14:textId="77777777" w:rsidTr="00717FB5">
        <w:tc>
          <w:tcPr>
            <w:tcW w:w="2122" w:type="dxa"/>
            <w:vMerge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3C21AAD9" w14:textId="7D338F43" w:rsidR="00C810FC" w:rsidRDefault="00C810FC" w:rsidP="00C810FC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What </w:t>
            </w:r>
            <w:r>
              <w:rPr>
                <w:rFonts w:ascii="Arial" w:hAnsi="Arial" w:cs="Arial"/>
                <w:i/>
                <w:iCs/>
              </w:rPr>
              <w:t>transition support worked well? What progress</w:t>
            </w:r>
            <w:r w:rsidR="00F82803">
              <w:rPr>
                <w:rFonts w:ascii="Arial" w:hAnsi="Arial" w:cs="Arial"/>
                <w:i/>
                <w:iCs/>
              </w:rPr>
              <w:t xml:space="preserve"> towards our goals</w:t>
            </w:r>
            <w:r>
              <w:rPr>
                <w:rFonts w:ascii="Arial" w:hAnsi="Arial" w:cs="Arial"/>
                <w:i/>
                <w:iCs/>
              </w:rPr>
              <w:t xml:space="preserve"> have we seen</w:t>
            </w:r>
            <w:r w:rsidR="00F82803">
              <w:rPr>
                <w:rFonts w:ascii="Arial" w:hAnsi="Arial" w:cs="Arial"/>
                <w:i/>
                <w:iCs/>
              </w:rPr>
              <w:t xml:space="preserve"> since the last TPA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="00755589" w:rsidRPr="00755589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2154C25" w14:textId="22A16CFD" w:rsidR="00046FC9" w:rsidRDefault="00046FC9" w:rsidP="00046FC9">
            <w:pPr>
              <w:rPr>
                <w:rFonts w:ascii="Arial" w:hAnsi="Arial" w:cs="Arial"/>
                <w:i/>
                <w:iCs/>
              </w:rPr>
            </w:pP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44B24D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A03DE0" w:rsidRPr="007B4AAC" w:rsidRDefault="00A03DE0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E3E" w:rsidRPr="007B4AAC" w14:paraId="18456530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10E0B9D2" w14:textId="77777777" w:rsidR="00DE5E3E" w:rsidRPr="007B4AAC" w:rsidRDefault="00DE5E3E" w:rsidP="00046FC9">
            <w:pPr>
              <w:rPr>
                <w:rFonts w:ascii="Arial" w:hAnsi="Arial" w:cs="Arial"/>
              </w:rPr>
            </w:pPr>
          </w:p>
        </w:tc>
      </w:tr>
      <w:tr w:rsidR="00CA11FB" w:rsidRPr="007B4AAC" w14:paraId="3743BB64" w14:textId="77777777" w:rsidTr="00717FB5">
        <w:tc>
          <w:tcPr>
            <w:tcW w:w="2122" w:type="dxa"/>
            <w:vMerge w:val="restart"/>
          </w:tcPr>
          <w:p w14:paraId="3947A93F" w14:textId="3F12CA76" w:rsidR="00CA11FB" w:rsidRPr="007B4AAC" w:rsidRDefault="00E342DF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EEDD3C7" wp14:editId="14E25B01">
                  <wp:extent cx="914400" cy="914400"/>
                  <wp:effectExtent l="0" t="0" r="0" b="0"/>
                  <wp:docPr id="1459171880" name="Graphic 14" descr="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71880" name="Graphic 1459171880" descr="Question 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0D34A251" w14:textId="36DCBF64" w:rsidR="00CA11FB" w:rsidRPr="00013DE2" w:rsidRDefault="002921D2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helping?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11FB" w:rsidRPr="007B4AAC" w14:paraId="2A8669CA" w14:textId="77777777" w:rsidTr="00717FB5">
        <w:tc>
          <w:tcPr>
            <w:tcW w:w="2122" w:type="dxa"/>
            <w:vMerge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421D69D9" w14:textId="77777777" w:rsidR="002921D2" w:rsidRPr="007B4AAC" w:rsidRDefault="002921D2" w:rsidP="002921D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What approaches or strategies </w:t>
            </w:r>
            <w:r>
              <w:rPr>
                <w:rFonts w:ascii="Arial" w:hAnsi="Arial" w:cs="Arial"/>
                <w:i/>
                <w:iCs/>
              </w:rPr>
              <w:t xml:space="preserve">are currently </w:t>
            </w:r>
            <w:r w:rsidRPr="007B4AAC">
              <w:rPr>
                <w:rFonts w:ascii="Arial" w:hAnsi="Arial" w:cs="Arial"/>
                <w:i/>
                <w:iCs/>
              </w:rPr>
              <w:t>work well?</w:t>
            </w:r>
          </w:p>
          <w:p w14:paraId="7D729247" w14:textId="77777777" w:rsidR="002921D2" w:rsidRPr="007B4AAC" w:rsidRDefault="002921D2" w:rsidP="002921D2">
            <w:pPr>
              <w:rPr>
                <w:rFonts w:ascii="Arial" w:hAnsi="Arial" w:cs="Arial"/>
              </w:rPr>
            </w:pPr>
          </w:p>
          <w:p w14:paraId="38DC2887" w14:textId="77777777" w:rsidR="00C810FC" w:rsidRDefault="00C810FC" w:rsidP="00046FC9">
            <w:pPr>
              <w:rPr>
                <w:rFonts w:ascii="Arial" w:hAnsi="Arial" w:cs="Arial"/>
                <w:i/>
                <w:iCs/>
              </w:rPr>
            </w:pP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B337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823AF96" w14:textId="77777777" w:rsidR="00E26B61" w:rsidRDefault="00E26B61" w:rsidP="00046FC9">
            <w:pPr>
              <w:rPr>
                <w:rFonts w:ascii="Arial" w:hAnsi="Arial" w:cs="Arial"/>
                <w:i/>
                <w:iCs/>
              </w:rPr>
            </w:pPr>
          </w:p>
          <w:p w14:paraId="017CFAB5" w14:textId="77777777" w:rsidR="002921D2" w:rsidRDefault="002921D2" w:rsidP="00046FC9">
            <w:pPr>
              <w:rPr>
                <w:rFonts w:ascii="Arial" w:hAnsi="Arial" w:cs="Arial"/>
                <w:i/>
                <w:iCs/>
              </w:rPr>
            </w:pPr>
          </w:p>
          <w:p w14:paraId="545E5EF7" w14:textId="77777777" w:rsidR="002921D2" w:rsidRDefault="002921D2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013DE2" w:rsidRPr="007B4AAC" w:rsidRDefault="00013DE2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F38" w:rsidRPr="007B4AAC" w14:paraId="7192D476" w14:textId="77777777" w:rsidTr="00717FB5">
        <w:tc>
          <w:tcPr>
            <w:tcW w:w="2122" w:type="dxa"/>
            <w:vMerge w:val="restart"/>
          </w:tcPr>
          <w:p w14:paraId="0E97EDA0" w14:textId="24F57536" w:rsidR="00992F38" w:rsidRPr="00C564E5" w:rsidRDefault="00C564E5" w:rsidP="00B61F04">
            <w:pPr>
              <w:jc w:val="center"/>
              <w:rPr>
                <w:rFonts w:ascii="Arial" w:hAnsi="Arial" w:cs="Arial"/>
              </w:rPr>
            </w:pPr>
            <w:r w:rsidRPr="00C564E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79E6D36" wp14:editId="31D8AF19">
                  <wp:extent cx="1149229" cy="1131683"/>
                  <wp:effectExtent l="0" t="0" r="0" b="0"/>
                  <wp:docPr id="1579495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9506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83" cy="113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34284C8F" w14:textId="0E624822" w:rsidR="00992F38" w:rsidRPr="00013DE2" w:rsidRDefault="002921D2" w:rsidP="001372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has changed since the TPA was agreed?</w:t>
            </w:r>
          </w:p>
        </w:tc>
      </w:tr>
      <w:tr w:rsidR="00992F38" w:rsidRPr="007B4AAC" w14:paraId="5C217919" w14:textId="77777777" w:rsidTr="00717FB5">
        <w:tc>
          <w:tcPr>
            <w:tcW w:w="2122" w:type="dxa"/>
            <w:vMerge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638B7A08" w14:textId="658D80E7" w:rsidR="002921D2" w:rsidRPr="00CA2852" w:rsidRDefault="002921D2" w:rsidP="002921D2">
            <w:pP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Has anything changed about the </w:t>
            </w:r>
            <w:r w:rsidR="00071B8B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student</w:t>
            </w: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’s views and their circumstances? If so, what? Has anything changed about the adult views of the </w:t>
            </w:r>
            <w:r w:rsidR="00176DBE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young people</w:t>
            </w: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’s achievements, interests and strengths? If so, what?</w:t>
            </w: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38F7B005" w14:textId="55F41878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</w:tr>
      <w:tr w:rsidR="00BE7B2D" w:rsidRPr="007B4AAC" w14:paraId="5A54451C" w14:textId="77777777" w:rsidTr="00B30AD6">
        <w:trPr>
          <w:trHeight w:val="115"/>
        </w:trPr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3B6CDC82" w14:textId="77777777" w:rsidR="00992F38" w:rsidRPr="007B4AAC" w:rsidRDefault="00992F38" w:rsidP="00046FC9">
            <w:pPr>
              <w:rPr>
                <w:rFonts w:ascii="Arial" w:hAnsi="Arial" w:cs="Arial"/>
              </w:rPr>
            </w:pPr>
          </w:p>
        </w:tc>
      </w:tr>
      <w:tr w:rsidR="00E473A7" w:rsidRPr="007B4AAC" w14:paraId="0BC3B3F6" w14:textId="77777777" w:rsidTr="00717FB5">
        <w:tc>
          <w:tcPr>
            <w:tcW w:w="2122" w:type="dxa"/>
            <w:vMerge w:val="restart"/>
          </w:tcPr>
          <w:p w14:paraId="6DEC33DD" w14:textId="17BF9B17" w:rsidR="00E473A7" w:rsidRPr="007B4AAC" w:rsidRDefault="002A3C3D" w:rsidP="00586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CAD92BB" wp14:editId="19E2CD74">
                  <wp:extent cx="914400" cy="914400"/>
                  <wp:effectExtent l="0" t="0" r="0" b="0"/>
                  <wp:docPr id="1108838099" name="Graphic 16" descr="Upstai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38099" name="Graphic 1108838099" descr="Upstairs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98E8652" w14:textId="54329DC5" w:rsidR="00E473A7" w:rsidRPr="00013DE2" w:rsidRDefault="00E473A7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Next steps</w:t>
            </w:r>
          </w:p>
        </w:tc>
      </w:tr>
      <w:tr w:rsidR="00E473A7" w:rsidRPr="007B4AAC" w14:paraId="466D0B86" w14:textId="77777777" w:rsidTr="00717FB5">
        <w:tc>
          <w:tcPr>
            <w:tcW w:w="2122" w:type="dxa"/>
            <w:vMerge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94B6AAD" w14:textId="4D7ABC30" w:rsidR="0033775D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the end of </w:t>
            </w:r>
            <w:r w:rsidR="00176DBE">
              <w:rPr>
                <w:rFonts w:ascii="Arial" w:hAnsi="Arial" w:cs="Arial"/>
              </w:rPr>
              <w:t>_________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35D101B9" w14:textId="77777777" w:rsidR="00C564E5" w:rsidRDefault="00C564E5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412340BE" w14:textId="77777777" w:rsidR="0099214D" w:rsidRDefault="0099214D" w:rsidP="00496577">
            <w:pPr>
              <w:rPr>
                <w:rFonts w:ascii="Arial" w:hAnsi="Arial" w:cs="Arial"/>
              </w:rPr>
            </w:pPr>
          </w:p>
          <w:p w14:paraId="1A6F18CA" w14:textId="10A911F9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637831E4" w:rsidR="00496577" w:rsidRPr="00496577" w:rsidRDefault="00496577" w:rsidP="00496577">
            <w:pPr>
              <w:rPr>
                <w:rFonts w:ascii="Arial" w:hAnsi="Arial" w:cs="Arial"/>
              </w:rPr>
            </w:pP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9C80905" w14:textId="77EDE09E" w:rsidR="000F389A" w:rsidRDefault="000F389A" w:rsidP="00496577">
            <w:pPr>
              <w:rPr>
                <w:rFonts w:ascii="Arial" w:hAnsi="Arial" w:cs="Arial"/>
              </w:rPr>
            </w:pP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742B" w:rsidRPr="007B4AAC" w14:paraId="3DAB5488" w14:textId="77777777" w:rsidTr="00717FB5">
        <w:tc>
          <w:tcPr>
            <w:tcW w:w="2122" w:type="dxa"/>
            <w:vMerge w:val="restart"/>
          </w:tcPr>
          <w:p w14:paraId="39695549" w14:textId="2EEDA8E6" w:rsidR="00DC742B" w:rsidRPr="007B4AAC" w:rsidRDefault="001B1588" w:rsidP="002D6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E755712" wp14:editId="269A2D60">
                  <wp:extent cx="914400" cy="914400"/>
                  <wp:effectExtent l="0" t="0" r="0" b="0"/>
                  <wp:docPr id="1408248478" name="Graphic 17" descr="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48478" name="Graphic 1408248478" descr="List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18F9AE95" w14:textId="399C48EC" w:rsidR="00DC742B" w:rsidRPr="00013DE2" w:rsidRDefault="00DC742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Agreed actions</w:t>
            </w:r>
          </w:p>
        </w:tc>
      </w:tr>
      <w:tr w:rsidR="00DC742B" w:rsidRPr="007B4AAC" w14:paraId="4E9F65C0" w14:textId="77777777" w:rsidTr="00717FB5">
        <w:tc>
          <w:tcPr>
            <w:tcW w:w="2122" w:type="dxa"/>
            <w:vMerge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7777777" w:rsidR="00E03339" w:rsidRPr="007B4AAC" w:rsidRDefault="00E03339" w:rsidP="0013720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ACB6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Signatories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0936A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4266B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56D" w14:textId="77777777" w:rsid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  <w:p w14:paraId="5F40777C" w14:textId="48B61846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73F" w14:textId="34029C22" w:rsidR="00072F13" w:rsidRDefault="00675BE7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072F13" w:rsidRPr="00072F13">
              <w:rPr>
                <w:rFonts w:ascii="Arial" w:hAnsi="Arial" w:cs="Arial"/>
                <w:bCs/>
              </w:rPr>
              <w:t>etting</w:t>
            </w:r>
            <w:r w:rsidR="00244893">
              <w:rPr>
                <w:rFonts w:ascii="Arial" w:hAnsi="Arial" w:cs="Arial"/>
                <w:bCs/>
              </w:rPr>
              <w:t xml:space="preserve"> staff</w:t>
            </w:r>
          </w:p>
          <w:p w14:paraId="6F648697" w14:textId="13870956" w:rsidR="00A54450" w:rsidRPr="00072F13" w:rsidRDefault="00A54450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5EFBED2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0BC" w14:textId="77777777" w:rsid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Parents/Carers</w:t>
            </w:r>
          </w:p>
          <w:p w14:paraId="58CE2E41" w14:textId="2C40F9D8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E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982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7B5011" w:rsidRPr="00072F13" w14:paraId="439B270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AB6" w14:textId="6435A12F" w:rsidR="007B5011" w:rsidRDefault="005226BD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Young person</w:t>
            </w:r>
          </w:p>
          <w:p w14:paraId="586BE562" w14:textId="3EF5A4DA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BF9" w14:textId="77777777" w:rsidR="007B5011" w:rsidRPr="00072F13" w:rsidRDefault="007B5011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475" w14:textId="77777777" w:rsidR="007B5011" w:rsidRPr="00072F13" w:rsidRDefault="007B5011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7B4AAC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46A802BB" w:rsidR="00634266" w:rsidRPr="007B4AAC" w:rsidRDefault="000B69AA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67DA22A" wp14:editId="0CC3041F">
                  <wp:extent cx="914400" cy="914400"/>
                  <wp:effectExtent l="0" t="0" r="0" b="0"/>
                  <wp:docPr id="2000784294" name="Graphic 18" descr="Us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84294" name="Graphic 2000784294" descr="Users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28511" w14:textId="7273E56D" w:rsidR="00634266" w:rsidRPr="00013DE2" w:rsidRDefault="00634266" w:rsidP="00072F13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sz w:val="24"/>
                <w:szCs w:val="24"/>
              </w:rPr>
              <w:t>Review</w:t>
            </w:r>
            <w:r w:rsidR="006C69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28671004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  <w:r w:rsidR="00630CB2">
              <w:rPr>
                <w:rFonts w:ascii="Arial" w:hAnsi="Arial" w:cs="Arial"/>
                <w:bCs/>
                <w:i/>
                <w:iCs/>
              </w:rPr>
              <w:t xml:space="preserve"> If a review is no longer </w:t>
            </w:r>
            <w:r w:rsidR="0070645B">
              <w:rPr>
                <w:rFonts w:ascii="Arial" w:hAnsi="Arial" w:cs="Arial"/>
                <w:bCs/>
                <w:i/>
                <w:iCs/>
              </w:rPr>
              <w:t>required,</w:t>
            </w:r>
            <w:r w:rsidR="00630CB2">
              <w:rPr>
                <w:rFonts w:ascii="Arial" w:hAnsi="Arial" w:cs="Arial"/>
                <w:bCs/>
                <w:i/>
                <w:iCs/>
              </w:rPr>
              <w:t xml:space="preserve"> please note here.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54E9" w14:textId="77777777" w:rsidR="00FA3424" w:rsidRDefault="00FA3424" w:rsidP="00606302">
      <w:pPr>
        <w:spacing w:after="0" w:line="240" w:lineRule="auto"/>
      </w:pPr>
      <w:r>
        <w:separator/>
      </w:r>
    </w:p>
  </w:endnote>
  <w:endnote w:type="continuationSeparator" w:id="0">
    <w:p w14:paraId="06B5F992" w14:textId="77777777" w:rsidR="00FA3424" w:rsidRDefault="00FA3424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01F7" w14:textId="77777777" w:rsidR="00FA3424" w:rsidRDefault="00FA3424" w:rsidP="00606302">
      <w:pPr>
        <w:spacing w:after="0" w:line="240" w:lineRule="auto"/>
      </w:pPr>
      <w:r>
        <w:separator/>
      </w:r>
    </w:p>
  </w:footnote>
  <w:footnote w:type="continuationSeparator" w:id="0">
    <w:p w14:paraId="7665AABB" w14:textId="77777777" w:rsidR="00FA3424" w:rsidRDefault="00FA3424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47AE3763">
          <wp:extent cx="880971" cy="431800"/>
          <wp:effectExtent l="0" t="0" r="0" b="6350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75" cy="44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13DE2"/>
    <w:rsid w:val="000213E4"/>
    <w:rsid w:val="00026218"/>
    <w:rsid w:val="0003128D"/>
    <w:rsid w:val="00032448"/>
    <w:rsid w:val="00034CEE"/>
    <w:rsid w:val="00046FC9"/>
    <w:rsid w:val="00070911"/>
    <w:rsid w:val="00071B8B"/>
    <w:rsid w:val="00072F13"/>
    <w:rsid w:val="00092EEB"/>
    <w:rsid w:val="000B69AA"/>
    <w:rsid w:val="000E080F"/>
    <w:rsid w:val="000F181E"/>
    <w:rsid w:val="000F389A"/>
    <w:rsid w:val="000F426A"/>
    <w:rsid w:val="001013DA"/>
    <w:rsid w:val="00117D25"/>
    <w:rsid w:val="001330BC"/>
    <w:rsid w:val="00137209"/>
    <w:rsid w:val="0013732A"/>
    <w:rsid w:val="00160914"/>
    <w:rsid w:val="00176DBE"/>
    <w:rsid w:val="00190EEC"/>
    <w:rsid w:val="001923B6"/>
    <w:rsid w:val="001976C0"/>
    <w:rsid w:val="001A060D"/>
    <w:rsid w:val="001B1588"/>
    <w:rsid w:val="001B3DA6"/>
    <w:rsid w:val="001B49F8"/>
    <w:rsid w:val="001B58BD"/>
    <w:rsid w:val="001E46F9"/>
    <w:rsid w:val="00225FE4"/>
    <w:rsid w:val="00231BED"/>
    <w:rsid w:val="002373DC"/>
    <w:rsid w:val="00244893"/>
    <w:rsid w:val="0026618C"/>
    <w:rsid w:val="002766ED"/>
    <w:rsid w:val="002921D2"/>
    <w:rsid w:val="00294FBA"/>
    <w:rsid w:val="00297C20"/>
    <w:rsid w:val="002A3C3D"/>
    <w:rsid w:val="002D6A27"/>
    <w:rsid w:val="002E542C"/>
    <w:rsid w:val="002F5C1E"/>
    <w:rsid w:val="00303327"/>
    <w:rsid w:val="00312222"/>
    <w:rsid w:val="0033775D"/>
    <w:rsid w:val="003A1EF6"/>
    <w:rsid w:val="003B45AC"/>
    <w:rsid w:val="003F35B9"/>
    <w:rsid w:val="00400065"/>
    <w:rsid w:val="00421902"/>
    <w:rsid w:val="00424424"/>
    <w:rsid w:val="00424BE9"/>
    <w:rsid w:val="004636D9"/>
    <w:rsid w:val="00487BC0"/>
    <w:rsid w:val="00496577"/>
    <w:rsid w:val="004A217B"/>
    <w:rsid w:val="004C1BAD"/>
    <w:rsid w:val="004D0395"/>
    <w:rsid w:val="004D531D"/>
    <w:rsid w:val="004E0B9B"/>
    <w:rsid w:val="004F2DB4"/>
    <w:rsid w:val="004F7D7E"/>
    <w:rsid w:val="00501CF2"/>
    <w:rsid w:val="005041B5"/>
    <w:rsid w:val="005226BD"/>
    <w:rsid w:val="00545333"/>
    <w:rsid w:val="00545381"/>
    <w:rsid w:val="00566C6B"/>
    <w:rsid w:val="005722BC"/>
    <w:rsid w:val="00581353"/>
    <w:rsid w:val="0058683C"/>
    <w:rsid w:val="005A4CDB"/>
    <w:rsid w:val="005B340D"/>
    <w:rsid w:val="005B46C2"/>
    <w:rsid w:val="005B5714"/>
    <w:rsid w:val="00605148"/>
    <w:rsid w:val="00606302"/>
    <w:rsid w:val="00621DD9"/>
    <w:rsid w:val="00630CB2"/>
    <w:rsid w:val="00634266"/>
    <w:rsid w:val="00667FAD"/>
    <w:rsid w:val="00672F2E"/>
    <w:rsid w:val="00675BE7"/>
    <w:rsid w:val="006855C7"/>
    <w:rsid w:val="00697B1B"/>
    <w:rsid w:val="006A066F"/>
    <w:rsid w:val="006C695D"/>
    <w:rsid w:val="006D1E81"/>
    <w:rsid w:val="006D30EF"/>
    <w:rsid w:val="006E7B6C"/>
    <w:rsid w:val="0070645B"/>
    <w:rsid w:val="00714BF1"/>
    <w:rsid w:val="00717FB5"/>
    <w:rsid w:val="00731280"/>
    <w:rsid w:val="0073634F"/>
    <w:rsid w:val="00737271"/>
    <w:rsid w:val="007438AE"/>
    <w:rsid w:val="00752A3C"/>
    <w:rsid w:val="00755589"/>
    <w:rsid w:val="007B4AAC"/>
    <w:rsid w:val="007B5011"/>
    <w:rsid w:val="007E0032"/>
    <w:rsid w:val="007F7901"/>
    <w:rsid w:val="0081174A"/>
    <w:rsid w:val="00823D7B"/>
    <w:rsid w:val="008505D2"/>
    <w:rsid w:val="008575AC"/>
    <w:rsid w:val="008602C1"/>
    <w:rsid w:val="00863D38"/>
    <w:rsid w:val="00883C0C"/>
    <w:rsid w:val="008C3AF2"/>
    <w:rsid w:val="008D6B43"/>
    <w:rsid w:val="008E3C1F"/>
    <w:rsid w:val="008E700F"/>
    <w:rsid w:val="00914F1D"/>
    <w:rsid w:val="009255A4"/>
    <w:rsid w:val="00941982"/>
    <w:rsid w:val="0095073D"/>
    <w:rsid w:val="009561D2"/>
    <w:rsid w:val="009669DB"/>
    <w:rsid w:val="00977088"/>
    <w:rsid w:val="00987C0A"/>
    <w:rsid w:val="0099214D"/>
    <w:rsid w:val="00992F38"/>
    <w:rsid w:val="009B1358"/>
    <w:rsid w:val="009B7DED"/>
    <w:rsid w:val="009C0B74"/>
    <w:rsid w:val="009E5654"/>
    <w:rsid w:val="009F0BB7"/>
    <w:rsid w:val="00A02F22"/>
    <w:rsid w:val="00A03DE0"/>
    <w:rsid w:val="00A07FC2"/>
    <w:rsid w:val="00A23C28"/>
    <w:rsid w:val="00A326C3"/>
    <w:rsid w:val="00A40C3C"/>
    <w:rsid w:val="00A54450"/>
    <w:rsid w:val="00A57CAF"/>
    <w:rsid w:val="00A7055E"/>
    <w:rsid w:val="00A84DC4"/>
    <w:rsid w:val="00AA5DC6"/>
    <w:rsid w:val="00AA5EFC"/>
    <w:rsid w:val="00AA6570"/>
    <w:rsid w:val="00AB3E26"/>
    <w:rsid w:val="00AE66C6"/>
    <w:rsid w:val="00B060D1"/>
    <w:rsid w:val="00B30AD6"/>
    <w:rsid w:val="00B57853"/>
    <w:rsid w:val="00B6013B"/>
    <w:rsid w:val="00B604EB"/>
    <w:rsid w:val="00B61F04"/>
    <w:rsid w:val="00B86897"/>
    <w:rsid w:val="00BA1388"/>
    <w:rsid w:val="00BA3E52"/>
    <w:rsid w:val="00BC0E4A"/>
    <w:rsid w:val="00BC14E0"/>
    <w:rsid w:val="00BD3AFD"/>
    <w:rsid w:val="00BE7B2D"/>
    <w:rsid w:val="00BF76B2"/>
    <w:rsid w:val="00C13EFD"/>
    <w:rsid w:val="00C209D7"/>
    <w:rsid w:val="00C41E13"/>
    <w:rsid w:val="00C564E5"/>
    <w:rsid w:val="00C810FC"/>
    <w:rsid w:val="00C87148"/>
    <w:rsid w:val="00CA019F"/>
    <w:rsid w:val="00CA11FB"/>
    <w:rsid w:val="00CA2852"/>
    <w:rsid w:val="00CA3955"/>
    <w:rsid w:val="00CA7492"/>
    <w:rsid w:val="00CC53A7"/>
    <w:rsid w:val="00CE7BF5"/>
    <w:rsid w:val="00CF35B7"/>
    <w:rsid w:val="00D036FE"/>
    <w:rsid w:val="00D1457E"/>
    <w:rsid w:val="00D4313B"/>
    <w:rsid w:val="00D449FA"/>
    <w:rsid w:val="00D478D2"/>
    <w:rsid w:val="00D7299F"/>
    <w:rsid w:val="00D805DA"/>
    <w:rsid w:val="00D81B2E"/>
    <w:rsid w:val="00D85AB3"/>
    <w:rsid w:val="00D94AF8"/>
    <w:rsid w:val="00DC5D1A"/>
    <w:rsid w:val="00DC742B"/>
    <w:rsid w:val="00DD073A"/>
    <w:rsid w:val="00DD4C85"/>
    <w:rsid w:val="00DD7542"/>
    <w:rsid w:val="00DD7C32"/>
    <w:rsid w:val="00DE22EA"/>
    <w:rsid w:val="00DE5E3E"/>
    <w:rsid w:val="00DE7433"/>
    <w:rsid w:val="00DE7832"/>
    <w:rsid w:val="00E03339"/>
    <w:rsid w:val="00E22777"/>
    <w:rsid w:val="00E25D97"/>
    <w:rsid w:val="00E26AD6"/>
    <w:rsid w:val="00E26B61"/>
    <w:rsid w:val="00E342DF"/>
    <w:rsid w:val="00E4509C"/>
    <w:rsid w:val="00E473A7"/>
    <w:rsid w:val="00E707BE"/>
    <w:rsid w:val="00E71985"/>
    <w:rsid w:val="00E736E9"/>
    <w:rsid w:val="00E748F6"/>
    <w:rsid w:val="00E933F5"/>
    <w:rsid w:val="00E96ABD"/>
    <w:rsid w:val="00EA0AC1"/>
    <w:rsid w:val="00EA50BC"/>
    <w:rsid w:val="00ED6EB6"/>
    <w:rsid w:val="00EE2A15"/>
    <w:rsid w:val="00EE4AAF"/>
    <w:rsid w:val="00EF0FDA"/>
    <w:rsid w:val="00F063B7"/>
    <w:rsid w:val="00F41C1B"/>
    <w:rsid w:val="00F46630"/>
    <w:rsid w:val="00F75659"/>
    <w:rsid w:val="00F82803"/>
    <w:rsid w:val="00F85355"/>
    <w:rsid w:val="00FA0474"/>
    <w:rsid w:val="00FA3424"/>
    <w:rsid w:val="00FD0FC7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c1c465f15aa5437391fd3580e61c9262 xmlns="c5dbf80e-f509-45f6-9fe5-406e3eefabbb">
      <Terms xmlns="http://schemas.microsoft.com/office/infopath/2007/PartnerControls"/>
    </c1c465f15aa5437391fd3580e61c9262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_dlc_DocId xmlns="dac9d169-87c7-439a-9d3c-116151fb24e3">EIHNDOCID-771022737-2413592</_dlc_DocId>
    <_dlc_DocIdUrl xmlns="dac9d169-87c7-439a-9d3c-116151fb24e3">
      <Url>https://hants.sharepoint.com/sites/EIHN/HIEPS/_layouts/15/DocIdRedir.aspx?ID=EIHNDOCID-771022737-2413592</Url>
      <Description>EIHNDOCID-771022737-2413592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ucational Psychology" ma:contentTypeID="0x0101004E1B537BC2B2AD43A5AF5311D732D3AA99008133A9B0AC4D3B49A742FA677516B47F" ma:contentTypeVersion="1767" ma:contentTypeDescription="" ma:contentTypeScope="" ma:versionID="e29532e85ca63dfc59647901a1d8c81f">
  <xsd:schema xmlns:xsd="http://www.w3.org/2001/XMLSchema" xmlns:xs="http://www.w3.org/2001/XMLSchema" xmlns:p="http://schemas.microsoft.com/office/2006/metadata/properties" xmlns:ns2="c5dbf80e-f509-45f6-9fe5-406e3eefabbb" xmlns:ns3="dac9d169-87c7-439a-9d3c-116151fb24e3" targetNamespace="http://schemas.microsoft.com/office/2006/metadata/properties" ma:root="true" ma:fieldsID="cd09e0d45fc74ae31852254ffa913857" ns2:_="" ns3:_=""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c1c465f15aa5437391fd3580e61c9262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c1c465f15aa5437391fd3580e61c9262" ma:index="14" nillable="true" ma:taxonomy="true" ma:internalName="c1c465f15aa5437391fd3580e61c9262" ma:taxonomyFieldName="Educational_x0020_Psychology" ma:displayName="Educational Psychology" ma:readOnly="false" ma:default="" ma:fieldId="{c1c465f1-5aa5-4373-91fd-3580e61c9262}" ma:sspId="3c5dbf34-c73a-430c-9290-9174ad787734" ma:termSetId="d674e27f-acb5-4b7b-88ff-b911f9f53f4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FFCE9-4E27-4B15-BE74-D30E4650E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FF998-0420-4DC5-91E1-48D5B86650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46DCD4-7516-4FFF-BC78-421B2EA9AA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F79653-6F95-4E27-814C-CF90970D7795}">
  <ds:schemaRefs>
    <ds:schemaRef ds:uri="dac9d169-87c7-439a-9d3c-116151fb24e3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5dbf80e-f509-45f6-9fe5-406e3eefab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BD4557F-D848-48A3-82C7-FC1E6813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dac9d169-87c7-439a-9d3c-116151fb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2025-08-05T10:23:00Z</dcterms:created>
  <dcterms:modified xsi:type="dcterms:W3CDTF">2025-08-05T10:23:00Z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0x0101004E1B537BC2B2AD43A5AF5311D732D3AA99008133A9B0AC4D3B49A742FA677516B47F</vt:lpwstr>
  </property>
  <property fmtid="{D5CDD505-2E9C-101B-9397-08002B2CF9AE}" pid="3" name="_dlc_DocIdItemGuid">
    <vt:lpwstr>d081d69a-3238-4b28-bf66-ab3ddb049a56</vt:lpwstr>
  </property>
</Properties>
</file>