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EE7128">
      <w:pPr>
        <w:pStyle w:val="Documenttitle"/>
        <w:jc w:val="both"/>
      </w:pPr>
    </w:p>
    <w:p w14:paraId="73B61592" w14:textId="77777777" w:rsidR="00863A0F" w:rsidRDefault="00863A0F" w:rsidP="00EE7128">
      <w:pPr>
        <w:pStyle w:val="Documenttitle"/>
        <w:jc w:val="both"/>
      </w:pPr>
    </w:p>
    <w:p w14:paraId="1731EFC1" w14:textId="77777777" w:rsidR="00863A0F" w:rsidRDefault="00863A0F" w:rsidP="00EE7128">
      <w:pPr>
        <w:pStyle w:val="Documenttitle"/>
        <w:jc w:val="both"/>
      </w:pPr>
    </w:p>
    <w:p w14:paraId="10AFF33E" w14:textId="77777777" w:rsidR="00863A0F" w:rsidRDefault="00863A0F" w:rsidP="00EE7128">
      <w:pPr>
        <w:pStyle w:val="Documenttitle"/>
        <w:jc w:val="both"/>
      </w:pPr>
    </w:p>
    <w:p w14:paraId="07AE599B" w14:textId="490E01E9" w:rsidR="0000701F" w:rsidRDefault="0047580E" w:rsidP="00EE7128">
      <w:pPr>
        <w:pStyle w:val="Documenttitle"/>
        <w:rPr>
          <w:color w:val="08314C"/>
        </w:rPr>
      </w:pPr>
      <w:r>
        <w:rPr>
          <w:color w:val="08314C"/>
        </w:rPr>
        <w:t xml:space="preserve">Hampshire Shared Lives </w:t>
      </w:r>
    </w:p>
    <w:p w14:paraId="03E5E861" w14:textId="1F5C7CCD" w:rsidR="0047580E" w:rsidRPr="00FF4691" w:rsidRDefault="0047580E" w:rsidP="00EE7128">
      <w:pPr>
        <w:pStyle w:val="Documenttitle"/>
        <w:jc w:val="both"/>
        <w:rPr>
          <w:color w:val="08314C"/>
          <w:sz w:val="48"/>
          <w:szCs w:val="48"/>
        </w:rPr>
      </w:pPr>
      <w:r w:rsidRPr="00FF4691">
        <w:rPr>
          <w:color w:val="08314C"/>
          <w:sz w:val="48"/>
          <w:szCs w:val="48"/>
        </w:rPr>
        <w:t xml:space="preserve">Operational </w:t>
      </w:r>
      <w:r w:rsidR="00782025">
        <w:rPr>
          <w:color w:val="08314C"/>
          <w:sz w:val="48"/>
          <w:szCs w:val="48"/>
        </w:rPr>
        <w:t>g</w:t>
      </w:r>
      <w:r w:rsidRPr="00FF4691">
        <w:rPr>
          <w:color w:val="08314C"/>
          <w:sz w:val="48"/>
          <w:szCs w:val="48"/>
        </w:rPr>
        <w:t>uidance</w:t>
      </w:r>
    </w:p>
    <w:p w14:paraId="174F1F29" w14:textId="37295E72" w:rsidR="0047580E" w:rsidRPr="0047580E" w:rsidRDefault="0047580E" w:rsidP="00EE7128">
      <w:pPr>
        <w:pStyle w:val="Documenttitle"/>
        <w:jc w:val="both"/>
        <w:rPr>
          <w:b w:val="0"/>
          <w:bCs w:val="0"/>
          <w:color w:val="FF0000"/>
          <w:sz w:val="24"/>
          <w:szCs w:val="24"/>
        </w:rPr>
      </w:pPr>
      <w:r w:rsidRPr="005E0BC5">
        <w:rPr>
          <w:b w:val="0"/>
          <w:bCs w:val="0"/>
          <w:color w:val="auto"/>
          <w:sz w:val="24"/>
          <w:szCs w:val="24"/>
        </w:rPr>
        <w:t xml:space="preserve">Service user costs/reimbursements in </w:t>
      </w:r>
      <w:r w:rsidR="00782025" w:rsidRPr="005E0BC5">
        <w:rPr>
          <w:b w:val="0"/>
          <w:bCs w:val="0"/>
          <w:color w:val="auto"/>
          <w:sz w:val="24"/>
          <w:szCs w:val="24"/>
        </w:rPr>
        <w:t>l</w:t>
      </w:r>
      <w:r w:rsidRPr="005E0BC5">
        <w:rPr>
          <w:b w:val="0"/>
          <w:bCs w:val="0"/>
          <w:color w:val="auto"/>
          <w:sz w:val="24"/>
          <w:szCs w:val="24"/>
        </w:rPr>
        <w:t>ong</w:t>
      </w:r>
      <w:r w:rsidR="00782025" w:rsidRPr="005E0BC5">
        <w:rPr>
          <w:b w:val="0"/>
          <w:bCs w:val="0"/>
          <w:color w:val="auto"/>
          <w:sz w:val="24"/>
          <w:szCs w:val="24"/>
        </w:rPr>
        <w:t>-s</w:t>
      </w:r>
      <w:r w:rsidRPr="005E0BC5">
        <w:rPr>
          <w:b w:val="0"/>
          <w:bCs w:val="0"/>
          <w:color w:val="auto"/>
          <w:sz w:val="24"/>
          <w:szCs w:val="24"/>
        </w:rPr>
        <w:t>tay Shared Lives arrangements</w:t>
      </w:r>
    </w:p>
    <w:p w14:paraId="26C6EC53" w14:textId="43141442" w:rsidR="0000701F" w:rsidRDefault="008218F0" w:rsidP="00EE7128">
      <w:pPr>
        <w:jc w:val="both"/>
        <w:rPr>
          <w:noProof/>
          <w:color w:val="FFFFFF" w:themeColor="background1"/>
          <w:sz w:val="96"/>
          <w:szCs w:val="96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6DF71187" wp14:editId="7459F8D2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01F">
        <w:br w:type="page"/>
      </w:r>
    </w:p>
    <w:p w14:paraId="1D891004" w14:textId="777181F4" w:rsidR="002F2A47" w:rsidRDefault="00863A0F" w:rsidP="00EE7128">
      <w:pPr>
        <w:pStyle w:val="Contentsh1"/>
        <w:jc w:val="both"/>
      </w:pPr>
      <w:r w:rsidRPr="006503CA">
        <w:lastRenderedPageBreak/>
        <w:t>Contents</w:t>
      </w:r>
    </w:p>
    <w:p w14:paraId="091AFBF4" w14:textId="10DEEBE0" w:rsidR="0047580E" w:rsidRDefault="0047580E" w:rsidP="00EE7128">
      <w:pPr>
        <w:jc w:val="both"/>
        <w:rPr>
          <w:noProof/>
        </w:rPr>
      </w:pPr>
      <w:r>
        <w:rPr>
          <w:noProof/>
        </w:rPr>
        <w:t>Introduction…………………………………………………………………………………</w:t>
      </w:r>
      <w:r w:rsidR="00331A49">
        <w:rPr>
          <w:noProof/>
        </w:rPr>
        <w:t>.</w:t>
      </w:r>
      <w:r>
        <w:rPr>
          <w:noProof/>
        </w:rPr>
        <w:t>.2</w:t>
      </w:r>
    </w:p>
    <w:p w14:paraId="6BD1D477" w14:textId="49190212" w:rsidR="0047580E" w:rsidRDefault="0047580E" w:rsidP="00EE7128">
      <w:pPr>
        <w:jc w:val="both"/>
        <w:rPr>
          <w:noProof/>
        </w:rPr>
      </w:pPr>
      <w:r>
        <w:rPr>
          <w:noProof/>
        </w:rPr>
        <w:t>Reimbursements when out/away with family and friends………………………………2</w:t>
      </w:r>
    </w:p>
    <w:p w14:paraId="08A44CD0" w14:textId="005BB9D2" w:rsidR="0047580E" w:rsidRDefault="0047580E" w:rsidP="00EE7128">
      <w:pPr>
        <w:jc w:val="both"/>
        <w:rPr>
          <w:noProof/>
        </w:rPr>
      </w:pPr>
      <w:r>
        <w:rPr>
          <w:noProof/>
        </w:rPr>
        <w:t>Carer and service user going on a holiday planned by the carer………………………3</w:t>
      </w:r>
    </w:p>
    <w:p w14:paraId="592C0203" w14:textId="5F715164" w:rsidR="0047580E" w:rsidRDefault="0047580E" w:rsidP="00EE7128">
      <w:pPr>
        <w:jc w:val="both"/>
        <w:rPr>
          <w:noProof/>
        </w:rPr>
      </w:pPr>
      <w:r>
        <w:rPr>
          <w:noProof/>
        </w:rPr>
        <w:t xml:space="preserve">Financial </w:t>
      </w:r>
      <w:r w:rsidR="00782025">
        <w:rPr>
          <w:noProof/>
        </w:rPr>
        <w:t>i</w:t>
      </w:r>
      <w:r>
        <w:rPr>
          <w:noProof/>
        </w:rPr>
        <w:t>mplications………………………………………………………………………4</w:t>
      </w:r>
    </w:p>
    <w:p w14:paraId="5763CD0C" w14:textId="194C55E7" w:rsidR="0047580E" w:rsidRDefault="0047580E" w:rsidP="00EE7128">
      <w:pPr>
        <w:jc w:val="both"/>
        <w:rPr>
          <w:noProof/>
        </w:rPr>
      </w:pPr>
      <w:r>
        <w:rPr>
          <w:noProof/>
        </w:rPr>
        <w:t xml:space="preserve">Shared Lives </w:t>
      </w:r>
      <w:r w:rsidR="00782025">
        <w:rPr>
          <w:noProof/>
        </w:rPr>
        <w:t>c</w:t>
      </w:r>
      <w:r>
        <w:rPr>
          <w:noProof/>
        </w:rPr>
        <w:t>arer accompanying their service user as a supported on a holiday of the service user’s choice…………………………………………………………………..4</w:t>
      </w:r>
    </w:p>
    <w:p w14:paraId="6723587C" w14:textId="208839F7" w:rsidR="0047580E" w:rsidRDefault="0047580E" w:rsidP="00EE7128">
      <w:pPr>
        <w:jc w:val="both"/>
        <w:rPr>
          <w:noProof/>
        </w:rPr>
      </w:pPr>
      <w:r>
        <w:rPr>
          <w:noProof/>
        </w:rPr>
        <w:t xml:space="preserve">Financial </w:t>
      </w:r>
      <w:r w:rsidR="00D25D12">
        <w:rPr>
          <w:noProof/>
        </w:rPr>
        <w:t>i</w:t>
      </w:r>
      <w:r>
        <w:rPr>
          <w:noProof/>
        </w:rPr>
        <w:t>mplications………………………………………………………………………4</w:t>
      </w:r>
    </w:p>
    <w:p w14:paraId="54924F70" w14:textId="2524714E" w:rsidR="00CC7D28" w:rsidRPr="00EF62AD" w:rsidDel="00EF62AD" w:rsidRDefault="00CC7D28" w:rsidP="00EE7128">
      <w:pPr>
        <w:jc w:val="both"/>
        <w:rPr>
          <w:noProof/>
        </w:rPr>
      </w:pPr>
      <w:r>
        <w:rPr>
          <w:noProof/>
        </w:rPr>
        <w:t xml:space="preserve">Appendix 1 – Daily </w:t>
      </w:r>
      <w:r w:rsidR="00D25D12">
        <w:rPr>
          <w:noProof/>
        </w:rPr>
        <w:t>l</w:t>
      </w:r>
      <w:r>
        <w:rPr>
          <w:noProof/>
        </w:rPr>
        <w:t>iving costs (updated annually)…………………………………….5</w:t>
      </w:r>
    </w:p>
    <w:p w14:paraId="435B45D4" w14:textId="77777777" w:rsidR="0047580E" w:rsidRDefault="0047580E" w:rsidP="00EE7128">
      <w:pPr>
        <w:pStyle w:val="Pull-outquote"/>
        <w:jc w:val="both"/>
      </w:pPr>
    </w:p>
    <w:p w14:paraId="14F7905F" w14:textId="77777777" w:rsidR="0047580E" w:rsidRDefault="0047580E" w:rsidP="00EE7128">
      <w:pPr>
        <w:pStyle w:val="Pull-outquote"/>
        <w:jc w:val="both"/>
      </w:pPr>
    </w:p>
    <w:p w14:paraId="00681086" w14:textId="77777777" w:rsidR="0047580E" w:rsidRDefault="0047580E" w:rsidP="00EE7128">
      <w:pPr>
        <w:pStyle w:val="Pull-outquote"/>
        <w:jc w:val="both"/>
      </w:pPr>
    </w:p>
    <w:p w14:paraId="0A7C49C2" w14:textId="77777777" w:rsidR="0047580E" w:rsidRDefault="0047580E" w:rsidP="00EE7128">
      <w:pPr>
        <w:pStyle w:val="h1"/>
        <w:jc w:val="both"/>
      </w:pPr>
      <w:bookmarkStart w:id="0" w:name="_Toc173317615"/>
      <w:r>
        <w:t>Introduction</w:t>
      </w:r>
      <w:bookmarkEnd w:id="0"/>
    </w:p>
    <w:p w14:paraId="6A415CFD" w14:textId="77777777" w:rsidR="00EE7128" w:rsidRPr="00C94285" w:rsidRDefault="00EE7128" w:rsidP="00EE7128">
      <w:pPr>
        <w:pStyle w:val="h1"/>
        <w:jc w:val="both"/>
      </w:pPr>
    </w:p>
    <w:p w14:paraId="5D265691" w14:textId="728FC40D" w:rsidR="0047580E" w:rsidRDefault="0047580E" w:rsidP="00EE7128">
      <w:pPr>
        <w:jc w:val="both"/>
      </w:pPr>
      <w:r>
        <w:t xml:space="preserve">Service users living in Shared lives arrangements contribute to the household expenses as part of their Shared </w:t>
      </w:r>
      <w:r w:rsidR="00EC530B">
        <w:t>L</w:t>
      </w:r>
      <w:r>
        <w:t>ives long</w:t>
      </w:r>
      <w:r w:rsidR="00EC530B">
        <w:t>-</w:t>
      </w:r>
      <w:r>
        <w:t>stay placement agreement.</w:t>
      </w:r>
    </w:p>
    <w:p w14:paraId="5C4A5690" w14:textId="77777777" w:rsidR="00EE7128" w:rsidRPr="00EF62AD" w:rsidRDefault="00EE7128" w:rsidP="00EE7128">
      <w:pPr>
        <w:jc w:val="both"/>
      </w:pPr>
    </w:p>
    <w:p w14:paraId="22D3D045" w14:textId="76734522" w:rsidR="0047580E" w:rsidRDefault="0047580E" w:rsidP="00EE7128">
      <w:pPr>
        <w:jc w:val="both"/>
      </w:pPr>
      <w:r>
        <w:t xml:space="preserve">Whilst it is important to provide some guidance for </w:t>
      </w:r>
      <w:r w:rsidR="00EC530B">
        <w:t>c</w:t>
      </w:r>
      <w:r>
        <w:t>arers to follow</w:t>
      </w:r>
      <w:r w:rsidR="0013122C">
        <w:t>,</w:t>
      </w:r>
      <w:r>
        <w:t xml:space="preserve"> around what those contributions are</w:t>
      </w:r>
      <w:r w:rsidR="0013122C">
        <w:t>,</w:t>
      </w:r>
      <w:r>
        <w:t xml:space="preserve"> to ensure the financial security of all </w:t>
      </w:r>
      <w:r w:rsidR="002E7E14">
        <w:t>involved, there</w:t>
      </w:r>
      <w:r>
        <w:t xml:space="preserve"> needs to</w:t>
      </w:r>
      <w:r w:rsidR="002E7E14">
        <w:t xml:space="preserve"> be</w:t>
      </w:r>
      <w:r>
        <w:t xml:space="preserve"> flexibility and ease of understanding when supporting person</w:t>
      </w:r>
      <w:r w:rsidR="0008179F">
        <w:t>-</w:t>
      </w:r>
      <w:r>
        <w:t>centred and ‘ordinary</w:t>
      </w:r>
      <w:r w:rsidR="00EE5235">
        <w:t>’ living</w:t>
      </w:r>
      <w:r>
        <w:t xml:space="preserve"> situations.</w:t>
      </w:r>
    </w:p>
    <w:p w14:paraId="1442CBAA" w14:textId="77777777" w:rsidR="00EE7128" w:rsidRPr="00EF62AD" w:rsidRDefault="00EE7128" w:rsidP="00EE7128">
      <w:pPr>
        <w:jc w:val="both"/>
      </w:pPr>
    </w:p>
    <w:p w14:paraId="32E9A782" w14:textId="22D195B8" w:rsidR="0047580E" w:rsidRDefault="0047580E" w:rsidP="00EE7128">
      <w:pPr>
        <w:jc w:val="both"/>
      </w:pPr>
      <w:r>
        <w:t xml:space="preserve">Service </w:t>
      </w:r>
      <w:r w:rsidR="0008179F">
        <w:t>u</w:t>
      </w:r>
      <w:r>
        <w:t>sers will have varying social lives inclusive of going out and spending time away with their family and friends</w:t>
      </w:r>
      <w:r w:rsidR="00D80228">
        <w:t>.</w:t>
      </w:r>
      <w:r>
        <w:t xml:space="preserve"> </w:t>
      </w:r>
      <w:r w:rsidR="00D80228">
        <w:t>T</w:t>
      </w:r>
      <w:r>
        <w:t>his needs to be encouraged whilst maintaining a consistent approach.</w:t>
      </w:r>
    </w:p>
    <w:p w14:paraId="0DD6ABB2" w14:textId="77777777" w:rsidR="00EE5235" w:rsidRPr="00EF62AD" w:rsidRDefault="00EE5235" w:rsidP="00EE7128">
      <w:pPr>
        <w:jc w:val="both"/>
      </w:pPr>
    </w:p>
    <w:p w14:paraId="3C4CFC9D" w14:textId="5100D3F5" w:rsidR="0047580E" w:rsidRDefault="0047580E" w:rsidP="00EE7128">
      <w:pPr>
        <w:jc w:val="both"/>
      </w:pPr>
      <w:r>
        <w:t xml:space="preserve">This guidance replaces any preceding information and is being implemented to create a consistent approach, to promote transparency and ease of accountability whilst protecting all involved. </w:t>
      </w:r>
    </w:p>
    <w:p w14:paraId="3FC7559D" w14:textId="77777777" w:rsidR="00EE5235" w:rsidRPr="00EF62AD" w:rsidRDefault="00EE5235" w:rsidP="00EE7128">
      <w:pPr>
        <w:jc w:val="both"/>
      </w:pPr>
    </w:p>
    <w:p w14:paraId="749D0B64" w14:textId="49491CE0" w:rsidR="0047580E" w:rsidRDefault="0047580E" w:rsidP="00273E0A">
      <w:pPr>
        <w:jc w:val="both"/>
      </w:pPr>
      <w:r>
        <w:t>This applies</w:t>
      </w:r>
      <w:r w:rsidR="4C9D0962">
        <w:t xml:space="preserve"> to</w:t>
      </w:r>
      <w:r>
        <w:t xml:space="preserve"> holidays</w:t>
      </w:r>
      <w:r w:rsidR="1C330E43">
        <w:t xml:space="preserve"> including </w:t>
      </w:r>
      <w:r w:rsidR="000E26E3">
        <w:t>s</w:t>
      </w:r>
      <w:r w:rsidR="1C330E43">
        <w:t xml:space="preserve">upported </w:t>
      </w:r>
      <w:r w:rsidR="000E26E3">
        <w:t>h</w:t>
      </w:r>
      <w:r w:rsidR="1C330E43">
        <w:t>olidays/</w:t>
      </w:r>
      <w:r w:rsidR="000E26E3">
        <w:t>h</w:t>
      </w:r>
      <w:r w:rsidR="1C330E43">
        <w:t xml:space="preserve">olidays when </w:t>
      </w:r>
      <w:r w:rsidR="000E26E3">
        <w:t>s</w:t>
      </w:r>
      <w:r w:rsidR="1C330E43">
        <w:t xml:space="preserve">ervice </w:t>
      </w:r>
      <w:r w:rsidR="000E26E3">
        <w:t>u</w:t>
      </w:r>
      <w:r w:rsidR="1C330E43">
        <w:t>sers are away with families</w:t>
      </w:r>
      <w:r w:rsidR="00A706AF">
        <w:t xml:space="preserve"> and hospital admissions</w:t>
      </w:r>
      <w:r w:rsidR="00A706AF" w:rsidRPr="5263FBAD">
        <w:rPr>
          <w:color w:val="FF0000"/>
        </w:rPr>
        <w:t>.</w:t>
      </w:r>
      <w:r w:rsidR="4A54B832" w:rsidRPr="5263FBAD">
        <w:rPr>
          <w:color w:val="FF0000"/>
        </w:rPr>
        <w:t xml:space="preserve"> </w:t>
      </w:r>
      <w:r w:rsidR="4A54B832">
        <w:t xml:space="preserve">(Where </w:t>
      </w:r>
      <w:r w:rsidR="000E26E3">
        <w:t>c</w:t>
      </w:r>
      <w:r w:rsidR="4A54B832">
        <w:t xml:space="preserve">arers and </w:t>
      </w:r>
      <w:r w:rsidR="000E26E3">
        <w:t>s</w:t>
      </w:r>
      <w:r w:rsidR="4A54B832">
        <w:t xml:space="preserve">ervice users are planning a joint </w:t>
      </w:r>
      <w:r w:rsidR="00EE5235">
        <w:t>holiday,</w:t>
      </w:r>
      <w:r w:rsidR="2984848D">
        <w:t xml:space="preserve"> please discuss these arrangements with your Shared Lives </w:t>
      </w:r>
      <w:r w:rsidR="000E26E3">
        <w:t>o</w:t>
      </w:r>
      <w:r w:rsidR="2984848D">
        <w:t>fficer)</w:t>
      </w:r>
      <w:r w:rsidR="000E26E3">
        <w:t>.</w:t>
      </w:r>
      <w:r w:rsidR="2984848D">
        <w:t xml:space="preserve"> </w:t>
      </w:r>
    </w:p>
    <w:p w14:paraId="473D26C6" w14:textId="77777777" w:rsidR="00273E0A" w:rsidRDefault="00273E0A" w:rsidP="00273E0A">
      <w:pPr>
        <w:jc w:val="both"/>
      </w:pPr>
    </w:p>
    <w:p w14:paraId="47CAF204" w14:textId="4D61F8B8" w:rsidR="0047580E" w:rsidRPr="00814112" w:rsidRDefault="0047580E" w:rsidP="00EE7128">
      <w:pPr>
        <w:pStyle w:val="h1"/>
        <w:jc w:val="both"/>
      </w:pPr>
      <w:bookmarkStart w:id="1" w:name="_Toc173317616"/>
      <w:r w:rsidRPr="00814112">
        <w:t>Reimbursements when out/away with family and friends</w:t>
      </w:r>
      <w:bookmarkEnd w:id="1"/>
    </w:p>
    <w:p w14:paraId="07635AF1" w14:textId="77777777" w:rsidR="004B0CE6" w:rsidRPr="00814112" w:rsidRDefault="004B0CE6" w:rsidP="00EE7128">
      <w:pPr>
        <w:pStyle w:val="h1"/>
        <w:jc w:val="both"/>
      </w:pPr>
    </w:p>
    <w:p w14:paraId="4FB35280" w14:textId="496C73D8" w:rsidR="0047580E" w:rsidRPr="00814112" w:rsidRDefault="0047580E" w:rsidP="00EE7128">
      <w:pPr>
        <w:jc w:val="both"/>
      </w:pPr>
      <w:r>
        <w:t xml:space="preserve">It is acknowledged that </w:t>
      </w:r>
      <w:r w:rsidR="000E26E3">
        <w:t>c</w:t>
      </w:r>
      <w:r>
        <w:t>arers plan their shopping for provisions to meet the household need</w:t>
      </w:r>
      <w:r w:rsidR="0038199E">
        <w:t>,</w:t>
      </w:r>
      <w:r>
        <w:t xml:space="preserve"> so it is important to consider planned and unplanned situations enabling ‘last-minute’ opportunities to take place.</w:t>
      </w:r>
    </w:p>
    <w:p w14:paraId="2D70EA8B" w14:textId="77777777" w:rsidR="0047580E" w:rsidRPr="00814112" w:rsidRDefault="0047580E" w:rsidP="00EE7128">
      <w:pPr>
        <w:jc w:val="both"/>
      </w:pPr>
    </w:p>
    <w:p w14:paraId="559053E7" w14:textId="09577DC3" w:rsidR="00EE5235" w:rsidRPr="00F40B13" w:rsidRDefault="0047580E" w:rsidP="00EE7128">
      <w:pPr>
        <w:jc w:val="both"/>
      </w:pPr>
      <w:r w:rsidRPr="5263FBAD">
        <w:rPr>
          <w:b/>
          <w:bCs/>
        </w:rPr>
        <w:t>Up to 72 hours</w:t>
      </w:r>
      <w:r>
        <w:t xml:space="preserve">: </w:t>
      </w:r>
      <w:r w:rsidR="008F188F">
        <w:t>For a</w:t>
      </w:r>
      <w:r>
        <w:t xml:space="preserve"> </w:t>
      </w:r>
      <w:r w:rsidR="000D3DC9">
        <w:t>s</w:t>
      </w:r>
      <w:r>
        <w:t xml:space="preserve">ervice </w:t>
      </w:r>
      <w:r w:rsidR="000D3DC9">
        <w:t>u</w:t>
      </w:r>
      <w:r>
        <w:t>ser who is away for 72 hours or less</w:t>
      </w:r>
      <w:r w:rsidR="00BB4825">
        <w:t>,</w:t>
      </w:r>
      <w:r>
        <w:t xml:space="preserve"> which is unplanned or planned</w:t>
      </w:r>
      <w:r w:rsidR="00BB4825">
        <w:t>,</w:t>
      </w:r>
      <w:r>
        <w:t xml:space="preserve"> the carer does not need to reimburse any food or bills payments.</w:t>
      </w:r>
    </w:p>
    <w:p w14:paraId="2086063F" w14:textId="00AA6070" w:rsidR="0047580E" w:rsidRPr="00C94285" w:rsidRDefault="0047580E" w:rsidP="00EE7128">
      <w:pPr>
        <w:jc w:val="both"/>
      </w:pPr>
      <w:r w:rsidRPr="22ADBAF6">
        <w:rPr>
          <w:b/>
          <w:bCs/>
        </w:rPr>
        <w:t>72 h</w:t>
      </w:r>
      <w:r w:rsidR="008F188F">
        <w:rPr>
          <w:b/>
          <w:bCs/>
        </w:rPr>
        <w:t>ou</w:t>
      </w:r>
      <w:r w:rsidRPr="22ADBAF6">
        <w:rPr>
          <w:b/>
          <w:bCs/>
        </w:rPr>
        <w:t xml:space="preserve">rs to 1 week: </w:t>
      </w:r>
      <w:r>
        <w:t xml:space="preserve">If the </w:t>
      </w:r>
      <w:r w:rsidR="008F188F">
        <w:t>s</w:t>
      </w:r>
      <w:r>
        <w:t xml:space="preserve">ervice </w:t>
      </w:r>
      <w:r w:rsidR="008F188F">
        <w:t>u</w:t>
      </w:r>
      <w:r>
        <w:t xml:space="preserve">ser is away </w:t>
      </w:r>
      <w:r w:rsidR="00DC647B">
        <w:t xml:space="preserve">from </w:t>
      </w:r>
      <w:r>
        <w:t>the Shared Lives placement for 72 hours to a week, then the food contribution will be reimbursed from the 72 hours.</w:t>
      </w:r>
    </w:p>
    <w:p w14:paraId="50AA5D73" w14:textId="7CB69599" w:rsidR="0047580E" w:rsidRDefault="0047580E" w:rsidP="00EE7128">
      <w:pPr>
        <w:jc w:val="both"/>
      </w:pPr>
      <w:r w:rsidRPr="22ADBAF6">
        <w:rPr>
          <w:b/>
          <w:bCs/>
        </w:rPr>
        <w:t xml:space="preserve">1 week </w:t>
      </w:r>
      <w:r w:rsidR="00DC647B">
        <w:rPr>
          <w:b/>
          <w:bCs/>
        </w:rPr>
        <w:t>to</w:t>
      </w:r>
      <w:r w:rsidR="00DC647B" w:rsidRPr="22ADBAF6">
        <w:rPr>
          <w:b/>
          <w:bCs/>
        </w:rPr>
        <w:t xml:space="preserve"> </w:t>
      </w:r>
      <w:r w:rsidRPr="22ADBAF6">
        <w:rPr>
          <w:b/>
          <w:bCs/>
        </w:rPr>
        <w:t>2 weeks</w:t>
      </w:r>
      <w:r>
        <w:t xml:space="preserve">: If a </w:t>
      </w:r>
      <w:r w:rsidR="00DC647B">
        <w:t>s</w:t>
      </w:r>
      <w:r>
        <w:t xml:space="preserve">ervice </w:t>
      </w:r>
      <w:r w:rsidR="00DC647B">
        <w:t>u</w:t>
      </w:r>
      <w:r>
        <w:t>ser is away from the Shared Lives placement for more than a week</w:t>
      </w:r>
      <w:r w:rsidR="00DC647B">
        <w:t>,</w:t>
      </w:r>
      <w:r>
        <w:t xml:space="preserve"> then the full food contribution will be reimbursed and 50% of the contribution towards the bills.</w:t>
      </w:r>
    </w:p>
    <w:p w14:paraId="5D859E3C" w14:textId="77777777" w:rsidR="009F7C41" w:rsidRPr="00C94285" w:rsidRDefault="009F7C41" w:rsidP="00EE7128">
      <w:pPr>
        <w:jc w:val="both"/>
      </w:pPr>
    </w:p>
    <w:p w14:paraId="32CFF851" w14:textId="039617DB" w:rsidR="0047580E" w:rsidRDefault="0047580E" w:rsidP="00EE7128">
      <w:pPr>
        <w:jc w:val="both"/>
      </w:pPr>
      <w:r w:rsidRPr="7D8859E3">
        <w:rPr>
          <w:b/>
          <w:bCs/>
        </w:rPr>
        <w:lastRenderedPageBreak/>
        <w:t xml:space="preserve">2 weeks plus: </w:t>
      </w:r>
      <w:r w:rsidRPr="00F40B13">
        <w:t xml:space="preserve">For all absences </w:t>
      </w:r>
      <w:r w:rsidR="00964C8E">
        <w:t>of</w:t>
      </w:r>
      <w:r w:rsidR="00964C8E" w:rsidRPr="00F40B13">
        <w:t xml:space="preserve"> </w:t>
      </w:r>
      <w:r w:rsidRPr="00F40B13">
        <w:t>more than two weeks</w:t>
      </w:r>
      <w:r w:rsidR="00964C8E">
        <w:t>,</w:t>
      </w:r>
      <w:r w:rsidRPr="00F40B13">
        <w:t xml:space="preserve"> the household expenses will </w:t>
      </w:r>
      <w:r w:rsidR="00DD3E62">
        <w:t xml:space="preserve">be </w:t>
      </w:r>
      <w:r w:rsidRPr="00F40B13">
        <w:t>reimbursed in full</w:t>
      </w:r>
      <w:r w:rsidR="00DD3E62">
        <w:t>.</w:t>
      </w:r>
    </w:p>
    <w:p w14:paraId="43D0971E" w14:textId="77777777" w:rsidR="000949DC" w:rsidRDefault="000949DC" w:rsidP="00EE7128">
      <w:pPr>
        <w:jc w:val="both"/>
      </w:pPr>
    </w:p>
    <w:p w14:paraId="6AA80CC1" w14:textId="4E65760F" w:rsidR="000949DC" w:rsidRDefault="000949DC" w:rsidP="00EE7128">
      <w:pPr>
        <w:jc w:val="both"/>
        <w:rPr>
          <w:b/>
          <w:bCs/>
        </w:rPr>
      </w:pPr>
      <w:r w:rsidRPr="000949DC">
        <w:rPr>
          <w:b/>
          <w:bCs/>
        </w:rPr>
        <w:t>21 N</w:t>
      </w:r>
      <w:r w:rsidR="00964C8E">
        <w:rPr>
          <w:b/>
          <w:bCs/>
        </w:rPr>
        <w:t>ights</w:t>
      </w:r>
      <w:r w:rsidR="00F47563">
        <w:rPr>
          <w:b/>
          <w:bCs/>
        </w:rPr>
        <w:t xml:space="preserve"> respite for long-stay service users</w:t>
      </w:r>
    </w:p>
    <w:p w14:paraId="2FDB7F95" w14:textId="77777777" w:rsidR="00405133" w:rsidRDefault="00405133" w:rsidP="00EE7128">
      <w:pPr>
        <w:jc w:val="both"/>
        <w:rPr>
          <w:b/>
          <w:bCs/>
        </w:rPr>
      </w:pPr>
    </w:p>
    <w:p w14:paraId="0DE12CE0" w14:textId="3016E0C4" w:rsidR="00405133" w:rsidRPr="008B2B76" w:rsidRDefault="005A1773" w:rsidP="00EE7128">
      <w:pPr>
        <w:jc w:val="both"/>
      </w:pPr>
      <w:r w:rsidRPr="008B2B76">
        <w:t xml:space="preserve">Carers and </w:t>
      </w:r>
      <w:r w:rsidR="007F462E">
        <w:t>s</w:t>
      </w:r>
      <w:r w:rsidRPr="008B2B76">
        <w:t xml:space="preserve">ervice </w:t>
      </w:r>
      <w:r w:rsidR="007F462E">
        <w:t>u</w:t>
      </w:r>
      <w:r w:rsidRPr="008B2B76">
        <w:t xml:space="preserve">sers </w:t>
      </w:r>
      <w:r w:rsidR="00925D63" w:rsidRPr="008B2B76">
        <w:t xml:space="preserve">sign up to License and Carers Agreements agreeing to </w:t>
      </w:r>
      <w:r w:rsidR="0090621C" w:rsidRPr="008B2B76">
        <w:t xml:space="preserve">21 nights funded respite per year to support the wellbeing </w:t>
      </w:r>
      <w:r w:rsidR="00694BC0" w:rsidRPr="008B2B76">
        <w:t>of all involved</w:t>
      </w:r>
      <w:r w:rsidR="00CD1B93" w:rsidRPr="008B2B76">
        <w:t xml:space="preserve">. </w:t>
      </w:r>
    </w:p>
    <w:p w14:paraId="374276BD" w14:textId="77777777" w:rsidR="00CD1B93" w:rsidRPr="008B2B76" w:rsidRDefault="00CD1B93" w:rsidP="00EE7128">
      <w:pPr>
        <w:jc w:val="both"/>
      </w:pPr>
    </w:p>
    <w:p w14:paraId="5B9504E8" w14:textId="4DE3B8F4" w:rsidR="00CC15C4" w:rsidRPr="008B2B76" w:rsidRDefault="00CD1B93" w:rsidP="00EE7128">
      <w:pPr>
        <w:jc w:val="both"/>
      </w:pPr>
      <w:r>
        <w:t xml:space="preserve">As the </w:t>
      </w:r>
      <w:r w:rsidR="006F6613">
        <w:t>s</w:t>
      </w:r>
      <w:r>
        <w:t xml:space="preserve">ervice </w:t>
      </w:r>
      <w:r w:rsidR="006F6613">
        <w:t>u</w:t>
      </w:r>
      <w:r>
        <w:t xml:space="preserve">ser </w:t>
      </w:r>
      <w:r w:rsidR="003E1F0E">
        <w:t xml:space="preserve">will be away from the main </w:t>
      </w:r>
      <w:r w:rsidR="006F6613">
        <w:t>c</w:t>
      </w:r>
      <w:r w:rsidR="003E1F0E">
        <w:t>arer for 21 days</w:t>
      </w:r>
      <w:r w:rsidR="006F6613">
        <w:t>,</w:t>
      </w:r>
      <w:r w:rsidR="003E1F0E">
        <w:t xml:space="preserve"> it is deemed appropriate that during this time they do not contribute towards the </w:t>
      </w:r>
      <w:r w:rsidR="006F6613">
        <w:t>f</w:t>
      </w:r>
      <w:r w:rsidR="003E1F0E">
        <w:t>ood (</w:t>
      </w:r>
      <w:r w:rsidR="006F6613">
        <w:t>the c</w:t>
      </w:r>
      <w:r w:rsidR="003E1F0E">
        <w:t xml:space="preserve">ontribution towards </w:t>
      </w:r>
      <w:r w:rsidR="006F6613">
        <w:t>b</w:t>
      </w:r>
      <w:r w:rsidR="003E1F0E">
        <w:t>ills will remain in place</w:t>
      </w:r>
      <w:r w:rsidR="00A40CB1">
        <w:t>)</w:t>
      </w:r>
      <w:r w:rsidR="008B2B76">
        <w:t xml:space="preserve">.  </w:t>
      </w:r>
      <w:r w:rsidR="00CC15C4" w:rsidRPr="033D52A4">
        <w:rPr>
          <w:b/>
          <w:bCs/>
        </w:rPr>
        <w:t xml:space="preserve">Within the year </w:t>
      </w:r>
      <w:r w:rsidR="00503052">
        <w:rPr>
          <w:b/>
          <w:bCs/>
        </w:rPr>
        <w:t>20</w:t>
      </w:r>
      <w:r w:rsidR="00CC15C4" w:rsidRPr="033D52A4">
        <w:rPr>
          <w:b/>
          <w:bCs/>
        </w:rPr>
        <w:t>2</w:t>
      </w:r>
      <w:r w:rsidR="00424EB7">
        <w:rPr>
          <w:b/>
          <w:bCs/>
        </w:rPr>
        <w:t>6</w:t>
      </w:r>
      <w:r w:rsidR="00CC15C4" w:rsidRPr="033D52A4">
        <w:rPr>
          <w:b/>
          <w:bCs/>
        </w:rPr>
        <w:t>/</w:t>
      </w:r>
      <w:r w:rsidR="00503052">
        <w:rPr>
          <w:b/>
          <w:bCs/>
        </w:rPr>
        <w:t>20</w:t>
      </w:r>
      <w:r w:rsidR="00CC15C4" w:rsidRPr="033D52A4">
        <w:rPr>
          <w:b/>
          <w:bCs/>
        </w:rPr>
        <w:t>2</w:t>
      </w:r>
      <w:r w:rsidR="006B52B8">
        <w:rPr>
          <w:b/>
          <w:bCs/>
        </w:rPr>
        <w:t>7</w:t>
      </w:r>
      <w:r w:rsidR="00503052">
        <w:rPr>
          <w:b/>
          <w:bCs/>
        </w:rPr>
        <w:t>,</w:t>
      </w:r>
      <w:r w:rsidR="00CC15C4" w:rsidRPr="033D52A4">
        <w:rPr>
          <w:b/>
          <w:bCs/>
        </w:rPr>
        <w:t xml:space="preserve"> this will be </w:t>
      </w:r>
      <w:r w:rsidR="00822196" w:rsidRPr="033D52A4">
        <w:rPr>
          <w:b/>
          <w:bCs/>
        </w:rPr>
        <w:t>£8.</w:t>
      </w:r>
      <w:r w:rsidR="006B52B8">
        <w:rPr>
          <w:b/>
          <w:bCs/>
        </w:rPr>
        <w:t>4</w:t>
      </w:r>
      <w:r w:rsidR="00822196" w:rsidRPr="033D52A4">
        <w:rPr>
          <w:b/>
          <w:bCs/>
        </w:rPr>
        <w:t>0 per night</w:t>
      </w:r>
      <w:r w:rsidR="00822196">
        <w:t>.</w:t>
      </w:r>
    </w:p>
    <w:p w14:paraId="288A8458" w14:textId="77777777" w:rsidR="00822196" w:rsidRPr="008B2B76" w:rsidRDefault="00822196" w:rsidP="00EE7128">
      <w:pPr>
        <w:jc w:val="both"/>
      </w:pPr>
    </w:p>
    <w:p w14:paraId="61612B95" w14:textId="16602D5B" w:rsidR="00822196" w:rsidRPr="008B2B76" w:rsidRDefault="00822196" w:rsidP="00EE7128">
      <w:pPr>
        <w:jc w:val="both"/>
      </w:pPr>
      <w:r>
        <w:t xml:space="preserve">If a </w:t>
      </w:r>
      <w:r w:rsidR="00503052">
        <w:t>c</w:t>
      </w:r>
      <w:r>
        <w:t xml:space="preserve">arer </w:t>
      </w:r>
      <w:r w:rsidR="00E04CE5">
        <w:t>decides to take more than 21 nights</w:t>
      </w:r>
      <w:r w:rsidR="00503052">
        <w:t>,</w:t>
      </w:r>
      <w:r w:rsidR="00E04CE5">
        <w:t xml:space="preserve"> and this has been </w:t>
      </w:r>
      <w:r w:rsidR="00D8175E">
        <w:t xml:space="preserve">discussed with the Shared Lives </w:t>
      </w:r>
      <w:r w:rsidR="00503052">
        <w:t>o</w:t>
      </w:r>
      <w:r w:rsidR="00D8175E">
        <w:t xml:space="preserve">fficer and the </w:t>
      </w:r>
      <w:r w:rsidR="00503052">
        <w:t>s</w:t>
      </w:r>
      <w:r w:rsidR="00162659">
        <w:t xml:space="preserve">ervice </w:t>
      </w:r>
      <w:r w:rsidR="00503052">
        <w:t>u</w:t>
      </w:r>
      <w:r w:rsidR="00162659">
        <w:t>ser has confirmed they are happy for this to take place</w:t>
      </w:r>
      <w:r w:rsidR="00503052">
        <w:t>,</w:t>
      </w:r>
      <w:r w:rsidR="00162659">
        <w:t xml:space="preserve"> both the </w:t>
      </w:r>
      <w:r w:rsidR="00503052">
        <w:t>f</w:t>
      </w:r>
      <w:r w:rsidR="00162659">
        <w:t>ood an</w:t>
      </w:r>
      <w:r w:rsidR="00B1480E">
        <w:t xml:space="preserve">d </w:t>
      </w:r>
      <w:r w:rsidR="00503052">
        <w:t>b</w:t>
      </w:r>
      <w:r w:rsidR="00B1480E">
        <w:t>ills will need to be reimbursed.</w:t>
      </w:r>
    </w:p>
    <w:p w14:paraId="2AE8D073" w14:textId="77777777" w:rsidR="00B1480E" w:rsidRPr="008B2B76" w:rsidRDefault="00B1480E" w:rsidP="00EE7128">
      <w:pPr>
        <w:jc w:val="both"/>
      </w:pPr>
    </w:p>
    <w:p w14:paraId="6EF263FB" w14:textId="02B8BA7A" w:rsidR="000949DC" w:rsidRPr="00C51213" w:rsidRDefault="00B1480E" w:rsidP="00EE7128">
      <w:pPr>
        <w:jc w:val="both"/>
      </w:pPr>
      <w:r>
        <w:t xml:space="preserve">If a </w:t>
      </w:r>
      <w:r w:rsidR="00503052">
        <w:t>c</w:t>
      </w:r>
      <w:r>
        <w:t xml:space="preserve">arer is taking more than </w:t>
      </w:r>
      <w:r w:rsidR="0013026D">
        <w:t xml:space="preserve">the planned 21 days </w:t>
      </w:r>
      <w:r w:rsidR="00AF5ABF">
        <w:t xml:space="preserve">respite per year this will need to be discussed with the Operations Team </w:t>
      </w:r>
      <w:r w:rsidR="00A40CB1">
        <w:t>with regards to transparency</w:t>
      </w:r>
      <w:r w:rsidR="532C0E0F">
        <w:t>.</w:t>
      </w:r>
    </w:p>
    <w:p w14:paraId="38F7FAD2" w14:textId="77777777" w:rsidR="00DD3E62" w:rsidRPr="00F40B13" w:rsidRDefault="00DD3E62" w:rsidP="00EE7128">
      <w:pPr>
        <w:jc w:val="both"/>
      </w:pPr>
    </w:p>
    <w:p w14:paraId="6F7618B5" w14:textId="5ACDE87A" w:rsidR="0047580E" w:rsidRDefault="0047580E" w:rsidP="00EE7128">
      <w:pPr>
        <w:jc w:val="both"/>
      </w:pPr>
      <w:r>
        <w:t xml:space="preserve">If a </w:t>
      </w:r>
      <w:r w:rsidR="00810CAC">
        <w:t>s</w:t>
      </w:r>
      <w:r>
        <w:t xml:space="preserve">ervice </w:t>
      </w:r>
      <w:r w:rsidR="00810CAC">
        <w:t>u</w:t>
      </w:r>
      <w:r>
        <w:t>ser goes out for the day</w:t>
      </w:r>
      <w:r w:rsidR="00810CAC">
        <w:t>,</w:t>
      </w:r>
      <w:r>
        <w:t xml:space="preserve"> no food or bills contribution will be returned.</w:t>
      </w:r>
    </w:p>
    <w:p w14:paraId="5F4E5C18" w14:textId="77777777" w:rsidR="00DD3E62" w:rsidRPr="00F40B13" w:rsidRDefault="00DD3E62" w:rsidP="00EE7128">
      <w:pPr>
        <w:jc w:val="both"/>
      </w:pPr>
    </w:p>
    <w:p w14:paraId="09A17A3D" w14:textId="0D979EB5" w:rsidR="0047580E" w:rsidRDefault="0047580E" w:rsidP="00EE7128">
      <w:pPr>
        <w:jc w:val="both"/>
      </w:pPr>
      <w:r w:rsidRPr="00F40B13">
        <w:t>There will be no rate for single meals just a daily rate as above</w:t>
      </w:r>
      <w:r w:rsidR="002E7E14">
        <w:t>.</w:t>
      </w:r>
    </w:p>
    <w:p w14:paraId="57B8F96E" w14:textId="77777777" w:rsidR="00BF583A" w:rsidRDefault="00BF583A" w:rsidP="00EE7128">
      <w:pPr>
        <w:jc w:val="both"/>
      </w:pPr>
    </w:p>
    <w:p w14:paraId="0A112327" w14:textId="0088ACB5" w:rsidR="00BF583A" w:rsidRPr="00EF1512" w:rsidRDefault="00BF583A" w:rsidP="0F0A9470">
      <w:pPr>
        <w:jc w:val="both"/>
        <w:rPr>
          <w:b/>
          <w:bCs/>
          <w:color w:val="000000" w:themeColor="text1"/>
        </w:rPr>
      </w:pPr>
      <w:r w:rsidRPr="0F0A9470">
        <w:rPr>
          <w:b/>
          <w:bCs/>
          <w:color w:val="FF0000"/>
        </w:rPr>
        <w:t xml:space="preserve">Reimbursements will be discussed during your </w:t>
      </w:r>
      <w:r w:rsidR="00221BD1" w:rsidRPr="0F0A9470">
        <w:rPr>
          <w:b/>
          <w:bCs/>
          <w:color w:val="FF0000"/>
        </w:rPr>
        <w:t>one-to-one</w:t>
      </w:r>
      <w:r w:rsidRPr="0F0A9470">
        <w:rPr>
          <w:b/>
          <w:bCs/>
          <w:color w:val="FF0000"/>
        </w:rPr>
        <w:t xml:space="preserve"> support session with your Shared Lives </w:t>
      </w:r>
      <w:r w:rsidR="00221BD1" w:rsidRPr="0F0A9470">
        <w:rPr>
          <w:b/>
          <w:bCs/>
          <w:color w:val="FF0000"/>
        </w:rPr>
        <w:t>o</w:t>
      </w:r>
      <w:r w:rsidRPr="0F0A9470">
        <w:rPr>
          <w:b/>
          <w:bCs/>
          <w:color w:val="FF0000"/>
        </w:rPr>
        <w:t xml:space="preserve">fficer. </w:t>
      </w:r>
    </w:p>
    <w:p w14:paraId="28270859" w14:textId="5EF47EE0" w:rsidR="383A8EC4" w:rsidRDefault="383A8EC4" w:rsidP="383A8EC4">
      <w:pPr>
        <w:jc w:val="both"/>
        <w:rPr>
          <w:b/>
          <w:bCs/>
          <w:color w:val="FF0000"/>
        </w:rPr>
      </w:pPr>
    </w:p>
    <w:p w14:paraId="7FBBD06E" w14:textId="4644BB83" w:rsidR="163888B8" w:rsidRDefault="21CFCB60" w:rsidP="0F0A9470">
      <w:pPr>
        <w:jc w:val="both"/>
        <w:rPr>
          <w:b/>
          <w:bCs/>
        </w:rPr>
      </w:pPr>
      <w:r w:rsidRPr="0F0A9470">
        <w:rPr>
          <w:b/>
          <w:bCs/>
        </w:rPr>
        <w:t>T</w:t>
      </w:r>
      <w:r w:rsidR="163888B8" w:rsidRPr="0F0A9470">
        <w:rPr>
          <w:b/>
          <w:bCs/>
        </w:rPr>
        <w:t>ransport</w:t>
      </w:r>
    </w:p>
    <w:p w14:paraId="3E1921E5" w14:textId="156B562B" w:rsidR="41E16F37" w:rsidRDefault="41E16F37" w:rsidP="0F0A9470">
      <w:pPr>
        <w:jc w:val="both"/>
        <w:rPr>
          <w:b/>
          <w:bCs/>
        </w:rPr>
      </w:pPr>
    </w:p>
    <w:p w14:paraId="4C9D82E6" w14:textId="70A0DBF3" w:rsidR="163888B8" w:rsidRDefault="163888B8" w:rsidP="0F0A9470">
      <w:pPr>
        <w:jc w:val="both"/>
      </w:pPr>
      <w:r w:rsidRPr="006A3DC3">
        <w:t>Where a carer drives and has access to a vehicle that has current MOT, R</w:t>
      </w:r>
      <w:r w:rsidR="597532D8" w:rsidRPr="006A3DC3">
        <w:t>o</w:t>
      </w:r>
      <w:r w:rsidRPr="006A3DC3">
        <w:t xml:space="preserve">ad Tax and Business Insurance they can support the service user with </w:t>
      </w:r>
      <w:r w:rsidR="6651B9D8" w:rsidRPr="006A3DC3">
        <w:t>car journeys.</w:t>
      </w:r>
    </w:p>
    <w:p w14:paraId="1F56EEF8" w14:textId="77777777" w:rsidR="0082124C" w:rsidRPr="006A3DC3" w:rsidRDefault="0082124C" w:rsidP="0F0A9470">
      <w:pPr>
        <w:jc w:val="both"/>
      </w:pPr>
    </w:p>
    <w:p w14:paraId="20255603" w14:textId="787105CA" w:rsidR="0E827E42" w:rsidRPr="006A3DC3" w:rsidRDefault="6651B9D8" w:rsidP="0F0A9470">
      <w:pPr>
        <w:jc w:val="both"/>
      </w:pPr>
      <w:r w:rsidRPr="006A3DC3">
        <w:t xml:space="preserve">Where a journey is for the </w:t>
      </w:r>
      <w:r w:rsidR="0082124C" w:rsidRPr="006A3DC3">
        <w:t>individual,</w:t>
      </w:r>
      <w:r w:rsidRPr="006A3DC3">
        <w:t xml:space="preserve"> the carer can </w:t>
      </w:r>
      <w:r w:rsidR="357E968E" w:rsidRPr="006A3DC3">
        <w:t>claim the HMRC mileage rate</w:t>
      </w:r>
      <w:r w:rsidR="536D6159" w:rsidRPr="006A3DC3">
        <w:t xml:space="preserve"> f</w:t>
      </w:r>
      <w:r w:rsidR="346D8588" w:rsidRPr="006A3DC3">
        <w:t>ro</w:t>
      </w:r>
      <w:r w:rsidR="536D6159" w:rsidRPr="006A3DC3">
        <w:t xml:space="preserve">m the service </w:t>
      </w:r>
      <w:r w:rsidR="072BF76F" w:rsidRPr="006A3DC3">
        <w:t>user</w:t>
      </w:r>
      <w:r w:rsidR="357E968E" w:rsidRPr="006A3DC3">
        <w:t xml:space="preserve"> which is 50p a mile. If the service user is just dropped off the return journey is 45p a mile.</w:t>
      </w:r>
    </w:p>
    <w:p w14:paraId="254EDADF" w14:textId="77777777" w:rsidR="00A536E3" w:rsidRPr="006A3DC3" w:rsidRDefault="00A536E3" w:rsidP="0F0A9470">
      <w:pPr>
        <w:jc w:val="both"/>
      </w:pPr>
    </w:p>
    <w:p w14:paraId="186478BA" w14:textId="5A3FE854" w:rsidR="357E968E" w:rsidRPr="006A3DC3" w:rsidRDefault="357E968E" w:rsidP="0F0A9470">
      <w:pPr>
        <w:jc w:val="both"/>
      </w:pPr>
      <w:r w:rsidRPr="006A3DC3">
        <w:t xml:space="preserve">Where there is more than one individaul using the car and the journey </w:t>
      </w:r>
      <w:r w:rsidR="2B9E58EF" w:rsidRPr="006A3DC3">
        <w:t>benefits</w:t>
      </w:r>
      <w:r w:rsidRPr="006A3DC3">
        <w:t xml:space="preserve"> them</w:t>
      </w:r>
      <w:r w:rsidR="303B9EC2" w:rsidRPr="006A3DC3">
        <w:t>,</w:t>
      </w:r>
      <w:r w:rsidRPr="006A3DC3">
        <w:t xml:space="preserve"> an equitable amount for each should be</w:t>
      </w:r>
      <w:r w:rsidR="1FB8E25D" w:rsidRPr="006A3DC3">
        <w:t xml:space="preserve"> claimed.</w:t>
      </w:r>
    </w:p>
    <w:p w14:paraId="32BBCED0" w14:textId="1C251A3F" w:rsidR="05A4B75E" w:rsidRDefault="05A4B75E" w:rsidP="0F0A9470">
      <w:pPr>
        <w:jc w:val="both"/>
        <w:rPr>
          <w:b/>
          <w:bCs/>
        </w:rPr>
      </w:pPr>
    </w:p>
    <w:p w14:paraId="2E24C218" w14:textId="1E1E9011" w:rsidR="1FB8E25D" w:rsidRDefault="1FB8E25D" w:rsidP="0F0A9470">
      <w:pPr>
        <w:jc w:val="both"/>
        <w:rPr>
          <w:b/>
          <w:bCs/>
        </w:rPr>
      </w:pPr>
      <w:r w:rsidRPr="0F0A9470">
        <w:rPr>
          <w:b/>
          <w:bCs/>
        </w:rPr>
        <w:t>Motability Cars</w:t>
      </w:r>
    </w:p>
    <w:p w14:paraId="370F18CD" w14:textId="652094CE" w:rsidR="05A4B75E" w:rsidRDefault="05A4B75E" w:rsidP="0F0A9470">
      <w:pPr>
        <w:jc w:val="both"/>
        <w:rPr>
          <w:b/>
          <w:bCs/>
        </w:rPr>
      </w:pPr>
    </w:p>
    <w:p w14:paraId="19D8BCD9" w14:textId="77777777" w:rsidR="0038329A" w:rsidRDefault="1FB8E25D" w:rsidP="0F0A9470">
      <w:pPr>
        <w:jc w:val="both"/>
      </w:pPr>
      <w:r w:rsidRPr="006A3DC3">
        <w:t xml:space="preserve">Where an </w:t>
      </w:r>
      <w:r w:rsidR="68077CBC" w:rsidRPr="006A3DC3">
        <w:t>individual</w:t>
      </w:r>
      <w:r w:rsidRPr="006A3DC3">
        <w:t xml:space="preserve"> has a Motability Car, the rates claimed are for the petrol only and should be applied </w:t>
      </w:r>
      <w:proofErr w:type="gramStart"/>
      <w:r w:rsidRPr="006A3DC3">
        <w:t>taking into account</w:t>
      </w:r>
      <w:proofErr w:type="gramEnd"/>
      <w:r w:rsidRPr="006A3DC3">
        <w:t xml:space="preserve"> the current cost of petrol and the </w:t>
      </w:r>
      <w:r w:rsidR="0D1C8551" w:rsidRPr="006A3DC3">
        <w:t xml:space="preserve">vehicle used. </w:t>
      </w:r>
    </w:p>
    <w:p w14:paraId="457F7D55" w14:textId="77777777" w:rsidR="0038329A" w:rsidRDefault="0038329A" w:rsidP="0F0A9470">
      <w:pPr>
        <w:jc w:val="both"/>
      </w:pPr>
    </w:p>
    <w:p w14:paraId="31795FCE" w14:textId="7FFCA1D1" w:rsidR="1FB8E25D" w:rsidRPr="006A3DC3" w:rsidRDefault="0D1C8551" w:rsidP="0F0A9470">
      <w:pPr>
        <w:jc w:val="both"/>
      </w:pPr>
      <w:r w:rsidRPr="006A3DC3">
        <w:t xml:space="preserve">A </w:t>
      </w:r>
      <w:r w:rsidR="0187A047" w:rsidRPr="006A3DC3">
        <w:t>M</w:t>
      </w:r>
      <w:r w:rsidRPr="006A3DC3">
        <w:t xml:space="preserve">otability vehicle can only be used for the named individual. </w:t>
      </w:r>
    </w:p>
    <w:p w14:paraId="14ABB041" w14:textId="0AB3801C" w:rsidR="02F42128" w:rsidRPr="006A3DC3" w:rsidRDefault="02F42128" w:rsidP="0F0A9470">
      <w:pPr>
        <w:jc w:val="both"/>
      </w:pPr>
    </w:p>
    <w:p w14:paraId="2BB5193F" w14:textId="119D2C59" w:rsidR="0D1C8551" w:rsidRPr="006A3DC3" w:rsidRDefault="0D1C8551" w:rsidP="0F0A9470">
      <w:pPr>
        <w:jc w:val="both"/>
      </w:pPr>
      <w:r w:rsidRPr="006A3DC3">
        <w:t xml:space="preserve">The Shared Lives Officer will review the claims made at your </w:t>
      </w:r>
      <w:r w:rsidR="00FB519D">
        <w:t xml:space="preserve">annual </w:t>
      </w:r>
      <w:r w:rsidRPr="006A3DC3">
        <w:t>Financial Review.</w:t>
      </w:r>
    </w:p>
    <w:p w14:paraId="7FB7B805" w14:textId="72A2471C" w:rsidR="383A8EC4" w:rsidRDefault="383A8EC4" w:rsidP="0F0A9470">
      <w:pPr>
        <w:jc w:val="both"/>
        <w:rPr>
          <w:b/>
          <w:bCs/>
        </w:rPr>
      </w:pPr>
    </w:p>
    <w:p w14:paraId="48CEF1BF" w14:textId="39194597" w:rsidR="33380A53" w:rsidRDefault="33380A53" w:rsidP="0F0A9470">
      <w:pPr>
        <w:pStyle w:val="Heading1"/>
        <w:jc w:val="both"/>
        <w:rPr>
          <w:color w:val="auto"/>
          <w:sz w:val="36"/>
          <w:szCs w:val="36"/>
        </w:rPr>
      </w:pPr>
    </w:p>
    <w:p w14:paraId="344AB9CF" w14:textId="77777777" w:rsidR="0038329A" w:rsidRPr="0038329A" w:rsidRDefault="0038329A" w:rsidP="0038329A"/>
    <w:p w14:paraId="12DB2F42" w14:textId="093E4FB2" w:rsidR="0047580E" w:rsidRPr="00FD6711" w:rsidRDefault="0047580E" w:rsidP="00EE7128">
      <w:pPr>
        <w:pStyle w:val="h1"/>
        <w:jc w:val="both"/>
      </w:pPr>
      <w:bookmarkStart w:id="2" w:name="_Toc173317617"/>
      <w:r>
        <w:lastRenderedPageBreak/>
        <w:t xml:space="preserve">Carer and </w:t>
      </w:r>
      <w:r w:rsidR="00221BD1">
        <w:t>s</w:t>
      </w:r>
      <w:r>
        <w:t xml:space="preserve">ervice </w:t>
      </w:r>
      <w:r w:rsidR="00221BD1">
        <w:t>u</w:t>
      </w:r>
      <w:r>
        <w:t>ser going on a holiday planned by the carer</w:t>
      </w:r>
      <w:bookmarkEnd w:id="2"/>
      <w:r>
        <w:t> </w:t>
      </w:r>
    </w:p>
    <w:p w14:paraId="0CCF82B6" w14:textId="77777777" w:rsidR="00DD3E62" w:rsidRPr="00FD6711" w:rsidRDefault="00DD3E62" w:rsidP="00EE7128">
      <w:pPr>
        <w:pStyle w:val="h1"/>
        <w:jc w:val="both"/>
      </w:pPr>
    </w:p>
    <w:p w14:paraId="7FE39AA7" w14:textId="5C36C85E" w:rsidR="0047580E" w:rsidRPr="00814112" w:rsidRDefault="0047580E" w:rsidP="00EE7128">
      <w:pPr>
        <w:jc w:val="both"/>
      </w:pPr>
      <w:r>
        <w:t xml:space="preserve">The ethos of Shared Lives encourages </w:t>
      </w:r>
      <w:r w:rsidR="00266A5B">
        <w:t>s</w:t>
      </w:r>
      <w:r>
        <w:t xml:space="preserve">ervice </w:t>
      </w:r>
      <w:r w:rsidR="00266A5B">
        <w:t>u</w:t>
      </w:r>
      <w:r>
        <w:t xml:space="preserve">sers to be included in their Shared Lives </w:t>
      </w:r>
      <w:r w:rsidR="002559D0">
        <w:t>c</w:t>
      </w:r>
      <w:r>
        <w:t>arer’s and</w:t>
      </w:r>
      <w:r w:rsidR="002559D0">
        <w:t>/or</w:t>
      </w:r>
      <w:r>
        <w:t xml:space="preserve"> family holidays. </w:t>
      </w:r>
    </w:p>
    <w:p w14:paraId="3FD673CD" w14:textId="77777777" w:rsidR="002559D0" w:rsidRPr="00814112" w:rsidRDefault="002559D0" w:rsidP="00EE7128">
      <w:pPr>
        <w:jc w:val="both"/>
      </w:pPr>
    </w:p>
    <w:p w14:paraId="59B0E2FD" w14:textId="2F2AD677" w:rsidR="0047580E" w:rsidRPr="00814112" w:rsidRDefault="0047580E" w:rsidP="00EE7128">
      <w:pPr>
        <w:jc w:val="both"/>
      </w:pPr>
      <w:r>
        <w:t xml:space="preserve">Carers must ensure that they communicate with their Shared Lives </w:t>
      </w:r>
      <w:r w:rsidR="00266A5B">
        <w:t>o</w:t>
      </w:r>
      <w:r>
        <w:t xml:space="preserve">fficers (within at least 4 weeks of </w:t>
      </w:r>
      <w:r w:rsidR="00266A5B">
        <w:t xml:space="preserve">the </w:t>
      </w:r>
      <w:r>
        <w:t xml:space="preserve">planned holiday) regarding any holidays planned in which service users are included. When planning such holidays carers must consider and involve </w:t>
      </w:r>
      <w:r w:rsidR="005A1668">
        <w:t>the s</w:t>
      </w:r>
      <w:r>
        <w:t xml:space="preserve">ervice </w:t>
      </w:r>
      <w:r w:rsidR="005A1668">
        <w:t>u</w:t>
      </w:r>
      <w:r w:rsidR="0056009A">
        <w:t>sers’</w:t>
      </w:r>
      <w:r>
        <w:t xml:space="preserve"> choice, appropriateness and financial implications. If a </w:t>
      </w:r>
      <w:r w:rsidR="005A1668">
        <w:t>s</w:t>
      </w:r>
      <w:r>
        <w:t xml:space="preserve">ervice </w:t>
      </w:r>
      <w:r w:rsidR="005A1668">
        <w:t>u</w:t>
      </w:r>
      <w:r>
        <w:t xml:space="preserve">ser lacks capacity, then a </w:t>
      </w:r>
      <w:r w:rsidR="004E3397">
        <w:t>b</w:t>
      </w:r>
      <w:r>
        <w:t xml:space="preserve">est </w:t>
      </w:r>
      <w:r w:rsidR="0056009A">
        <w:t>interests</w:t>
      </w:r>
      <w:r w:rsidR="000825F3">
        <w:t>’</w:t>
      </w:r>
      <w:r>
        <w:t xml:space="preserve"> decision should be made</w:t>
      </w:r>
      <w:r w:rsidR="000825F3">
        <w:t>,</w:t>
      </w:r>
      <w:r>
        <w:t xml:space="preserve"> involving everyone important to the individual with an emphasis on participation in positive benefits and achievement of outcomes.</w:t>
      </w:r>
    </w:p>
    <w:p w14:paraId="2EC73251" w14:textId="77777777" w:rsidR="004E3397" w:rsidRPr="00814112" w:rsidRDefault="004E3397" w:rsidP="00EE7128">
      <w:pPr>
        <w:jc w:val="both"/>
      </w:pPr>
    </w:p>
    <w:p w14:paraId="2A97AEC3" w14:textId="3CD33D82" w:rsidR="0047580E" w:rsidRDefault="0047580E" w:rsidP="00EE7128">
      <w:pPr>
        <w:jc w:val="both"/>
      </w:pPr>
      <w:r>
        <w:t xml:space="preserve">The </w:t>
      </w:r>
      <w:r w:rsidR="000825F3">
        <w:t>s</w:t>
      </w:r>
      <w:r>
        <w:t xml:space="preserve">ervice will always support meaningful opportunities for </w:t>
      </w:r>
      <w:r w:rsidR="000825F3">
        <w:t>s</w:t>
      </w:r>
      <w:r>
        <w:t xml:space="preserve">ervice </w:t>
      </w:r>
      <w:r w:rsidR="000825F3">
        <w:t>u</w:t>
      </w:r>
      <w:r>
        <w:t>sers and will look at all options in which to support ordinary life activities and events.   </w:t>
      </w:r>
    </w:p>
    <w:p w14:paraId="4664168E" w14:textId="77777777" w:rsidR="0056009A" w:rsidRPr="00FD6711" w:rsidRDefault="0056009A" w:rsidP="00EE7128">
      <w:pPr>
        <w:jc w:val="both"/>
      </w:pPr>
    </w:p>
    <w:p w14:paraId="18183ECB" w14:textId="1BD7C9AA" w:rsidR="0047580E" w:rsidRPr="00FD6711" w:rsidRDefault="0047580E" w:rsidP="00EE7128">
      <w:pPr>
        <w:jc w:val="both"/>
      </w:pPr>
      <w:r>
        <w:t xml:space="preserve">The Shared Lives </w:t>
      </w:r>
      <w:r w:rsidR="000825F3">
        <w:t>o</w:t>
      </w:r>
      <w:r>
        <w:t xml:space="preserve">fficer will support </w:t>
      </w:r>
      <w:r w:rsidR="000825F3">
        <w:t>s</w:t>
      </w:r>
      <w:r>
        <w:t xml:space="preserve">ervice </w:t>
      </w:r>
      <w:r w:rsidR="000825F3">
        <w:t>u</w:t>
      </w:r>
      <w:r>
        <w:t>sers to enable awareness and understanding of costs that will result from the holiday, e.g. meals out, outings</w:t>
      </w:r>
      <w:r w:rsidR="000825F3">
        <w:t>,</w:t>
      </w:r>
      <w:r>
        <w:t xml:space="preserve"> etc. </w:t>
      </w:r>
    </w:p>
    <w:p w14:paraId="4FE2A1E6" w14:textId="7D944381" w:rsidR="00273E0A" w:rsidRDefault="00273E0A" w:rsidP="00EE7128">
      <w:pPr>
        <w:jc w:val="both"/>
      </w:pPr>
    </w:p>
    <w:p w14:paraId="183CCCC2" w14:textId="77777777" w:rsidR="0056009A" w:rsidRDefault="0056009A" w:rsidP="00EE7128">
      <w:pPr>
        <w:jc w:val="both"/>
      </w:pPr>
    </w:p>
    <w:p w14:paraId="633979FD" w14:textId="40604A36" w:rsidR="0047580E" w:rsidRPr="005E0BC5" w:rsidRDefault="0047580E" w:rsidP="00EE7128">
      <w:pPr>
        <w:pStyle w:val="h2"/>
        <w:jc w:val="both"/>
        <w:rPr>
          <w:color w:val="auto"/>
        </w:rPr>
      </w:pPr>
      <w:bookmarkStart w:id="3" w:name="_Toc173317618"/>
      <w:r w:rsidRPr="005E0BC5">
        <w:rPr>
          <w:color w:val="auto"/>
        </w:rPr>
        <w:t xml:space="preserve">Financial </w:t>
      </w:r>
      <w:r w:rsidR="000825F3" w:rsidRPr="005E0BC5">
        <w:rPr>
          <w:color w:val="auto"/>
        </w:rPr>
        <w:t>i</w:t>
      </w:r>
      <w:r w:rsidRPr="005E0BC5">
        <w:rPr>
          <w:color w:val="auto"/>
        </w:rPr>
        <w:t>mplications</w:t>
      </w:r>
      <w:bookmarkEnd w:id="3"/>
      <w:r w:rsidRPr="005E0BC5">
        <w:rPr>
          <w:color w:val="auto"/>
        </w:rPr>
        <w:t>  </w:t>
      </w:r>
    </w:p>
    <w:p w14:paraId="3B0E4845" w14:textId="77777777" w:rsidR="00721F55" w:rsidRDefault="00721F55" w:rsidP="00EE7128">
      <w:pPr>
        <w:jc w:val="both"/>
      </w:pPr>
    </w:p>
    <w:p w14:paraId="2F09D034" w14:textId="43EB1B56" w:rsidR="0047580E" w:rsidRPr="00FD6711" w:rsidRDefault="0047580E" w:rsidP="00EE7128">
      <w:pPr>
        <w:jc w:val="both"/>
      </w:pPr>
      <w:r>
        <w:t xml:space="preserve">The </w:t>
      </w:r>
      <w:r w:rsidR="000825F3">
        <w:t>s</w:t>
      </w:r>
      <w:r>
        <w:t xml:space="preserve">ervice </w:t>
      </w:r>
      <w:r w:rsidR="000825F3">
        <w:t>u</w:t>
      </w:r>
      <w:r>
        <w:t>ser will be expected to pay toward their share of the holiday only. This will include their share of the accommodation, travel costs, insurance and their own spending money</w:t>
      </w:r>
      <w:r w:rsidR="000825F3">
        <w:t>,</w:t>
      </w:r>
      <w:r>
        <w:t xml:space="preserve"> as well as paying for their own meals. </w:t>
      </w:r>
    </w:p>
    <w:p w14:paraId="268526F2" w14:textId="77777777" w:rsidR="0047580E" w:rsidRPr="00FD6711" w:rsidRDefault="0047580E" w:rsidP="00EE7128">
      <w:pPr>
        <w:jc w:val="both"/>
      </w:pPr>
      <w:r w:rsidRPr="00FD6711">
        <w:t> </w:t>
      </w:r>
    </w:p>
    <w:tbl>
      <w:tblPr>
        <w:tblW w:w="8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916"/>
        <w:gridCol w:w="1427"/>
        <w:gridCol w:w="2556"/>
      </w:tblGrid>
      <w:tr w:rsidR="0047580E" w:rsidRPr="00FD6711" w14:paraId="22010358" w14:textId="77777777" w:rsidTr="5A0A6B08">
        <w:trPr>
          <w:trHeight w:val="300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D366" w14:textId="77777777" w:rsidR="0047580E" w:rsidRPr="00EF62AD" w:rsidRDefault="0047580E" w:rsidP="00EE7128">
            <w:pPr>
              <w:jc w:val="both"/>
            </w:pPr>
            <w:r>
              <w:t>Item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E6D1" w14:textId="77777777" w:rsidR="0047580E" w:rsidRPr="00EF62AD" w:rsidRDefault="0047580E" w:rsidP="00EE7128">
            <w:pPr>
              <w:jc w:val="both"/>
            </w:pPr>
            <w:r>
              <w:t>Detail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B5F3" w14:textId="77777777" w:rsidR="0047580E" w:rsidRPr="00EF62AD" w:rsidRDefault="0047580E" w:rsidP="00EE7128">
            <w:pPr>
              <w:jc w:val="both"/>
            </w:pPr>
            <w:r>
              <w:t>Individual responsible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CC78" w14:textId="77777777" w:rsidR="0047580E" w:rsidRPr="00EF62AD" w:rsidRDefault="0047580E" w:rsidP="00EE7128">
            <w:pPr>
              <w:jc w:val="both"/>
            </w:pPr>
            <w:r>
              <w:t>Comments</w:t>
            </w:r>
          </w:p>
        </w:tc>
      </w:tr>
      <w:tr w:rsidR="0047580E" w:rsidRPr="00FD6711" w14:paraId="5C5B796D" w14:textId="77777777" w:rsidTr="5A0A6B08">
        <w:trPr>
          <w:trHeight w:val="300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A1918" w14:textId="2D847DFF" w:rsidR="0047580E" w:rsidRPr="00FD6711" w:rsidRDefault="0047580E" w:rsidP="00273E0A">
            <w:r>
              <w:t xml:space="preserve">Service </w:t>
            </w:r>
            <w:r w:rsidR="000825F3">
              <w:t>u</w:t>
            </w:r>
            <w:r>
              <w:t>ser’s share of holiday cost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16430" w14:textId="77777777" w:rsidR="0047580E" w:rsidRPr="00FD6711" w:rsidRDefault="0047580E" w:rsidP="00273E0A">
            <w:r w:rsidRPr="00FD6711">
              <w:t>Accommodation, travel, insurance, spending money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D87AA" w14:textId="4EE26B9D" w:rsidR="0047580E" w:rsidRPr="00FD6711" w:rsidRDefault="0047580E" w:rsidP="00273E0A">
            <w:r>
              <w:t xml:space="preserve">Service </w:t>
            </w:r>
            <w:r w:rsidR="0078027E">
              <w:t>u</w:t>
            </w:r>
            <w:r>
              <w:t>ser  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52E9" w14:textId="4C7879E4" w:rsidR="0047580E" w:rsidRPr="00FD6711" w:rsidRDefault="0047580E" w:rsidP="00273E0A">
            <w:r>
              <w:t>Meal costs should be paid by</w:t>
            </w:r>
            <w:r w:rsidR="0078027E">
              <w:t xml:space="preserve"> the</w:t>
            </w:r>
            <w:r>
              <w:t xml:space="preserve"> </w:t>
            </w:r>
            <w:r w:rsidR="0078027E">
              <w:t>s</w:t>
            </w:r>
            <w:r>
              <w:t xml:space="preserve">ervice </w:t>
            </w:r>
            <w:r w:rsidR="0078027E">
              <w:t>u</w:t>
            </w:r>
            <w:r>
              <w:t>ser </w:t>
            </w:r>
          </w:p>
        </w:tc>
      </w:tr>
      <w:tr w:rsidR="0047580E" w:rsidRPr="00FD6711" w14:paraId="76CA7D17" w14:textId="77777777" w:rsidTr="5A0A6B08">
        <w:trPr>
          <w:trHeight w:val="300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410F" w14:textId="381DEE09" w:rsidR="0047580E" w:rsidRPr="00FD6711" w:rsidRDefault="0047580E" w:rsidP="00273E0A">
            <w:r>
              <w:t>Carer/</w:t>
            </w:r>
            <w:r w:rsidR="0078027E">
              <w:t>f</w:t>
            </w:r>
            <w:r>
              <w:t>amily share of holiday cost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BCF6" w14:textId="77777777" w:rsidR="0047580E" w:rsidRPr="00FD6711" w:rsidRDefault="0047580E" w:rsidP="00273E0A">
            <w:r>
              <w:t>Accommodation, travel, insurance, spending money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DB0B" w14:textId="77777777" w:rsidR="0047580E" w:rsidRPr="00FD6711" w:rsidRDefault="0047580E" w:rsidP="00273E0A">
            <w:r>
              <w:t>Carer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1F3F" w14:textId="6F41A941" w:rsidR="0047580E" w:rsidRPr="00FD6711" w:rsidRDefault="008626EC" w:rsidP="00273E0A">
            <w:r>
              <w:t xml:space="preserve">Carers should pay for their </w:t>
            </w:r>
            <w:r w:rsidR="00050BA9">
              <w:t>own meals and reimburse as per the guidance</w:t>
            </w:r>
          </w:p>
        </w:tc>
      </w:tr>
    </w:tbl>
    <w:p w14:paraId="512DC6F4" w14:textId="77777777" w:rsidR="0047580E" w:rsidRPr="00814112" w:rsidRDefault="0047580E" w:rsidP="00EE7128">
      <w:pPr>
        <w:jc w:val="both"/>
      </w:pPr>
    </w:p>
    <w:p w14:paraId="6436522F" w14:textId="77777777" w:rsidR="0047580E" w:rsidRPr="00814112" w:rsidRDefault="0047580E" w:rsidP="00EE7128">
      <w:pPr>
        <w:jc w:val="both"/>
      </w:pPr>
    </w:p>
    <w:p w14:paraId="12FBC339" w14:textId="78E203FC" w:rsidR="0047580E" w:rsidRPr="00FD6711" w:rsidRDefault="0047580E" w:rsidP="00EE7128">
      <w:pPr>
        <w:pStyle w:val="h1"/>
        <w:jc w:val="both"/>
      </w:pPr>
      <w:bookmarkStart w:id="4" w:name="_Toc173317619"/>
      <w:r>
        <w:t xml:space="preserve">Shared Lives </w:t>
      </w:r>
      <w:r w:rsidR="0078027E">
        <w:t>c</w:t>
      </w:r>
      <w:r>
        <w:t>arer accompanying th</w:t>
      </w:r>
      <w:r w:rsidR="6616DE06">
        <w:t xml:space="preserve">e </w:t>
      </w:r>
      <w:r w:rsidR="0078027E">
        <w:t>s</w:t>
      </w:r>
      <w:r>
        <w:t xml:space="preserve">ervice </w:t>
      </w:r>
      <w:r w:rsidR="0078027E">
        <w:t>u</w:t>
      </w:r>
      <w:r>
        <w:t xml:space="preserve">ser as a supporter on a holiday of the </w:t>
      </w:r>
      <w:r w:rsidR="0078027E">
        <w:t>s</w:t>
      </w:r>
      <w:r>
        <w:t xml:space="preserve">ervice </w:t>
      </w:r>
      <w:r w:rsidR="0078027E">
        <w:t>u</w:t>
      </w:r>
      <w:r>
        <w:t>ser’s choice</w:t>
      </w:r>
      <w:bookmarkEnd w:id="4"/>
      <w:r>
        <w:t xml:space="preserve">  </w:t>
      </w:r>
    </w:p>
    <w:p w14:paraId="5F3734EA" w14:textId="3C7DADBB" w:rsidR="0BB6FF36" w:rsidRDefault="0BB6FF36" w:rsidP="00EE7128">
      <w:pPr>
        <w:jc w:val="both"/>
      </w:pPr>
    </w:p>
    <w:p w14:paraId="5F7D15A1" w14:textId="55993938" w:rsidR="0047580E" w:rsidRPr="00814112" w:rsidRDefault="0047580E" w:rsidP="00EE7128">
      <w:pPr>
        <w:jc w:val="both"/>
      </w:pPr>
      <w:r>
        <w:t xml:space="preserve">Service </w:t>
      </w:r>
      <w:r w:rsidR="0078027E">
        <w:t>u</w:t>
      </w:r>
      <w:r>
        <w:t>sers</w:t>
      </w:r>
      <w:r w:rsidR="00466954">
        <w:t>,</w:t>
      </w:r>
      <w:r>
        <w:t xml:space="preserve"> like anyone</w:t>
      </w:r>
      <w:r w:rsidR="00466954">
        <w:t>,</w:t>
      </w:r>
      <w:r>
        <w:t xml:space="preserve"> may have dreams and aspirations to visit certain places and where at all possible all attempts should be made to make this a reality if appropriate to do so. This will require the </w:t>
      </w:r>
      <w:r w:rsidR="00CB5BBF">
        <w:t>c</w:t>
      </w:r>
      <w:r>
        <w:t xml:space="preserve">arer to support the </w:t>
      </w:r>
      <w:r w:rsidR="00CB5BBF">
        <w:t>s</w:t>
      </w:r>
      <w:r>
        <w:t xml:space="preserve">ervice </w:t>
      </w:r>
      <w:r w:rsidR="00CB5BBF">
        <w:t>u</w:t>
      </w:r>
      <w:r>
        <w:t>ser on their holiday/trip of choice.</w:t>
      </w:r>
    </w:p>
    <w:p w14:paraId="4D7B9FC0" w14:textId="77777777" w:rsidR="00B05CAB" w:rsidRPr="00814112" w:rsidRDefault="00B05CAB" w:rsidP="00EE7128">
      <w:pPr>
        <w:jc w:val="both"/>
      </w:pPr>
    </w:p>
    <w:p w14:paraId="5CB3BCF8" w14:textId="3F54D1F2" w:rsidR="0047580E" w:rsidRPr="00045A0B" w:rsidRDefault="0047580E" w:rsidP="00EE7128">
      <w:pPr>
        <w:jc w:val="both"/>
      </w:pPr>
      <w:r>
        <w:t xml:space="preserve">If this is identified, then </w:t>
      </w:r>
      <w:r w:rsidR="00CB5BBF">
        <w:t>c</w:t>
      </w:r>
      <w:r>
        <w:t xml:space="preserve">arers should discuss with their Shared Lives officer, with </w:t>
      </w:r>
      <w:r w:rsidR="00523E44">
        <w:t xml:space="preserve">the </w:t>
      </w:r>
      <w:r>
        <w:t xml:space="preserve">involvement of the </w:t>
      </w:r>
      <w:r w:rsidR="00CB5BBF">
        <w:t>s</w:t>
      </w:r>
      <w:r>
        <w:t xml:space="preserve">ervice </w:t>
      </w:r>
      <w:r w:rsidR="00CB5BBF">
        <w:t>u</w:t>
      </w:r>
      <w:r>
        <w:t>ser and/or their representative</w:t>
      </w:r>
      <w:r w:rsidR="00523E44">
        <w:t>,</w:t>
      </w:r>
      <w:r>
        <w:t xml:space="preserve"> how this can</w:t>
      </w:r>
      <w:r w:rsidR="004656EE">
        <w:t xml:space="preserve"> </w:t>
      </w:r>
      <w:r w:rsidR="00045A0B">
        <w:t>be achieved</w:t>
      </w:r>
      <w:r>
        <w:t xml:space="preserve">. Emphasis should be placed upon how the </w:t>
      </w:r>
      <w:r w:rsidR="00F5036F">
        <w:t>s</w:t>
      </w:r>
      <w:r>
        <w:t xml:space="preserve">ervice </w:t>
      </w:r>
      <w:r w:rsidR="00F5036F">
        <w:t>u</w:t>
      </w:r>
      <w:r>
        <w:t>ser has identified this as an individual choice, how this can be evidence</w:t>
      </w:r>
      <w:r w:rsidR="00E85DCF">
        <w:t>d</w:t>
      </w:r>
      <w:r w:rsidR="00F5036F">
        <w:t>,</w:t>
      </w:r>
      <w:r>
        <w:t xml:space="preserve"> etc. This is to ensure transparency and avoid concerns </w:t>
      </w:r>
      <w:r w:rsidR="3E706EF3">
        <w:t>regarding</w:t>
      </w:r>
      <w:r>
        <w:t xml:space="preserve"> potential influence. </w:t>
      </w:r>
    </w:p>
    <w:p w14:paraId="4C8DE14B" w14:textId="77777777" w:rsidR="00B05CAB" w:rsidRDefault="00B05CAB" w:rsidP="00EE7128">
      <w:pPr>
        <w:jc w:val="both"/>
      </w:pPr>
    </w:p>
    <w:p w14:paraId="76655D1E" w14:textId="0DC5346E" w:rsidR="0047580E" w:rsidRPr="00FD6711" w:rsidRDefault="0047580E" w:rsidP="00EE7128">
      <w:pPr>
        <w:jc w:val="both"/>
      </w:pPr>
      <w:r>
        <w:t xml:space="preserve">Where there may be a need for higher levels of support/costs, the Shared Lives </w:t>
      </w:r>
      <w:r w:rsidR="00F5036F">
        <w:t>o</w:t>
      </w:r>
      <w:r>
        <w:t xml:space="preserve">fficer should discuss this with the Shared Lives </w:t>
      </w:r>
      <w:r w:rsidR="00311D02">
        <w:t>M</w:t>
      </w:r>
      <w:r>
        <w:t xml:space="preserve">anagement </w:t>
      </w:r>
      <w:r w:rsidR="00311D02">
        <w:t>T</w:t>
      </w:r>
      <w:r>
        <w:t xml:space="preserve">eam before approaching the </w:t>
      </w:r>
      <w:r w:rsidR="00A706AF">
        <w:t xml:space="preserve">local </w:t>
      </w:r>
      <w:r w:rsidR="00A706AF" w:rsidRPr="4C35FF89">
        <w:rPr>
          <w:b/>
          <w:bCs/>
        </w:rPr>
        <w:t>Care Management Team</w:t>
      </w:r>
      <w:r w:rsidRPr="4C35FF89">
        <w:rPr>
          <w:color w:val="FF0000"/>
        </w:rPr>
        <w:t xml:space="preserve"> </w:t>
      </w:r>
      <w:r>
        <w:t>to consider the proposal.</w:t>
      </w:r>
    </w:p>
    <w:p w14:paraId="0AAF6750" w14:textId="6F4E7B06" w:rsidR="0047580E" w:rsidRPr="00045A0B" w:rsidDel="004C7B0C" w:rsidRDefault="0047580E" w:rsidP="00EE7128">
      <w:pPr>
        <w:pStyle w:val="h2"/>
        <w:jc w:val="both"/>
        <w:rPr>
          <w:color w:val="auto"/>
        </w:rPr>
      </w:pPr>
      <w:r w:rsidRPr="1036E76E">
        <w:rPr>
          <w:color w:val="auto"/>
        </w:rPr>
        <w:t> </w:t>
      </w:r>
    </w:p>
    <w:p w14:paraId="1A7A8CDA" w14:textId="5A712E3F" w:rsidR="1036E76E" w:rsidRDefault="1036E76E" w:rsidP="1036E76E">
      <w:pPr>
        <w:pStyle w:val="h2"/>
        <w:jc w:val="both"/>
        <w:rPr>
          <w:color w:val="auto"/>
        </w:rPr>
      </w:pPr>
    </w:p>
    <w:p w14:paraId="30331935" w14:textId="61790B31" w:rsidR="0047580E" w:rsidRPr="00045A0B" w:rsidRDefault="0047580E" w:rsidP="00EE7128">
      <w:pPr>
        <w:pStyle w:val="h2"/>
        <w:jc w:val="both"/>
        <w:rPr>
          <w:color w:val="auto"/>
        </w:rPr>
      </w:pPr>
      <w:bookmarkStart w:id="5" w:name="_Toc173317620"/>
      <w:r w:rsidRPr="00045A0B">
        <w:rPr>
          <w:color w:val="auto"/>
        </w:rPr>
        <w:t xml:space="preserve">Financial </w:t>
      </w:r>
      <w:r w:rsidR="00311D02">
        <w:rPr>
          <w:color w:val="auto"/>
        </w:rPr>
        <w:t>i</w:t>
      </w:r>
      <w:r w:rsidRPr="00045A0B">
        <w:rPr>
          <w:color w:val="auto"/>
        </w:rPr>
        <w:t>mplications</w:t>
      </w:r>
      <w:bookmarkEnd w:id="5"/>
      <w:r w:rsidRPr="00045A0B">
        <w:rPr>
          <w:color w:val="auto"/>
        </w:rPr>
        <w:t>  </w:t>
      </w:r>
    </w:p>
    <w:p w14:paraId="58F0CF52" w14:textId="77777777" w:rsidR="0047580E" w:rsidRPr="00FD6711" w:rsidDel="0007566A" w:rsidRDefault="0047580E" w:rsidP="00EE7128">
      <w:pPr>
        <w:pStyle w:val="h2"/>
        <w:jc w:val="both"/>
      </w:pPr>
    </w:p>
    <w:p w14:paraId="70A5E5E8" w14:textId="163A363A" w:rsidR="00363882" w:rsidRDefault="0047580E" w:rsidP="00EE7128">
      <w:pPr>
        <w:jc w:val="both"/>
      </w:pPr>
      <w:r>
        <w:t xml:space="preserve">The </w:t>
      </w:r>
      <w:r w:rsidR="00FA3C5B">
        <w:t>s</w:t>
      </w:r>
      <w:r>
        <w:t xml:space="preserve">ervice </w:t>
      </w:r>
      <w:r w:rsidR="00FA3C5B">
        <w:t>u</w:t>
      </w:r>
      <w:r>
        <w:t xml:space="preserve">ser will be expected to pay the full cost of the holiday for themselves and the </w:t>
      </w:r>
      <w:r w:rsidR="7AB47BF3">
        <w:t>c</w:t>
      </w:r>
      <w:r>
        <w:t>arer</w:t>
      </w:r>
      <w:r w:rsidR="00F40FD5">
        <w:t>(</w:t>
      </w:r>
      <w:r w:rsidR="480BE0F5">
        <w:t>s</w:t>
      </w:r>
      <w:r w:rsidR="00F40FD5">
        <w:t>)</w:t>
      </w:r>
      <w:r>
        <w:t xml:space="preserve">. This will include travel, accommodation, insurance and any outings or excursions. </w:t>
      </w:r>
      <w:r w:rsidR="00A706AF">
        <w:t>Please note that when planning trips/holidays</w:t>
      </w:r>
      <w:r w:rsidR="00A706AF" w:rsidRPr="1036E76E">
        <w:rPr>
          <w:b/>
          <w:bCs/>
        </w:rPr>
        <w:t xml:space="preserve"> abroad</w:t>
      </w:r>
      <w:r w:rsidR="00A706AF">
        <w:t xml:space="preserve"> there must be discussion in relation to</w:t>
      </w:r>
      <w:r w:rsidR="00363882">
        <w:t>:</w:t>
      </w:r>
    </w:p>
    <w:p w14:paraId="29048797" w14:textId="77777777" w:rsidR="00396195" w:rsidRDefault="00396195" w:rsidP="00EE7128">
      <w:pPr>
        <w:jc w:val="both"/>
      </w:pPr>
    </w:p>
    <w:p w14:paraId="73FF3DFF" w14:textId="563D676F" w:rsidR="0016016F" w:rsidRDefault="00A706AF" w:rsidP="00363882">
      <w:pPr>
        <w:pStyle w:val="ListParagraph"/>
        <w:numPr>
          <w:ilvl w:val="0"/>
          <w:numId w:val="3"/>
        </w:numPr>
        <w:jc w:val="both"/>
      </w:pPr>
      <w:r>
        <w:t xml:space="preserve">specific insurance when going with a single </w:t>
      </w:r>
      <w:r w:rsidR="00F40FD5">
        <w:t>c</w:t>
      </w:r>
      <w:r>
        <w:t>arer</w:t>
      </w:r>
      <w:r w:rsidR="00C406EA">
        <w:t xml:space="preserve"> </w:t>
      </w:r>
    </w:p>
    <w:p w14:paraId="79E716C3" w14:textId="13EC4C46" w:rsidR="00396195" w:rsidRDefault="00396195" w:rsidP="00363882">
      <w:pPr>
        <w:pStyle w:val="ListParagraph"/>
        <w:numPr>
          <w:ilvl w:val="0"/>
          <w:numId w:val="3"/>
        </w:numPr>
        <w:jc w:val="both"/>
      </w:pPr>
      <w:r>
        <w:t xml:space="preserve">a </w:t>
      </w:r>
      <w:r w:rsidR="00C406EA">
        <w:t xml:space="preserve">contingency plan should the </w:t>
      </w:r>
      <w:r w:rsidR="00F40FD5">
        <w:t>c</w:t>
      </w:r>
      <w:r w:rsidR="00C406EA">
        <w:t xml:space="preserve">arer become unwell and the </w:t>
      </w:r>
      <w:r w:rsidR="00F40FD5">
        <w:t>s</w:t>
      </w:r>
      <w:r w:rsidR="00C406EA">
        <w:t xml:space="preserve">ervice </w:t>
      </w:r>
      <w:r w:rsidR="00F40FD5">
        <w:t>u</w:t>
      </w:r>
      <w:r w:rsidR="00C406EA">
        <w:t>ser requires support</w:t>
      </w:r>
      <w:r w:rsidR="00736A87">
        <w:t xml:space="preserve"> and to return home. </w:t>
      </w:r>
    </w:p>
    <w:p w14:paraId="2B6BF02A" w14:textId="77777777" w:rsidR="00396195" w:rsidRDefault="00396195" w:rsidP="00363882">
      <w:pPr>
        <w:pStyle w:val="ListParagraph"/>
        <w:numPr>
          <w:ilvl w:val="0"/>
          <w:numId w:val="3"/>
        </w:numPr>
        <w:jc w:val="both"/>
      </w:pPr>
    </w:p>
    <w:p w14:paraId="50522E75" w14:textId="058C7EBF" w:rsidR="0047580E" w:rsidRPr="00A706AF" w:rsidRDefault="00045A0B" w:rsidP="00396195">
      <w:pPr>
        <w:jc w:val="both"/>
      </w:pPr>
      <w:r>
        <w:t>(Please</w:t>
      </w:r>
      <w:r w:rsidR="1B9AFF19">
        <w:t xml:space="preserve"> see specific insurance policy via Shared Lives plus)</w:t>
      </w:r>
      <w:r w:rsidR="00F40FD5">
        <w:t>.</w:t>
      </w:r>
      <w:r w:rsidR="1B9AFF19">
        <w:t xml:space="preserve"> </w:t>
      </w:r>
    </w:p>
    <w:p w14:paraId="05510264" w14:textId="77777777" w:rsidR="00CD302E" w:rsidRDefault="00CD302E" w:rsidP="00EE7128">
      <w:pPr>
        <w:jc w:val="both"/>
      </w:pPr>
    </w:p>
    <w:p w14:paraId="7BCD31E4" w14:textId="7DF335F5" w:rsidR="0047580E" w:rsidRDefault="0047580E" w:rsidP="00EE7128">
      <w:pPr>
        <w:jc w:val="both"/>
      </w:pPr>
      <w:r>
        <w:t xml:space="preserve">The </w:t>
      </w:r>
      <w:r w:rsidR="00396195">
        <w:t>s</w:t>
      </w:r>
      <w:r>
        <w:t xml:space="preserve">ervice </w:t>
      </w:r>
      <w:r w:rsidR="00396195">
        <w:t>u</w:t>
      </w:r>
      <w:r>
        <w:t>ser will be responsible for any spending money they require during the holiday</w:t>
      </w:r>
      <w:r w:rsidR="00047D91">
        <w:t xml:space="preserve"> and for paying for their food</w:t>
      </w:r>
      <w:r>
        <w:t xml:space="preserve">. The </w:t>
      </w:r>
      <w:r w:rsidR="00D95259">
        <w:t>c</w:t>
      </w:r>
      <w:r>
        <w:t>arer will also be responsible for their own spending money</w:t>
      </w:r>
      <w:r w:rsidR="00047D91">
        <w:t xml:space="preserve"> and meals</w:t>
      </w:r>
      <w:r>
        <w:t xml:space="preserve">. </w:t>
      </w:r>
    </w:p>
    <w:p w14:paraId="09FFED8B" w14:textId="77777777" w:rsidR="0047580E" w:rsidRDefault="0047580E" w:rsidP="00EE7128">
      <w:pPr>
        <w:jc w:val="both"/>
      </w:pPr>
    </w:p>
    <w:p w14:paraId="3A48AEC2" w14:textId="55E18D33" w:rsidR="0047580E" w:rsidRPr="00736A87" w:rsidRDefault="0047580E" w:rsidP="00EE7128">
      <w:pPr>
        <w:jc w:val="both"/>
        <w:rPr>
          <w:color w:val="FF0000"/>
        </w:rPr>
      </w:pPr>
      <w:r>
        <w:t xml:space="preserve">Where the </w:t>
      </w:r>
      <w:r w:rsidR="00D95259">
        <w:t>s</w:t>
      </w:r>
      <w:r>
        <w:t xml:space="preserve">ervice </w:t>
      </w:r>
      <w:r w:rsidR="00D95259">
        <w:t>u</w:t>
      </w:r>
      <w:r>
        <w:t xml:space="preserve">ser requires support to manage their money, the </w:t>
      </w:r>
      <w:r w:rsidR="00D95259">
        <w:t>c</w:t>
      </w:r>
      <w:r>
        <w:t xml:space="preserve">arer will be required to provide detailed information and receipts for </w:t>
      </w:r>
      <w:r w:rsidR="00D95259">
        <w:t>s</w:t>
      </w:r>
      <w:r>
        <w:t xml:space="preserve">ervice </w:t>
      </w:r>
      <w:r w:rsidR="00D95259">
        <w:t>u</w:t>
      </w:r>
      <w:r>
        <w:t>ser expenditure during the holiday.</w:t>
      </w:r>
      <w:r w:rsidR="00736A87">
        <w:t xml:space="preserve"> This will be </w:t>
      </w:r>
      <w:r w:rsidR="006A34EF">
        <w:t xml:space="preserve">reviewed within your </w:t>
      </w:r>
      <w:r w:rsidR="00D95259">
        <w:t>one-to-one</w:t>
      </w:r>
      <w:r w:rsidR="006A34EF">
        <w:t xml:space="preserve"> </w:t>
      </w:r>
      <w:r w:rsidR="00D95259">
        <w:t>f</w:t>
      </w:r>
      <w:r w:rsidR="006A34EF">
        <w:t xml:space="preserve">inance support session with your Shared Lives </w:t>
      </w:r>
      <w:r w:rsidR="00D95259">
        <w:t>o</w:t>
      </w:r>
      <w:r w:rsidR="006A34EF">
        <w:t xml:space="preserve">fficer. </w:t>
      </w:r>
    </w:p>
    <w:p w14:paraId="11652A56" w14:textId="77777777" w:rsidR="0047580E" w:rsidRDefault="0047580E" w:rsidP="00EE7128">
      <w:pPr>
        <w:jc w:val="both"/>
      </w:pPr>
    </w:p>
    <w:p w14:paraId="7115E142" w14:textId="77777777" w:rsidR="0047580E" w:rsidRPr="00FD6711" w:rsidRDefault="0047580E" w:rsidP="00EE7128">
      <w:pPr>
        <w:jc w:val="both"/>
      </w:pPr>
      <w:r>
        <w:t xml:space="preserve">  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444"/>
        <w:gridCol w:w="1596"/>
        <w:gridCol w:w="3399"/>
      </w:tblGrid>
      <w:tr w:rsidR="0047580E" w:rsidRPr="00FD6711" w14:paraId="4A9CEC93" w14:textId="77777777" w:rsidTr="530ECAB7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DC5" w14:textId="77777777" w:rsidR="0047580E" w:rsidRPr="00EF62AD" w:rsidRDefault="0047580E" w:rsidP="00EE7128">
            <w:pPr>
              <w:jc w:val="both"/>
            </w:pPr>
            <w:r w:rsidRPr="00EF62AD">
              <w:t>Item  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B4E1" w14:textId="77777777" w:rsidR="0047580E" w:rsidRPr="00EF62AD" w:rsidRDefault="0047580E" w:rsidP="00EE7128">
            <w:pPr>
              <w:jc w:val="both"/>
            </w:pPr>
            <w:r>
              <w:t> Details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EE62" w14:textId="48F2BAD0" w:rsidR="0047580E" w:rsidRPr="00EF62AD" w:rsidRDefault="0047580E" w:rsidP="00EE7128">
            <w:pPr>
              <w:jc w:val="both"/>
            </w:pPr>
            <w:r>
              <w:t xml:space="preserve">Individual </w:t>
            </w:r>
            <w:r w:rsidR="00D95259">
              <w:t>r</w:t>
            </w:r>
            <w:r>
              <w:t>esponsible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0CDA" w14:textId="77777777" w:rsidR="0047580E" w:rsidRPr="00EF62AD" w:rsidRDefault="0047580E" w:rsidP="00EE7128">
            <w:pPr>
              <w:jc w:val="both"/>
            </w:pPr>
            <w:r w:rsidRPr="00EF62AD">
              <w:t>Comments  </w:t>
            </w:r>
          </w:p>
        </w:tc>
      </w:tr>
      <w:tr w:rsidR="0047580E" w:rsidRPr="00FD6711" w14:paraId="7236621D" w14:textId="77777777" w:rsidTr="530ECAB7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9408" w14:textId="22F59CE0" w:rsidR="0047580E" w:rsidRPr="00FD6711" w:rsidRDefault="0047580E" w:rsidP="00273E0A">
            <w:r w:rsidRPr="00FD6711">
              <w:t xml:space="preserve">Service user’s </w:t>
            </w:r>
            <w:r w:rsidR="00D95259">
              <w:t>h</w:t>
            </w:r>
            <w:r w:rsidRPr="00FD6711">
              <w:t>oliday cost  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951B" w14:textId="77777777" w:rsidR="0047580E" w:rsidRPr="00FD6711" w:rsidRDefault="0047580E" w:rsidP="00273E0A">
            <w:r w:rsidRPr="00FD6711">
              <w:t>Accommodation, food, travel, insurance, spending money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E801" w14:textId="438FF2A6" w:rsidR="0047580E" w:rsidRPr="00FD6711" w:rsidRDefault="0047580E" w:rsidP="00273E0A">
            <w:r>
              <w:t xml:space="preserve">Service </w:t>
            </w:r>
            <w:r w:rsidR="00D95259">
              <w:t>u</w:t>
            </w:r>
            <w:r>
              <w:t>ser 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4060" w14:textId="77777777" w:rsidR="0047580E" w:rsidRPr="00FD6711" w:rsidRDefault="0047580E" w:rsidP="00273E0A">
            <w:r w:rsidRPr="00FD6711">
              <w:t>  </w:t>
            </w:r>
          </w:p>
        </w:tc>
      </w:tr>
      <w:tr w:rsidR="0047580E" w:rsidRPr="00FD6711" w14:paraId="764916A7" w14:textId="77777777" w:rsidTr="530ECAB7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D811" w14:textId="045CA9C4" w:rsidR="0047580E" w:rsidRPr="00FD6711" w:rsidRDefault="0047580E" w:rsidP="00273E0A">
            <w:r w:rsidRPr="00FD6711">
              <w:t xml:space="preserve">Carer’s </w:t>
            </w:r>
            <w:r w:rsidR="00D95259">
              <w:t>h</w:t>
            </w:r>
            <w:r w:rsidRPr="00FD6711">
              <w:t>oliday cost  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C72" w14:textId="5A5B5B05" w:rsidR="0047580E" w:rsidRPr="00FD6711" w:rsidRDefault="0047580E" w:rsidP="00273E0A">
            <w:r w:rsidRPr="00FD6711">
              <w:t>Accommodation, travel, insurance, outings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4B0F" w14:textId="71E98769" w:rsidR="0047580E" w:rsidRPr="00FD6711" w:rsidRDefault="0047580E" w:rsidP="00273E0A">
            <w:r>
              <w:t xml:space="preserve">Service </w:t>
            </w:r>
            <w:r w:rsidR="00D95259">
              <w:t>u</w:t>
            </w:r>
            <w:r>
              <w:t>ser 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326" w14:textId="26FCC4BA" w:rsidR="0047580E" w:rsidRPr="00FD6711" w:rsidRDefault="0047580E" w:rsidP="00273E0A">
            <w:r w:rsidRPr="00FD6711">
              <w:t>Carer will</w:t>
            </w:r>
            <w:r w:rsidR="000C5329">
              <w:t xml:space="preserve"> pay for their own food</w:t>
            </w:r>
            <w:r w:rsidRPr="00FD6711">
              <w:t xml:space="preserve"> </w:t>
            </w:r>
            <w:r w:rsidR="00164D0B">
              <w:t>/</w:t>
            </w:r>
            <w:r w:rsidRPr="00FD6711">
              <w:t xml:space="preserve">spending money and will need to produce detailed accounts and receipts </w:t>
            </w:r>
            <w:r>
              <w:t>for</w:t>
            </w:r>
            <w:r w:rsidRPr="00FD6711">
              <w:t xml:space="preserve"> the duration of the holiday </w:t>
            </w:r>
            <w:r w:rsidR="004818D3">
              <w:t>for outings</w:t>
            </w:r>
            <w:r w:rsidR="000A153B">
              <w:t>.</w:t>
            </w:r>
          </w:p>
        </w:tc>
      </w:tr>
    </w:tbl>
    <w:p w14:paraId="76231304" w14:textId="51CCC73A" w:rsidR="0047580E" w:rsidRPr="00814112" w:rsidRDefault="0047580E" w:rsidP="00EE7128">
      <w:pPr>
        <w:jc w:val="both"/>
      </w:pPr>
      <w:r w:rsidRPr="00FD6711">
        <w:t> </w:t>
      </w:r>
    </w:p>
    <w:p w14:paraId="2608645D" w14:textId="7C3A538A" w:rsidR="00CC7D28" w:rsidRDefault="00CC7D28" w:rsidP="00EE7128">
      <w:pPr>
        <w:spacing w:after="160" w:line="259" w:lineRule="auto"/>
        <w:jc w:val="both"/>
        <w:rPr>
          <w:b/>
          <w:bCs/>
          <w:i/>
          <w:iCs/>
          <w:color w:val="08314C"/>
        </w:rPr>
      </w:pPr>
      <w:r>
        <w:br w:type="page"/>
      </w:r>
    </w:p>
    <w:p w14:paraId="0F4F35E9" w14:textId="384180A3" w:rsidR="00CC7D28" w:rsidRPr="005E0BC5" w:rsidRDefault="00CC7D28" w:rsidP="00EE7128">
      <w:pPr>
        <w:pStyle w:val="h2"/>
        <w:jc w:val="both"/>
        <w:rPr>
          <w:color w:val="auto"/>
        </w:rPr>
      </w:pPr>
      <w:r w:rsidRPr="005E0BC5">
        <w:rPr>
          <w:i/>
          <w:iCs/>
          <w:color w:val="auto"/>
        </w:rPr>
        <w:lastRenderedPageBreak/>
        <w:t xml:space="preserve">Appendix 1 - </w:t>
      </w:r>
      <w:r w:rsidRPr="005E0BC5">
        <w:rPr>
          <w:color w:val="auto"/>
        </w:rPr>
        <w:t xml:space="preserve">Daily </w:t>
      </w:r>
      <w:r w:rsidR="00D95259" w:rsidRPr="005E0BC5">
        <w:rPr>
          <w:color w:val="auto"/>
        </w:rPr>
        <w:t>l</w:t>
      </w:r>
      <w:r w:rsidRPr="005E0BC5">
        <w:rPr>
          <w:color w:val="auto"/>
        </w:rPr>
        <w:t xml:space="preserve">iving costs for </w:t>
      </w:r>
      <w:r w:rsidR="00D95259">
        <w:rPr>
          <w:color w:val="auto"/>
        </w:rPr>
        <w:t>20</w:t>
      </w:r>
      <w:r w:rsidRPr="005E0BC5">
        <w:rPr>
          <w:color w:val="auto"/>
        </w:rPr>
        <w:t>2</w:t>
      </w:r>
      <w:r w:rsidR="00AA7EDB">
        <w:rPr>
          <w:color w:val="auto"/>
        </w:rPr>
        <w:t>6</w:t>
      </w:r>
      <w:r w:rsidRPr="005E0BC5">
        <w:rPr>
          <w:color w:val="auto"/>
        </w:rPr>
        <w:t>/</w:t>
      </w:r>
      <w:r w:rsidR="00D95259">
        <w:rPr>
          <w:color w:val="auto"/>
        </w:rPr>
        <w:t>20</w:t>
      </w:r>
      <w:r w:rsidRPr="005E0BC5">
        <w:rPr>
          <w:color w:val="auto"/>
        </w:rPr>
        <w:t>2</w:t>
      </w:r>
      <w:r w:rsidR="00AA7EDB">
        <w:rPr>
          <w:color w:val="auto"/>
        </w:rPr>
        <w:t>7</w:t>
      </w:r>
    </w:p>
    <w:p w14:paraId="0A5BFE94" w14:textId="77777777" w:rsidR="00CC7D28" w:rsidRDefault="00CC7D28" w:rsidP="00EE7128">
      <w:pPr>
        <w:jc w:val="both"/>
      </w:pPr>
    </w:p>
    <w:p w14:paraId="330AC5A5" w14:textId="77777777" w:rsidR="00CC7D28" w:rsidRDefault="00CC7D28" w:rsidP="00EE7128">
      <w:pPr>
        <w:jc w:val="both"/>
      </w:pPr>
    </w:p>
    <w:p w14:paraId="6CD3DCB8" w14:textId="0AED6798" w:rsidR="00CC7D28" w:rsidRPr="00814112" w:rsidRDefault="00CC7D28" w:rsidP="00EE7128">
      <w:pPr>
        <w:jc w:val="both"/>
      </w:pPr>
      <w:r>
        <w:t xml:space="preserve">Total </w:t>
      </w:r>
      <w:r w:rsidR="00EA2D1A" w:rsidRPr="00EA2D1A">
        <w:t xml:space="preserve">£95.62 </w:t>
      </w:r>
      <w:r>
        <w:t xml:space="preserve">weekly </w:t>
      </w:r>
      <w:r w:rsidR="00A75BA2">
        <w:t>(to</w:t>
      </w:r>
      <w:r>
        <w:t xml:space="preserve"> be paid by service user)</w:t>
      </w:r>
    </w:p>
    <w:p w14:paraId="16C77E13" w14:textId="77777777" w:rsidR="00CC7D28" w:rsidRDefault="00CC7D28" w:rsidP="00EE7128">
      <w:pPr>
        <w:jc w:val="both"/>
      </w:pPr>
    </w:p>
    <w:p w14:paraId="7E3C62DC" w14:textId="69AFB8AB" w:rsidR="00CC7D28" w:rsidRPr="00814112" w:rsidRDefault="00CC7D28" w:rsidP="00EE7128">
      <w:pPr>
        <w:jc w:val="both"/>
      </w:pPr>
      <w:r>
        <w:t>Food £5</w:t>
      </w:r>
      <w:r w:rsidR="008D7397">
        <w:t>8.80</w:t>
      </w:r>
      <w:r>
        <w:t xml:space="preserve"> weekly     £8.</w:t>
      </w:r>
      <w:r w:rsidR="008D7397">
        <w:t>4</w:t>
      </w:r>
      <w:r>
        <w:t xml:space="preserve">0 </w:t>
      </w:r>
      <w:r w:rsidR="00D95259">
        <w:t>d</w:t>
      </w:r>
      <w:r w:rsidR="00A75BA2">
        <w:t>aily</w:t>
      </w:r>
    </w:p>
    <w:p w14:paraId="6DA98875" w14:textId="77777777" w:rsidR="00CC7D28" w:rsidRDefault="00CC7D28" w:rsidP="00EE7128">
      <w:pPr>
        <w:jc w:val="both"/>
      </w:pPr>
    </w:p>
    <w:p w14:paraId="1BE4D822" w14:textId="000E3931" w:rsidR="00CC7D28" w:rsidRPr="00814112" w:rsidRDefault="00CC7D28" w:rsidP="00EE7128">
      <w:pPr>
        <w:jc w:val="both"/>
      </w:pPr>
      <w:r>
        <w:t>Bills £3</w:t>
      </w:r>
      <w:r w:rsidR="00AE3021">
        <w:t>6.82</w:t>
      </w:r>
      <w:r>
        <w:t xml:space="preserve"> weekly     £5.</w:t>
      </w:r>
      <w:r w:rsidR="00274813">
        <w:t>2</w:t>
      </w:r>
      <w:r>
        <w:t xml:space="preserve">6 </w:t>
      </w:r>
      <w:r w:rsidR="00D95259">
        <w:t>d</w:t>
      </w:r>
      <w:r>
        <w:t xml:space="preserve">aily </w:t>
      </w:r>
    </w:p>
    <w:p w14:paraId="35444BEC" w14:textId="77777777" w:rsidR="00CC7D28" w:rsidRPr="00814112" w:rsidRDefault="00CC7D28" w:rsidP="00EE7128">
      <w:pPr>
        <w:jc w:val="both"/>
      </w:pPr>
    </w:p>
    <w:p w14:paraId="6B615037" w14:textId="2411196C" w:rsidR="00AB690A" w:rsidRDefault="00AB690A" w:rsidP="00EE7128">
      <w:pPr>
        <w:spacing w:after="160" w:line="259" w:lineRule="auto"/>
        <w:jc w:val="both"/>
        <w:rPr>
          <w:i/>
          <w:iCs/>
        </w:rPr>
      </w:pPr>
      <w:r>
        <w:rPr>
          <w:i/>
          <w:iCs/>
        </w:rPr>
        <w:br w:type="page"/>
      </w:r>
    </w:p>
    <w:p w14:paraId="50ED8701" w14:textId="13DA9125" w:rsidR="0034127E" w:rsidRDefault="00F71BFB" w:rsidP="0002174F">
      <w:pPr>
        <w:pStyle w:val="Documenttitle"/>
        <w:rPr>
          <w:color w:val="08314C"/>
        </w:rPr>
      </w:pPr>
      <w:r>
        <w:rPr>
          <w:color w:val="08314C"/>
        </w:rPr>
        <w:lastRenderedPageBreak/>
        <w:t xml:space="preserve">Shared Lives </w:t>
      </w:r>
      <w:r w:rsidR="00150B2B">
        <w:rPr>
          <w:color w:val="08314C"/>
        </w:rPr>
        <w:t>r</w:t>
      </w:r>
      <w:r>
        <w:rPr>
          <w:color w:val="08314C"/>
        </w:rPr>
        <w:t xml:space="preserve">eimbursements within </w:t>
      </w:r>
      <w:r w:rsidR="00150B2B">
        <w:rPr>
          <w:color w:val="08314C"/>
        </w:rPr>
        <w:t>l</w:t>
      </w:r>
      <w:r>
        <w:rPr>
          <w:color w:val="08314C"/>
        </w:rPr>
        <w:t>ong</w:t>
      </w:r>
      <w:r w:rsidR="00150B2B">
        <w:rPr>
          <w:color w:val="08314C"/>
        </w:rPr>
        <w:t>-</w:t>
      </w:r>
      <w:r>
        <w:rPr>
          <w:color w:val="08314C"/>
        </w:rPr>
        <w:t xml:space="preserve">stay placements </w:t>
      </w:r>
      <w:r w:rsidR="0034127E">
        <w:rPr>
          <w:color w:val="08314C"/>
        </w:rPr>
        <w:t>–</w:t>
      </w:r>
      <w:r>
        <w:rPr>
          <w:color w:val="08314C"/>
        </w:rPr>
        <w:t xml:space="preserve"> breakdown</w:t>
      </w:r>
    </w:p>
    <w:p w14:paraId="6DF36723" w14:textId="77777777" w:rsidR="0034127E" w:rsidRDefault="0034127E" w:rsidP="00EE7128">
      <w:pPr>
        <w:pStyle w:val="Documenttitle"/>
        <w:jc w:val="both"/>
        <w:rPr>
          <w:color w:val="08314C"/>
        </w:rPr>
      </w:pPr>
    </w:p>
    <w:p w14:paraId="2B557FEB" w14:textId="33AF7A4B" w:rsidR="0034127E" w:rsidRPr="0034127E" w:rsidRDefault="00F71BFB" w:rsidP="00EE7128">
      <w:pPr>
        <w:pStyle w:val="Documenttitle"/>
        <w:jc w:val="both"/>
        <w:rPr>
          <w:color w:val="08314C"/>
        </w:rPr>
        <w:sectPr w:rsidR="0034127E" w:rsidRPr="0034127E" w:rsidSect="00AB550B">
          <w:footerReference w:type="defaul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8218F0">
        <w:rPr>
          <w:color w:val="08314C"/>
        </w:rPr>
        <w:drawing>
          <wp:anchor distT="0" distB="0" distL="114300" distR="114300" simplePos="0" relativeHeight="251658241" behindDoc="1" locked="0" layoutInCell="1" allowOverlap="1" wp14:anchorId="618F2EDF" wp14:editId="2A65E0A4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108119917" name="Picture 2108119917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19917" name="Picture 2108119917" descr="A blue square with white lin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0D172" w14:textId="4DFA4F37" w:rsidR="00B470C9" w:rsidRPr="0000416E" w:rsidRDefault="005D53A6" w:rsidP="00EE7128">
      <w:pPr>
        <w:spacing w:after="160" w:line="259" w:lineRule="auto"/>
        <w:jc w:val="both"/>
        <w:rPr>
          <w:b/>
          <w:bCs/>
          <w:color w:val="08314C"/>
          <w:u w:val="single"/>
        </w:rPr>
      </w:pPr>
      <w:r w:rsidRPr="0000416E">
        <w:rPr>
          <w:b/>
          <w:bCs/>
          <w:color w:val="08314C"/>
          <w:u w:val="single"/>
        </w:rPr>
        <w:lastRenderedPageBreak/>
        <w:t>The breakdown</w:t>
      </w:r>
    </w:p>
    <w:p w14:paraId="094315AA" w14:textId="77777777" w:rsidR="005D53A6" w:rsidRDefault="005D53A6" w:rsidP="00EE7128">
      <w:pPr>
        <w:spacing w:after="160" w:line="259" w:lineRule="auto"/>
        <w:jc w:val="both"/>
        <w:rPr>
          <w:b/>
          <w:bCs/>
          <w:color w:val="08314C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D53A6" w14:paraId="61BA7DA9" w14:textId="77777777" w:rsidTr="00476B4C">
        <w:tc>
          <w:tcPr>
            <w:tcW w:w="2324" w:type="dxa"/>
            <w:shd w:val="clear" w:color="auto" w:fill="08314C"/>
          </w:tcPr>
          <w:p w14:paraId="1002498C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>Service user and carer details</w:t>
            </w:r>
          </w:p>
        </w:tc>
        <w:tc>
          <w:tcPr>
            <w:tcW w:w="2324" w:type="dxa"/>
            <w:shd w:val="clear" w:color="auto" w:fill="08314C"/>
          </w:tcPr>
          <w:p w14:paraId="42CC374E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>Date of period reimbursement covers</w:t>
            </w:r>
          </w:p>
        </w:tc>
        <w:tc>
          <w:tcPr>
            <w:tcW w:w="2325" w:type="dxa"/>
            <w:shd w:val="clear" w:color="auto" w:fill="08314C"/>
          </w:tcPr>
          <w:p w14:paraId="2F729510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>How many days reimbursed</w:t>
            </w:r>
          </w:p>
        </w:tc>
        <w:tc>
          <w:tcPr>
            <w:tcW w:w="2325" w:type="dxa"/>
            <w:shd w:val="clear" w:color="auto" w:fill="08314C"/>
          </w:tcPr>
          <w:p w14:paraId="59CD459A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>Amount</w:t>
            </w:r>
          </w:p>
        </w:tc>
        <w:tc>
          <w:tcPr>
            <w:tcW w:w="2325" w:type="dxa"/>
            <w:shd w:val="clear" w:color="auto" w:fill="08314C"/>
          </w:tcPr>
          <w:p w14:paraId="32F40707" w14:textId="110B1C41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>Carer/user/family signature</w:t>
            </w:r>
          </w:p>
        </w:tc>
        <w:tc>
          <w:tcPr>
            <w:tcW w:w="2325" w:type="dxa"/>
            <w:shd w:val="clear" w:color="auto" w:fill="08314C"/>
          </w:tcPr>
          <w:p w14:paraId="56BE6877" w14:textId="40FAA62C" w:rsidR="005D53A6" w:rsidRPr="00E47C71" w:rsidRDefault="005D53A6" w:rsidP="00EE7128">
            <w:pPr>
              <w:jc w:val="both"/>
              <w:rPr>
                <w:b/>
                <w:bCs/>
              </w:rPr>
            </w:pPr>
            <w:r w:rsidRPr="00E47C71">
              <w:rPr>
                <w:b/>
                <w:bCs/>
              </w:rPr>
              <w:t xml:space="preserve">Monitoring check in </w:t>
            </w:r>
            <w:r w:rsidR="0065539C">
              <w:rPr>
                <w:b/>
                <w:bCs/>
              </w:rPr>
              <w:t>f</w:t>
            </w:r>
            <w:r w:rsidRPr="00E47C71">
              <w:rPr>
                <w:b/>
                <w:bCs/>
              </w:rPr>
              <w:t xml:space="preserve">inance </w:t>
            </w:r>
            <w:r w:rsidR="0065539C">
              <w:rPr>
                <w:b/>
                <w:bCs/>
              </w:rPr>
              <w:t>one-to-one</w:t>
            </w:r>
          </w:p>
        </w:tc>
      </w:tr>
      <w:tr w:rsidR="005D53A6" w14:paraId="215DF11E" w14:textId="77777777" w:rsidTr="00476B4C">
        <w:tc>
          <w:tcPr>
            <w:tcW w:w="2324" w:type="dxa"/>
            <w:shd w:val="clear" w:color="auto" w:fill="FFFFFF" w:themeFill="background1"/>
          </w:tcPr>
          <w:p w14:paraId="1601FC60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4A73B3D4" w14:textId="77777777" w:rsidR="0000416E" w:rsidRPr="00E47C71" w:rsidRDefault="0000416E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53C6BA62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09E930CC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5201CADD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9D06870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3B435699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26BAE51B" w14:textId="77777777" w:rsidTr="00476B4C">
        <w:tc>
          <w:tcPr>
            <w:tcW w:w="2324" w:type="dxa"/>
            <w:shd w:val="clear" w:color="auto" w:fill="FFFFFF" w:themeFill="background1"/>
          </w:tcPr>
          <w:p w14:paraId="3ED84573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2BF7D4F4" w14:textId="77777777" w:rsidR="0000416E" w:rsidRPr="00E47C71" w:rsidRDefault="0000416E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5DB1724D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7B7ACFC2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318132E0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44897658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688DE5EF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38659C08" w14:textId="77777777" w:rsidTr="00476B4C">
        <w:tc>
          <w:tcPr>
            <w:tcW w:w="2324" w:type="dxa"/>
            <w:shd w:val="clear" w:color="auto" w:fill="FFFFFF" w:themeFill="background1"/>
          </w:tcPr>
          <w:p w14:paraId="0EB05213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6AF40A22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2F35A593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381DCF8B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6AAFEAD9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79D1817D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75617F82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4449410B" w14:textId="77777777" w:rsidTr="00476B4C">
        <w:tc>
          <w:tcPr>
            <w:tcW w:w="2324" w:type="dxa"/>
            <w:shd w:val="clear" w:color="auto" w:fill="FFFFFF" w:themeFill="background1"/>
          </w:tcPr>
          <w:p w14:paraId="246097EF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2D1FB7D9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34DCCA9D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555A727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1FA4CE7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4A64E334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B6D1EF4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1DAC9657" w14:textId="77777777" w:rsidTr="00476B4C">
        <w:tc>
          <w:tcPr>
            <w:tcW w:w="2324" w:type="dxa"/>
            <w:shd w:val="clear" w:color="auto" w:fill="FFFFFF" w:themeFill="background1"/>
          </w:tcPr>
          <w:p w14:paraId="3B0E9733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49512AFF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49EB56F9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64745C3B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5F03321A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8A5F427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31943471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3FA81518" w14:textId="77777777" w:rsidTr="00476B4C">
        <w:tc>
          <w:tcPr>
            <w:tcW w:w="2324" w:type="dxa"/>
            <w:shd w:val="clear" w:color="auto" w:fill="FFFFFF" w:themeFill="background1"/>
          </w:tcPr>
          <w:p w14:paraId="4A7ACDF3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01103F6E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675E1ECC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0D06F06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7740023B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6DA29574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14C8572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24CC6E08" w14:textId="77777777" w:rsidTr="00476B4C">
        <w:tc>
          <w:tcPr>
            <w:tcW w:w="2324" w:type="dxa"/>
            <w:shd w:val="clear" w:color="auto" w:fill="FFFFFF" w:themeFill="background1"/>
          </w:tcPr>
          <w:p w14:paraId="60B971C1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2E3E19C7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1F6FBBE4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C87D014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146563A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266A313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568AC5A0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  <w:tr w:rsidR="005D53A6" w14:paraId="76C56A5C" w14:textId="77777777" w:rsidTr="00476B4C">
        <w:tc>
          <w:tcPr>
            <w:tcW w:w="2324" w:type="dxa"/>
            <w:shd w:val="clear" w:color="auto" w:fill="FFFFFF" w:themeFill="background1"/>
          </w:tcPr>
          <w:p w14:paraId="5612C745" w14:textId="77777777" w:rsidR="005D53A6" w:rsidRDefault="005D53A6" w:rsidP="00EE7128">
            <w:pPr>
              <w:jc w:val="both"/>
              <w:rPr>
                <w:b/>
                <w:bCs/>
              </w:rPr>
            </w:pPr>
          </w:p>
          <w:p w14:paraId="51A5F9C1" w14:textId="77777777" w:rsidR="00B76E2D" w:rsidRPr="00E47C71" w:rsidRDefault="00B76E2D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676B3A93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7B314F6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4C37E900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7F2715B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4AF3670E" w14:textId="77777777" w:rsidR="005D53A6" w:rsidRPr="00E47C71" w:rsidRDefault="005D53A6" w:rsidP="00EE7128">
            <w:pPr>
              <w:jc w:val="both"/>
              <w:rPr>
                <w:b/>
                <w:bCs/>
              </w:rPr>
            </w:pPr>
          </w:p>
        </w:tc>
      </w:tr>
    </w:tbl>
    <w:p w14:paraId="1A10C27F" w14:textId="77777777" w:rsidR="005D53A6" w:rsidRDefault="005D53A6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0FB161BC" w14:textId="5D8EC382" w:rsidR="00E27DC3" w:rsidRDefault="00E27DC3" w:rsidP="00EE7128">
      <w:pPr>
        <w:spacing w:after="160" w:line="259" w:lineRule="auto"/>
        <w:jc w:val="both"/>
        <w:rPr>
          <w:b/>
          <w:bCs/>
          <w:color w:val="08314C"/>
        </w:rPr>
        <w:sectPr w:rsidR="00E27DC3" w:rsidSect="00B470C9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A67F49A" w14:textId="77777777" w:rsidR="00B470C9" w:rsidRDefault="00B470C9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1473ADD5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2628B2C7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1DDCEF02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4141A651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38DA89F8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17EA88A2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5A4AE106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05939912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378506EE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74053E9A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096E67F9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2D8A2159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3029126F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664444B8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6953553E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5FD78501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18846673" w14:textId="77777777" w:rsidR="0002174F" w:rsidRDefault="0002174F" w:rsidP="00EE7128">
      <w:pPr>
        <w:spacing w:after="160" w:line="259" w:lineRule="auto"/>
        <w:jc w:val="both"/>
        <w:rPr>
          <w:b/>
          <w:bCs/>
          <w:color w:val="08314C"/>
        </w:rPr>
      </w:pPr>
    </w:p>
    <w:p w14:paraId="5CA08974" w14:textId="77777777" w:rsidR="005C727D" w:rsidRDefault="005C727D" w:rsidP="00EE7128">
      <w:pPr>
        <w:spacing w:after="160" w:line="259" w:lineRule="auto"/>
        <w:jc w:val="both"/>
        <w:rPr>
          <w:b/>
          <w:bCs/>
          <w:color w:val="08314C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AB690A" w:rsidRPr="00AB690A" w14:paraId="5C485B8F" w14:textId="77777777" w:rsidTr="00DD7483">
        <w:trPr>
          <w:trHeight w:val="300"/>
        </w:trPr>
        <w:tc>
          <w:tcPr>
            <w:tcW w:w="2306" w:type="dxa"/>
            <w:hideMark/>
          </w:tcPr>
          <w:p w14:paraId="178A6C0F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346043C2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C1427D1" w14:textId="25FD251C" w:rsidR="00AB690A" w:rsidRPr="00AB690A" w:rsidRDefault="007C2DAE" w:rsidP="00F2417F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Service user costs and reimbursements in a long stay arrangement</w:t>
            </w:r>
          </w:p>
        </w:tc>
      </w:tr>
      <w:tr w:rsidR="00AB690A" w:rsidRPr="00AB690A" w14:paraId="584E2888" w14:textId="77777777" w:rsidTr="00DD7483">
        <w:trPr>
          <w:trHeight w:val="300"/>
        </w:trPr>
        <w:tc>
          <w:tcPr>
            <w:tcW w:w="2306" w:type="dxa"/>
            <w:hideMark/>
          </w:tcPr>
          <w:p w14:paraId="5EED66AC" w14:textId="6AC5CB36" w:rsidR="00AB690A" w:rsidRPr="00AB690A" w:rsidRDefault="00AB690A" w:rsidP="00EE7128">
            <w:pPr>
              <w:pStyle w:val="Pull-outquote"/>
              <w:jc w:val="both"/>
            </w:pPr>
            <w:r w:rsidRPr="00AB690A">
              <w:t xml:space="preserve">Effective </w:t>
            </w:r>
            <w:r w:rsidR="0065539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488B9A3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1C46844C" w14:textId="7E7BD14C" w:rsidR="00AB690A" w:rsidRPr="00AB690A" w:rsidRDefault="0002174F" w:rsidP="00EE7128">
            <w:pPr>
              <w:pStyle w:val="Pull-outquot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AB690A" w:rsidRPr="00AB690A" w14:paraId="492BD5AC" w14:textId="77777777" w:rsidTr="00DD7483">
        <w:trPr>
          <w:trHeight w:val="300"/>
        </w:trPr>
        <w:tc>
          <w:tcPr>
            <w:tcW w:w="2306" w:type="dxa"/>
            <w:hideMark/>
          </w:tcPr>
          <w:p w14:paraId="4975C9D7" w14:textId="4111BFAB" w:rsidR="00AB690A" w:rsidRPr="00AB690A" w:rsidRDefault="00AB690A" w:rsidP="00EE7128">
            <w:pPr>
              <w:pStyle w:val="Pull-outquote"/>
              <w:jc w:val="both"/>
            </w:pPr>
            <w:r w:rsidRPr="00AB690A">
              <w:t xml:space="preserve">Review </w:t>
            </w:r>
            <w:r w:rsidR="0065539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6CD0E2E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3A5C2B8" w14:textId="53BDADD7" w:rsidR="00AB690A" w:rsidRPr="00AB690A" w:rsidRDefault="0002174F" w:rsidP="00EE7128">
            <w:pPr>
              <w:pStyle w:val="Pull-outquot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  <w:r w:rsidR="00DD7483" w:rsidRPr="00DD7483">
              <w:rPr>
                <w:b w:val="0"/>
                <w:bCs w:val="0"/>
              </w:rPr>
              <w:t>/0</w:t>
            </w:r>
            <w:r>
              <w:rPr>
                <w:b w:val="0"/>
                <w:bCs w:val="0"/>
              </w:rPr>
              <w:t>2</w:t>
            </w:r>
            <w:r w:rsidR="00DD7483" w:rsidRPr="00DD7483">
              <w:rPr>
                <w:b w:val="0"/>
                <w:bCs w:val="0"/>
              </w:rPr>
              <w:t>/202</w:t>
            </w:r>
            <w:r>
              <w:rPr>
                <w:b w:val="0"/>
                <w:bCs w:val="0"/>
              </w:rPr>
              <w:t>7</w:t>
            </w:r>
            <w:r w:rsidR="00AB690A" w:rsidRPr="00AB690A">
              <w:rPr>
                <w:b w:val="0"/>
                <w:bCs w:val="0"/>
              </w:rPr>
              <w:t> </w:t>
            </w:r>
          </w:p>
        </w:tc>
      </w:tr>
      <w:tr w:rsidR="00AB690A" w:rsidRPr="00AB690A" w14:paraId="3BBD13E2" w14:textId="77777777" w:rsidTr="00DD7483">
        <w:trPr>
          <w:trHeight w:val="300"/>
        </w:trPr>
        <w:tc>
          <w:tcPr>
            <w:tcW w:w="2306" w:type="dxa"/>
            <w:hideMark/>
          </w:tcPr>
          <w:p w14:paraId="31B1169B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1BCFA18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9D356FD" w14:textId="687D0D48" w:rsidR="00AB690A" w:rsidRPr="00AB690A" w:rsidRDefault="00DD7483" w:rsidP="00EE7128">
            <w:pPr>
              <w:pStyle w:val="Pull-outquote"/>
              <w:jc w:val="both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AB690A" w:rsidRPr="00AB690A" w14:paraId="50AEE3F2" w14:textId="77777777" w:rsidTr="00DD7483">
        <w:trPr>
          <w:trHeight w:val="300"/>
        </w:trPr>
        <w:tc>
          <w:tcPr>
            <w:tcW w:w="2306" w:type="dxa"/>
            <w:hideMark/>
          </w:tcPr>
          <w:p w14:paraId="5FB09533" w14:textId="60F2D012" w:rsidR="00AB690A" w:rsidRPr="00AB690A" w:rsidRDefault="00AB690A" w:rsidP="00EE7128">
            <w:pPr>
              <w:pStyle w:val="Pull-outquote"/>
              <w:jc w:val="both"/>
            </w:pPr>
            <w:r w:rsidRPr="00AB690A">
              <w:t xml:space="preserve">Authority to </w:t>
            </w:r>
            <w:r w:rsidR="0065539C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458A60A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7E67F50" w14:textId="77777777" w:rsidR="00AB690A" w:rsidRPr="00AB690A" w:rsidRDefault="00AB690A" w:rsidP="00EE7128">
            <w:pPr>
              <w:pStyle w:val="Pull-outquote"/>
              <w:jc w:val="both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AB690A" w:rsidRPr="00AB690A" w14:paraId="2803C62C" w14:textId="77777777" w:rsidTr="00DD7483">
        <w:trPr>
          <w:trHeight w:val="300"/>
        </w:trPr>
        <w:tc>
          <w:tcPr>
            <w:tcW w:w="2306" w:type="dxa"/>
            <w:hideMark/>
          </w:tcPr>
          <w:p w14:paraId="606BAA7B" w14:textId="5E253148" w:rsidR="00AB690A" w:rsidRPr="00AB690A" w:rsidRDefault="00AB690A" w:rsidP="00EE7128">
            <w:pPr>
              <w:pStyle w:val="Pull-outquote"/>
              <w:jc w:val="both"/>
            </w:pPr>
            <w:r w:rsidRPr="00AB690A">
              <w:t>Policies/</w:t>
            </w:r>
            <w:r w:rsidR="0065539C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D781C48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3E1C9B4" w14:textId="2FDE7DCA" w:rsidR="00AB690A" w:rsidRPr="00AB690A" w:rsidRDefault="00AB690A" w:rsidP="00EE7128">
            <w:pPr>
              <w:pStyle w:val="Pull-outquote"/>
              <w:jc w:val="both"/>
            </w:pPr>
          </w:p>
        </w:tc>
      </w:tr>
      <w:tr w:rsidR="00AB690A" w:rsidRPr="00AB690A" w14:paraId="00F80BE4" w14:textId="77777777" w:rsidTr="00DD7483">
        <w:trPr>
          <w:trHeight w:val="300"/>
        </w:trPr>
        <w:tc>
          <w:tcPr>
            <w:tcW w:w="7348" w:type="dxa"/>
            <w:gridSpan w:val="3"/>
            <w:hideMark/>
          </w:tcPr>
          <w:p w14:paraId="33D66046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4238328C" w14:textId="77777777" w:rsidR="00AB690A" w:rsidRPr="00AB690A" w:rsidRDefault="00AB690A" w:rsidP="00EE7128">
            <w:pPr>
              <w:pStyle w:val="Pull-outquote"/>
              <w:jc w:val="both"/>
            </w:pPr>
            <w:r w:rsidRPr="00AB690A">
              <w:t>Date: </w:t>
            </w:r>
          </w:p>
        </w:tc>
      </w:tr>
      <w:tr w:rsidR="00AB690A" w:rsidRPr="00AB690A" w14:paraId="30013C40" w14:textId="77777777" w:rsidTr="00DD7483">
        <w:trPr>
          <w:trHeight w:val="300"/>
        </w:trPr>
        <w:tc>
          <w:tcPr>
            <w:tcW w:w="7348" w:type="dxa"/>
            <w:gridSpan w:val="3"/>
          </w:tcPr>
          <w:p w14:paraId="46ECD3F0" w14:textId="01A0229D" w:rsidR="00AB690A" w:rsidRPr="00AB690A" w:rsidRDefault="00DA7DBA" w:rsidP="00EE7128">
            <w:pPr>
              <w:pStyle w:val="Pull-outquote"/>
              <w:jc w:val="both"/>
            </w:pPr>
            <w:r>
              <w:t>Table with breakdown added</w:t>
            </w:r>
          </w:p>
        </w:tc>
        <w:tc>
          <w:tcPr>
            <w:tcW w:w="1658" w:type="dxa"/>
          </w:tcPr>
          <w:p w14:paraId="068B7B2E" w14:textId="36A6CA59" w:rsidR="00AB690A" w:rsidRPr="00AB690A" w:rsidRDefault="0002174F" w:rsidP="00EE7128">
            <w:pPr>
              <w:pStyle w:val="Pull-outquote"/>
              <w:jc w:val="both"/>
            </w:pPr>
            <w:r>
              <w:t>28/02/2026</w:t>
            </w:r>
          </w:p>
        </w:tc>
      </w:tr>
      <w:tr w:rsidR="00A3003F" w:rsidRPr="00AB690A" w14:paraId="47B27494" w14:textId="77777777" w:rsidTr="00DD7483">
        <w:trPr>
          <w:trHeight w:val="300"/>
        </w:trPr>
        <w:tc>
          <w:tcPr>
            <w:tcW w:w="7348" w:type="dxa"/>
            <w:gridSpan w:val="3"/>
          </w:tcPr>
          <w:p w14:paraId="5ED250F6" w14:textId="2F75F539" w:rsidR="00A3003F" w:rsidRDefault="004216F2" w:rsidP="00EE7128">
            <w:pPr>
              <w:pStyle w:val="Pull-outquote"/>
              <w:jc w:val="both"/>
            </w:pPr>
            <w:r>
              <w:t xml:space="preserve">Transport/petrol costs/mobility car added </w:t>
            </w:r>
          </w:p>
        </w:tc>
        <w:tc>
          <w:tcPr>
            <w:tcW w:w="1658" w:type="dxa"/>
          </w:tcPr>
          <w:p w14:paraId="4578D5E4" w14:textId="304A296B" w:rsidR="00A3003F" w:rsidRPr="00AB690A" w:rsidRDefault="00D91ECC" w:rsidP="00EE7128">
            <w:pPr>
              <w:pStyle w:val="Pull-outquote"/>
              <w:jc w:val="both"/>
            </w:pPr>
            <w:r>
              <w:t>17</w:t>
            </w:r>
            <w:r w:rsidR="004216F2">
              <w:t>/04/2026</w:t>
            </w:r>
          </w:p>
        </w:tc>
      </w:tr>
      <w:tr w:rsidR="00D91ECC" w:rsidRPr="00AB690A" w14:paraId="3219DE46" w14:textId="77777777" w:rsidTr="00DD7483">
        <w:trPr>
          <w:trHeight w:val="300"/>
        </w:trPr>
        <w:tc>
          <w:tcPr>
            <w:tcW w:w="7348" w:type="dxa"/>
            <w:gridSpan w:val="3"/>
          </w:tcPr>
          <w:p w14:paraId="7BF24F78" w14:textId="67F30B33" w:rsidR="00D91ECC" w:rsidRDefault="00D91ECC" w:rsidP="00D91ECC">
            <w:pPr>
              <w:pStyle w:val="Pull-outquote"/>
              <w:jc w:val="both"/>
            </w:pPr>
            <w:r>
              <w:t>2026/2027 rates added</w:t>
            </w:r>
          </w:p>
        </w:tc>
        <w:tc>
          <w:tcPr>
            <w:tcW w:w="1658" w:type="dxa"/>
          </w:tcPr>
          <w:p w14:paraId="19DF99BE" w14:textId="72018259" w:rsidR="00D91ECC" w:rsidRPr="00AB690A" w:rsidRDefault="00D91ECC" w:rsidP="00D91ECC">
            <w:pPr>
              <w:pStyle w:val="Pull-outquote"/>
              <w:jc w:val="both"/>
            </w:pPr>
            <w:r>
              <w:t>30/04/2026</w:t>
            </w:r>
          </w:p>
        </w:tc>
      </w:tr>
      <w:tr w:rsidR="00D91ECC" w:rsidRPr="00AB690A" w14:paraId="1224B354" w14:textId="77777777" w:rsidTr="00DD7483">
        <w:trPr>
          <w:trHeight w:val="300"/>
        </w:trPr>
        <w:tc>
          <w:tcPr>
            <w:tcW w:w="7348" w:type="dxa"/>
            <w:gridSpan w:val="3"/>
          </w:tcPr>
          <w:p w14:paraId="53F2AB30" w14:textId="77777777" w:rsidR="00D91ECC" w:rsidRDefault="00D91ECC" w:rsidP="00D91ECC">
            <w:pPr>
              <w:pStyle w:val="Pull-outquote"/>
              <w:jc w:val="both"/>
            </w:pPr>
          </w:p>
        </w:tc>
        <w:tc>
          <w:tcPr>
            <w:tcW w:w="1658" w:type="dxa"/>
          </w:tcPr>
          <w:p w14:paraId="1F9E2CAD" w14:textId="77777777" w:rsidR="00D91ECC" w:rsidRPr="00AB690A" w:rsidRDefault="00D91ECC" w:rsidP="00D91ECC">
            <w:pPr>
              <w:pStyle w:val="Pull-outquote"/>
              <w:jc w:val="both"/>
            </w:pPr>
          </w:p>
        </w:tc>
      </w:tr>
      <w:tr w:rsidR="00D91ECC" w:rsidRPr="00AB690A" w14:paraId="5D9DFB47" w14:textId="77777777" w:rsidTr="00DD7483">
        <w:tc>
          <w:tcPr>
            <w:tcW w:w="2306" w:type="dxa"/>
            <w:vAlign w:val="center"/>
            <w:hideMark/>
          </w:tcPr>
          <w:p w14:paraId="0B48E904" w14:textId="77777777" w:rsidR="00D91ECC" w:rsidRPr="00AB690A" w:rsidRDefault="00D91ECC" w:rsidP="00D91ECC">
            <w:pPr>
              <w:pStyle w:val="Pull-outquote"/>
              <w:jc w:val="both"/>
            </w:pPr>
          </w:p>
        </w:tc>
        <w:tc>
          <w:tcPr>
            <w:tcW w:w="378" w:type="dxa"/>
            <w:vAlign w:val="center"/>
            <w:hideMark/>
          </w:tcPr>
          <w:p w14:paraId="071FF41B" w14:textId="77777777" w:rsidR="00D91ECC" w:rsidRPr="00AB690A" w:rsidRDefault="00D91ECC" w:rsidP="00D91ECC">
            <w:pPr>
              <w:pStyle w:val="Pull-outquote"/>
              <w:jc w:val="both"/>
            </w:pPr>
          </w:p>
        </w:tc>
        <w:tc>
          <w:tcPr>
            <w:tcW w:w="4664" w:type="dxa"/>
            <w:vAlign w:val="center"/>
            <w:hideMark/>
          </w:tcPr>
          <w:p w14:paraId="6FE46561" w14:textId="77777777" w:rsidR="00D91ECC" w:rsidRPr="00AB690A" w:rsidRDefault="00D91ECC" w:rsidP="00D91ECC">
            <w:pPr>
              <w:pStyle w:val="Pull-outquote"/>
              <w:jc w:val="both"/>
            </w:pPr>
          </w:p>
        </w:tc>
        <w:tc>
          <w:tcPr>
            <w:tcW w:w="1658" w:type="dxa"/>
            <w:vAlign w:val="center"/>
            <w:hideMark/>
          </w:tcPr>
          <w:p w14:paraId="28123592" w14:textId="77777777" w:rsidR="00D91ECC" w:rsidRPr="00AB690A" w:rsidRDefault="00D91ECC" w:rsidP="00D91ECC">
            <w:pPr>
              <w:pStyle w:val="Pull-outquote"/>
              <w:jc w:val="both"/>
            </w:pPr>
          </w:p>
        </w:tc>
      </w:tr>
    </w:tbl>
    <w:p w14:paraId="15EB0AAA" w14:textId="77777777" w:rsidR="00410B25" w:rsidRPr="00CC7D28" w:rsidRDefault="00410B25" w:rsidP="00EE7128">
      <w:pPr>
        <w:pStyle w:val="Pull-outquote"/>
        <w:jc w:val="both"/>
        <w:rPr>
          <w:i w:val="0"/>
          <w:iCs w:val="0"/>
        </w:rPr>
      </w:pPr>
    </w:p>
    <w:sectPr w:rsidR="00410B25" w:rsidRPr="00CC7D28" w:rsidSect="00E27DC3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435A" w14:textId="77777777" w:rsidR="005A2239" w:rsidRDefault="005A2239" w:rsidP="006503CA">
      <w:r>
        <w:separator/>
      </w:r>
    </w:p>
  </w:endnote>
  <w:endnote w:type="continuationSeparator" w:id="0">
    <w:p w14:paraId="2BD3B508" w14:textId="77777777" w:rsidR="005A2239" w:rsidRDefault="005A2239" w:rsidP="006503CA">
      <w:r>
        <w:continuationSeparator/>
      </w:r>
    </w:p>
  </w:endnote>
  <w:endnote w:type="continuationNotice" w:id="1">
    <w:p w14:paraId="40EF6339" w14:textId="77777777" w:rsidR="005A2239" w:rsidRDefault="005A2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7B17CA20" w:rsidR="00863A0F" w:rsidRPr="00863A0F" w:rsidRDefault="00000000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7B7D9E" w:rsidRPr="007B7D9E">
          <w:t>SL (16) - Service user costs and reimbursements in a long stay arrangement V1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3DA1" w14:textId="77777777" w:rsidR="005A2239" w:rsidRDefault="005A2239" w:rsidP="006503CA">
      <w:r>
        <w:separator/>
      </w:r>
    </w:p>
  </w:footnote>
  <w:footnote w:type="continuationSeparator" w:id="0">
    <w:p w14:paraId="5D5AAF2A" w14:textId="77777777" w:rsidR="005A2239" w:rsidRDefault="005A2239" w:rsidP="006503CA">
      <w:r>
        <w:continuationSeparator/>
      </w:r>
    </w:p>
  </w:footnote>
  <w:footnote w:type="continuationNotice" w:id="1">
    <w:p w14:paraId="1DC05104" w14:textId="77777777" w:rsidR="005A2239" w:rsidRDefault="005A22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745"/>
    <w:multiLevelType w:val="hybridMultilevel"/>
    <w:tmpl w:val="BBD08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0"/>
  </w:num>
  <w:num w:numId="3" w16cid:durableId="209377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416E"/>
    <w:rsid w:val="0000701F"/>
    <w:rsid w:val="000101A3"/>
    <w:rsid w:val="00012420"/>
    <w:rsid w:val="00017F21"/>
    <w:rsid w:val="00020FBD"/>
    <w:rsid w:val="0002174F"/>
    <w:rsid w:val="00045A0B"/>
    <w:rsid w:val="00047D91"/>
    <w:rsid w:val="00050BA9"/>
    <w:rsid w:val="00055A78"/>
    <w:rsid w:val="00077796"/>
    <w:rsid w:val="0008179F"/>
    <w:rsid w:val="000825F3"/>
    <w:rsid w:val="000949DC"/>
    <w:rsid w:val="00096D1E"/>
    <w:rsid w:val="000A153B"/>
    <w:rsid w:val="000A789A"/>
    <w:rsid w:val="000B1782"/>
    <w:rsid w:val="000B5018"/>
    <w:rsid w:val="000C5329"/>
    <w:rsid w:val="000D3DC9"/>
    <w:rsid w:val="000E193C"/>
    <w:rsid w:val="000E26E3"/>
    <w:rsid w:val="000E6830"/>
    <w:rsid w:val="001127C2"/>
    <w:rsid w:val="001135E7"/>
    <w:rsid w:val="001262B6"/>
    <w:rsid w:val="0013026D"/>
    <w:rsid w:val="0013122C"/>
    <w:rsid w:val="00131B51"/>
    <w:rsid w:val="00133866"/>
    <w:rsid w:val="00150B2B"/>
    <w:rsid w:val="00155361"/>
    <w:rsid w:val="0016016F"/>
    <w:rsid w:val="00162659"/>
    <w:rsid w:val="00164D0B"/>
    <w:rsid w:val="00191A95"/>
    <w:rsid w:val="00194845"/>
    <w:rsid w:val="001B31B7"/>
    <w:rsid w:val="001C20A7"/>
    <w:rsid w:val="001F0EEC"/>
    <w:rsid w:val="001F2B85"/>
    <w:rsid w:val="001F5F80"/>
    <w:rsid w:val="00205C79"/>
    <w:rsid w:val="00221BD1"/>
    <w:rsid w:val="00226A0E"/>
    <w:rsid w:val="00252255"/>
    <w:rsid w:val="002559D0"/>
    <w:rsid w:val="00262CBA"/>
    <w:rsid w:val="00266A5B"/>
    <w:rsid w:val="00273E0A"/>
    <w:rsid w:val="00274813"/>
    <w:rsid w:val="00292529"/>
    <w:rsid w:val="002A1937"/>
    <w:rsid w:val="002B59B3"/>
    <w:rsid w:val="002C498E"/>
    <w:rsid w:val="002E327C"/>
    <w:rsid w:val="002E7E14"/>
    <w:rsid w:val="002F2A47"/>
    <w:rsid w:val="002F6C9B"/>
    <w:rsid w:val="00300194"/>
    <w:rsid w:val="00304DC6"/>
    <w:rsid w:val="003106CE"/>
    <w:rsid w:val="00311D02"/>
    <w:rsid w:val="003150F9"/>
    <w:rsid w:val="00331A49"/>
    <w:rsid w:val="00334C2F"/>
    <w:rsid w:val="0033698C"/>
    <w:rsid w:val="0034127E"/>
    <w:rsid w:val="00343CBC"/>
    <w:rsid w:val="00346575"/>
    <w:rsid w:val="00353BE1"/>
    <w:rsid w:val="00356AC6"/>
    <w:rsid w:val="00363882"/>
    <w:rsid w:val="0036769C"/>
    <w:rsid w:val="00375458"/>
    <w:rsid w:val="0038122E"/>
    <w:rsid w:val="0038199E"/>
    <w:rsid w:val="0038329A"/>
    <w:rsid w:val="0038383A"/>
    <w:rsid w:val="00390159"/>
    <w:rsid w:val="00390FDF"/>
    <w:rsid w:val="00391D89"/>
    <w:rsid w:val="00394325"/>
    <w:rsid w:val="00396195"/>
    <w:rsid w:val="003A2136"/>
    <w:rsid w:val="003E1F0E"/>
    <w:rsid w:val="003E50C5"/>
    <w:rsid w:val="00405133"/>
    <w:rsid w:val="00410B25"/>
    <w:rsid w:val="004216F2"/>
    <w:rsid w:val="00424EB7"/>
    <w:rsid w:val="00427190"/>
    <w:rsid w:val="0043138E"/>
    <w:rsid w:val="00464535"/>
    <w:rsid w:val="004656EE"/>
    <w:rsid w:val="00465E5F"/>
    <w:rsid w:val="00466954"/>
    <w:rsid w:val="00472F69"/>
    <w:rsid w:val="0047580E"/>
    <w:rsid w:val="00476B4C"/>
    <w:rsid w:val="004818D3"/>
    <w:rsid w:val="00481FCB"/>
    <w:rsid w:val="00485887"/>
    <w:rsid w:val="004956EA"/>
    <w:rsid w:val="004A13D5"/>
    <w:rsid w:val="004A2860"/>
    <w:rsid w:val="004A3137"/>
    <w:rsid w:val="004B0CE6"/>
    <w:rsid w:val="004B6F6C"/>
    <w:rsid w:val="004C2AAA"/>
    <w:rsid w:val="004E3397"/>
    <w:rsid w:val="004F720C"/>
    <w:rsid w:val="00503052"/>
    <w:rsid w:val="00512336"/>
    <w:rsid w:val="005133CD"/>
    <w:rsid w:val="00520F44"/>
    <w:rsid w:val="005211EB"/>
    <w:rsid w:val="00523995"/>
    <w:rsid w:val="00523E44"/>
    <w:rsid w:val="00525048"/>
    <w:rsid w:val="00530D03"/>
    <w:rsid w:val="00537577"/>
    <w:rsid w:val="00547BF9"/>
    <w:rsid w:val="0056009A"/>
    <w:rsid w:val="005608BF"/>
    <w:rsid w:val="00565A2F"/>
    <w:rsid w:val="005911D9"/>
    <w:rsid w:val="005919F9"/>
    <w:rsid w:val="00597D18"/>
    <w:rsid w:val="005A1668"/>
    <w:rsid w:val="005A1773"/>
    <w:rsid w:val="005A2239"/>
    <w:rsid w:val="005A4DA6"/>
    <w:rsid w:val="005B3298"/>
    <w:rsid w:val="005C1B5A"/>
    <w:rsid w:val="005C6D4F"/>
    <w:rsid w:val="005C727D"/>
    <w:rsid w:val="005D53A6"/>
    <w:rsid w:val="005E0BC5"/>
    <w:rsid w:val="005E4EF4"/>
    <w:rsid w:val="005E74F3"/>
    <w:rsid w:val="005F51FE"/>
    <w:rsid w:val="006316A0"/>
    <w:rsid w:val="00647C84"/>
    <w:rsid w:val="006503CA"/>
    <w:rsid w:val="00651BC5"/>
    <w:rsid w:val="0065539C"/>
    <w:rsid w:val="00655C8C"/>
    <w:rsid w:val="00656805"/>
    <w:rsid w:val="00684390"/>
    <w:rsid w:val="00684865"/>
    <w:rsid w:val="00694BC0"/>
    <w:rsid w:val="006A34EF"/>
    <w:rsid w:val="006A3DC3"/>
    <w:rsid w:val="006A6F81"/>
    <w:rsid w:val="006B52B8"/>
    <w:rsid w:val="006D5DD3"/>
    <w:rsid w:val="006F2E8C"/>
    <w:rsid w:val="006F6613"/>
    <w:rsid w:val="007029E9"/>
    <w:rsid w:val="00704E17"/>
    <w:rsid w:val="00714217"/>
    <w:rsid w:val="00714243"/>
    <w:rsid w:val="00721F55"/>
    <w:rsid w:val="007277A9"/>
    <w:rsid w:val="00736A87"/>
    <w:rsid w:val="0074049B"/>
    <w:rsid w:val="00747EA7"/>
    <w:rsid w:val="007566A8"/>
    <w:rsid w:val="00761892"/>
    <w:rsid w:val="0077266F"/>
    <w:rsid w:val="0077288E"/>
    <w:rsid w:val="00774AE1"/>
    <w:rsid w:val="00774CFD"/>
    <w:rsid w:val="0078027E"/>
    <w:rsid w:val="00782025"/>
    <w:rsid w:val="00795F18"/>
    <w:rsid w:val="007B44F0"/>
    <w:rsid w:val="007B72D1"/>
    <w:rsid w:val="007B7D9E"/>
    <w:rsid w:val="007C2DAE"/>
    <w:rsid w:val="007C67E0"/>
    <w:rsid w:val="007D5154"/>
    <w:rsid w:val="007D6BCA"/>
    <w:rsid w:val="007E6A0C"/>
    <w:rsid w:val="007F462E"/>
    <w:rsid w:val="00810CAC"/>
    <w:rsid w:val="0081188C"/>
    <w:rsid w:val="0082124C"/>
    <w:rsid w:val="008218F0"/>
    <w:rsid w:val="008220CA"/>
    <w:rsid w:val="00822196"/>
    <w:rsid w:val="00833E54"/>
    <w:rsid w:val="0083617B"/>
    <w:rsid w:val="00840CB3"/>
    <w:rsid w:val="008525D4"/>
    <w:rsid w:val="008626EC"/>
    <w:rsid w:val="00863914"/>
    <w:rsid w:val="00863A0F"/>
    <w:rsid w:val="00886058"/>
    <w:rsid w:val="00890461"/>
    <w:rsid w:val="0089053B"/>
    <w:rsid w:val="008B0593"/>
    <w:rsid w:val="008B2B76"/>
    <w:rsid w:val="008B5ECA"/>
    <w:rsid w:val="008C6A3E"/>
    <w:rsid w:val="008D49D7"/>
    <w:rsid w:val="008D7397"/>
    <w:rsid w:val="008E3234"/>
    <w:rsid w:val="008F1152"/>
    <w:rsid w:val="008F188F"/>
    <w:rsid w:val="008F5755"/>
    <w:rsid w:val="0090621C"/>
    <w:rsid w:val="00916430"/>
    <w:rsid w:val="00925085"/>
    <w:rsid w:val="00925D63"/>
    <w:rsid w:val="00925F78"/>
    <w:rsid w:val="00946A88"/>
    <w:rsid w:val="00950C72"/>
    <w:rsid w:val="00961B41"/>
    <w:rsid w:val="00964C8E"/>
    <w:rsid w:val="009738EA"/>
    <w:rsid w:val="00974386"/>
    <w:rsid w:val="0098176A"/>
    <w:rsid w:val="00982463"/>
    <w:rsid w:val="009913D4"/>
    <w:rsid w:val="009942D8"/>
    <w:rsid w:val="00995254"/>
    <w:rsid w:val="009A148E"/>
    <w:rsid w:val="009F7C41"/>
    <w:rsid w:val="00A0398A"/>
    <w:rsid w:val="00A103EC"/>
    <w:rsid w:val="00A112A7"/>
    <w:rsid w:val="00A164AC"/>
    <w:rsid w:val="00A21A42"/>
    <w:rsid w:val="00A2283B"/>
    <w:rsid w:val="00A3003F"/>
    <w:rsid w:val="00A30931"/>
    <w:rsid w:val="00A40CB1"/>
    <w:rsid w:val="00A44C4C"/>
    <w:rsid w:val="00A536E3"/>
    <w:rsid w:val="00A579C0"/>
    <w:rsid w:val="00A706AF"/>
    <w:rsid w:val="00A75BA2"/>
    <w:rsid w:val="00A862E1"/>
    <w:rsid w:val="00A91171"/>
    <w:rsid w:val="00A91E2A"/>
    <w:rsid w:val="00A9451A"/>
    <w:rsid w:val="00AA7EDB"/>
    <w:rsid w:val="00AB550B"/>
    <w:rsid w:val="00AB58C5"/>
    <w:rsid w:val="00AB690A"/>
    <w:rsid w:val="00AC30C1"/>
    <w:rsid w:val="00AC357A"/>
    <w:rsid w:val="00AC50B8"/>
    <w:rsid w:val="00AE3021"/>
    <w:rsid w:val="00AF5ABF"/>
    <w:rsid w:val="00B05CAB"/>
    <w:rsid w:val="00B1480E"/>
    <w:rsid w:val="00B27A9E"/>
    <w:rsid w:val="00B27F9C"/>
    <w:rsid w:val="00B470C9"/>
    <w:rsid w:val="00B55630"/>
    <w:rsid w:val="00B63EC4"/>
    <w:rsid w:val="00B6563B"/>
    <w:rsid w:val="00B76E2D"/>
    <w:rsid w:val="00B7725D"/>
    <w:rsid w:val="00B86C30"/>
    <w:rsid w:val="00BB4825"/>
    <w:rsid w:val="00BD71F6"/>
    <w:rsid w:val="00BD7CA2"/>
    <w:rsid w:val="00BE66DF"/>
    <w:rsid w:val="00BF50B4"/>
    <w:rsid w:val="00BF583A"/>
    <w:rsid w:val="00C406EA"/>
    <w:rsid w:val="00C4093A"/>
    <w:rsid w:val="00C431C9"/>
    <w:rsid w:val="00C51213"/>
    <w:rsid w:val="00C83031"/>
    <w:rsid w:val="00C84679"/>
    <w:rsid w:val="00C91064"/>
    <w:rsid w:val="00C91FEE"/>
    <w:rsid w:val="00CB5BBF"/>
    <w:rsid w:val="00CB63AE"/>
    <w:rsid w:val="00CB6B51"/>
    <w:rsid w:val="00CC15C4"/>
    <w:rsid w:val="00CC35CB"/>
    <w:rsid w:val="00CC7D28"/>
    <w:rsid w:val="00CD1B93"/>
    <w:rsid w:val="00CD302E"/>
    <w:rsid w:val="00CE3000"/>
    <w:rsid w:val="00CF3D8F"/>
    <w:rsid w:val="00D115E5"/>
    <w:rsid w:val="00D13532"/>
    <w:rsid w:val="00D25D12"/>
    <w:rsid w:val="00D26F00"/>
    <w:rsid w:val="00D40643"/>
    <w:rsid w:val="00D40F70"/>
    <w:rsid w:val="00D4536E"/>
    <w:rsid w:val="00D45F91"/>
    <w:rsid w:val="00D74A9F"/>
    <w:rsid w:val="00D80228"/>
    <w:rsid w:val="00D8175E"/>
    <w:rsid w:val="00D904C6"/>
    <w:rsid w:val="00D91ECC"/>
    <w:rsid w:val="00D95259"/>
    <w:rsid w:val="00D96FE9"/>
    <w:rsid w:val="00D97F35"/>
    <w:rsid w:val="00DA7DBA"/>
    <w:rsid w:val="00DB0EF3"/>
    <w:rsid w:val="00DC647B"/>
    <w:rsid w:val="00DD3E62"/>
    <w:rsid w:val="00DD7483"/>
    <w:rsid w:val="00DF0B7F"/>
    <w:rsid w:val="00E04CE5"/>
    <w:rsid w:val="00E069A3"/>
    <w:rsid w:val="00E07B93"/>
    <w:rsid w:val="00E100D7"/>
    <w:rsid w:val="00E21175"/>
    <w:rsid w:val="00E2588E"/>
    <w:rsid w:val="00E27DC3"/>
    <w:rsid w:val="00E3532F"/>
    <w:rsid w:val="00E36242"/>
    <w:rsid w:val="00E4083D"/>
    <w:rsid w:val="00E55081"/>
    <w:rsid w:val="00E64807"/>
    <w:rsid w:val="00E85DCF"/>
    <w:rsid w:val="00EA070E"/>
    <w:rsid w:val="00EA2D1A"/>
    <w:rsid w:val="00EA67FE"/>
    <w:rsid w:val="00EC530B"/>
    <w:rsid w:val="00EE5235"/>
    <w:rsid w:val="00EE7128"/>
    <w:rsid w:val="00EF1512"/>
    <w:rsid w:val="00F2417F"/>
    <w:rsid w:val="00F40B13"/>
    <w:rsid w:val="00F40FD5"/>
    <w:rsid w:val="00F437C4"/>
    <w:rsid w:val="00F47563"/>
    <w:rsid w:val="00F500F3"/>
    <w:rsid w:val="00F5036F"/>
    <w:rsid w:val="00F71BFB"/>
    <w:rsid w:val="00F75479"/>
    <w:rsid w:val="00F91934"/>
    <w:rsid w:val="00FA3C5B"/>
    <w:rsid w:val="00FA6620"/>
    <w:rsid w:val="00FB055F"/>
    <w:rsid w:val="00FB519D"/>
    <w:rsid w:val="00FD2A57"/>
    <w:rsid w:val="00FF4691"/>
    <w:rsid w:val="0187A047"/>
    <w:rsid w:val="023FD77B"/>
    <w:rsid w:val="02F42128"/>
    <w:rsid w:val="033D52A4"/>
    <w:rsid w:val="04B42784"/>
    <w:rsid w:val="05A4B75E"/>
    <w:rsid w:val="072BF76F"/>
    <w:rsid w:val="0BB6FF36"/>
    <w:rsid w:val="0CB8A84E"/>
    <w:rsid w:val="0D1C8551"/>
    <w:rsid w:val="0D6F0AD3"/>
    <w:rsid w:val="0E827E42"/>
    <w:rsid w:val="0EAEE733"/>
    <w:rsid w:val="0F0A9470"/>
    <w:rsid w:val="0F907C71"/>
    <w:rsid w:val="101866D1"/>
    <w:rsid w:val="1036E76E"/>
    <w:rsid w:val="1421928D"/>
    <w:rsid w:val="163888B8"/>
    <w:rsid w:val="1B7387D8"/>
    <w:rsid w:val="1B9AFF19"/>
    <w:rsid w:val="1C290857"/>
    <w:rsid w:val="1C330E43"/>
    <w:rsid w:val="1DBA80DB"/>
    <w:rsid w:val="1DC8915F"/>
    <w:rsid w:val="1DD00E36"/>
    <w:rsid w:val="1FB8E25D"/>
    <w:rsid w:val="21CFCB60"/>
    <w:rsid w:val="21F59C9B"/>
    <w:rsid w:val="22ADBAF6"/>
    <w:rsid w:val="22BCB65D"/>
    <w:rsid w:val="27766491"/>
    <w:rsid w:val="288BD425"/>
    <w:rsid w:val="2984848D"/>
    <w:rsid w:val="29C5C66C"/>
    <w:rsid w:val="2A28A86E"/>
    <w:rsid w:val="2B9E58EF"/>
    <w:rsid w:val="2BF12B97"/>
    <w:rsid w:val="2CE365CD"/>
    <w:rsid w:val="2EFB2D75"/>
    <w:rsid w:val="2F57C159"/>
    <w:rsid w:val="2F641A8F"/>
    <w:rsid w:val="303B9EC2"/>
    <w:rsid w:val="311C4D9F"/>
    <w:rsid w:val="3193311F"/>
    <w:rsid w:val="31DBAF08"/>
    <w:rsid w:val="32F4301D"/>
    <w:rsid w:val="3324FE15"/>
    <w:rsid w:val="33380A53"/>
    <w:rsid w:val="34311D65"/>
    <w:rsid w:val="346D8588"/>
    <w:rsid w:val="34EE055C"/>
    <w:rsid w:val="357E968E"/>
    <w:rsid w:val="36744E59"/>
    <w:rsid w:val="36750E06"/>
    <w:rsid w:val="3786C4C0"/>
    <w:rsid w:val="37DF46BB"/>
    <w:rsid w:val="383A8EC4"/>
    <w:rsid w:val="38549615"/>
    <w:rsid w:val="3AA8CB5B"/>
    <w:rsid w:val="3AAA60F4"/>
    <w:rsid w:val="3BBEE129"/>
    <w:rsid w:val="3C0FB45B"/>
    <w:rsid w:val="3D6D1778"/>
    <w:rsid w:val="3E706EF3"/>
    <w:rsid w:val="3EAE88DF"/>
    <w:rsid w:val="3F1E32B7"/>
    <w:rsid w:val="4074F75D"/>
    <w:rsid w:val="41002244"/>
    <w:rsid w:val="41675DF4"/>
    <w:rsid w:val="41E16F37"/>
    <w:rsid w:val="4225363E"/>
    <w:rsid w:val="433A75D0"/>
    <w:rsid w:val="43734FB5"/>
    <w:rsid w:val="45BDB6A5"/>
    <w:rsid w:val="4705A924"/>
    <w:rsid w:val="47481D56"/>
    <w:rsid w:val="47A7714E"/>
    <w:rsid w:val="47DBE880"/>
    <w:rsid w:val="480BE0F5"/>
    <w:rsid w:val="48CCF78C"/>
    <w:rsid w:val="490942F1"/>
    <w:rsid w:val="492E32F3"/>
    <w:rsid w:val="4A54B832"/>
    <w:rsid w:val="4AF255D9"/>
    <w:rsid w:val="4BE12D49"/>
    <w:rsid w:val="4C35FF89"/>
    <w:rsid w:val="4C521068"/>
    <w:rsid w:val="4C9D0962"/>
    <w:rsid w:val="4DC34E1C"/>
    <w:rsid w:val="4F3E5F3E"/>
    <w:rsid w:val="4FA8F1CD"/>
    <w:rsid w:val="4FD26CEB"/>
    <w:rsid w:val="500978FF"/>
    <w:rsid w:val="506E6956"/>
    <w:rsid w:val="50AA5578"/>
    <w:rsid w:val="5263FBAD"/>
    <w:rsid w:val="530ECAB7"/>
    <w:rsid w:val="532C0E0F"/>
    <w:rsid w:val="536D6159"/>
    <w:rsid w:val="542C6B6B"/>
    <w:rsid w:val="5446267D"/>
    <w:rsid w:val="54584FEC"/>
    <w:rsid w:val="5527B14A"/>
    <w:rsid w:val="5685DA9A"/>
    <w:rsid w:val="597532D8"/>
    <w:rsid w:val="59C8B6B4"/>
    <w:rsid w:val="59D5D30D"/>
    <w:rsid w:val="5A0A6B08"/>
    <w:rsid w:val="5A6CC27F"/>
    <w:rsid w:val="5BF2D9CE"/>
    <w:rsid w:val="5CC171D6"/>
    <w:rsid w:val="5DB2FAF1"/>
    <w:rsid w:val="5EB096A4"/>
    <w:rsid w:val="5FEDCA56"/>
    <w:rsid w:val="6028E600"/>
    <w:rsid w:val="60C9CBD6"/>
    <w:rsid w:val="61388BC3"/>
    <w:rsid w:val="6148AAF3"/>
    <w:rsid w:val="619AAACB"/>
    <w:rsid w:val="637B803B"/>
    <w:rsid w:val="63D4A8EC"/>
    <w:rsid w:val="63E417CA"/>
    <w:rsid w:val="641EC819"/>
    <w:rsid w:val="65979653"/>
    <w:rsid w:val="6616DE06"/>
    <w:rsid w:val="6651B9D8"/>
    <w:rsid w:val="669623CE"/>
    <w:rsid w:val="67401F4D"/>
    <w:rsid w:val="68077CBC"/>
    <w:rsid w:val="68901FCC"/>
    <w:rsid w:val="69E2D6DD"/>
    <w:rsid w:val="6A70A6F2"/>
    <w:rsid w:val="6A8B5C34"/>
    <w:rsid w:val="6ABD61BF"/>
    <w:rsid w:val="6B762106"/>
    <w:rsid w:val="6BF0D28A"/>
    <w:rsid w:val="6C9C70BC"/>
    <w:rsid w:val="6D650C26"/>
    <w:rsid w:val="6FB0C99D"/>
    <w:rsid w:val="6FD69ED4"/>
    <w:rsid w:val="71178D9A"/>
    <w:rsid w:val="7209C55A"/>
    <w:rsid w:val="75431C9B"/>
    <w:rsid w:val="76C11B89"/>
    <w:rsid w:val="76FB6B61"/>
    <w:rsid w:val="78B0BD75"/>
    <w:rsid w:val="78F624FD"/>
    <w:rsid w:val="7992572A"/>
    <w:rsid w:val="79DB2376"/>
    <w:rsid w:val="7AB47BF3"/>
    <w:rsid w:val="7B2A55BE"/>
    <w:rsid w:val="7CB176B9"/>
    <w:rsid w:val="7DDEA518"/>
    <w:rsid w:val="7F0DB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17D691A8-E70A-4EB4-A1F8-8147E7B3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758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CB6B51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B05CAB"/>
    <w:rPr>
      <w:color w:val="08314C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24"/>
      <w:szCs w:val="24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24"/>
      <w:szCs w:val="24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80E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7580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80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80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3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3B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56805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E07B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2588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53</Value>
    </TaxCatchAll>
    <_dlc_DocId xmlns="f5da6961-df15-4a00-8bc7-26ec1a99c3a7">AHCIHDOCID-711523309-12738916</_dlc_DocId>
    <_dlc_DocIdUrl xmlns="f5da6961-df15-4a00-8bc7-26ec1a99c3a7">
      <Url>https://hants.sharepoint.com/sites/AHCIH/SL/_layouts/15/DocIdRedir.aspx?ID=AHCIHDOCID-711523309-12738916</Url>
      <Description>AHCIHDOCID-711523309-12738916</Description>
    </_dlc_DocIdUrl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 Lives Scheme</TermName>
          <TermId xmlns="http://schemas.microsoft.com/office/infopath/2007/PartnerControls">bb828c88-94a0-4be8-a416-efb6f364f2e1</TermId>
        </TermInfo>
      </Terms>
    </obe7f11923d947ceb6b732bddc996d59>
    <hc632fe273cb498aa970207d30c3b1d8 xmlns="c5dbf80e-f509-45f6-9fe5-406e3eefabbb">
      <Terms xmlns="http://schemas.microsoft.com/office/infopath/2007/PartnerControls"/>
    </hc632fe273cb498aa970207d30c3b1d8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9C669-03DE-4A52-BFAC-5E9B1EB819E6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customXml/itemProps2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4DF65-877E-4F03-BEAD-8079DEF0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E6B4D-2B9F-4259-99B4-C824B8BFC9B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19</cp:revision>
  <dcterms:created xsi:type="dcterms:W3CDTF">2026-04-17T11:20:00Z</dcterms:created>
  <dcterms:modified xsi:type="dcterms:W3CDTF">2026-04-30T13:39:00Z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0x0101004E1B537BC2B2AD43A5AF5311D732D3AA69005615575A349A3346A2558B506401D559</vt:lpwstr>
  </property>
  <property fmtid="{D5CDD505-2E9C-101B-9397-08002B2CF9AE}" pid="3" name="_dlc_DocIdItemGuid">
    <vt:lpwstr>cc3ce1d6-7826-4490-8455-1106e12958b7</vt:lpwstr>
  </property>
  <property fmtid="{D5CDD505-2E9C-101B-9397-08002B2CF9AE}" pid="4" name="MediaServiceImageTags">
    <vt:lpwstr/>
  </property>
  <property fmtid="{D5CDD505-2E9C-101B-9397-08002B2CF9AE}" pid="5" name="AHC_x0020_Groups_x0020_and_x0020_Meetings">
    <vt:lpwstr/>
  </property>
  <property fmtid="{D5CDD505-2E9C-101B-9397-08002B2CF9AE}" pid="6" name="lcf76f155ced4ddcb4097134ff3c332f">
    <vt:lpwstr/>
  </property>
  <property fmtid="{D5CDD505-2E9C-101B-9397-08002B2CF9AE}" pid="7" name="AHC_x0020_Management_x0020_Information">
    <vt:lpwstr/>
  </property>
  <property fmtid="{D5CDD505-2E9C-101B-9397-08002B2CF9AE}" pid="8" name="g56026d439e8463fa9c68b57b2a88d5c">
    <vt:lpwstr/>
  </property>
  <property fmtid="{D5CDD505-2E9C-101B-9397-08002B2CF9AE}" pid="9" name="a39f7aff4be34a8195e6cec9048c085a">
    <vt:lpwstr/>
  </property>
  <property fmtid="{D5CDD505-2E9C-101B-9397-08002B2CF9AE}" pid="10" name="Document Type">
    <vt:lpwstr/>
  </property>
  <property fmtid="{D5CDD505-2E9C-101B-9397-08002B2CF9AE}" pid="11" name="AHC Casework Management">
    <vt:lpwstr>53;#Shared Lives Scheme|bb828c88-94a0-4be8-a416-efb6f364f2e1</vt:lpwstr>
  </property>
  <property fmtid="{D5CDD505-2E9C-101B-9397-08002B2CF9AE}" pid="12" name="AHC Management Information">
    <vt:lpwstr/>
  </property>
  <property fmtid="{D5CDD505-2E9C-101B-9397-08002B2CF9AE}" pid="13" name="AHC Groups and Meetings">
    <vt:lpwstr/>
  </property>
  <property fmtid="{D5CDD505-2E9C-101B-9397-08002B2CF9AE}" pid="14" name="Document_x0020_Type">
    <vt:lpwstr/>
  </property>
  <property fmtid="{D5CDD505-2E9C-101B-9397-08002B2CF9AE}" pid="15" name="AHC_x0020_Casework_x0020_Management">
    <vt:lpwstr>53;#Shared Lives Scheme|bb828c88-94a0-4be8-a416-efb6f364f2e1</vt:lpwstr>
  </property>
</Properties>
</file>