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4CBD" w14:textId="77777777" w:rsidR="008011F3" w:rsidRDefault="008011F3" w:rsidP="008011F3">
      <w:pPr>
        <w:pStyle w:val="Documenttitle"/>
      </w:pPr>
    </w:p>
    <w:p w14:paraId="4CACA488" w14:textId="77777777" w:rsidR="008011F3" w:rsidRDefault="008011F3" w:rsidP="008011F3">
      <w:pPr>
        <w:pStyle w:val="Documenttitle"/>
      </w:pPr>
    </w:p>
    <w:p w14:paraId="1630E640" w14:textId="77777777" w:rsidR="008011F3" w:rsidRDefault="008011F3" w:rsidP="008011F3">
      <w:pPr>
        <w:pStyle w:val="Documenttitle"/>
      </w:pPr>
    </w:p>
    <w:p w14:paraId="6CFDEDDA" w14:textId="77777777" w:rsidR="008011F3" w:rsidRDefault="008011F3" w:rsidP="008011F3">
      <w:pPr>
        <w:pStyle w:val="Documenttitle"/>
      </w:pPr>
    </w:p>
    <w:p w14:paraId="649AC4C5" w14:textId="4E6CA127" w:rsidR="008011F3" w:rsidRDefault="008011F3" w:rsidP="008011F3">
      <w:pPr>
        <w:pStyle w:val="Documenttitle"/>
        <w:rPr>
          <w:color w:val="08314C"/>
        </w:rPr>
      </w:pPr>
      <w:r>
        <w:rPr>
          <w:color w:val="08314C"/>
        </w:rPr>
        <w:t xml:space="preserve">Hampshire Shared Lives </w:t>
      </w:r>
      <w:r w:rsidR="0004416B">
        <w:rPr>
          <w:color w:val="08314C"/>
        </w:rPr>
        <w:t>o</w:t>
      </w:r>
      <w:r>
        <w:rPr>
          <w:color w:val="08314C"/>
        </w:rPr>
        <w:t xml:space="preserve">perational </w:t>
      </w:r>
      <w:r w:rsidR="0004416B">
        <w:rPr>
          <w:color w:val="08314C"/>
        </w:rPr>
        <w:t>g</w:t>
      </w:r>
      <w:r>
        <w:rPr>
          <w:color w:val="08314C"/>
        </w:rPr>
        <w:t>uidance</w:t>
      </w:r>
    </w:p>
    <w:p w14:paraId="64C7E7C7" w14:textId="77777777" w:rsidR="008011F3" w:rsidRDefault="008011F3" w:rsidP="008011F3">
      <w:pPr>
        <w:pStyle w:val="Documenttitle"/>
        <w:rPr>
          <w:color w:val="08314C"/>
        </w:rPr>
      </w:pPr>
    </w:p>
    <w:p w14:paraId="62A77656" w14:textId="292617E7" w:rsidR="008011F3" w:rsidRPr="008218F0" w:rsidRDefault="008011F3" w:rsidP="008011F3">
      <w:pPr>
        <w:pStyle w:val="Documenttitle"/>
        <w:rPr>
          <w:color w:val="08314C"/>
        </w:rPr>
      </w:pPr>
      <w:r>
        <w:rPr>
          <w:color w:val="08314C"/>
        </w:rPr>
        <w:t>Agreements and MCA</w:t>
      </w:r>
    </w:p>
    <w:p w14:paraId="207BAE15" w14:textId="77777777" w:rsidR="008011F3" w:rsidRPr="006503CA" w:rsidRDefault="008011F3" w:rsidP="008011F3">
      <w:r w:rsidRPr="008218F0">
        <w:rPr>
          <w:noProof/>
          <w:color w:val="08314C"/>
        </w:rPr>
        <w:drawing>
          <wp:anchor distT="0" distB="0" distL="114300" distR="114300" simplePos="0" relativeHeight="251658240" behindDoc="1" locked="0" layoutInCell="1" allowOverlap="1" wp14:anchorId="43D2206A" wp14:editId="718C21E7">
            <wp:simplePos x="0" y="0"/>
            <wp:positionH relativeFrom="column">
              <wp:posOffset>-914400</wp:posOffset>
            </wp:positionH>
            <wp:positionV relativeFrom="page">
              <wp:posOffset>9639300</wp:posOffset>
            </wp:positionV>
            <wp:extent cx="7548880" cy="1047115"/>
            <wp:effectExtent l="0" t="0" r="0" b="635"/>
            <wp:wrapTight wrapText="bothSides">
              <wp:wrapPolygon edited="0">
                <wp:start x="0" y="0"/>
                <wp:lineTo x="0" y="21220"/>
                <wp:lineTo x="21531" y="21220"/>
                <wp:lineTo x="21531" y="0"/>
                <wp:lineTo x="0" y="0"/>
              </wp:wrapPolygon>
            </wp:wrapTight>
            <wp:docPr id="857745929" name="Picture 857745929"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45929" name="Picture 857745929" descr="A blue square with white lin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p>
    <w:p w14:paraId="01B4EC6E" w14:textId="1D92D986" w:rsidR="009D0D02" w:rsidRDefault="009D0D02" w:rsidP="009772B5">
      <w:pPr>
        <w:pStyle w:val="Heading1"/>
        <w:rPr>
          <w:color w:val="FFFFFF" w:themeColor="background1"/>
        </w:rPr>
      </w:pPr>
    </w:p>
    <w:p w14:paraId="735F4CC3" w14:textId="77777777" w:rsidR="009772B5" w:rsidRDefault="009772B5" w:rsidP="009772B5"/>
    <w:p w14:paraId="615CC917" w14:textId="77777777" w:rsidR="009772B5" w:rsidRDefault="009772B5" w:rsidP="009772B5"/>
    <w:p w14:paraId="48273310" w14:textId="77777777" w:rsidR="009772B5" w:rsidRPr="009772B5" w:rsidRDefault="009772B5" w:rsidP="009772B5"/>
    <w:p w14:paraId="45968966" w14:textId="77777777" w:rsidR="009D0D02" w:rsidRPr="00E63ED9" w:rsidRDefault="009D0D02" w:rsidP="009D0D02">
      <w:pPr>
        <w:rPr>
          <w:color w:val="FFFFFF" w:themeColor="background1"/>
        </w:rPr>
      </w:pPr>
    </w:p>
    <w:p w14:paraId="76455CD2" w14:textId="77777777" w:rsidR="009772B5" w:rsidRDefault="00E63ED9" w:rsidP="009772B5">
      <w:pPr>
        <w:pStyle w:val="h2"/>
        <w:jc w:val="center"/>
        <w:rPr>
          <w:color w:val="FFFFFF" w:themeColor="background1"/>
          <w:sz w:val="24"/>
          <w:szCs w:val="24"/>
        </w:rPr>
      </w:pPr>
      <w:bookmarkStart w:id="0" w:name="_Toc165997925"/>
      <w:r w:rsidRPr="009772B5">
        <w:rPr>
          <w:color w:val="FFFFFF" w:themeColor="background1"/>
          <w:sz w:val="24"/>
          <w:szCs w:val="24"/>
        </w:rPr>
        <w:t>Ment</w:t>
      </w:r>
    </w:p>
    <w:bookmarkEnd w:id="0"/>
    <w:p w14:paraId="7A30C6FA" w14:textId="5E06DC3F" w:rsidR="00671AD5" w:rsidRPr="00A558C3" w:rsidRDefault="00671AD5" w:rsidP="00403C77">
      <w:pPr>
        <w:pStyle w:val="h2"/>
        <w:jc w:val="both"/>
        <w:rPr>
          <w:color w:val="FFFFFF" w:themeColor="background1"/>
          <w:sz w:val="24"/>
          <w:szCs w:val="24"/>
        </w:rPr>
      </w:pPr>
      <w:r w:rsidRPr="00A558C3">
        <w:rPr>
          <w:color w:val="000000" w:themeColor="text1"/>
          <w:sz w:val="24"/>
          <w:szCs w:val="24"/>
        </w:rPr>
        <w:lastRenderedPageBreak/>
        <w:t>Introduction</w:t>
      </w:r>
    </w:p>
    <w:p w14:paraId="5645AE42" w14:textId="77777777" w:rsidR="00671AD5" w:rsidRDefault="00671AD5" w:rsidP="00403C77">
      <w:pPr>
        <w:jc w:val="both"/>
      </w:pPr>
    </w:p>
    <w:p w14:paraId="3C4E6669" w14:textId="04638576" w:rsidR="00671AD5" w:rsidRDefault="003E0AFB" w:rsidP="00403C77">
      <w:pPr>
        <w:jc w:val="both"/>
      </w:pPr>
      <w:r>
        <w:t>To</w:t>
      </w:r>
      <w:r w:rsidR="001E37C1">
        <w:t xml:space="preserve"> be supported in a </w:t>
      </w:r>
      <w:r w:rsidR="00FA15B4">
        <w:t>S</w:t>
      </w:r>
      <w:r w:rsidR="001E37C1">
        <w:t xml:space="preserve">hared </w:t>
      </w:r>
      <w:r w:rsidR="00180510">
        <w:t>L</w:t>
      </w:r>
      <w:r w:rsidR="001E37C1">
        <w:t xml:space="preserve">ives placement it is </w:t>
      </w:r>
      <w:r w:rsidR="00B37EC9">
        <w:t>preferable</w:t>
      </w:r>
      <w:r w:rsidR="001E37C1">
        <w:t xml:space="preserve"> to </w:t>
      </w:r>
      <w:r w:rsidR="00B37EC9">
        <w:t>have</w:t>
      </w:r>
      <w:r w:rsidR="001E37C1">
        <w:t xml:space="preserve"> </w:t>
      </w:r>
      <w:r w:rsidR="00180510">
        <w:t>s</w:t>
      </w:r>
      <w:r w:rsidR="00A55D4D">
        <w:t>er</w:t>
      </w:r>
      <w:r w:rsidR="00243D32">
        <w:t xml:space="preserve">vice </w:t>
      </w:r>
      <w:r w:rsidR="00180510">
        <w:t>u</w:t>
      </w:r>
      <w:r w:rsidR="00243D32">
        <w:t>sers</w:t>
      </w:r>
      <w:r w:rsidR="00B37EC9">
        <w:t xml:space="preserve"> </w:t>
      </w:r>
      <w:r w:rsidR="0022203E">
        <w:t>sign</w:t>
      </w:r>
      <w:r w:rsidR="00243D32">
        <w:t xml:space="preserve"> their</w:t>
      </w:r>
      <w:r w:rsidR="0022203E">
        <w:t xml:space="preserve"> </w:t>
      </w:r>
      <w:r w:rsidR="00B37EC9">
        <w:t xml:space="preserve">placement and license agreement which outlines the responsibilities of the </w:t>
      </w:r>
      <w:r w:rsidR="00180510">
        <w:t>c</w:t>
      </w:r>
      <w:r w:rsidR="00B37EC9">
        <w:t xml:space="preserve">arer and </w:t>
      </w:r>
      <w:r w:rsidR="00164994">
        <w:t>individual</w:t>
      </w:r>
      <w:r w:rsidR="00B37EC9">
        <w:t>. However</w:t>
      </w:r>
      <w:r w:rsidR="0022203E">
        <w:t>,</w:t>
      </w:r>
      <w:r w:rsidR="00B37EC9">
        <w:t xml:space="preserve"> some service users may </w:t>
      </w:r>
      <w:r w:rsidR="00654D2C">
        <w:t>l</w:t>
      </w:r>
      <w:r w:rsidR="00B37EC9">
        <w:t xml:space="preserve">ack the capacity to understand the agreements as they are written, even with easy read formats. </w:t>
      </w:r>
      <w:r w:rsidR="00671AD5">
        <w:t xml:space="preserve">In most cases, an agreement does not have to be in writing and signed to be valid. The main exception concerns tenancies for a term of </w:t>
      </w:r>
      <w:r w:rsidR="00671AD5" w:rsidRPr="2D2156DD">
        <w:rPr>
          <w:b/>
          <w:bCs/>
        </w:rPr>
        <w:t>more than</w:t>
      </w:r>
      <w:r w:rsidR="00671AD5">
        <w:t xml:space="preserve"> three years (section 54, Law of Property Act 1925). Most tenancies are for a term of six or 12 months and are automatically renewed if the tenant remains in occupation. Since the term of the tenancy is for less than three years (six or 12 months), section 54 of the Law of Property Act 1925 does not </w:t>
      </w:r>
      <w:r w:rsidR="00002237">
        <w:t>apply.</w:t>
      </w:r>
    </w:p>
    <w:p w14:paraId="1D57658C" w14:textId="77777777" w:rsidR="00A558C3" w:rsidRDefault="00A558C3" w:rsidP="00403C77">
      <w:pPr>
        <w:jc w:val="both"/>
      </w:pPr>
    </w:p>
    <w:p w14:paraId="1CD4342E" w14:textId="5EE182D9" w:rsidR="6B9831B9" w:rsidRDefault="001F3744" w:rsidP="2D2156DD">
      <w:pPr>
        <w:jc w:val="both"/>
      </w:pPr>
      <w:r>
        <w:t xml:space="preserve">Hampshire Shared Lives </w:t>
      </w:r>
      <w:r w:rsidR="6B9831B9">
        <w:t xml:space="preserve">Scheme use </w:t>
      </w:r>
      <w:r w:rsidR="001B4F93">
        <w:t>l</w:t>
      </w:r>
      <w:r w:rsidR="6B9831B9">
        <w:t xml:space="preserve">icense </w:t>
      </w:r>
      <w:r w:rsidR="001B4F93">
        <w:t>a</w:t>
      </w:r>
      <w:r w:rsidR="6B9831B9">
        <w:t xml:space="preserve">greements which need to be </w:t>
      </w:r>
      <w:r w:rsidR="23AA235A">
        <w:t>reviewed</w:t>
      </w:r>
      <w:r w:rsidR="6B9831B9">
        <w:t xml:space="preserve"> on a yearly </w:t>
      </w:r>
      <w:r w:rsidR="001B4F93">
        <w:t>b</w:t>
      </w:r>
      <w:r w:rsidR="6B9831B9">
        <w:t xml:space="preserve">asis and are produced </w:t>
      </w:r>
      <w:r w:rsidR="297A2FAC">
        <w:t>by the Legal Department of Ha</w:t>
      </w:r>
      <w:r w:rsidR="2824E6E4">
        <w:t xml:space="preserve">mpshire </w:t>
      </w:r>
      <w:r w:rsidR="297A2FAC">
        <w:t>County Council.</w:t>
      </w:r>
    </w:p>
    <w:p w14:paraId="1D76AAA8" w14:textId="77777777" w:rsidR="0053071E" w:rsidRDefault="0053071E" w:rsidP="00403C77">
      <w:pPr>
        <w:jc w:val="both"/>
      </w:pPr>
    </w:p>
    <w:p w14:paraId="26BB9680" w14:textId="02F8B475" w:rsidR="00671AD5" w:rsidRDefault="00671AD5" w:rsidP="00403C77">
      <w:pPr>
        <w:jc w:val="both"/>
      </w:pPr>
      <w:r>
        <w:t xml:space="preserve">No other person </w:t>
      </w:r>
      <w:r w:rsidR="0053071E">
        <w:t>can</w:t>
      </w:r>
      <w:r>
        <w:t xml:space="preserve"> sign an agreement on behalf of another adult unless they have the authority to do so, </w:t>
      </w:r>
      <w:r w:rsidR="00AC1180">
        <w:t>i.e.</w:t>
      </w:r>
      <w:r>
        <w:t>:</w:t>
      </w:r>
    </w:p>
    <w:p w14:paraId="6365CE1B" w14:textId="77777777" w:rsidR="0053071E" w:rsidRDefault="0053071E" w:rsidP="00403C77">
      <w:pPr>
        <w:jc w:val="both"/>
      </w:pPr>
    </w:p>
    <w:p w14:paraId="05896380" w14:textId="445A43CC" w:rsidR="00671AD5" w:rsidRDefault="00671AD5" w:rsidP="00403C77">
      <w:pPr>
        <w:pStyle w:val="ListParagraph"/>
        <w:numPr>
          <w:ilvl w:val="0"/>
          <w:numId w:val="5"/>
        </w:numPr>
        <w:spacing w:after="160" w:line="259" w:lineRule="auto"/>
        <w:jc w:val="both"/>
      </w:pPr>
      <w:r>
        <w:t xml:space="preserve">A </w:t>
      </w:r>
      <w:r w:rsidR="00E63382">
        <w:t>L</w:t>
      </w:r>
      <w:r>
        <w:t xml:space="preserve">asting </w:t>
      </w:r>
      <w:r w:rsidR="00E63382">
        <w:t>P</w:t>
      </w:r>
      <w:r>
        <w:t xml:space="preserve">ower of </w:t>
      </w:r>
      <w:r w:rsidR="00E63382">
        <w:t>A</w:t>
      </w:r>
      <w:r>
        <w:t xml:space="preserve">ttorney (LPA) for property and </w:t>
      </w:r>
      <w:r w:rsidR="00732E02">
        <w:t>affairs</w:t>
      </w:r>
      <w:r>
        <w:t xml:space="preserve"> that confers sufficient </w:t>
      </w:r>
      <w:r w:rsidR="00AC1180">
        <w:t>authority.</w:t>
      </w:r>
    </w:p>
    <w:p w14:paraId="02BAE56B" w14:textId="39EEF644" w:rsidR="00671AD5" w:rsidRDefault="00671AD5" w:rsidP="00403C77">
      <w:pPr>
        <w:pStyle w:val="ListParagraph"/>
        <w:numPr>
          <w:ilvl w:val="0"/>
          <w:numId w:val="5"/>
        </w:numPr>
        <w:spacing w:after="160" w:line="259" w:lineRule="auto"/>
        <w:jc w:val="both"/>
      </w:pPr>
      <w:r>
        <w:t xml:space="preserve">Enduring </w:t>
      </w:r>
      <w:r w:rsidR="00E63382">
        <w:t>P</w:t>
      </w:r>
      <w:r>
        <w:t xml:space="preserve">ower of </w:t>
      </w:r>
      <w:r w:rsidR="00E63382">
        <w:t>A</w:t>
      </w:r>
      <w:r>
        <w:t xml:space="preserve">ttorney (EPA) that confers sufficient </w:t>
      </w:r>
      <w:r w:rsidR="00AC1180">
        <w:t>authority.</w:t>
      </w:r>
    </w:p>
    <w:p w14:paraId="56FFEB06" w14:textId="71185255" w:rsidR="00671AD5" w:rsidRDefault="00671AD5" w:rsidP="00403C77">
      <w:pPr>
        <w:pStyle w:val="ListParagraph"/>
        <w:numPr>
          <w:ilvl w:val="0"/>
          <w:numId w:val="5"/>
        </w:numPr>
        <w:spacing w:after="160" w:line="259" w:lineRule="auto"/>
        <w:jc w:val="both"/>
      </w:pPr>
      <w:r>
        <w:t xml:space="preserve">Deputyship (property and affairs) that confers sufficient </w:t>
      </w:r>
      <w:r w:rsidR="00AC1180">
        <w:t>authority.</w:t>
      </w:r>
    </w:p>
    <w:p w14:paraId="32E82504" w14:textId="0F12749D" w:rsidR="00671AD5" w:rsidRDefault="00671AD5" w:rsidP="00403C77">
      <w:pPr>
        <w:pStyle w:val="ListParagraph"/>
        <w:numPr>
          <w:ilvl w:val="0"/>
          <w:numId w:val="5"/>
        </w:numPr>
        <w:spacing w:after="160" w:line="259" w:lineRule="auto"/>
        <w:jc w:val="both"/>
      </w:pPr>
      <w:r>
        <w:t xml:space="preserve">A Court of Protection order </w:t>
      </w:r>
      <w:r w:rsidR="00732E02">
        <w:t>authorising</w:t>
      </w:r>
      <w:r>
        <w:t xml:space="preserve"> them to sign the tenancy.</w:t>
      </w:r>
    </w:p>
    <w:p w14:paraId="0EE0E126" w14:textId="77777777" w:rsidR="00671AD5" w:rsidRDefault="00671AD5" w:rsidP="00403C77">
      <w:pPr>
        <w:jc w:val="both"/>
      </w:pPr>
    </w:p>
    <w:p w14:paraId="642A2859" w14:textId="77777777" w:rsidR="00671AD5" w:rsidRPr="00A558C3" w:rsidRDefault="00671AD5" w:rsidP="00403C77">
      <w:pPr>
        <w:pStyle w:val="h3"/>
        <w:jc w:val="both"/>
        <w:rPr>
          <w:sz w:val="24"/>
          <w:szCs w:val="24"/>
          <w:u w:val="none"/>
        </w:rPr>
      </w:pPr>
      <w:r w:rsidRPr="00A558C3">
        <w:rPr>
          <w:sz w:val="24"/>
          <w:szCs w:val="24"/>
          <w:u w:val="none"/>
        </w:rPr>
        <w:t xml:space="preserve">Placing someone without an agreement </w:t>
      </w:r>
    </w:p>
    <w:p w14:paraId="405ACB5A" w14:textId="77777777" w:rsidR="00671AD5" w:rsidRPr="00954836" w:rsidRDefault="00671AD5" w:rsidP="00403C77">
      <w:pPr>
        <w:jc w:val="both"/>
      </w:pPr>
    </w:p>
    <w:p w14:paraId="7638208C" w14:textId="1DD53D3A" w:rsidR="00671AD5" w:rsidRDefault="00671AD5" w:rsidP="00403C77">
      <w:pPr>
        <w:jc w:val="both"/>
      </w:pPr>
      <w:r>
        <w:t>It can take some time to get authority from the Court of Protection</w:t>
      </w:r>
      <w:r w:rsidR="00732E02">
        <w:t xml:space="preserve"> and is not necessary in most cases</w:t>
      </w:r>
      <w:r w:rsidR="004C7D78">
        <w:t>.</w:t>
      </w:r>
      <w:r>
        <w:t xml:space="preserve"> </w:t>
      </w:r>
      <w:r w:rsidR="004C7D78">
        <w:t>S</w:t>
      </w:r>
      <w:r>
        <w:t>o</w:t>
      </w:r>
      <w:r w:rsidR="004C7D78">
        <w:t>,</w:t>
      </w:r>
      <w:r>
        <w:t xml:space="preserve"> if a person needs to be placed and they do not have the mental capacity to sign an agreement and no one has authority to sign for them in their best interests, they may be placed without a signed agreement if they do not </w:t>
      </w:r>
      <w:r w:rsidR="009716CA">
        <w:t>show or convey any objections to</w:t>
      </w:r>
      <w:r>
        <w:t xml:space="preserve"> the placement. The best </w:t>
      </w:r>
      <w:r w:rsidR="001F3744">
        <w:t>interest’s</w:t>
      </w:r>
      <w:r>
        <w:t xml:space="preserve"> decision itself does not give authority to enter into a placement or licence agreement on behalf of a person lacking mental capacity</w:t>
      </w:r>
      <w:r w:rsidR="004C7D78">
        <w:t>.</w:t>
      </w:r>
      <w:r>
        <w:t xml:space="preserve"> However, </w:t>
      </w:r>
      <w:r w:rsidR="00C20613">
        <w:t xml:space="preserve">by </w:t>
      </w:r>
      <w:r>
        <w:t>following the M</w:t>
      </w:r>
      <w:r w:rsidR="003F45F8">
        <w:t xml:space="preserve">ental </w:t>
      </w:r>
      <w:r>
        <w:t>C</w:t>
      </w:r>
      <w:r w:rsidR="003F45F8">
        <w:t xml:space="preserve">apacity </w:t>
      </w:r>
      <w:r>
        <w:t>A</w:t>
      </w:r>
      <w:r w:rsidR="003F45F8">
        <w:t>ct</w:t>
      </w:r>
      <w:r>
        <w:t xml:space="preserve"> properly provides a defence for the decision maker(s) and allow</w:t>
      </w:r>
      <w:r w:rsidR="00C20613">
        <w:t>s</w:t>
      </w:r>
      <w:r>
        <w:t xml:space="preserve"> them to place the person lacking mental capacity in their best interests. </w:t>
      </w:r>
    </w:p>
    <w:p w14:paraId="21F598E4" w14:textId="77777777" w:rsidR="004222C4" w:rsidRDefault="004222C4" w:rsidP="00403C77">
      <w:pPr>
        <w:jc w:val="both"/>
      </w:pPr>
    </w:p>
    <w:p w14:paraId="6245876E" w14:textId="765E3B18" w:rsidR="00671AD5" w:rsidRDefault="00671AD5" w:rsidP="00403C77">
      <w:pPr>
        <w:jc w:val="both"/>
      </w:pPr>
      <w:r>
        <w:t>If there is a significant welfare dispute that cannot be resolved informally in relation to the move</w:t>
      </w:r>
      <w:r w:rsidR="00165FB5">
        <w:t>,</w:t>
      </w:r>
      <w:r>
        <w:t xml:space="preserve"> with either the person themselves or those close to them such as family, an application must be made to a judge in the Court of Protection to obtain authority to move the person (if the judge agrees the move is in their best interests). </w:t>
      </w:r>
    </w:p>
    <w:p w14:paraId="20696872" w14:textId="2315AB38" w:rsidR="00671AD5" w:rsidRDefault="00671AD5" w:rsidP="00403C77">
      <w:pPr>
        <w:jc w:val="both"/>
      </w:pPr>
    </w:p>
    <w:p w14:paraId="7CE182BA" w14:textId="03CDB478" w:rsidR="16CDC926" w:rsidRDefault="16CDC926" w:rsidP="16CDC926">
      <w:pPr>
        <w:pStyle w:val="h3"/>
        <w:jc w:val="both"/>
        <w:rPr>
          <w:sz w:val="24"/>
          <w:szCs w:val="24"/>
        </w:rPr>
      </w:pPr>
    </w:p>
    <w:p w14:paraId="06D89CF5" w14:textId="734B8715" w:rsidR="00671AD5" w:rsidRPr="00A558C3" w:rsidRDefault="00671AD5" w:rsidP="00403C77">
      <w:pPr>
        <w:pStyle w:val="h3"/>
        <w:jc w:val="both"/>
        <w:rPr>
          <w:sz w:val="24"/>
          <w:szCs w:val="24"/>
          <w:u w:val="none"/>
        </w:rPr>
      </w:pPr>
      <w:r w:rsidRPr="00A558C3">
        <w:rPr>
          <w:sz w:val="24"/>
          <w:szCs w:val="24"/>
          <w:u w:val="none"/>
        </w:rPr>
        <w:t xml:space="preserve">How do we make a legal best </w:t>
      </w:r>
      <w:r w:rsidR="001F3744" w:rsidRPr="00A558C3">
        <w:rPr>
          <w:sz w:val="24"/>
          <w:szCs w:val="24"/>
          <w:u w:val="none"/>
        </w:rPr>
        <w:t>interests’</w:t>
      </w:r>
      <w:r w:rsidRPr="00A558C3">
        <w:rPr>
          <w:sz w:val="24"/>
          <w:szCs w:val="24"/>
          <w:u w:val="none"/>
        </w:rPr>
        <w:t xml:space="preserve"> decision? </w:t>
      </w:r>
    </w:p>
    <w:p w14:paraId="3F0A17AE" w14:textId="77777777" w:rsidR="00671AD5" w:rsidRPr="003D6D66" w:rsidRDefault="00671AD5" w:rsidP="00403C77">
      <w:pPr>
        <w:jc w:val="both"/>
      </w:pPr>
    </w:p>
    <w:p w14:paraId="013B3C4A" w14:textId="598CF7EB" w:rsidR="00671AD5" w:rsidRDefault="00671AD5" w:rsidP="00403C77">
      <w:pPr>
        <w:jc w:val="both"/>
      </w:pPr>
      <w:r>
        <w:t xml:space="preserve">A best </w:t>
      </w:r>
      <w:r w:rsidR="001F3744">
        <w:t>interest’s</w:t>
      </w:r>
      <w:r>
        <w:t xml:space="preserve"> decision is an essential part of making a lawful decision on behalf of someone who lacks mental capacity. The decision must </w:t>
      </w:r>
      <w:r w:rsidR="001647B1">
        <w:t>consider</w:t>
      </w:r>
      <w:r>
        <w:t xml:space="preserve"> </w:t>
      </w:r>
      <w:r w:rsidR="68D4D391">
        <w:t>several</w:t>
      </w:r>
      <w:r>
        <w:t xml:space="preserve"> factors under the law. It is not necessarily the decision that carries the least risk and instead focuses </w:t>
      </w:r>
      <w:r>
        <w:lastRenderedPageBreak/>
        <w:t>heavily on the individual lacking mental capacity. There is a statutory checklist that is set out in section 4 of the M</w:t>
      </w:r>
      <w:r w:rsidR="00BA0A39">
        <w:t xml:space="preserve">ental </w:t>
      </w:r>
      <w:r>
        <w:t>C</w:t>
      </w:r>
      <w:r w:rsidR="00BA0A39">
        <w:t xml:space="preserve">apacity </w:t>
      </w:r>
      <w:r>
        <w:t>A</w:t>
      </w:r>
      <w:r w:rsidR="00BA0A39">
        <w:t>ct</w:t>
      </w:r>
      <w:r>
        <w:t xml:space="preserve">. Section 4 asks the decision maker (see paragraphs 5.8-5.9 MCA code of practice for guidance on who this should be) to make a best </w:t>
      </w:r>
      <w:proofErr w:type="gramStart"/>
      <w:r w:rsidR="00885CB0">
        <w:t>interests</w:t>
      </w:r>
      <w:proofErr w:type="gramEnd"/>
      <w:r>
        <w:t xml:space="preserve"> decision by </w:t>
      </w:r>
      <w:r w:rsidR="00D317D4">
        <w:t>considering</w:t>
      </w:r>
      <w:r>
        <w:t xml:space="preserve"> the following factors:</w:t>
      </w:r>
    </w:p>
    <w:p w14:paraId="72276FA3" w14:textId="77777777" w:rsidR="00671AD5" w:rsidRDefault="00671AD5" w:rsidP="00403C77">
      <w:pPr>
        <w:jc w:val="both"/>
      </w:pPr>
    </w:p>
    <w:p w14:paraId="1BE792FF" w14:textId="77777777" w:rsidR="00671AD5" w:rsidRDefault="00671AD5" w:rsidP="00403C77">
      <w:pPr>
        <w:jc w:val="both"/>
      </w:pPr>
    </w:p>
    <w:p w14:paraId="5884A0B3" w14:textId="77777777" w:rsidR="00671AD5" w:rsidRDefault="00671AD5" w:rsidP="00403C77">
      <w:pPr>
        <w:numPr>
          <w:ilvl w:val="0"/>
          <w:numId w:val="3"/>
        </w:numPr>
        <w:ind w:left="851" w:right="14" w:hanging="425"/>
        <w:jc w:val="both"/>
      </w:pPr>
      <w:r>
        <w:t>All relevant circumstances.</w:t>
      </w:r>
    </w:p>
    <w:p w14:paraId="16CA8FBC" w14:textId="77777777" w:rsidR="0004575E" w:rsidRDefault="0004575E" w:rsidP="00403C77">
      <w:pPr>
        <w:ind w:left="851" w:right="14"/>
        <w:jc w:val="both"/>
      </w:pPr>
    </w:p>
    <w:p w14:paraId="7315C73F" w14:textId="16CBEF62" w:rsidR="00671AD5" w:rsidRDefault="00671AD5" w:rsidP="00403C77">
      <w:pPr>
        <w:numPr>
          <w:ilvl w:val="0"/>
          <w:numId w:val="3"/>
        </w:numPr>
        <w:ind w:left="851" w:right="14" w:hanging="425"/>
        <w:jc w:val="both"/>
      </w:pPr>
      <w:r>
        <w:t xml:space="preserve">The person’s </w:t>
      </w:r>
      <w:r w:rsidR="477560BD">
        <w:t>ascertainable</w:t>
      </w:r>
      <w:r>
        <w:t xml:space="preserve"> past and present wishes/statements </w:t>
      </w:r>
      <w:r w:rsidR="002F478F" w:rsidRPr="00A558C3">
        <w:rPr>
          <w:b/>
          <w:bCs/>
        </w:rPr>
        <w:t>and</w:t>
      </w:r>
      <w:r w:rsidR="002F478F">
        <w:t xml:space="preserve"> </w:t>
      </w:r>
      <w:r>
        <w:t xml:space="preserve">their beliefs and values </w:t>
      </w:r>
      <w:r w:rsidR="002F478F" w:rsidRPr="00A558C3">
        <w:rPr>
          <w:b/>
          <w:bCs/>
        </w:rPr>
        <w:t>and</w:t>
      </w:r>
      <w:r w:rsidR="002F478F">
        <w:t xml:space="preserve"> </w:t>
      </w:r>
      <w:r>
        <w:t xml:space="preserve">other factors they would </w:t>
      </w:r>
      <w:r w:rsidR="56802B88">
        <w:t>consider</w:t>
      </w:r>
      <w:r>
        <w:t>.</w:t>
      </w:r>
    </w:p>
    <w:p w14:paraId="2CCBE6D2" w14:textId="77777777" w:rsidR="0004575E" w:rsidRDefault="0004575E" w:rsidP="00403C77">
      <w:pPr>
        <w:ind w:right="14"/>
        <w:jc w:val="both"/>
      </w:pPr>
    </w:p>
    <w:p w14:paraId="2589A77C" w14:textId="28AB2F1C" w:rsidR="00671AD5" w:rsidRDefault="00671AD5" w:rsidP="00403C77">
      <w:pPr>
        <w:numPr>
          <w:ilvl w:val="0"/>
          <w:numId w:val="3"/>
        </w:numPr>
        <w:ind w:left="851" w:right="14" w:hanging="425"/>
        <w:jc w:val="both"/>
      </w:pPr>
      <w:r>
        <w:t xml:space="preserve">The views of carers, care staff, relatives, attorneys, </w:t>
      </w:r>
      <w:r w:rsidR="0D0D4B65">
        <w:t>deputies</w:t>
      </w:r>
      <w:r>
        <w:t xml:space="preserve"> and others named by the person, if practicable and appropriate to do so.</w:t>
      </w:r>
    </w:p>
    <w:p w14:paraId="13342D73" w14:textId="77777777" w:rsidR="0004575E" w:rsidRDefault="0004575E" w:rsidP="00403C77">
      <w:pPr>
        <w:ind w:right="14"/>
        <w:jc w:val="both"/>
      </w:pPr>
    </w:p>
    <w:p w14:paraId="2CEB1398" w14:textId="0C646B1D" w:rsidR="00671AD5" w:rsidRDefault="00671AD5" w:rsidP="00403C77">
      <w:pPr>
        <w:numPr>
          <w:ilvl w:val="0"/>
          <w:numId w:val="3"/>
        </w:numPr>
        <w:ind w:left="851" w:right="14" w:hanging="425"/>
        <w:jc w:val="both"/>
      </w:pPr>
      <w:r>
        <w:t>Whether the person will regain capacity sometime in the future in relation to the matters and</w:t>
      </w:r>
      <w:r w:rsidR="003E2376">
        <w:t>,</w:t>
      </w:r>
      <w:r>
        <w:t xml:space="preserve"> if so, when?</w:t>
      </w:r>
    </w:p>
    <w:p w14:paraId="0BE21A45" w14:textId="77777777" w:rsidR="0004575E" w:rsidRDefault="0004575E" w:rsidP="00403C77">
      <w:pPr>
        <w:ind w:right="14"/>
        <w:jc w:val="both"/>
      </w:pPr>
    </w:p>
    <w:p w14:paraId="515B7600" w14:textId="77777777" w:rsidR="00671AD5" w:rsidRDefault="00671AD5" w:rsidP="00403C77">
      <w:pPr>
        <w:numPr>
          <w:ilvl w:val="0"/>
          <w:numId w:val="3"/>
        </w:numPr>
        <w:ind w:left="851" w:right="14" w:hanging="425"/>
        <w:jc w:val="both"/>
      </w:pPr>
      <w:r>
        <w:t>Encouraging and permitting the person to participate in the decision-making process.</w:t>
      </w:r>
    </w:p>
    <w:p w14:paraId="729DF110" w14:textId="77777777" w:rsidR="0004575E" w:rsidRDefault="0004575E" w:rsidP="00403C77">
      <w:pPr>
        <w:ind w:right="14"/>
        <w:jc w:val="both"/>
      </w:pPr>
    </w:p>
    <w:p w14:paraId="24690EEB" w14:textId="58864EBE" w:rsidR="0004575E" w:rsidRDefault="00671AD5" w:rsidP="00403C77">
      <w:pPr>
        <w:numPr>
          <w:ilvl w:val="0"/>
          <w:numId w:val="3"/>
        </w:numPr>
        <w:ind w:left="851" w:right="14" w:hanging="425"/>
        <w:jc w:val="both"/>
      </w:pPr>
      <w:r>
        <w:t xml:space="preserve">Not basing the best </w:t>
      </w:r>
      <w:proofErr w:type="gramStart"/>
      <w:r w:rsidR="00885CB0">
        <w:t>interests</w:t>
      </w:r>
      <w:proofErr w:type="gramEnd"/>
      <w:r>
        <w:t xml:space="preserve"> decision solely on age, appearance, </w:t>
      </w:r>
      <w:r w:rsidR="30369D2B">
        <w:t>behaviour</w:t>
      </w:r>
      <w:r>
        <w:t xml:space="preserve"> or condition.</w:t>
      </w:r>
    </w:p>
    <w:p w14:paraId="61E94A9C" w14:textId="77777777" w:rsidR="00D317D4" w:rsidRDefault="00D317D4" w:rsidP="00403C77">
      <w:pPr>
        <w:ind w:right="14"/>
        <w:jc w:val="both"/>
      </w:pPr>
    </w:p>
    <w:p w14:paraId="2CC81B07" w14:textId="20AA1A0A" w:rsidR="00671AD5" w:rsidRDefault="00671AD5" w:rsidP="00403C77">
      <w:pPr>
        <w:ind w:left="328" w:right="14"/>
        <w:jc w:val="both"/>
      </w:pPr>
      <w:r>
        <w:t>In addition, under the fifth principle of the M</w:t>
      </w:r>
      <w:r w:rsidR="003E2376">
        <w:t xml:space="preserve">ental </w:t>
      </w:r>
      <w:r>
        <w:t>C</w:t>
      </w:r>
      <w:r w:rsidR="003E2376">
        <w:t xml:space="preserve">apacity </w:t>
      </w:r>
      <w:r>
        <w:t>A</w:t>
      </w:r>
      <w:r w:rsidR="003E2376">
        <w:t>ct</w:t>
      </w:r>
      <w:r>
        <w:t xml:space="preserve"> (in section 1(6)</w:t>
      </w:r>
      <w:r w:rsidR="00A8401D">
        <w:t>)</w:t>
      </w:r>
      <w:r>
        <w:t>, the decision maker should consider le</w:t>
      </w:r>
      <w:r w:rsidR="00A8401D">
        <w:t>ast</w:t>
      </w:r>
      <w:r>
        <w:t xml:space="preserve"> restrictive options for achieving the purpose of the proposed decision.</w:t>
      </w:r>
    </w:p>
    <w:p w14:paraId="42E8AAB9" w14:textId="77777777" w:rsidR="00222DE2" w:rsidRDefault="00222DE2" w:rsidP="00403C77">
      <w:pPr>
        <w:ind w:left="328" w:right="14"/>
        <w:jc w:val="both"/>
      </w:pPr>
    </w:p>
    <w:p w14:paraId="13C1AC05" w14:textId="385E9D75" w:rsidR="00671AD5" w:rsidRDefault="00671AD5" w:rsidP="00403C77">
      <w:pPr>
        <w:ind w:left="328" w:right="14"/>
        <w:jc w:val="both"/>
      </w:pPr>
      <w:r>
        <w:t xml:space="preserve">This best </w:t>
      </w:r>
      <w:r w:rsidR="001F3744">
        <w:t>interest’s</w:t>
      </w:r>
      <w:r>
        <w:t xml:space="preserve"> assessment should be recorded by the person with responsibility over the decision. It might be wise to discuss this type of big decision in a best interests meeting. Although there is no direct statutory basis for best </w:t>
      </w:r>
      <w:r w:rsidR="001F3744">
        <w:t>interests’</w:t>
      </w:r>
      <w:r>
        <w:t xml:space="preserve"> meetings (it is not a requirement of the act), it is recommended as good practice in the code of practice (see paragraph 5.68).</w:t>
      </w:r>
    </w:p>
    <w:p w14:paraId="7EA48A88" w14:textId="77777777" w:rsidR="00A8401D" w:rsidRDefault="00A8401D" w:rsidP="00403C77">
      <w:pPr>
        <w:ind w:left="328" w:right="14"/>
        <w:jc w:val="both"/>
      </w:pPr>
    </w:p>
    <w:p w14:paraId="07F0F271" w14:textId="26A9D782" w:rsidR="00671AD5" w:rsidRDefault="00671AD5" w:rsidP="00403C77">
      <w:pPr>
        <w:ind w:left="328" w:right="14"/>
        <w:jc w:val="both"/>
      </w:pPr>
      <w:r>
        <w:t xml:space="preserve">A best </w:t>
      </w:r>
      <w:r w:rsidR="001F3744">
        <w:t>interest’s</w:t>
      </w:r>
      <w:r>
        <w:t xml:space="preserve"> decision must be a balanced decision which takes account of the negatives and positives of the potential placement options. For example, if the person is likely to be placed in a </w:t>
      </w:r>
      <w:r w:rsidR="00E572D6">
        <w:t>S</w:t>
      </w:r>
      <w:r>
        <w:t xml:space="preserve">hared </w:t>
      </w:r>
      <w:r w:rsidR="00E572D6">
        <w:t>L</w:t>
      </w:r>
      <w:r>
        <w:t>ives placement (and moved from their own home), the positives and negatives of the home environment should be recorded</w:t>
      </w:r>
      <w:r w:rsidR="00E572D6">
        <w:t>,</w:t>
      </w:r>
      <w:r>
        <w:t xml:space="preserve"> as well as the positives and negatives of the </w:t>
      </w:r>
      <w:r w:rsidR="00E572D6">
        <w:t>S</w:t>
      </w:r>
      <w:r w:rsidR="001F66D6">
        <w:t xml:space="preserve">hared </w:t>
      </w:r>
      <w:r w:rsidR="00E572D6">
        <w:t>L</w:t>
      </w:r>
      <w:r w:rsidR="001F66D6">
        <w:t>ives</w:t>
      </w:r>
      <w:r>
        <w:t xml:space="preserve"> placement. </w:t>
      </w:r>
    </w:p>
    <w:p w14:paraId="41919C7D" w14:textId="2B8354F2" w:rsidR="00671AD5" w:rsidRDefault="00671AD5" w:rsidP="00403C77">
      <w:pPr>
        <w:jc w:val="both"/>
      </w:pPr>
    </w:p>
    <w:p w14:paraId="0A2D2D2C" w14:textId="400DD6B5" w:rsidR="00671AD5" w:rsidRPr="00A558C3" w:rsidRDefault="00671AD5" w:rsidP="00403C77">
      <w:pPr>
        <w:pStyle w:val="h3"/>
        <w:jc w:val="both"/>
        <w:rPr>
          <w:sz w:val="24"/>
          <w:szCs w:val="24"/>
          <w:u w:val="none"/>
        </w:rPr>
      </w:pPr>
      <w:r w:rsidRPr="00A558C3">
        <w:rPr>
          <w:sz w:val="24"/>
          <w:szCs w:val="24"/>
          <w:u w:val="none"/>
        </w:rPr>
        <w:t xml:space="preserve">Housing </w:t>
      </w:r>
      <w:r w:rsidR="00E572D6" w:rsidRPr="00A558C3">
        <w:rPr>
          <w:sz w:val="24"/>
          <w:szCs w:val="24"/>
          <w:u w:val="none"/>
        </w:rPr>
        <w:t>b</w:t>
      </w:r>
      <w:r w:rsidRPr="00A558C3">
        <w:rPr>
          <w:sz w:val="24"/>
          <w:szCs w:val="24"/>
          <w:u w:val="none"/>
        </w:rPr>
        <w:t>enefit</w:t>
      </w:r>
    </w:p>
    <w:p w14:paraId="022AA896" w14:textId="77777777" w:rsidR="00671AD5" w:rsidRDefault="00671AD5" w:rsidP="00403C77">
      <w:pPr>
        <w:jc w:val="both"/>
      </w:pPr>
    </w:p>
    <w:p w14:paraId="39922D6D" w14:textId="308D6771" w:rsidR="00671AD5" w:rsidRPr="00C343B4" w:rsidRDefault="00671AD5" w:rsidP="00403C77">
      <w:pPr>
        <w:jc w:val="both"/>
      </w:pPr>
      <w:r>
        <w:t xml:space="preserve">If a valid </w:t>
      </w:r>
      <w:r w:rsidR="00474A80">
        <w:t>license</w:t>
      </w:r>
      <w:r>
        <w:t xml:space="preserve"> agreement is not in place</w:t>
      </w:r>
      <w:r w:rsidR="1B5880EE">
        <w:t>,</w:t>
      </w:r>
      <w:r>
        <w:t xml:space="preserve"> a person lacking mental capacity is still able to claim housing benefit to cover accommodation costs. This issue was raised in the Upper Tribunal case of </w:t>
      </w:r>
      <w:r w:rsidRPr="3235D5DF">
        <w:rPr>
          <w:rFonts w:eastAsia="Calibri"/>
          <w:i/>
          <w:iCs/>
        </w:rPr>
        <w:t xml:space="preserve">Wychavon District Council v EM (HB) [2012] </w:t>
      </w:r>
      <w:r>
        <w:t>UKUT 12.</w:t>
      </w:r>
    </w:p>
    <w:p w14:paraId="37E58B83" w14:textId="77777777" w:rsidR="00671AD5" w:rsidRPr="00C343B4" w:rsidRDefault="00671AD5" w:rsidP="00403C77">
      <w:pPr>
        <w:jc w:val="both"/>
      </w:pPr>
    </w:p>
    <w:p w14:paraId="7C25F40E" w14:textId="7E418F7C" w:rsidR="00671AD5" w:rsidRDefault="00671AD5" w:rsidP="29D3D82C">
      <w:pPr>
        <w:jc w:val="both"/>
        <w:rPr>
          <w:i/>
          <w:iCs/>
        </w:rPr>
      </w:pPr>
      <w:r>
        <w:t xml:space="preserve">Housing Benefit legislation requires that an individual </w:t>
      </w:r>
      <w:r w:rsidR="105974F4">
        <w:t>be</w:t>
      </w:r>
      <w:r>
        <w:t xml:space="preserve"> under a liability to make payments for their accommodation</w:t>
      </w:r>
      <w:bookmarkStart w:id="1" w:name="_Int_ubOgADQ6"/>
      <w:r>
        <w:t xml:space="preserve">.  </w:t>
      </w:r>
      <w:bookmarkEnd w:id="1"/>
      <w:r>
        <w:t>Section 7(1) of the M</w:t>
      </w:r>
      <w:r w:rsidR="00A50AE8">
        <w:t xml:space="preserve">ental </w:t>
      </w:r>
      <w:r>
        <w:t>C</w:t>
      </w:r>
      <w:r w:rsidR="00A50AE8">
        <w:t xml:space="preserve">apacity </w:t>
      </w:r>
      <w:r>
        <w:t>A</w:t>
      </w:r>
      <w:r w:rsidR="00A50AE8">
        <w:t>ct</w:t>
      </w:r>
      <w:r>
        <w:t xml:space="preserve"> states that </w:t>
      </w:r>
      <w:r w:rsidRPr="29D3D82C">
        <w:rPr>
          <w:i/>
          <w:iCs/>
        </w:rPr>
        <w:t xml:space="preserve">“If </w:t>
      </w:r>
      <w:r w:rsidR="5F6E8E85" w:rsidRPr="29D3D82C">
        <w:rPr>
          <w:i/>
          <w:iCs/>
        </w:rPr>
        <w:t>necessary,</w:t>
      </w:r>
      <w:r w:rsidRPr="29D3D82C">
        <w:rPr>
          <w:i/>
          <w:iCs/>
        </w:rPr>
        <w:t xml:space="preserve"> goods or services are supplied to a person who lacks capacity to contract for their supply, he must pay a reasonable price for them.”</w:t>
      </w:r>
    </w:p>
    <w:p w14:paraId="5710CAA0" w14:textId="77777777" w:rsidR="00671AD5" w:rsidRDefault="00671AD5" w:rsidP="00403C77">
      <w:pPr>
        <w:jc w:val="both"/>
        <w:rPr>
          <w:i/>
          <w:iCs/>
        </w:rPr>
      </w:pPr>
    </w:p>
    <w:p w14:paraId="3339796E" w14:textId="151DC103" w:rsidR="00222DE2" w:rsidRDefault="00671AD5" w:rsidP="00C343B4">
      <w:pPr>
        <w:jc w:val="both"/>
      </w:pPr>
      <w:r>
        <w:lastRenderedPageBreak/>
        <w:t xml:space="preserve">This means that there is an authority under law which makes </w:t>
      </w:r>
      <w:r w:rsidR="00A50AE8">
        <w:t>S</w:t>
      </w:r>
      <w:r>
        <w:t xml:space="preserve">hared </w:t>
      </w:r>
      <w:r w:rsidR="00A50AE8">
        <w:t>L</w:t>
      </w:r>
      <w:r>
        <w:t xml:space="preserve">ives service users responsible for making payments for occupation of their accommodation and, therefore, housing benefit is payable. </w:t>
      </w:r>
      <w:bookmarkStart w:id="2" w:name="_Toc165997926"/>
    </w:p>
    <w:p w14:paraId="7534754B" w14:textId="77777777" w:rsidR="00C343B4" w:rsidRDefault="00C343B4" w:rsidP="00C343B4">
      <w:pPr>
        <w:jc w:val="both"/>
      </w:pPr>
    </w:p>
    <w:p w14:paraId="52B6EC07" w14:textId="722FEA39" w:rsidR="00671AD5" w:rsidRPr="00C343B4" w:rsidRDefault="00671AD5" w:rsidP="00403C77">
      <w:pPr>
        <w:pStyle w:val="h2"/>
        <w:jc w:val="both"/>
        <w:rPr>
          <w:sz w:val="24"/>
          <w:szCs w:val="24"/>
        </w:rPr>
      </w:pPr>
      <w:r w:rsidRPr="00C343B4">
        <w:rPr>
          <w:color w:val="auto"/>
          <w:sz w:val="24"/>
          <w:szCs w:val="24"/>
        </w:rPr>
        <w:t>Summary</w:t>
      </w:r>
      <w:bookmarkEnd w:id="2"/>
    </w:p>
    <w:p w14:paraId="4E89ADFF" w14:textId="77777777" w:rsidR="00671AD5" w:rsidRDefault="00671AD5" w:rsidP="00403C77">
      <w:pPr>
        <w:jc w:val="both"/>
      </w:pPr>
    </w:p>
    <w:p w14:paraId="12E4E73B" w14:textId="21F12573" w:rsidR="00671AD5" w:rsidRPr="00222DE2" w:rsidRDefault="00F8778A" w:rsidP="00403C77">
      <w:pPr>
        <w:numPr>
          <w:ilvl w:val="0"/>
          <w:numId w:val="6"/>
        </w:numPr>
        <w:spacing w:after="329" w:line="276" w:lineRule="auto"/>
        <w:ind w:left="567" w:right="14" w:hanging="567"/>
        <w:jc w:val="both"/>
      </w:pPr>
      <w:r>
        <w:t>When</w:t>
      </w:r>
      <w:r w:rsidR="00671AD5">
        <w:t xml:space="preserve"> asking for a signature from service users</w:t>
      </w:r>
      <w:r>
        <w:t>, practitioners</w:t>
      </w:r>
      <w:r w:rsidR="00671AD5">
        <w:t xml:space="preserve"> need to ask themselves whether the person has the mental capacity to sign/enter into the agreement.</w:t>
      </w:r>
      <w:r w:rsidR="00460C76">
        <w:t xml:space="preserve"> If there is a concern around the </w:t>
      </w:r>
      <w:r w:rsidR="00CC7DBD">
        <w:t>individual’s</w:t>
      </w:r>
      <w:r w:rsidR="00460C76">
        <w:t xml:space="preserve"> mental </w:t>
      </w:r>
      <w:r w:rsidR="4B51F585">
        <w:t>capacity,</w:t>
      </w:r>
      <w:r w:rsidR="00460C76">
        <w:t xml:space="preserve"> then this should be discussed with the</w:t>
      </w:r>
      <w:r w:rsidR="001F3744">
        <w:t xml:space="preserve"> Hampshire</w:t>
      </w:r>
      <w:r w:rsidR="00460C76">
        <w:t xml:space="preserve"> Shared Lives </w:t>
      </w:r>
      <w:r w:rsidR="009B158C">
        <w:t>M</w:t>
      </w:r>
      <w:r w:rsidR="00460C76">
        <w:t xml:space="preserve">anagement </w:t>
      </w:r>
      <w:r w:rsidR="009B158C">
        <w:t>T</w:t>
      </w:r>
      <w:r w:rsidR="00460C76">
        <w:t xml:space="preserve">eam in the first instance. </w:t>
      </w:r>
    </w:p>
    <w:p w14:paraId="728782DF" w14:textId="1185B524" w:rsidR="00671AD5" w:rsidRPr="00222DE2" w:rsidRDefault="00671AD5" w:rsidP="00403C77">
      <w:pPr>
        <w:numPr>
          <w:ilvl w:val="0"/>
          <w:numId w:val="6"/>
        </w:numPr>
        <w:spacing w:after="329" w:line="276" w:lineRule="auto"/>
        <w:ind w:left="567" w:right="14" w:hanging="567"/>
        <w:jc w:val="both"/>
      </w:pPr>
      <w:r w:rsidRPr="00222DE2">
        <w:t>If they are not sure, they should complete and record a capacity assessment (not just the conclusion).</w:t>
      </w:r>
      <w:r w:rsidR="003149B1">
        <w:t xml:space="preserve"> This should be done with all relevant parties and the </w:t>
      </w:r>
      <w:r w:rsidR="00B11449">
        <w:t>c</w:t>
      </w:r>
      <w:r w:rsidR="003A06A6">
        <w:t xml:space="preserve">ommissioners of the </w:t>
      </w:r>
      <w:r w:rsidR="00B11449">
        <w:t>c</w:t>
      </w:r>
      <w:r w:rsidR="003A06A6">
        <w:t xml:space="preserve">are provided; Care Management. </w:t>
      </w:r>
    </w:p>
    <w:p w14:paraId="53B486F1" w14:textId="77777777" w:rsidR="00671AD5" w:rsidRPr="00222DE2" w:rsidRDefault="00671AD5" w:rsidP="00403C77">
      <w:pPr>
        <w:numPr>
          <w:ilvl w:val="0"/>
          <w:numId w:val="6"/>
        </w:numPr>
        <w:spacing w:after="360" w:line="276" w:lineRule="auto"/>
        <w:ind w:left="567" w:right="14" w:hanging="567"/>
        <w:jc w:val="both"/>
      </w:pPr>
      <w:r w:rsidRPr="00222DE2">
        <w:t>If the person cannot sign, they need to check whether there is someone with authority to sign for them such as an attorney or deputy with authority over property and affairs.</w:t>
      </w:r>
    </w:p>
    <w:p w14:paraId="4FA9B4F9" w14:textId="59195409" w:rsidR="00671AD5" w:rsidRDefault="00671AD5" w:rsidP="00403C77">
      <w:pPr>
        <w:numPr>
          <w:ilvl w:val="0"/>
          <w:numId w:val="6"/>
        </w:numPr>
        <w:spacing w:after="370" w:line="276" w:lineRule="auto"/>
        <w:ind w:left="567" w:right="14" w:hanging="567"/>
        <w:jc w:val="both"/>
      </w:pPr>
      <w:r>
        <w:t xml:space="preserve">If there </w:t>
      </w:r>
      <w:r w:rsidR="7171F6AD">
        <w:t>is not</w:t>
      </w:r>
      <w:r>
        <w:t>, they may be able to place the person in their best interests (if the carer agrees). This will not validate any agreement but the person lacking mental capacity may be liable to make payments and therefore eligible for housing benefit.</w:t>
      </w:r>
    </w:p>
    <w:p w14:paraId="00991D69" w14:textId="77777777" w:rsidR="00CC7DBD" w:rsidRDefault="00CC7DBD" w:rsidP="00CC7DBD">
      <w:pPr>
        <w:spacing w:after="370" w:line="276" w:lineRule="auto"/>
        <w:ind w:right="14"/>
        <w:jc w:val="both"/>
      </w:pPr>
    </w:p>
    <w:p w14:paraId="50F01051" w14:textId="77777777" w:rsidR="00CC7DBD" w:rsidRDefault="00CC7DBD" w:rsidP="00CC7DBD">
      <w:pPr>
        <w:spacing w:after="370" w:line="276" w:lineRule="auto"/>
        <w:ind w:right="14"/>
        <w:jc w:val="both"/>
      </w:pPr>
    </w:p>
    <w:p w14:paraId="60DBCD49" w14:textId="77777777" w:rsidR="00CC7DBD" w:rsidRDefault="00CC7DBD" w:rsidP="00CC7DBD">
      <w:pPr>
        <w:spacing w:after="370" w:line="276" w:lineRule="auto"/>
        <w:ind w:right="14"/>
        <w:jc w:val="both"/>
      </w:pPr>
    </w:p>
    <w:p w14:paraId="445107EF" w14:textId="77777777" w:rsidR="00CC7DBD" w:rsidRDefault="00CC7DBD" w:rsidP="00CC7DBD">
      <w:pPr>
        <w:spacing w:after="370" w:line="276" w:lineRule="auto"/>
        <w:ind w:right="14"/>
        <w:jc w:val="both"/>
      </w:pPr>
    </w:p>
    <w:p w14:paraId="63AB8E7F" w14:textId="77777777" w:rsidR="00CC7DBD" w:rsidRDefault="00CC7DBD" w:rsidP="00CC7DBD">
      <w:pPr>
        <w:spacing w:after="370" w:line="276" w:lineRule="auto"/>
        <w:ind w:right="14"/>
        <w:jc w:val="both"/>
      </w:pPr>
    </w:p>
    <w:p w14:paraId="10CBD46C" w14:textId="77777777" w:rsidR="00CC7DBD" w:rsidRDefault="00CC7DBD" w:rsidP="00CC7DBD">
      <w:pPr>
        <w:spacing w:after="370" w:line="276" w:lineRule="auto"/>
        <w:ind w:right="14"/>
        <w:jc w:val="both"/>
      </w:pPr>
    </w:p>
    <w:p w14:paraId="1518ED4B" w14:textId="77777777" w:rsidR="00CC7DBD" w:rsidRDefault="00CC7DBD" w:rsidP="00CC7DBD">
      <w:pPr>
        <w:spacing w:after="370" w:line="276" w:lineRule="auto"/>
        <w:ind w:right="14"/>
        <w:jc w:val="both"/>
      </w:pPr>
    </w:p>
    <w:p w14:paraId="4C47C165" w14:textId="77777777" w:rsidR="00CC7DBD" w:rsidRDefault="00CC7DBD" w:rsidP="00CC7DBD">
      <w:pPr>
        <w:spacing w:after="370" w:line="276" w:lineRule="auto"/>
        <w:ind w:right="14"/>
        <w:jc w:val="both"/>
      </w:pPr>
    </w:p>
    <w:p w14:paraId="784DCAA9" w14:textId="77777777" w:rsidR="00CC7DBD" w:rsidRDefault="00CC7DBD" w:rsidP="00CC7DBD">
      <w:pPr>
        <w:spacing w:after="370" w:line="276" w:lineRule="auto"/>
        <w:ind w:right="14"/>
        <w:jc w:val="both"/>
      </w:pPr>
    </w:p>
    <w:p w14:paraId="42667704" w14:textId="77777777" w:rsidR="00CC7DBD" w:rsidRDefault="00CC7DBD" w:rsidP="00CC7DBD">
      <w:pPr>
        <w:spacing w:after="370" w:line="276" w:lineRule="auto"/>
        <w:ind w:right="14"/>
        <w:jc w:val="both"/>
      </w:pPr>
    </w:p>
    <w:p w14:paraId="01DC4815" w14:textId="77777777" w:rsidR="00CC7DBD" w:rsidRDefault="00CC7DBD" w:rsidP="00CC7DBD">
      <w:pPr>
        <w:spacing w:after="370" w:line="276" w:lineRule="auto"/>
        <w:ind w:right="14"/>
        <w:jc w:val="both"/>
      </w:pPr>
    </w:p>
    <w:p w14:paraId="1958F828" w14:textId="77777777" w:rsidR="00CC7DBD" w:rsidRDefault="00CC7DBD" w:rsidP="00CC7DBD">
      <w:pPr>
        <w:spacing w:after="370" w:line="276" w:lineRule="auto"/>
        <w:ind w:right="14"/>
        <w:jc w:val="both"/>
      </w:pPr>
    </w:p>
    <w:p w14:paraId="58FC54F2" w14:textId="77777777" w:rsidR="00CC7DBD" w:rsidRDefault="00CC7DBD" w:rsidP="00CC7DBD">
      <w:pPr>
        <w:spacing w:after="370" w:line="276" w:lineRule="auto"/>
        <w:ind w:right="14"/>
        <w:jc w:val="both"/>
      </w:pPr>
    </w:p>
    <w:p w14:paraId="19D601C5" w14:textId="77777777" w:rsidR="00CC7DBD" w:rsidRDefault="00CC7DBD" w:rsidP="00CC7DBD">
      <w:pPr>
        <w:spacing w:after="370" w:line="276" w:lineRule="auto"/>
        <w:ind w:right="14"/>
        <w:jc w:val="both"/>
      </w:pPr>
    </w:p>
    <w:p w14:paraId="4928416C" w14:textId="77777777" w:rsidR="00CC7DBD" w:rsidRDefault="00CC7DBD" w:rsidP="00CC7DBD">
      <w:pPr>
        <w:spacing w:after="370" w:line="276" w:lineRule="auto"/>
        <w:ind w:right="14"/>
        <w:jc w:val="both"/>
      </w:pPr>
    </w:p>
    <w:p w14:paraId="692E53BB" w14:textId="77777777" w:rsidR="00CC7DBD" w:rsidRDefault="00CC7DBD" w:rsidP="00CC7DBD">
      <w:pPr>
        <w:spacing w:after="370" w:line="276" w:lineRule="auto"/>
        <w:ind w:right="14"/>
        <w:jc w:val="both"/>
      </w:pPr>
    </w:p>
    <w:p w14:paraId="42E88764" w14:textId="77777777" w:rsidR="00CC7DBD" w:rsidRDefault="00CC7DBD" w:rsidP="00CC7DBD">
      <w:pPr>
        <w:spacing w:after="370" w:line="276" w:lineRule="auto"/>
        <w:ind w:right="14"/>
        <w:jc w:val="both"/>
      </w:pPr>
    </w:p>
    <w:p w14:paraId="02ACC63F" w14:textId="77777777" w:rsidR="00CC7DBD" w:rsidRDefault="00CC7DBD" w:rsidP="00CC7DBD">
      <w:pPr>
        <w:spacing w:after="370" w:line="276" w:lineRule="auto"/>
        <w:ind w:right="14"/>
        <w:jc w:val="both"/>
      </w:pPr>
    </w:p>
    <w:p w14:paraId="1CEBD01E" w14:textId="77777777" w:rsidR="00CC7DBD" w:rsidRDefault="00CC7DBD" w:rsidP="00CC7DBD">
      <w:pPr>
        <w:spacing w:after="370" w:line="276" w:lineRule="auto"/>
        <w:ind w:right="14"/>
        <w:jc w:val="both"/>
      </w:pPr>
    </w:p>
    <w:p w14:paraId="7E1A7069" w14:textId="77777777" w:rsidR="00CC7DBD" w:rsidRDefault="00CC7DBD" w:rsidP="00CC7DBD">
      <w:pPr>
        <w:spacing w:after="370" w:line="276" w:lineRule="auto"/>
        <w:ind w:right="14"/>
        <w:jc w:val="both"/>
      </w:pPr>
    </w:p>
    <w:p w14:paraId="682D20DC" w14:textId="77777777" w:rsidR="00CC7DBD" w:rsidRDefault="00CC7DBD" w:rsidP="00CC7DBD">
      <w:pPr>
        <w:spacing w:after="370" w:line="276" w:lineRule="auto"/>
        <w:ind w:right="14"/>
        <w:jc w:val="both"/>
      </w:pPr>
    </w:p>
    <w:p w14:paraId="4969613B" w14:textId="77777777" w:rsidR="00CC7DBD" w:rsidRPr="00222DE2" w:rsidRDefault="00CC7DBD" w:rsidP="00CC7DBD">
      <w:pPr>
        <w:spacing w:after="370" w:line="276" w:lineRule="auto"/>
        <w:ind w:right="14"/>
        <w:jc w:val="both"/>
      </w:pPr>
    </w:p>
    <w:p w14:paraId="3C90A41A" w14:textId="77777777" w:rsidR="00671AD5" w:rsidRPr="00954836" w:rsidRDefault="00671AD5" w:rsidP="00403C77">
      <w:pPr>
        <w:jc w:val="both"/>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CC7DBD" w:rsidRPr="00AB690A" w14:paraId="6DF64BA7" w14:textId="77777777" w:rsidTr="000D38F4">
        <w:trPr>
          <w:trHeight w:val="300"/>
        </w:trPr>
        <w:tc>
          <w:tcPr>
            <w:tcW w:w="2306" w:type="dxa"/>
            <w:hideMark/>
          </w:tcPr>
          <w:p w14:paraId="25CE7971" w14:textId="77777777" w:rsidR="00CC7DBD" w:rsidRPr="00AB690A" w:rsidRDefault="00CC7DBD" w:rsidP="000D38F4">
            <w:pPr>
              <w:pStyle w:val="Pull-outquote"/>
            </w:pPr>
            <w:r w:rsidRPr="00AB690A">
              <w:t>Date: </w:t>
            </w:r>
          </w:p>
        </w:tc>
        <w:tc>
          <w:tcPr>
            <w:tcW w:w="378" w:type="dxa"/>
            <w:shd w:val="clear" w:color="auto" w:fill="FFFFFF"/>
            <w:hideMark/>
          </w:tcPr>
          <w:p w14:paraId="7D15A77C" w14:textId="77777777" w:rsidR="00CC7DBD" w:rsidRPr="00AB690A" w:rsidRDefault="00CC7DBD" w:rsidP="000D38F4">
            <w:pPr>
              <w:pStyle w:val="Pull-outquote"/>
            </w:pPr>
            <w:r w:rsidRPr="00AB690A">
              <w:t> </w:t>
            </w:r>
          </w:p>
        </w:tc>
        <w:tc>
          <w:tcPr>
            <w:tcW w:w="6322" w:type="dxa"/>
            <w:gridSpan w:val="2"/>
            <w:hideMark/>
          </w:tcPr>
          <w:p w14:paraId="42C72C2B" w14:textId="657C910A" w:rsidR="00CC7DBD" w:rsidRPr="00AB690A" w:rsidRDefault="00CC7DBD" w:rsidP="000D38F4">
            <w:pPr>
              <w:pStyle w:val="Pull-outquote"/>
              <w:rPr>
                <w:b w:val="0"/>
                <w:bCs w:val="0"/>
              </w:rPr>
            </w:pPr>
            <w:r>
              <w:rPr>
                <w:b w:val="0"/>
                <w:bCs w:val="0"/>
              </w:rPr>
              <w:t>Agreements and MCA V1</w:t>
            </w:r>
          </w:p>
        </w:tc>
      </w:tr>
      <w:tr w:rsidR="00CC7DBD" w:rsidRPr="00AB690A" w14:paraId="06A1107C" w14:textId="77777777" w:rsidTr="000D38F4">
        <w:trPr>
          <w:trHeight w:val="300"/>
        </w:trPr>
        <w:tc>
          <w:tcPr>
            <w:tcW w:w="2306" w:type="dxa"/>
            <w:hideMark/>
          </w:tcPr>
          <w:p w14:paraId="1CC1444D" w14:textId="5182EC83" w:rsidR="00CC7DBD" w:rsidRPr="00AB690A" w:rsidRDefault="00CC7DBD" w:rsidP="000D38F4">
            <w:pPr>
              <w:pStyle w:val="Pull-outquote"/>
            </w:pPr>
            <w:r w:rsidRPr="00AB690A">
              <w:t xml:space="preserve">Effective </w:t>
            </w:r>
            <w:r w:rsidR="00B40C68">
              <w:t>d</w:t>
            </w:r>
            <w:r w:rsidRPr="00AB690A">
              <w:t>ate: </w:t>
            </w:r>
          </w:p>
        </w:tc>
        <w:tc>
          <w:tcPr>
            <w:tcW w:w="378" w:type="dxa"/>
            <w:shd w:val="clear" w:color="auto" w:fill="FFFFFF"/>
            <w:hideMark/>
          </w:tcPr>
          <w:p w14:paraId="3D65F08D" w14:textId="77777777" w:rsidR="00CC7DBD" w:rsidRPr="00AB690A" w:rsidRDefault="00CC7DBD" w:rsidP="000D38F4">
            <w:pPr>
              <w:pStyle w:val="Pull-outquote"/>
            </w:pPr>
            <w:r w:rsidRPr="00AB690A">
              <w:t> </w:t>
            </w:r>
          </w:p>
        </w:tc>
        <w:tc>
          <w:tcPr>
            <w:tcW w:w="6322" w:type="dxa"/>
            <w:gridSpan w:val="2"/>
          </w:tcPr>
          <w:p w14:paraId="0ACA1C01" w14:textId="77777777" w:rsidR="00CC7DBD" w:rsidRPr="00AB690A" w:rsidRDefault="00CC7DBD" w:rsidP="000D38F4">
            <w:pPr>
              <w:pStyle w:val="Pull-outquote"/>
              <w:rPr>
                <w:b w:val="0"/>
                <w:bCs w:val="0"/>
              </w:rPr>
            </w:pPr>
            <w:r>
              <w:rPr>
                <w:b w:val="0"/>
                <w:bCs w:val="0"/>
              </w:rPr>
              <w:t>28/02/2026</w:t>
            </w:r>
          </w:p>
        </w:tc>
      </w:tr>
      <w:tr w:rsidR="00CC7DBD" w:rsidRPr="00AB690A" w14:paraId="4EBDEA7E" w14:textId="77777777" w:rsidTr="000D38F4">
        <w:trPr>
          <w:trHeight w:val="300"/>
        </w:trPr>
        <w:tc>
          <w:tcPr>
            <w:tcW w:w="2306" w:type="dxa"/>
            <w:hideMark/>
          </w:tcPr>
          <w:p w14:paraId="6C020869" w14:textId="26B82D8A" w:rsidR="00CC7DBD" w:rsidRPr="00AB690A" w:rsidRDefault="00CC7DBD" w:rsidP="000D38F4">
            <w:pPr>
              <w:pStyle w:val="Pull-outquote"/>
            </w:pPr>
            <w:r w:rsidRPr="00AB690A">
              <w:t xml:space="preserve">Review </w:t>
            </w:r>
            <w:r w:rsidR="00B40C68">
              <w:t>d</w:t>
            </w:r>
            <w:r w:rsidRPr="00AB690A">
              <w:t>ate: </w:t>
            </w:r>
          </w:p>
        </w:tc>
        <w:tc>
          <w:tcPr>
            <w:tcW w:w="378" w:type="dxa"/>
            <w:shd w:val="clear" w:color="auto" w:fill="FFFFFF"/>
            <w:hideMark/>
          </w:tcPr>
          <w:p w14:paraId="25099A29" w14:textId="77777777" w:rsidR="00CC7DBD" w:rsidRPr="00AB690A" w:rsidRDefault="00CC7DBD" w:rsidP="000D38F4">
            <w:pPr>
              <w:pStyle w:val="Pull-outquote"/>
            </w:pPr>
            <w:r w:rsidRPr="00AB690A">
              <w:t> </w:t>
            </w:r>
          </w:p>
        </w:tc>
        <w:tc>
          <w:tcPr>
            <w:tcW w:w="6322" w:type="dxa"/>
            <w:gridSpan w:val="2"/>
            <w:hideMark/>
          </w:tcPr>
          <w:p w14:paraId="7C6BCDAA" w14:textId="77777777" w:rsidR="00CC7DBD" w:rsidRPr="00AB690A" w:rsidRDefault="00CC7DBD" w:rsidP="000D38F4">
            <w:pPr>
              <w:pStyle w:val="Pull-outquote"/>
              <w:rPr>
                <w:b w:val="0"/>
                <w:bCs w:val="0"/>
              </w:rPr>
            </w:pPr>
            <w:r>
              <w:rPr>
                <w:b w:val="0"/>
                <w:bCs w:val="0"/>
              </w:rPr>
              <w:t>28/02/2027</w:t>
            </w:r>
          </w:p>
        </w:tc>
      </w:tr>
      <w:tr w:rsidR="00CC7DBD" w:rsidRPr="00AB690A" w14:paraId="5982333E" w14:textId="77777777" w:rsidTr="000D38F4">
        <w:trPr>
          <w:trHeight w:val="300"/>
        </w:trPr>
        <w:tc>
          <w:tcPr>
            <w:tcW w:w="2306" w:type="dxa"/>
            <w:hideMark/>
          </w:tcPr>
          <w:p w14:paraId="66D9C7CD" w14:textId="77777777" w:rsidR="00CC7DBD" w:rsidRPr="00AB690A" w:rsidRDefault="00CC7DBD" w:rsidP="000D38F4">
            <w:pPr>
              <w:pStyle w:val="Pull-outquote"/>
            </w:pPr>
            <w:r w:rsidRPr="00AB690A">
              <w:t>Author: </w:t>
            </w:r>
          </w:p>
        </w:tc>
        <w:tc>
          <w:tcPr>
            <w:tcW w:w="378" w:type="dxa"/>
            <w:shd w:val="clear" w:color="auto" w:fill="FFFFFF"/>
            <w:hideMark/>
          </w:tcPr>
          <w:p w14:paraId="4BD2F01E" w14:textId="77777777" w:rsidR="00CC7DBD" w:rsidRPr="00AB690A" w:rsidRDefault="00CC7DBD" w:rsidP="000D38F4">
            <w:pPr>
              <w:pStyle w:val="Pull-outquote"/>
            </w:pPr>
            <w:r w:rsidRPr="00AB690A">
              <w:t> </w:t>
            </w:r>
          </w:p>
        </w:tc>
        <w:tc>
          <w:tcPr>
            <w:tcW w:w="6322" w:type="dxa"/>
            <w:gridSpan w:val="2"/>
            <w:hideMark/>
          </w:tcPr>
          <w:p w14:paraId="76529745" w14:textId="77777777" w:rsidR="00CC7DBD" w:rsidRPr="00AB690A" w:rsidRDefault="00CC7DBD" w:rsidP="000D38F4">
            <w:pPr>
              <w:pStyle w:val="Pull-outquote"/>
              <w:rPr>
                <w:b w:val="0"/>
                <w:bCs w:val="0"/>
              </w:rPr>
            </w:pPr>
            <w:r w:rsidRPr="00DD7483">
              <w:rPr>
                <w:b w:val="0"/>
                <w:bCs w:val="0"/>
              </w:rPr>
              <w:t>Helen Bradshaw/ Carers group</w:t>
            </w:r>
          </w:p>
        </w:tc>
      </w:tr>
      <w:tr w:rsidR="00CC7DBD" w:rsidRPr="00AB690A" w14:paraId="4F29CB91" w14:textId="77777777" w:rsidTr="000D38F4">
        <w:trPr>
          <w:trHeight w:val="300"/>
        </w:trPr>
        <w:tc>
          <w:tcPr>
            <w:tcW w:w="2306" w:type="dxa"/>
            <w:hideMark/>
          </w:tcPr>
          <w:p w14:paraId="72F4B10E" w14:textId="02B7D9B5" w:rsidR="00CC7DBD" w:rsidRPr="00AB690A" w:rsidRDefault="00CC7DBD" w:rsidP="000D38F4">
            <w:pPr>
              <w:pStyle w:val="Pull-outquote"/>
            </w:pPr>
            <w:r w:rsidRPr="00AB690A">
              <w:t xml:space="preserve">Authority to </w:t>
            </w:r>
            <w:r w:rsidR="00B40C68">
              <w:t>v</w:t>
            </w:r>
            <w:r w:rsidRPr="00AB690A">
              <w:t>ary: </w:t>
            </w:r>
          </w:p>
        </w:tc>
        <w:tc>
          <w:tcPr>
            <w:tcW w:w="378" w:type="dxa"/>
            <w:shd w:val="clear" w:color="auto" w:fill="FFFFFF"/>
            <w:hideMark/>
          </w:tcPr>
          <w:p w14:paraId="303956A1" w14:textId="77777777" w:rsidR="00CC7DBD" w:rsidRPr="00AB690A" w:rsidRDefault="00CC7DBD" w:rsidP="000D38F4">
            <w:pPr>
              <w:pStyle w:val="Pull-outquote"/>
            </w:pPr>
            <w:r w:rsidRPr="00AB690A">
              <w:t> </w:t>
            </w:r>
          </w:p>
        </w:tc>
        <w:tc>
          <w:tcPr>
            <w:tcW w:w="6322" w:type="dxa"/>
            <w:gridSpan w:val="2"/>
            <w:hideMark/>
          </w:tcPr>
          <w:p w14:paraId="22BD31BC" w14:textId="77777777" w:rsidR="00CC7DBD" w:rsidRPr="00AB690A" w:rsidRDefault="00CC7DBD" w:rsidP="000D38F4">
            <w:pPr>
              <w:pStyle w:val="Pull-outquote"/>
              <w:rPr>
                <w:b w:val="0"/>
                <w:bCs w:val="0"/>
              </w:rPr>
            </w:pPr>
            <w:r w:rsidRPr="00AB690A">
              <w:rPr>
                <w:b w:val="0"/>
                <w:bCs w:val="0"/>
              </w:rPr>
              <w:t>HCC Care SMT </w:t>
            </w:r>
          </w:p>
        </w:tc>
      </w:tr>
      <w:tr w:rsidR="00CC7DBD" w:rsidRPr="00AB690A" w14:paraId="35D7CB01" w14:textId="77777777" w:rsidTr="000D38F4">
        <w:trPr>
          <w:trHeight w:val="300"/>
        </w:trPr>
        <w:tc>
          <w:tcPr>
            <w:tcW w:w="2306" w:type="dxa"/>
            <w:hideMark/>
          </w:tcPr>
          <w:p w14:paraId="11736474" w14:textId="6227AEAC" w:rsidR="00CC7DBD" w:rsidRPr="00AB690A" w:rsidRDefault="00CC7DBD" w:rsidP="000D38F4">
            <w:pPr>
              <w:pStyle w:val="Pull-outquote"/>
            </w:pPr>
            <w:r w:rsidRPr="00AB690A">
              <w:t>Policies/</w:t>
            </w:r>
            <w:r w:rsidR="00B40C68">
              <w:t>p</w:t>
            </w:r>
            <w:r w:rsidRPr="00AB690A">
              <w:t>rocedures cancelled or amended: </w:t>
            </w:r>
          </w:p>
        </w:tc>
        <w:tc>
          <w:tcPr>
            <w:tcW w:w="378" w:type="dxa"/>
            <w:shd w:val="clear" w:color="auto" w:fill="FFFFFF"/>
            <w:hideMark/>
          </w:tcPr>
          <w:p w14:paraId="12E16367" w14:textId="77777777" w:rsidR="00CC7DBD" w:rsidRPr="00AB690A" w:rsidRDefault="00CC7DBD" w:rsidP="000D38F4">
            <w:pPr>
              <w:pStyle w:val="Pull-outquote"/>
            </w:pPr>
            <w:r w:rsidRPr="00AB690A">
              <w:t> </w:t>
            </w:r>
          </w:p>
        </w:tc>
        <w:tc>
          <w:tcPr>
            <w:tcW w:w="6322" w:type="dxa"/>
            <w:gridSpan w:val="2"/>
            <w:hideMark/>
          </w:tcPr>
          <w:p w14:paraId="6BAF0ECD" w14:textId="77777777" w:rsidR="00CC7DBD" w:rsidRPr="00AB690A" w:rsidRDefault="00CC7DBD" w:rsidP="000D38F4">
            <w:pPr>
              <w:pStyle w:val="Pull-outquote"/>
            </w:pPr>
          </w:p>
        </w:tc>
      </w:tr>
      <w:tr w:rsidR="00CC7DBD" w:rsidRPr="00AB690A" w14:paraId="2C63E6D4" w14:textId="77777777" w:rsidTr="000D38F4">
        <w:trPr>
          <w:trHeight w:val="300"/>
        </w:trPr>
        <w:tc>
          <w:tcPr>
            <w:tcW w:w="7348" w:type="dxa"/>
            <w:gridSpan w:val="3"/>
            <w:hideMark/>
          </w:tcPr>
          <w:p w14:paraId="3293BB02" w14:textId="77777777" w:rsidR="00CC7DBD" w:rsidRPr="00AB690A" w:rsidRDefault="00CC7DBD" w:rsidP="000D38F4">
            <w:pPr>
              <w:pStyle w:val="Pull-outquote"/>
            </w:pPr>
            <w:r w:rsidRPr="00AB690A">
              <w:t>Amendment: </w:t>
            </w:r>
          </w:p>
        </w:tc>
        <w:tc>
          <w:tcPr>
            <w:tcW w:w="1658" w:type="dxa"/>
            <w:hideMark/>
          </w:tcPr>
          <w:p w14:paraId="687A06CD" w14:textId="77777777" w:rsidR="00CC7DBD" w:rsidRPr="00AB690A" w:rsidRDefault="00CC7DBD" w:rsidP="000D38F4">
            <w:pPr>
              <w:pStyle w:val="Pull-outquote"/>
            </w:pPr>
            <w:r w:rsidRPr="00AB690A">
              <w:t>Date: </w:t>
            </w:r>
          </w:p>
        </w:tc>
      </w:tr>
      <w:tr w:rsidR="00CC7DBD" w:rsidRPr="00AB690A" w14:paraId="03878563" w14:textId="77777777" w:rsidTr="000D38F4">
        <w:trPr>
          <w:trHeight w:val="300"/>
        </w:trPr>
        <w:tc>
          <w:tcPr>
            <w:tcW w:w="7348" w:type="dxa"/>
            <w:gridSpan w:val="3"/>
          </w:tcPr>
          <w:p w14:paraId="0F9B0C44" w14:textId="77777777" w:rsidR="00CC7DBD" w:rsidRPr="00AB690A" w:rsidRDefault="00CC7DBD" w:rsidP="000D38F4">
            <w:pPr>
              <w:pStyle w:val="Pull-outquote"/>
            </w:pPr>
            <w:r>
              <w:t>Table with breakdown added</w:t>
            </w:r>
          </w:p>
        </w:tc>
        <w:tc>
          <w:tcPr>
            <w:tcW w:w="1658" w:type="dxa"/>
          </w:tcPr>
          <w:p w14:paraId="4A32377D" w14:textId="77777777" w:rsidR="00CC7DBD" w:rsidRPr="00AB690A" w:rsidRDefault="00CC7DBD" w:rsidP="000D38F4">
            <w:pPr>
              <w:pStyle w:val="Pull-outquote"/>
            </w:pPr>
            <w:r>
              <w:t>28/02/2026</w:t>
            </w:r>
          </w:p>
        </w:tc>
      </w:tr>
      <w:tr w:rsidR="00CC7DBD" w:rsidRPr="00AB690A" w14:paraId="570B9F73" w14:textId="77777777" w:rsidTr="000D38F4">
        <w:trPr>
          <w:trHeight w:val="300"/>
        </w:trPr>
        <w:tc>
          <w:tcPr>
            <w:tcW w:w="7348" w:type="dxa"/>
            <w:gridSpan w:val="3"/>
          </w:tcPr>
          <w:p w14:paraId="0114EBAE" w14:textId="77777777" w:rsidR="00CC7DBD" w:rsidRPr="00AB690A" w:rsidRDefault="00CC7DBD" w:rsidP="000D38F4">
            <w:pPr>
              <w:pStyle w:val="Pull-outquote"/>
            </w:pPr>
          </w:p>
        </w:tc>
        <w:tc>
          <w:tcPr>
            <w:tcW w:w="1658" w:type="dxa"/>
          </w:tcPr>
          <w:p w14:paraId="1AA214FB" w14:textId="77777777" w:rsidR="00CC7DBD" w:rsidRPr="00AB690A" w:rsidRDefault="00CC7DBD" w:rsidP="000D38F4">
            <w:pPr>
              <w:pStyle w:val="Pull-outquote"/>
            </w:pPr>
          </w:p>
        </w:tc>
      </w:tr>
      <w:tr w:rsidR="00CC7DBD" w:rsidRPr="00AB690A" w14:paraId="59722EE6" w14:textId="77777777" w:rsidTr="000D38F4">
        <w:tc>
          <w:tcPr>
            <w:tcW w:w="2306" w:type="dxa"/>
            <w:vAlign w:val="center"/>
            <w:hideMark/>
          </w:tcPr>
          <w:p w14:paraId="73F0E1F1" w14:textId="77777777" w:rsidR="00CC7DBD" w:rsidRPr="00AB690A" w:rsidRDefault="00CC7DBD" w:rsidP="000D38F4">
            <w:pPr>
              <w:pStyle w:val="Pull-outquote"/>
            </w:pPr>
          </w:p>
        </w:tc>
        <w:tc>
          <w:tcPr>
            <w:tcW w:w="378" w:type="dxa"/>
            <w:vAlign w:val="center"/>
            <w:hideMark/>
          </w:tcPr>
          <w:p w14:paraId="7B18D6EE" w14:textId="77777777" w:rsidR="00CC7DBD" w:rsidRPr="00AB690A" w:rsidRDefault="00CC7DBD" w:rsidP="000D38F4">
            <w:pPr>
              <w:pStyle w:val="Pull-outquote"/>
            </w:pPr>
          </w:p>
        </w:tc>
        <w:tc>
          <w:tcPr>
            <w:tcW w:w="4664" w:type="dxa"/>
            <w:vAlign w:val="center"/>
            <w:hideMark/>
          </w:tcPr>
          <w:p w14:paraId="02FA5663" w14:textId="77777777" w:rsidR="00CC7DBD" w:rsidRPr="00AB690A" w:rsidRDefault="00CC7DBD" w:rsidP="000D38F4">
            <w:pPr>
              <w:pStyle w:val="Pull-outquote"/>
            </w:pPr>
          </w:p>
        </w:tc>
        <w:tc>
          <w:tcPr>
            <w:tcW w:w="1658" w:type="dxa"/>
            <w:vAlign w:val="center"/>
            <w:hideMark/>
          </w:tcPr>
          <w:p w14:paraId="58D0B30F" w14:textId="77777777" w:rsidR="00CC7DBD" w:rsidRPr="00AB690A" w:rsidRDefault="00CC7DBD" w:rsidP="000D38F4">
            <w:pPr>
              <w:pStyle w:val="Pull-outquote"/>
            </w:pPr>
          </w:p>
        </w:tc>
      </w:tr>
    </w:tbl>
    <w:p w14:paraId="43E30632" w14:textId="77777777" w:rsidR="006503CA" w:rsidRPr="002F2A47" w:rsidRDefault="006503CA" w:rsidP="00403C77">
      <w:pPr>
        <w:pStyle w:val="h1"/>
        <w:jc w:val="both"/>
      </w:pPr>
    </w:p>
    <w:sectPr w:rsidR="006503CA" w:rsidRPr="002F2A47" w:rsidSect="002C0DEA">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ED52" w14:textId="77777777" w:rsidR="00EA24C0" w:rsidRDefault="00EA24C0" w:rsidP="006503CA">
      <w:r>
        <w:separator/>
      </w:r>
    </w:p>
  </w:endnote>
  <w:endnote w:type="continuationSeparator" w:id="0">
    <w:p w14:paraId="685505D9" w14:textId="77777777" w:rsidR="00EA24C0" w:rsidRDefault="00EA24C0"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57D26D4C" w:rsidR="00863A0F" w:rsidRPr="00863A0F" w:rsidRDefault="009D235E" w:rsidP="009772B5">
    <w:pPr>
      <w:pStyle w:val="Footer"/>
      <w:tabs>
        <w:tab w:val="left" w:pos="5387"/>
      </w:tabs>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9772B5" w:rsidRPr="009772B5">
          <w:t>SL OPG (13) - Agreements and MCA V1</w:t>
        </w:r>
        <w:r w:rsidR="00863A0F">
          <w:tab/>
        </w:r>
        <w:r w:rsidR="00863A0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FF29" w14:textId="77777777" w:rsidR="00EA24C0" w:rsidRDefault="00EA24C0" w:rsidP="006503CA">
      <w:r>
        <w:separator/>
      </w:r>
    </w:p>
  </w:footnote>
  <w:footnote w:type="continuationSeparator" w:id="0">
    <w:p w14:paraId="324E41D8" w14:textId="77777777" w:rsidR="00EA24C0" w:rsidRDefault="00EA24C0" w:rsidP="006503C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bOgADQ6" int2:invalidationBookmarkName="" int2:hashCode="RoHRJMxsS3O6q/" int2:id="oEDM75R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581"/>
    <w:multiLevelType w:val="hybridMultilevel"/>
    <w:tmpl w:val="405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21B21"/>
    <w:multiLevelType w:val="hybridMultilevel"/>
    <w:tmpl w:val="75802012"/>
    <w:lvl w:ilvl="0" w:tplc="D0E44846">
      <w:start w:val="1"/>
      <w:numFmt w:val="decimal"/>
      <w:lvlText w:val="%1."/>
      <w:lvlJc w:val="left"/>
      <w:pPr>
        <w:ind w:left="1346"/>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66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2" w:tplc="FFFFFFFF">
      <w:start w:val="1"/>
      <w:numFmt w:val="lowerRoman"/>
      <w:lvlText w:val="%3"/>
      <w:lvlJc w:val="left"/>
      <w:pPr>
        <w:ind w:left="238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3" w:tplc="FFFFFFFF">
      <w:start w:val="1"/>
      <w:numFmt w:val="decimal"/>
      <w:lvlText w:val="%4"/>
      <w:lvlJc w:val="left"/>
      <w:pPr>
        <w:ind w:left="310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4" w:tplc="FFFFFFFF">
      <w:start w:val="1"/>
      <w:numFmt w:val="lowerLetter"/>
      <w:lvlText w:val="%5"/>
      <w:lvlJc w:val="left"/>
      <w:pPr>
        <w:ind w:left="382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5" w:tplc="FFFFFFFF">
      <w:start w:val="1"/>
      <w:numFmt w:val="lowerRoman"/>
      <w:lvlText w:val="%6"/>
      <w:lvlJc w:val="left"/>
      <w:pPr>
        <w:ind w:left="454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6" w:tplc="FFFFFFFF">
      <w:start w:val="1"/>
      <w:numFmt w:val="decimal"/>
      <w:lvlText w:val="%7"/>
      <w:lvlJc w:val="left"/>
      <w:pPr>
        <w:ind w:left="526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7" w:tplc="FFFFFFFF">
      <w:start w:val="1"/>
      <w:numFmt w:val="lowerLetter"/>
      <w:lvlText w:val="%8"/>
      <w:lvlJc w:val="left"/>
      <w:pPr>
        <w:ind w:left="598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8" w:tplc="FFFFFFFF">
      <w:start w:val="1"/>
      <w:numFmt w:val="lowerRoman"/>
      <w:lvlText w:val="%9"/>
      <w:lvlJc w:val="left"/>
      <w:pPr>
        <w:ind w:left="670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abstractNum>
  <w:abstractNum w:abstractNumId="3" w15:restartNumberingAfterBreak="0">
    <w:nsid w:val="65E37D77"/>
    <w:multiLevelType w:val="hybridMultilevel"/>
    <w:tmpl w:val="AFF4B700"/>
    <w:lvl w:ilvl="0" w:tplc="26A4E55C">
      <w:start w:val="1"/>
      <w:numFmt w:val="decimal"/>
      <w:lvlText w:val="%1."/>
      <w:lvlJc w:val="left"/>
      <w:pPr>
        <w:ind w:left="1346"/>
      </w:pPr>
      <w:rPr>
        <w:b w:val="0"/>
        <w:i w:val="0"/>
        <w:strike w:val="0"/>
        <w:dstrike w:val="0"/>
        <w:color w:val="auto"/>
        <w:sz w:val="24"/>
        <w:szCs w:val="24"/>
        <w:u w:val="none" w:color="000000"/>
        <w:bdr w:val="none" w:sz="0" w:space="0" w:color="auto"/>
        <w:shd w:val="clear" w:color="auto" w:fill="auto"/>
        <w:vertAlign w:val="baseline"/>
      </w:rPr>
    </w:lvl>
    <w:lvl w:ilvl="1" w:tplc="D152E6B6">
      <w:start w:val="1"/>
      <w:numFmt w:val="lowerLetter"/>
      <w:lvlText w:val="%2"/>
      <w:lvlJc w:val="left"/>
      <w:pPr>
        <w:ind w:left="166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2" w:tplc="83A6E20C">
      <w:start w:val="1"/>
      <w:numFmt w:val="lowerRoman"/>
      <w:lvlText w:val="%3"/>
      <w:lvlJc w:val="left"/>
      <w:pPr>
        <w:ind w:left="238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3" w:tplc="75548F62">
      <w:start w:val="1"/>
      <w:numFmt w:val="decimal"/>
      <w:lvlText w:val="%4"/>
      <w:lvlJc w:val="left"/>
      <w:pPr>
        <w:ind w:left="310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4" w:tplc="03D6959C">
      <w:start w:val="1"/>
      <w:numFmt w:val="lowerLetter"/>
      <w:lvlText w:val="%5"/>
      <w:lvlJc w:val="left"/>
      <w:pPr>
        <w:ind w:left="382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5" w:tplc="1A685DDC">
      <w:start w:val="1"/>
      <w:numFmt w:val="lowerRoman"/>
      <w:lvlText w:val="%6"/>
      <w:lvlJc w:val="left"/>
      <w:pPr>
        <w:ind w:left="454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6" w:tplc="5096F826">
      <w:start w:val="1"/>
      <w:numFmt w:val="decimal"/>
      <w:lvlText w:val="%7"/>
      <w:lvlJc w:val="left"/>
      <w:pPr>
        <w:ind w:left="526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7" w:tplc="63D8E6A0">
      <w:start w:val="1"/>
      <w:numFmt w:val="lowerLetter"/>
      <w:lvlText w:val="%8"/>
      <w:lvlJc w:val="left"/>
      <w:pPr>
        <w:ind w:left="598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8" w:tplc="1520B0BA">
      <w:start w:val="1"/>
      <w:numFmt w:val="lowerRoman"/>
      <w:lvlText w:val="%9"/>
      <w:lvlJc w:val="left"/>
      <w:pPr>
        <w:ind w:left="670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abstractNum>
  <w:abstractNum w:abstractNumId="4"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63881"/>
    <w:multiLevelType w:val="hybridMultilevel"/>
    <w:tmpl w:val="D6AE7212"/>
    <w:lvl w:ilvl="0" w:tplc="85406164">
      <w:start w:val="1"/>
      <w:numFmt w:val="decimal"/>
      <w:lvlText w:val="%1"/>
      <w:lvlJc w:val="left"/>
      <w:pPr>
        <w:ind w:left="1346"/>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1" w:tplc="C45A5E98">
      <w:start w:val="1"/>
      <w:numFmt w:val="lowerLetter"/>
      <w:lvlText w:val="%2"/>
      <w:lvlJc w:val="left"/>
      <w:pPr>
        <w:ind w:left="166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2" w:tplc="779E529E">
      <w:start w:val="1"/>
      <w:numFmt w:val="lowerRoman"/>
      <w:lvlText w:val="%3"/>
      <w:lvlJc w:val="left"/>
      <w:pPr>
        <w:ind w:left="238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3" w:tplc="D0189FA2">
      <w:start w:val="1"/>
      <w:numFmt w:val="decimal"/>
      <w:lvlText w:val="%4"/>
      <w:lvlJc w:val="left"/>
      <w:pPr>
        <w:ind w:left="310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4" w:tplc="7576D36E">
      <w:start w:val="1"/>
      <w:numFmt w:val="lowerLetter"/>
      <w:lvlText w:val="%5"/>
      <w:lvlJc w:val="left"/>
      <w:pPr>
        <w:ind w:left="382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5" w:tplc="E3CC9B00">
      <w:start w:val="1"/>
      <w:numFmt w:val="lowerRoman"/>
      <w:lvlText w:val="%6"/>
      <w:lvlJc w:val="left"/>
      <w:pPr>
        <w:ind w:left="454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6" w:tplc="D76CED08">
      <w:start w:val="1"/>
      <w:numFmt w:val="decimal"/>
      <w:lvlText w:val="%7"/>
      <w:lvlJc w:val="left"/>
      <w:pPr>
        <w:ind w:left="526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7" w:tplc="10503DCE">
      <w:start w:val="1"/>
      <w:numFmt w:val="lowerLetter"/>
      <w:lvlText w:val="%8"/>
      <w:lvlJc w:val="left"/>
      <w:pPr>
        <w:ind w:left="598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lvl w:ilvl="8" w:tplc="5420E8E6">
      <w:start w:val="1"/>
      <w:numFmt w:val="lowerRoman"/>
      <w:lvlText w:val="%9"/>
      <w:lvlJc w:val="left"/>
      <w:pPr>
        <w:ind w:left="6701"/>
      </w:pPr>
      <w:rPr>
        <w:rFonts w:ascii="Calibri" w:eastAsia="Calibri" w:hAnsi="Calibri" w:cs="Calibri"/>
        <w:b w:val="0"/>
        <w:i w:val="0"/>
        <w:strike w:val="0"/>
        <w:dstrike w:val="0"/>
        <w:color w:val="005E84"/>
        <w:sz w:val="34"/>
        <w:szCs w:val="34"/>
        <w:u w:val="none" w:color="000000"/>
        <w:bdr w:val="none" w:sz="0" w:space="0" w:color="auto"/>
        <w:shd w:val="clear" w:color="auto" w:fill="auto"/>
        <w:vertAlign w:val="baseline"/>
      </w:rPr>
    </w:lvl>
  </w:abstractNum>
  <w:num w:numId="1" w16cid:durableId="1673869952">
    <w:abstractNumId w:val="4"/>
  </w:num>
  <w:num w:numId="2" w16cid:durableId="2009945258">
    <w:abstractNumId w:val="1"/>
  </w:num>
  <w:num w:numId="3" w16cid:durableId="1730111582">
    <w:abstractNumId w:val="3"/>
  </w:num>
  <w:num w:numId="4" w16cid:durableId="175047672">
    <w:abstractNumId w:val="5"/>
  </w:num>
  <w:num w:numId="5" w16cid:durableId="1840463299">
    <w:abstractNumId w:val="0"/>
  </w:num>
  <w:num w:numId="6" w16cid:durableId="1984776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2237"/>
    <w:rsid w:val="0000701F"/>
    <w:rsid w:val="00035A4D"/>
    <w:rsid w:val="0004416B"/>
    <w:rsid w:val="0004575E"/>
    <w:rsid w:val="001135E7"/>
    <w:rsid w:val="00145B7B"/>
    <w:rsid w:val="001647B1"/>
    <w:rsid w:val="00164994"/>
    <w:rsid w:val="00165FB5"/>
    <w:rsid w:val="00180510"/>
    <w:rsid w:val="00193DD5"/>
    <w:rsid w:val="001B4F93"/>
    <w:rsid w:val="001C20A7"/>
    <w:rsid w:val="001D069F"/>
    <w:rsid w:val="001D50A0"/>
    <w:rsid w:val="001E37C1"/>
    <w:rsid w:val="001F3744"/>
    <w:rsid w:val="001F66D6"/>
    <w:rsid w:val="001F7640"/>
    <w:rsid w:val="0022203E"/>
    <w:rsid w:val="00222DE2"/>
    <w:rsid w:val="00243D32"/>
    <w:rsid w:val="00262CBA"/>
    <w:rsid w:val="002B385B"/>
    <w:rsid w:val="002C0DEA"/>
    <w:rsid w:val="002F1F3C"/>
    <w:rsid w:val="002F2A47"/>
    <w:rsid w:val="002F478F"/>
    <w:rsid w:val="003149B1"/>
    <w:rsid w:val="00336C1F"/>
    <w:rsid w:val="003406EA"/>
    <w:rsid w:val="00345E48"/>
    <w:rsid w:val="00351A8B"/>
    <w:rsid w:val="00353BE1"/>
    <w:rsid w:val="003635B9"/>
    <w:rsid w:val="00372874"/>
    <w:rsid w:val="00377E04"/>
    <w:rsid w:val="003A04BE"/>
    <w:rsid w:val="003A06A6"/>
    <w:rsid w:val="003A165E"/>
    <w:rsid w:val="003B3D1B"/>
    <w:rsid w:val="003E0AFB"/>
    <w:rsid w:val="003E2376"/>
    <w:rsid w:val="003F45F8"/>
    <w:rsid w:val="00403C77"/>
    <w:rsid w:val="004222C4"/>
    <w:rsid w:val="00447C55"/>
    <w:rsid w:val="00460C76"/>
    <w:rsid w:val="00474A80"/>
    <w:rsid w:val="004C7D78"/>
    <w:rsid w:val="00511132"/>
    <w:rsid w:val="00527949"/>
    <w:rsid w:val="0053059C"/>
    <w:rsid w:val="0053071E"/>
    <w:rsid w:val="005505E0"/>
    <w:rsid w:val="005867FA"/>
    <w:rsid w:val="005F51FE"/>
    <w:rsid w:val="006503CA"/>
    <w:rsid w:val="00654D2C"/>
    <w:rsid w:val="00655C8C"/>
    <w:rsid w:val="00671AD5"/>
    <w:rsid w:val="006832C1"/>
    <w:rsid w:val="00690DEA"/>
    <w:rsid w:val="00691B62"/>
    <w:rsid w:val="00697BE7"/>
    <w:rsid w:val="006B5DCF"/>
    <w:rsid w:val="006C5DCA"/>
    <w:rsid w:val="006E082F"/>
    <w:rsid w:val="00705784"/>
    <w:rsid w:val="007138B1"/>
    <w:rsid w:val="00724C1C"/>
    <w:rsid w:val="00732E02"/>
    <w:rsid w:val="00764D40"/>
    <w:rsid w:val="007A5A0B"/>
    <w:rsid w:val="007D53EE"/>
    <w:rsid w:val="007D62CC"/>
    <w:rsid w:val="007E6A0C"/>
    <w:rsid w:val="008011F3"/>
    <w:rsid w:val="00842617"/>
    <w:rsid w:val="00863A0F"/>
    <w:rsid w:val="00885CB0"/>
    <w:rsid w:val="008934AF"/>
    <w:rsid w:val="008C6283"/>
    <w:rsid w:val="00950C72"/>
    <w:rsid w:val="009645AA"/>
    <w:rsid w:val="009716CA"/>
    <w:rsid w:val="009772B5"/>
    <w:rsid w:val="009B158C"/>
    <w:rsid w:val="009D0D02"/>
    <w:rsid w:val="009D235E"/>
    <w:rsid w:val="00A1172B"/>
    <w:rsid w:val="00A14408"/>
    <w:rsid w:val="00A50AE8"/>
    <w:rsid w:val="00A533CC"/>
    <w:rsid w:val="00A558C3"/>
    <w:rsid w:val="00A55D4D"/>
    <w:rsid w:val="00A738BE"/>
    <w:rsid w:val="00A8401D"/>
    <w:rsid w:val="00AB550B"/>
    <w:rsid w:val="00AC1180"/>
    <w:rsid w:val="00AF772E"/>
    <w:rsid w:val="00B11449"/>
    <w:rsid w:val="00B16375"/>
    <w:rsid w:val="00B373BA"/>
    <w:rsid w:val="00B37EC9"/>
    <w:rsid w:val="00B40C68"/>
    <w:rsid w:val="00B63E3B"/>
    <w:rsid w:val="00B63EC4"/>
    <w:rsid w:val="00B64304"/>
    <w:rsid w:val="00B82D34"/>
    <w:rsid w:val="00BA0A39"/>
    <w:rsid w:val="00BD748F"/>
    <w:rsid w:val="00BE469C"/>
    <w:rsid w:val="00C20613"/>
    <w:rsid w:val="00C31F0E"/>
    <w:rsid w:val="00C343B4"/>
    <w:rsid w:val="00CB63AE"/>
    <w:rsid w:val="00CC7DBD"/>
    <w:rsid w:val="00CD1C89"/>
    <w:rsid w:val="00D01B37"/>
    <w:rsid w:val="00D23DD2"/>
    <w:rsid w:val="00D317D4"/>
    <w:rsid w:val="00D45F91"/>
    <w:rsid w:val="00D47105"/>
    <w:rsid w:val="00D65F75"/>
    <w:rsid w:val="00D67FE9"/>
    <w:rsid w:val="00D74BCA"/>
    <w:rsid w:val="00DC63D9"/>
    <w:rsid w:val="00E03EFB"/>
    <w:rsid w:val="00E364E6"/>
    <w:rsid w:val="00E4083D"/>
    <w:rsid w:val="00E5251C"/>
    <w:rsid w:val="00E572D6"/>
    <w:rsid w:val="00E63382"/>
    <w:rsid w:val="00E63B3D"/>
    <w:rsid w:val="00E63ED9"/>
    <w:rsid w:val="00E6564A"/>
    <w:rsid w:val="00EA24C0"/>
    <w:rsid w:val="00EB3DA0"/>
    <w:rsid w:val="00EE57F6"/>
    <w:rsid w:val="00F34871"/>
    <w:rsid w:val="00F77D71"/>
    <w:rsid w:val="00F8778A"/>
    <w:rsid w:val="00FA15B4"/>
    <w:rsid w:val="0D0D4B65"/>
    <w:rsid w:val="105974F4"/>
    <w:rsid w:val="16CDC926"/>
    <w:rsid w:val="1B5880EE"/>
    <w:rsid w:val="23AA235A"/>
    <w:rsid w:val="2406BA15"/>
    <w:rsid w:val="2824E6E4"/>
    <w:rsid w:val="2918F0BF"/>
    <w:rsid w:val="297A2FAC"/>
    <w:rsid w:val="29D3D82C"/>
    <w:rsid w:val="2D2156DD"/>
    <w:rsid w:val="30369D2B"/>
    <w:rsid w:val="3235D5DF"/>
    <w:rsid w:val="3919E17C"/>
    <w:rsid w:val="42133375"/>
    <w:rsid w:val="477560BD"/>
    <w:rsid w:val="4B51F585"/>
    <w:rsid w:val="56802B88"/>
    <w:rsid w:val="5F6E8E85"/>
    <w:rsid w:val="68D4D391"/>
    <w:rsid w:val="6B9831B9"/>
    <w:rsid w:val="6C2113E6"/>
    <w:rsid w:val="7171F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E821BE2E-3E42-4A33-8253-EF599726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paragraph" w:styleId="Heading2">
    <w:name w:val="heading 2"/>
    <w:basedOn w:val="Normal"/>
    <w:next w:val="Normal"/>
    <w:link w:val="Heading2Char"/>
    <w:uiPriority w:val="9"/>
    <w:unhideWhenUsed/>
    <w:qFormat/>
    <w:rsid w:val="00E63E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customStyle="1" w:styleId="Heading2Char">
    <w:name w:val="Heading 2 Char"/>
    <w:basedOn w:val="DefaultParagraphFont"/>
    <w:link w:val="Heading2"/>
    <w:uiPriority w:val="9"/>
    <w:rsid w:val="00E63ED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4416B"/>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1B4F93"/>
    <w:rPr>
      <w:sz w:val="16"/>
      <w:szCs w:val="16"/>
    </w:rPr>
  </w:style>
  <w:style w:type="paragraph" w:styleId="CommentText">
    <w:name w:val="annotation text"/>
    <w:basedOn w:val="Normal"/>
    <w:link w:val="CommentTextChar"/>
    <w:uiPriority w:val="99"/>
    <w:unhideWhenUsed/>
    <w:rsid w:val="001B4F93"/>
    <w:rPr>
      <w:sz w:val="20"/>
      <w:szCs w:val="20"/>
    </w:rPr>
  </w:style>
  <w:style w:type="character" w:customStyle="1" w:styleId="CommentTextChar">
    <w:name w:val="Comment Text Char"/>
    <w:basedOn w:val="DefaultParagraphFont"/>
    <w:link w:val="CommentText"/>
    <w:uiPriority w:val="99"/>
    <w:rsid w:val="001B4F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B4F93"/>
    <w:rPr>
      <w:b/>
      <w:bCs/>
    </w:rPr>
  </w:style>
  <w:style w:type="character" w:customStyle="1" w:styleId="CommentSubjectChar">
    <w:name w:val="Comment Subject Char"/>
    <w:basedOn w:val="CommentTextChar"/>
    <w:link w:val="CommentSubject"/>
    <w:uiPriority w:val="99"/>
    <w:semiHidden/>
    <w:rsid w:val="001B4F9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AHCIHDOCID-711523309-12738884</_dlc_DocId>
    <_dlc_DocIdUrl xmlns="f5da6961-df15-4a00-8bc7-26ec1a99c3a7">
      <Url>https://hants.sharepoint.com/sites/AHCIH/SL/_layouts/15/DocIdRedir.aspx?ID=AHCIHDOCID-711523309-12738884</Url>
      <Description>AHCIHDOCID-711523309-12738884</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3.xml><?xml version="1.0" encoding="utf-8"?>
<?mso-contentType ?>
<SharedContentType xmlns="Microsoft.SharePoint.Taxonomy.ContentTypeSync" SourceId="3c5dbf34-c73a-430c-9290-9174ad787734" ContentTypeId="0x0101004E1B537BC2B2AD43A5AF5311D732D3AA"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92F3B-698C-44A3-A1DB-DFE9874E19AE}">
  <ds:schemaRefs>
    <ds:schemaRef ds:uri="http://schemas.microsoft.com/sharepoint/v3/contenttype/forms"/>
  </ds:schemaRefs>
</ds:datastoreItem>
</file>

<file path=customXml/itemProps2.xml><?xml version="1.0" encoding="utf-8"?>
<ds:datastoreItem xmlns:ds="http://schemas.openxmlformats.org/officeDocument/2006/customXml" ds:itemID="{3538B37A-866B-42BC-9B3F-18A21336E9DF}">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3.xml><?xml version="1.0" encoding="utf-8"?>
<ds:datastoreItem xmlns:ds="http://schemas.openxmlformats.org/officeDocument/2006/customXml" ds:itemID="{4F03E8E9-C4CA-41F4-B546-B7C3E83BD3A2}">
  <ds:schemaRefs>
    <ds:schemaRef ds:uri="Microsoft.SharePoint.Taxonomy.ContentTypeSync"/>
  </ds:schemaRefs>
</ds:datastoreItem>
</file>

<file path=customXml/itemProps4.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5.xml><?xml version="1.0" encoding="utf-8"?>
<ds:datastoreItem xmlns:ds="http://schemas.openxmlformats.org/officeDocument/2006/customXml" ds:itemID="{EB45809C-83DB-4768-9AC9-BA919BDA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E72187-9299-45B2-9381-19B992741C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1020</Words>
  <Characters>5805</Characters>
  <Application>Microsoft Office Word</Application>
  <DocSecurity>0</DocSecurity>
  <Lines>305</Lines>
  <Paragraphs>111</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39</cp:revision>
  <dcterms:created xsi:type="dcterms:W3CDTF">2026-03-02T10:49:00Z</dcterms:created>
  <dcterms:modified xsi:type="dcterms:W3CDTF">2026-03-05T11:49:00Z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0a5284b0-f0c4-4738-ba62-e559f6e7d06d</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53;#Shared Lives Scheme|bb828c88-94a0-4be8-a416-efb6f364f2e1</vt:lpwstr>
  </property>
  <property fmtid="{D5CDD505-2E9C-101B-9397-08002B2CF9AE}" pid="12" name="AHC Management Information">
    <vt:lpwstr/>
  </property>
  <property fmtid="{D5CDD505-2E9C-101B-9397-08002B2CF9AE}" pid="13" name="AHC Groups and Meetings">
    <vt:lpwstr/>
  </property>
  <property fmtid="{D5CDD505-2E9C-101B-9397-08002B2CF9AE}" pid="14" name="Document_x0020_Type">
    <vt:lpwstr/>
  </property>
  <property fmtid="{D5CDD505-2E9C-101B-9397-08002B2CF9AE}" pid="15" name="AHC_x0020_Casework_x0020_Management">
    <vt:lpwstr>53;#Shared Lives Scheme|bb828c88-94a0-4be8-a416-efb6f364f2e1</vt:lpwstr>
  </property>
</Properties>
</file>